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9ADBD" w14:textId="77777777" w:rsidR="005B203D" w:rsidRDefault="005B203D">
      <w:pPr>
        <w:rPr>
          <w:rFonts w:ascii="Gadugi" w:hAnsi="Gadugi" w:cs="Gadugi"/>
          <w:sz w:val="18"/>
          <w:szCs w:val="18"/>
        </w:rPr>
      </w:pPr>
    </w:p>
    <w:p w14:paraId="588B1DB3" w14:textId="4CB3870C" w:rsidR="005B203D" w:rsidRDefault="00877DD7">
      <w:pPr>
        <w:jc w:val="center"/>
        <w:rPr>
          <w:rFonts w:ascii="Gadugi" w:hAnsi="Gadugi" w:cs="Gadugi"/>
          <w:sz w:val="18"/>
          <w:szCs w:val="18"/>
        </w:rPr>
      </w:pPr>
      <w:r>
        <w:rPr>
          <w:noProof/>
        </w:rPr>
        <w:pict w14:anchorId="6235167A">
          <v:rect id="Forma1" o:spid="_x0000_s1026" style="position:absolute;left:0;text-align:left;margin-left:41.6pt;margin-top:10.05pt;width:405pt;height:424.25pt;z-index:63;visibility:visible;mso-wrap-style:square;mso-wrap-distance-left:4.3pt;mso-wrap-distance-top:2.55pt;mso-wrap-distance-right:4.3pt;mso-wrap-distance-bottom:6.0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" filled="f" strokecolor="#4a7ebb" strokeweight=".79mm">
            <v:stroke joinstyle="round"/>
          </v:rect>
        </w:pict>
      </w:r>
    </w:p>
    <w:p w14:paraId="6BFF478C" w14:textId="77777777" w:rsidR="005B203D" w:rsidRDefault="005B203D">
      <w:pPr>
        <w:rPr>
          <w:rFonts w:ascii="Gadugi" w:hAnsi="Gadugi" w:cs="Gadugi"/>
          <w:sz w:val="18"/>
          <w:szCs w:val="18"/>
        </w:rPr>
      </w:pPr>
    </w:p>
    <w:p w14:paraId="3B68B8CD" w14:textId="77777777" w:rsidR="005B203D" w:rsidRDefault="005B203D">
      <w:pPr>
        <w:jc w:val="center"/>
        <w:rPr>
          <w:rFonts w:ascii="Gadugi" w:hAnsi="Gadugi" w:cs="Gadugi"/>
          <w:sz w:val="18"/>
          <w:szCs w:val="18"/>
        </w:rPr>
      </w:pPr>
    </w:p>
    <w:p w14:paraId="3B865C87" w14:textId="4705BF55" w:rsidR="005B203D" w:rsidRDefault="00E60DC2">
      <w:pPr>
        <w:jc w:val="center"/>
        <w:rPr>
          <w:rFonts w:ascii="Gadugi" w:hAnsi="Gadugi" w:cs="Gadugi"/>
          <w:b/>
          <w:bCs/>
          <w:sz w:val="18"/>
          <w:szCs w:val="18"/>
          <w:u w:val="single"/>
        </w:rPr>
      </w:pPr>
      <w:r>
        <w:rPr>
          <w:rFonts w:ascii="Gadugi" w:hAnsi="Gadugi" w:cs="Gadugi"/>
          <w:b/>
          <w:bCs/>
          <w:sz w:val="18"/>
          <w:szCs w:val="18"/>
          <w:u w:val="single"/>
        </w:rPr>
        <w:t xml:space="preserve">PREGÃO ELETRÔNICO Nº </w:t>
      </w:r>
      <w:r w:rsidR="00F831C7">
        <w:rPr>
          <w:rFonts w:ascii="Gadugi" w:hAnsi="Gadugi" w:cs="Gadugi"/>
          <w:b/>
          <w:bCs/>
          <w:sz w:val="18"/>
          <w:szCs w:val="18"/>
          <w:u w:val="single"/>
        </w:rPr>
        <w:t>42/2025</w:t>
      </w:r>
    </w:p>
    <w:p w14:paraId="2C986888" w14:textId="0634CA66" w:rsidR="005B203D" w:rsidRDefault="00E60DC2">
      <w:pPr>
        <w:jc w:val="center"/>
        <w:rPr>
          <w:rFonts w:ascii="Gadugi" w:hAnsi="Gadugi" w:cs="Gadugi"/>
          <w:sz w:val="18"/>
          <w:szCs w:val="18"/>
        </w:rPr>
      </w:pPr>
      <w:r>
        <w:rPr>
          <w:rFonts w:ascii="Gadugi" w:hAnsi="Gadugi" w:cs="Gadugi"/>
          <w:b/>
          <w:bCs/>
          <w:sz w:val="18"/>
          <w:szCs w:val="18"/>
          <w:u w:val="single"/>
        </w:rPr>
        <w:t xml:space="preserve">REGISTRO DE PREÇOS Nº </w:t>
      </w:r>
      <w:r w:rsidR="00F831C7">
        <w:rPr>
          <w:rFonts w:ascii="Gadugi" w:hAnsi="Gadugi" w:cs="Gadugi"/>
          <w:b/>
          <w:bCs/>
          <w:sz w:val="18"/>
          <w:szCs w:val="18"/>
          <w:u w:val="single"/>
        </w:rPr>
        <w:t>34/2025</w:t>
      </w:r>
    </w:p>
    <w:p w14:paraId="6DEEF9CD" w14:textId="77777777" w:rsidR="005B203D" w:rsidRDefault="005B203D">
      <w:pPr>
        <w:rPr>
          <w:rFonts w:ascii="Gadugi" w:hAnsi="Gadugi" w:cs="Gadugi"/>
          <w:sz w:val="18"/>
          <w:szCs w:val="18"/>
        </w:rPr>
      </w:pPr>
    </w:p>
    <w:p w14:paraId="03F229DC" w14:textId="77777777" w:rsidR="005B203D" w:rsidRDefault="00E60DC2">
      <w:pPr>
        <w:jc w:val="center"/>
        <w:rPr>
          <w:rFonts w:ascii="Gadugi" w:hAnsi="Gadugi" w:cs="Gadugi"/>
          <w:sz w:val="18"/>
          <w:szCs w:val="18"/>
        </w:rPr>
      </w:pPr>
      <w:r>
        <w:rPr>
          <w:rFonts w:ascii="Gadugi" w:hAnsi="Gadugi" w:cs="Gadugi"/>
          <w:b/>
          <w:bCs/>
          <w:sz w:val="18"/>
          <w:szCs w:val="18"/>
        </w:rPr>
        <w:t>OBJETO</w:t>
      </w:r>
    </w:p>
    <w:p w14:paraId="7C3C7E1D" w14:textId="0176E3E0" w:rsidR="005B203D" w:rsidRDefault="00E60DC2">
      <w:pPr>
        <w:ind w:left="1276" w:right="851"/>
        <w:jc w:val="center"/>
        <w:rPr>
          <w:rFonts w:ascii="Gadugi" w:hAnsi="Gadugi" w:cs="Gadugi"/>
          <w:sz w:val="18"/>
          <w:szCs w:val="18"/>
        </w:rPr>
      </w:pPr>
      <w:r>
        <w:rPr>
          <w:rFonts w:ascii="Gadugi" w:hAnsi="Gadugi" w:cs="Gadugi"/>
          <w:sz w:val="18"/>
          <w:szCs w:val="18"/>
        </w:rPr>
        <w:t xml:space="preserve">Registro de Preço para </w:t>
      </w:r>
      <w:r w:rsidR="00F96489">
        <w:rPr>
          <w:rFonts w:ascii="Gadugi" w:hAnsi="Gadugi" w:cs="Gadugi"/>
          <w:sz w:val="18"/>
          <w:szCs w:val="18"/>
        </w:rPr>
        <w:t xml:space="preserve">AQUISIÇÃO DE </w:t>
      </w:r>
      <w:r w:rsidR="00F831C7">
        <w:rPr>
          <w:rFonts w:ascii="Gadugi" w:hAnsi="Gadugi" w:cs="Gadugi"/>
          <w:sz w:val="18"/>
          <w:szCs w:val="18"/>
        </w:rPr>
        <w:t>EQUIPAMENTOS DE INFORMÁTICA</w:t>
      </w:r>
    </w:p>
    <w:p w14:paraId="37BF0A48" w14:textId="77777777" w:rsidR="005B203D" w:rsidRDefault="005B203D">
      <w:pPr>
        <w:jc w:val="center"/>
        <w:rPr>
          <w:rFonts w:ascii="Gadugi" w:hAnsi="Gadugi" w:cs="Gadugi"/>
          <w:sz w:val="18"/>
          <w:szCs w:val="18"/>
        </w:rPr>
      </w:pPr>
    </w:p>
    <w:p w14:paraId="36FA4DCA" w14:textId="77777777" w:rsidR="005B203D" w:rsidRDefault="005B203D">
      <w:pPr>
        <w:jc w:val="center"/>
        <w:rPr>
          <w:rFonts w:ascii="Gadugi" w:hAnsi="Gadugi" w:cs="Gadugi"/>
          <w:sz w:val="18"/>
          <w:szCs w:val="18"/>
        </w:rPr>
      </w:pPr>
    </w:p>
    <w:p w14:paraId="3B870BDC" w14:textId="77777777" w:rsidR="005B203D" w:rsidRDefault="00E60DC2">
      <w:pPr>
        <w:jc w:val="center"/>
        <w:rPr>
          <w:rFonts w:ascii="Gadugi" w:hAnsi="Gadugi" w:cs="Gadugi"/>
          <w:sz w:val="18"/>
          <w:szCs w:val="18"/>
        </w:rPr>
      </w:pPr>
      <w:r>
        <w:rPr>
          <w:rFonts w:ascii="Gadugi" w:hAnsi="Gadugi" w:cs="Gadugi"/>
          <w:b/>
          <w:bCs/>
          <w:sz w:val="18"/>
          <w:szCs w:val="18"/>
        </w:rPr>
        <w:t>VALOR TOTAL DA CONTRATAÇÃO</w:t>
      </w:r>
    </w:p>
    <w:p w14:paraId="46DEC9B8" w14:textId="456ADA3D" w:rsidR="005B203D" w:rsidRDefault="0036372D">
      <w:pPr>
        <w:jc w:val="center"/>
        <w:rPr>
          <w:rFonts w:ascii="Gadugi" w:hAnsi="Gadugi" w:cs="Gadugi"/>
          <w:b/>
          <w:bCs/>
          <w:sz w:val="18"/>
          <w:szCs w:val="18"/>
        </w:rPr>
      </w:pPr>
      <w:r>
        <w:rPr>
          <w:rFonts w:ascii="Gadugi" w:hAnsi="Gadugi" w:cs="Gadugi"/>
          <w:b/>
          <w:bCs/>
          <w:sz w:val="18"/>
          <w:szCs w:val="18"/>
        </w:rPr>
        <w:t xml:space="preserve">R$ </w:t>
      </w:r>
      <w:r w:rsidR="00D01032">
        <w:rPr>
          <w:rFonts w:ascii="Gadugi" w:hAnsi="Gadugi" w:cs="Gadugi"/>
          <w:b/>
          <w:bCs/>
          <w:sz w:val="18"/>
          <w:szCs w:val="18"/>
        </w:rPr>
        <w:t>523.402,79</w:t>
      </w:r>
    </w:p>
    <w:p w14:paraId="6BED66AA" w14:textId="77777777" w:rsidR="005B203D" w:rsidRDefault="005B203D">
      <w:pPr>
        <w:jc w:val="center"/>
        <w:rPr>
          <w:rFonts w:ascii="Gadugi" w:hAnsi="Gadugi" w:cs="Gadugi"/>
          <w:sz w:val="18"/>
          <w:szCs w:val="18"/>
        </w:rPr>
      </w:pPr>
    </w:p>
    <w:p w14:paraId="0D888B43" w14:textId="77777777" w:rsidR="005B203D" w:rsidRDefault="005B203D">
      <w:pPr>
        <w:rPr>
          <w:rFonts w:ascii="Gadugi" w:hAnsi="Gadugi" w:cs="Gadugi"/>
          <w:sz w:val="18"/>
          <w:szCs w:val="18"/>
        </w:rPr>
      </w:pPr>
    </w:p>
    <w:p w14:paraId="4A53346C" w14:textId="77777777" w:rsidR="005B203D" w:rsidRDefault="00E60DC2">
      <w:pPr>
        <w:jc w:val="center"/>
        <w:rPr>
          <w:rFonts w:ascii="Gadugi" w:hAnsi="Gadugi" w:cs="Gadugi"/>
          <w:sz w:val="18"/>
          <w:szCs w:val="18"/>
        </w:rPr>
      </w:pPr>
      <w:r>
        <w:rPr>
          <w:rFonts w:ascii="Gadugi" w:hAnsi="Gadugi" w:cs="Gadugi"/>
          <w:b/>
          <w:bCs/>
          <w:sz w:val="18"/>
          <w:szCs w:val="18"/>
        </w:rPr>
        <w:t>DATA DA SESSÃO PÚBLICA</w:t>
      </w:r>
    </w:p>
    <w:p w14:paraId="750EFE14" w14:textId="06C84FAC" w:rsidR="005B203D" w:rsidRDefault="00D01032">
      <w:pPr>
        <w:jc w:val="center"/>
        <w:rPr>
          <w:rFonts w:ascii="Gadugi" w:hAnsi="Gadugi" w:cs="Gadugi"/>
          <w:sz w:val="18"/>
          <w:szCs w:val="18"/>
        </w:rPr>
      </w:pPr>
      <w:r>
        <w:rPr>
          <w:rFonts w:ascii="Gadugi" w:hAnsi="Gadugi" w:cs="Gadugi"/>
          <w:b/>
          <w:bCs/>
          <w:sz w:val="18"/>
          <w:szCs w:val="18"/>
        </w:rPr>
        <w:t>2</w:t>
      </w:r>
      <w:r w:rsidR="00877DD7">
        <w:rPr>
          <w:rFonts w:ascii="Gadugi" w:hAnsi="Gadugi" w:cs="Gadugi"/>
          <w:b/>
          <w:bCs/>
          <w:sz w:val="18"/>
          <w:szCs w:val="18"/>
        </w:rPr>
        <w:t>9</w:t>
      </w:r>
      <w:r w:rsidR="00401211">
        <w:rPr>
          <w:rFonts w:ascii="Gadugi" w:hAnsi="Gadugi" w:cs="Gadugi"/>
          <w:b/>
          <w:bCs/>
          <w:sz w:val="18"/>
          <w:szCs w:val="18"/>
        </w:rPr>
        <w:t>/08</w:t>
      </w:r>
      <w:r w:rsidR="0036372D">
        <w:rPr>
          <w:rFonts w:ascii="Gadugi" w:hAnsi="Gadugi" w:cs="Gadugi"/>
          <w:b/>
          <w:bCs/>
          <w:sz w:val="18"/>
          <w:szCs w:val="18"/>
        </w:rPr>
        <w:t>/2025</w:t>
      </w:r>
      <w:r w:rsidR="00401211">
        <w:rPr>
          <w:rFonts w:ascii="Gadugi" w:hAnsi="Gadugi" w:cs="Gadugi"/>
          <w:b/>
          <w:bCs/>
          <w:sz w:val="18"/>
          <w:szCs w:val="18"/>
        </w:rPr>
        <w:t xml:space="preserve"> </w:t>
      </w:r>
      <w:r w:rsidR="00E60DC2">
        <w:rPr>
          <w:rFonts w:ascii="Gadugi" w:hAnsi="Gadugi" w:cs="Gadugi"/>
          <w:sz w:val="18"/>
          <w:szCs w:val="18"/>
        </w:rPr>
        <w:t xml:space="preserve">às </w:t>
      </w:r>
      <w:r w:rsidR="00E60DC2">
        <w:rPr>
          <w:rFonts w:ascii="Gadugi" w:hAnsi="Gadugi" w:cs="Gadugi"/>
          <w:b/>
          <w:bCs/>
          <w:sz w:val="18"/>
          <w:szCs w:val="18"/>
        </w:rPr>
        <w:t>08h (horário de Brasília)</w:t>
      </w:r>
    </w:p>
    <w:p w14:paraId="5B364637" w14:textId="77777777" w:rsidR="005B203D" w:rsidRDefault="005B203D">
      <w:pPr>
        <w:rPr>
          <w:rFonts w:ascii="Gadugi" w:hAnsi="Gadugi" w:cs="Gadugi"/>
          <w:sz w:val="18"/>
          <w:szCs w:val="18"/>
        </w:rPr>
      </w:pPr>
    </w:p>
    <w:p w14:paraId="4C309D0C" w14:textId="77777777" w:rsidR="005B203D" w:rsidRDefault="00E60DC2">
      <w:pPr>
        <w:jc w:val="center"/>
        <w:rPr>
          <w:rFonts w:ascii="Gadugi" w:hAnsi="Gadugi" w:cs="Gadugi"/>
          <w:sz w:val="18"/>
          <w:szCs w:val="18"/>
        </w:rPr>
      </w:pPr>
      <w:r>
        <w:rPr>
          <w:rFonts w:ascii="Gadugi" w:hAnsi="Gadugi" w:cs="Gadugi"/>
          <w:b/>
          <w:bCs/>
          <w:caps/>
          <w:sz w:val="18"/>
          <w:szCs w:val="18"/>
        </w:rPr>
        <w:t>Critério de Julgamento:</w:t>
      </w:r>
    </w:p>
    <w:p w14:paraId="0005B2E0" w14:textId="1B24C54F" w:rsidR="005B203D" w:rsidRDefault="00E60DC2">
      <w:pPr>
        <w:jc w:val="center"/>
        <w:rPr>
          <w:rFonts w:ascii="Gadugi" w:hAnsi="Gadugi" w:cs="Gadugi"/>
          <w:sz w:val="18"/>
          <w:szCs w:val="18"/>
        </w:rPr>
      </w:pPr>
      <w:r>
        <w:rPr>
          <w:rFonts w:ascii="Gadugi" w:hAnsi="Gadugi" w:cs="Gadugi"/>
          <w:sz w:val="18"/>
          <w:szCs w:val="18"/>
        </w:rPr>
        <w:t xml:space="preserve">Menor Preço </w:t>
      </w:r>
      <w:r w:rsidR="0036372D">
        <w:rPr>
          <w:rFonts w:ascii="Gadugi" w:hAnsi="Gadugi" w:cs="Gadugi"/>
          <w:sz w:val="18"/>
          <w:szCs w:val="18"/>
        </w:rPr>
        <w:t xml:space="preserve">POR </w:t>
      </w:r>
      <w:r w:rsidR="0062644A">
        <w:rPr>
          <w:rFonts w:ascii="Gadugi" w:hAnsi="Gadugi" w:cs="Gadugi"/>
          <w:sz w:val="18"/>
          <w:szCs w:val="18"/>
        </w:rPr>
        <w:t>ITEM</w:t>
      </w:r>
    </w:p>
    <w:p w14:paraId="75ABE2DC" w14:textId="77777777" w:rsidR="005B203D" w:rsidRDefault="005B203D">
      <w:pPr>
        <w:jc w:val="center"/>
        <w:rPr>
          <w:rFonts w:ascii="Gadugi" w:hAnsi="Gadugi" w:cs="Gadugi"/>
          <w:sz w:val="18"/>
          <w:szCs w:val="18"/>
        </w:rPr>
      </w:pPr>
    </w:p>
    <w:p w14:paraId="5E2B078F" w14:textId="77777777" w:rsidR="005B203D" w:rsidRDefault="005B203D">
      <w:pPr>
        <w:jc w:val="center"/>
        <w:rPr>
          <w:rFonts w:ascii="Gadugi" w:hAnsi="Gadugi" w:cs="Gadugi"/>
          <w:sz w:val="18"/>
          <w:szCs w:val="18"/>
        </w:rPr>
      </w:pPr>
    </w:p>
    <w:p w14:paraId="33CDE778" w14:textId="77777777" w:rsidR="005B203D" w:rsidRDefault="00E60DC2">
      <w:pPr>
        <w:jc w:val="center"/>
        <w:rPr>
          <w:rFonts w:ascii="Gadugi" w:hAnsi="Gadugi" w:cs="Gadugi"/>
          <w:sz w:val="18"/>
          <w:szCs w:val="18"/>
        </w:rPr>
      </w:pPr>
      <w:r>
        <w:rPr>
          <w:rFonts w:ascii="Gadugi" w:hAnsi="Gadugi" w:cs="Gadugi"/>
          <w:b/>
          <w:bCs/>
          <w:caps/>
          <w:sz w:val="18"/>
          <w:szCs w:val="18"/>
        </w:rPr>
        <w:t>Modo de disputa:</w:t>
      </w:r>
    </w:p>
    <w:p w14:paraId="7D35BD5B" w14:textId="77777777" w:rsidR="005B203D" w:rsidRDefault="00E60DC2">
      <w:pPr>
        <w:jc w:val="center"/>
        <w:rPr>
          <w:rFonts w:ascii="Gadugi" w:hAnsi="Gadugi" w:cs="Gadugi"/>
          <w:sz w:val="18"/>
          <w:szCs w:val="18"/>
        </w:rPr>
      </w:pPr>
      <w:r>
        <w:rPr>
          <w:rFonts w:ascii="Gadugi" w:hAnsi="Gadugi" w:cs="Gadugi"/>
          <w:sz w:val="18"/>
          <w:szCs w:val="18"/>
        </w:rPr>
        <w:t>Aberto</w:t>
      </w:r>
    </w:p>
    <w:p w14:paraId="11AE594D" w14:textId="77777777" w:rsidR="005B203D" w:rsidRDefault="005B203D">
      <w:pPr>
        <w:jc w:val="center"/>
        <w:rPr>
          <w:rFonts w:ascii="Gadugi" w:hAnsi="Gadugi" w:cs="Gadugi"/>
          <w:sz w:val="18"/>
          <w:szCs w:val="18"/>
        </w:rPr>
      </w:pPr>
    </w:p>
    <w:p w14:paraId="68A4A195" w14:textId="77777777" w:rsidR="005B203D" w:rsidRDefault="005B203D">
      <w:pPr>
        <w:jc w:val="center"/>
        <w:rPr>
          <w:rFonts w:ascii="Gadugi" w:hAnsi="Gadugi" w:cs="Gadugi"/>
          <w:sz w:val="18"/>
          <w:szCs w:val="18"/>
        </w:rPr>
      </w:pPr>
    </w:p>
    <w:p w14:paraId="0ED7BD54" w14:textId="77777777" w:rsidR="005B203D" w:rsidRDefault="00E60DC2">
      <w:pPr>
        <w:jc w:val="center"/>
        <w:rPr>
          <w:rFonts w:ascii="Gadugi" w:hAnsi="Gadugi" w:cs="Gadugi"/>
          <w:sz w:val="18"/>
          <w:szCs w:val="18"/>
        </w:rPr>
      </w:pPr>
      <w:r>
        <w:rPr>
          <w:rFonts w:ascii="Gadugi" w:hAnsi="Gadugi" w:cs="Gadugi"/>
          <w:b/>
          <w:bCs/>
          <w:sz w:val="18"/>
          <w:szCs w:val="18"/>
        </w:rPr>
        <w:t>PLATAFORMA:</w:t>
      </w:r>
    </w:p>
    <w:p w14:paraId="0586FE16" w14:textId="2313CA8B" w:rsidR="005B203D" w:rsidRDefault="00877DD7">
      <w:pPr>
        <w:jc w:val="center"/>
        <w:rPr>
          <w:rFonts w:ascii="Gadugi" w:hAnsi="Gadugi" w:cs="Gadugi"/>
          <w:sz w:val="18"/>
          <w:szCs w:val="18"/>
        </w:rPr>
      </w:pPr>
      <w:hyperlink r:id="rId11" w:tooltip="https://pregaobanrisul.com.br/">
        <w:r w:rsidR="00D01032">
          <w:rPr>
            <w:rFonts w:ascii="Gadugi" w:hAnsi="Gadugi" w:cs="Gadugi"/>
            <w:sz w:val="18"/>
            <w:szCs w:val="18"/>
            <w:u w:val="single"/>
          </w:rPr>
          <w:t>www.portaldecompraspublicas.com.br</w:t>
        </w:r>
      </w:hyperlink>
    </w:p>
    <w:p w14:paraId="26CE38CF" w14:textId="77777777" w:rsidR="005B203D" w:rsidRDefault="005B203D">
      <w:pPr>
        <w:rPr>
          <w:rFonts w:ascii="Gadugi" w:hAnsi="Gadugi" w:cs="Gadugi"/>
          <w:sz w:val="18"/>
          <w:szCs w:val="18"/>
        </w:rPr>
      </w:pPr>
    </w:p>
    <w:p w14:paraId="5066141F" w14:textId="77777777" w:rsidR="005B203D" w:rsidRDefault="005B203D">
      <w:pPr>
        <w:rPr>
          <w:rFonts w:ascii="Gadugi" w:hAnsi="Gadugi" w:cs="Gadugi"/>
          <w:sz w:val="18"/>
          <w:szCs w:val="18"/>
        </w:rPr>
      </w:pPr>
    </w:p>
    <w:p w14:paraId="771EC891" w14:textId="77777777" w:rsidR="005B203D" w:rsidRDefault="00E60DC2">
      <w:pPr>
        <w:jc w:val="center"/>
        <w:rPr>
          <w:rFonts w:ascii="Gadugi" w:hAnsi="Gadugi" w:cs="Gadugi"/>
          <w:sz w:val="18"/>
          <w:szCs w:val="18"/>
        </w:rPr>
      </w:pPr>
      <w:r>
        <w:rPr>
          <w:rFonts w:ascii="Gadugi" w:hAnsi="Gadugi" w:cs="Gadugi"/>
          <w:b/>
          <w:bCs/>
          <w:sz w:val="18"/>
          <w:szCs w:val="18"/>
        </w:rPr>
        <w:t xml:space="preserve">PREGOEIRA </w:t>
      </w:r>
    </w:p>
    <w:p w14:paraId="730164AC" w14:textId="6C34EA2B" w:rsidR="005B203D" w:rsidRDefault="0036372D">
      <w:pPr>
        <w:jc w:val="center"/>
        <w:rPr>
          <w:rFonts w:ascii="Gadugi" w:hAnsi="Gadugi" w:cs="Gadugi"/>
          <w:sz w:val="18"/>
          <w:szCs w:val="18"/>
        </w:rPr>
      </w:pPr>
      <w:r>
        <w:rPr>
          <w:rFonts w:ascii="Gadugi" w:hAnsi="Gadugi" w:cs="Gadugi"/>
          <w:sz w:val="18"/>
          <w:szCs w:val="18"/>
        </w:rPr>
        <w:t>VIVIAN LIMA VARGAS</w:t>
      </w:r>
    </w:p>
    <w:p w14:paraId="17802062" w14:textId="77777777" w:rsidR="005B203D" w:rsidRDefault="005B203D">
      <w:pPr>
        <w:rPr>
          <w:rFonts w:ascii="Gadugi" w:hAnsi="Gadugi" w:cs="Gadugi"/>
          <w:sz w:val="18"/>
          <w:szCs w:val="18"/>
        </w:rPr>
      </w:pPr>
    </w:p>
    <w:p w14:paraId="296719DB" w14:textId="77777777" w:rsidR="005B203D" w:rsidRDefault="005B203D">
      <w:pPr>
        <w:rPr>
          <w:rFonts w:ascii="Gadugi" w:hAnsi="Gadugi" w:cs="Gadugi"/>
          <w:sz w:val="18"/>
          <w:szCs w:val="18"/>
        </w:rPr>
      </w:pPr>
    </w:p>
    <w:p w14:paraId="7357C09F" w14:textId="1F3F9D2B" w:rsidR="005B203D" w:rsidRDefault="00F96489">
      <w:pPr>
        <w:jc w:val="center"/>
        <w:rPr>
          <w:rFonts w:ascii="Gadugi" w:hAnsi="Gadugi" w:cs="Gadugi"/>
          <w:sz w:val="18"/>
          <w:szCs w:val="18"/>
        </w:rPr>
      </w:pPr>
      <w:r>
        <w:rPr>
          <w:rFonts w:ascii="Gadugi" w:hAnsi="Gadugi" w:cs="Gadugi"/>
          <w:b/>
          <w:bCs/>
          <w:sz w:val="18"/>
          <w:szCs w:val="18"/>
        </w:rPr>
        <w:t>EXCLUSIVO EPP E ME</w:t>
      </w:r>
    </w:p>
    <w:p w14:paraId="08857A58" w14:textId="77777777" w:rsidR="005B203D" w:rsidRDefault="005B203D">
      <w:pPr>
        <w:jc w:val="center"/>
        <w:rPr>
          <w:rFonts w:ascii="Gadugi" w:hAnsi="Gadugi" w:cs="Gadugi"/>
          <w:bCs/>
          <w:sz w:val="18"/>
          <w:szCs w:val="18"/>
          <w:highlight w:val="yellow"/>
        </w:rPr>
      </w:pPr>
    </w:p>
    <w:p w14:paraId="03B328B6" w14:textId="77777777" w:rsidR="005B203D" w:rsidRDefault="005B203D">
      <w:pPr>
        <w:jc w:val="center"/>
        <w:rPr>
          <w:rFonts w:ascii="Gadugi" w:hAnsi="Gadugi" w:cs="Gadugi"/>
          <w:b/>
          <w:bCs/>
          <w:sz w:val="18"/>
          <w:szCs w:val="18"/>
        </w:rPr>
      </w:pPr>
    </w:p>
    <w:p w14:paraId="0B2D7E13" w14:textId="77777777" w:rsidR="005B203D" w:rsidRDefault="005B203D">
      <w:pPr>
        <w:jc w:val="both"/>
        <w:rPr>
          <w:rFonts w:ascii="Gadugi" w:hAnsi="Gadugi" w:cs="Gadugi"/>
          <w:b/>
          <w:bCs/>
          <w:sz w:val="18"/>
          <w:szCs w:val="18"/>
        </w:rPr>
      </w:pPr>
    </w:p>
    <w:p w14:paraId="6B4A5BF7" w14:textId="77777777" w:rsidR="005B203D" w:rsidRDefault="005B203D">
      <w:pPr>
        <w:jc w:val="both"/>
        <w:rPr>
          <w:rFonts w:ascii="Gadugi" w:hAnsi="Gadugi" w:cs="Gadugi"/>
          <w:b/>
          <w:bCs/>
          <w:sz w:val="18"/>
          <w:szCs w:val="18"/>
        </w:rPr>
      </w:pPr>
    </w:p>
    <w:p w14:paraId="1EB7145C" w14:textId="77777777" w:rsidR="005B203D" w:rsidRDefault="005B203D">
      <w:pPr>
        <w:rPr>
          <w:rFonts w:ascii="Gadugi" w:hAnsi="Gadugi" w:cs="Gadugi"/>
          <w:b/>
          <w:bCs/>
          <w:sz w:val="18"/>
          <w:szCs w:val="18"/>
        </w:rPr>
      </w:pPr>
    </w:p>
    <w:p w14:paraId="7094CA30" w14:textId="77777777" w:rsidR="005B203D" w:rsidRDefault="005B203D">
      <w:pPr>
        <w:ind w:firstLine="567"/>
        <w:jc w:val="center"/>
        <w:rPr>
          <w:rFonts w:ascii="Gadugi" w:hAnsi="Gadugi" w:cs="Gadugi"/>
          <w:b/>
          <w:bCs/>
          <w:sz w:val="18"/>
          <w:szCs w:val="18"/>
        </w:rPr>
      </w:pPr>
    </w:p>
    <w:p w14:paraId="171D7931" w14:textId="77777777" w:rsidR="005B203D" w:rsidRDefault="005B203D">
      <w:pPr>
        <w:rPr>
          <w:rFonts w:ascii="Gadugi" w:hAnsi="Gadugi" w:cs="Gadugi"/>
          <w:b/>
          <w:bCs/>
          <w:sz w:val="18"/>
          <w:szCs w:val="18"/>
        </w:rPr>
      </w:pPr>
    </w:p>
    <w:p w14:paraId="60BF1A0D" w14:textId="77777777" w:rsidR="005B203D" w:rsidRDefault="005B203D">
      <w:pPr>
        <w:rPr>
          <w:rFonts w:ascii="Gadugi" w:hAnsi="Gadugi" w:cs="Gadugi"/>
          <w:b/>
          <w:bCs/>
          <w:sz w:val="18"/>
          <w:szCs w:val="18"/>
        </w:rPr>
      </w:pPr>
    </w:p>
    <w:p w14:paraId="1E5748FB" w14:textId="77777777" w:rsidR="005B203D" w:rsidRDefault="005B203D">
      <w:pPr>
        <w:rPr>
          <w:rFonts w:ascii="Gadugi" w:hAnsi="Gadugi" w:cs="Gadugi"/>
          <w:b/>
          <w:bCs/>
          <w:sz w:val="18"/>
          <w:szCs w:val="18"/>
        </w:rPr>
      </w:pPr>
    </w:p>
    <w:p w14:paraId="15977A03" w14:textId="77777777" w:rsidR="005B203D" w:rsidRDefault="005B203D">
      <w:pPr>
        <w:rPr>
          <w:rFonts w:ascii="Gadugi" w:hAnsi="Gadugi" w:cs="Gadugi"/>
          <w:b/>
          <w:bCs/>
          <w:sz w:val="18"/>
          <w:szCs w:val="18"/>
        </w:rPr>
      </w:pPr>
    </w:p>
    <w:p w14:paraId="6F307ABC" w14:textId="77777777" w:rsidR="005B203D" w:rsidRDefault="005B203D">
      <w:pPr>
        <w:rPr>
          <w:rFonts w:ascii="Gadugi" w:hAnsi="Gadugi" w:cs="Gadugi"/>
          <w:b/>
          <w:bCs/>
          <w:sz w:val="18"/>
          <w:szCs w:val="18"/>
        </w:rPr>
      </w:pPr>
    </w:p>
    <w:p w14:paraId="31E18099" w14:textId="77777777" w:rsidR="005B203D" w:rsidRDefault="005B203D">
      <w:pPr>
        <w:rPr>
          <w:rFonts w:ascii="Gadugi" w:hAnsi="Gadugi" w:cs="Gadugi"/>
          <w:b/>
          <w:bCs/>
          <w:sz w:val="18"/>
          <w:szCs w:val="18"/>
        </w:rPr>
      </w:pPr>
    </w:p>
    <w:p w14:paraId="330F42A0" w14:textId="77777777" w:rsidR="005B203D" w:rsidRDefault="005B203D">
      <w:pPr>
        <w:rPr>
          <w:rFonts w:ascii="Gadugi" w:hAnsi="Gadugi" w:cs="Gadugi"/>
          <w:b/>
          <w:bCs/>
          <w:sz w:val="18"/>
          <w:szCs w:val="18"/>
        </w:rPr>
      </w:pPr>
    </w:p>
    <w:p w14:paraId="6B7BD42E" w14:textId="77777777" w:rsidR="005B203D" w:rsidRDefault="005B203D">
      <w:pPr>
        <w:rPr>
          <w:rFonts w:ascii="Gadugi" w:hAnsi="Gadugi" w:cs="Gadugi"/>
          <w:b/>
          <w:bCs/>
          <w:sz w:val="18"/>
          <w:szCs w:val="18"/>
        </w:rPr>
      </w:pPr>
    </w:p>
    <w:p w14:paraId="0887E3AC" w14:textId="77777777" w:rsidR="005B203D" w:rsidRDefault="005B203D">
      <w:pPr>
        <w:rPr>
          <w:rFonts w:ascii="Gadugi" w:hAnsi="Gadugi" w:cs="Gadugi"/>
          <w:b/>
          <w:bCs/>
          <w:sz w:val="18"/>
          <w:szCs w:val="18"/>
        </w:rPr>
      </w:pPr>
    </w:p>
    <w:p w14:paraId="6035F3CE" w14:textId="77777777" w:rsidR="005B203D" w:rsidRDefault="005B203D">
      <w:pPr>
        <w:rPr>
          <w:rFonts w:ascii="Gadugi" w:hAnsi="Gadugi" w:cs="Gadugi"/>
          <w:b/>
          <w:bCs/>
          <w:sz w:val="18"/>
          <w:szCs w:val="18"/>
        </w:rPr>
      </w:pPr>
    </w:p>
    <w:p w14:paraId="10D71A21" w14:textId="77777777" w:rsidR="005B203D" w:rsidRDefault="005B203D">
      <w:pPr>
        <w:rPr>
          <w:rFonts w:ascii="Gadugi" w:hAnsi="Gadugi" w:cs="Gadugi"/>
          <w:b/>
          <w:bCs/>
          <w:sz w:val="18"/>
          <w:szCs w:val="18"/>
        </w:rPr>
      </w:pPr>
    </w:p>
    <w:p w14:paraId="271213DF" w14:textId="77777777" w:rsidR="005B203D" w:rsidRDefault="005B203D">
      <w:pPr>
        <w:rPr>
          <w:rFonts w:ascii="Gadugi" w:hAnsi="Gadugi" w:cs="Gadugi"/>
          <w:b/>
          <w:bCs/>
          <w:sz w:val="18"/>
          <w:szCs w:val="18"/>
        </w:rPr>
      </w:pPr>
    </w:p>
    <w:p w14:paraId="7B91081B" w14:textId="77777777" w:rsidR="005B203D" w:rsidRDefault="005B203D">
      <w:pPr>
        <w:rPr>
          <w:rFonts w:ascii="Gadugi" w:hAnsi="Gadugi" w:cs="Gadugi"/>
          <w:b/>
          <w:bCs/>
          <w:sz w:val="18"/>
          <w:szCs w:val="18"/>
        </w:rPr>
      </w:pPr>
    </w:p>
    <w:p w14:paraId="05F0F98F" w14:textId="77777777" w:rsidR="005B203D" w:rsidRDefault="005B203D">
      <w:pPr>
        <w:rPr>
          <w:rFonts w:ascii="Gadugi" w:hAnsi="Gadugi" w:cs="Gadugi"/>
          <w:b/>
          <w:bCs/>
          <w:sz w:val="18"/>
          <w:szCs w:val="18"/>
        </w:rPr>
      </w:pPr>
    </w:p>
    <w:p w14:paraId="08A29F45" w14:textId="77777777" w:rsidR="005B203D" w:rsidRDefault="005B203D">
      <w:pPr>
        <w:rPr>
          <w:rFonts w:ascii="Gadugi" w:hAnsi="Gadugi" w:cs="Gadugi"/>
          <w:b/>
          <w:bCs/>
          <w:sz w:val="18"/>
          <w:szCs w:val="18"/>
        </w:rPr>
      </w:pPr>
    </w:p>
    <w:p w14:paraId="61C4D602" w14:textId="77777777" w:rsidR="005B203D" w:rsidRDefault="005B203D">
      <w:pPr>
        <w:rPr>
          <w:rFonts w:ascii="Gadugi" w:hAnsi="Gadugi" w:cs="Gadugi"/>
          <w:b/>
          <w:bCs/>
          <w:sz w:val="18"/>
          <w:szCs w:val="18"/>
        </w:rPr>
      </w:pPr>
    </w:p>
    <w:p w14:paraId="5752F08E" w14:textId="77777777" w:rsidR="005B203D" w:rsidRDefault="005B203D">
      <w:pPr>
        <w:rPr>
          <w:rFonts w:ascii="Gadugi" w:hAnsi="Gadugi" w:cs="Gadugi"/>
          <w:b/>
          <w:bCs/>
          <w:sz w:val="18"/>
          <w:szCs w:val="18"/>
        </w:rPr>
      </w:pPr>
    </w:p>
    <w:p w14:paraId="23E34BA8" w14:textId="77777777" w:rsidR="005B203D" w:rsidRDefault="005B203D">
      <w:pPr>
        <w:rPr>
          <w:rFonts w:ascii="Gadugi" w:hAnsi="Gadugi" w:cs="Gadugi"/>
          <w:b/>
          <w:bCs/>
          <w:sz w:val="18"/>
          <w:szCs w:val="18"/>
        </w:rPr>
      </w:pPr>
    </w:p>
    <w:p w14:paraId="61DA3E3A" w14:textId="77777777" w:rsidR="005B203D" w:rsidRDefault="00E60DC2">
      <w:pPr>
        <w:ind w:firstLine="567"/>
        <w:jc w:val="center"/>
        <w:rPr>
          <w:rFonts w:ascii="Gadugi" w:hAnsi="Gadugi" w:cs="Gadugi"/>
          <w:b/>
          <w:bCs/>
          <w:sz w:val="18"/>
          <w:szCs w:val="18"/>
        </w:rPr>
      </w:pPr>
      <w:r>
        <w:rPr>
          <w:rFonts w:ascii="Gadugi" w:hAnsi="Gadugi" w:cs="Gadugi"/>
          <w:b/>
          <w:sz w:val="18"/>
          <w:szCs w:val="18"/>
        </w:rPr>
        <w:lastRenderedPageBreak/>
        <w:t>PREFEITURA MUNICIPAL DE SANTA BÁRBARA DO SUL/RS</w:t>
      </w:r>
    </w:p>
    <w:p w14:paraId="0C921AE1" w14:textId="40CB0A33" w:rsidR="005B203D" w:rsidRDefault="00E60DC2">
      <w:pPr>
        <w:ind w:firstLine="567"/>
        <w:jc w:val="center"/>
        <w:rPr>
          <w:rFonts w:ascii="Gadugi" w:hAnsi="Gadugi" w:cs="Gadugi"/>
          <w:b/>
          <w:sz w:val="18"/>
          <w:szCs w:val="18"/>
        </w:rPr>
      </w:pPr>
      <w:r>
        <w:rPr>
          <w:rFonts w:ascii="Gadugi" w:hAnsi="Gadugi" w:cs="Gadugi"/>
          <w:b/>
          <w:sz w:val="18"/>
          <w:szCs w:val="18"/>
        </w:rPr>
        <w:t xml:space="preserve">PREGÃO ELETRÔNICO Nº </w:t>
      </w:r>
      <w:r w:rsidR="00F831C7">
        <w:rPr>
          <w:rFonts w:ascii="Gadugi" w:hAnsi="Gadugi" w:cs="Gadugi"/>
          <w:b/>
          <w:sz w:val="18"/>
          <w:szCs w:val="18"/>
        </w:rPr>
        <w:t>42/2025</w:t>
      </w:r>
    </w:p>
    <w:p w14:paraId="5C1DDB1D" w14:textId="58B35FF4" w:rsidR="005B203D" w:rsidRDefault="00E60DC2">
      <w:pPr>
        <w:ind w:firstLine="567"/>
        <w:jc w:val="center"/>
        <w:rPr>
          <w:rFonts w:ascii="Gadugi" w:hAnsi="Gadugi" w:cs="Gadugi"/>
          <w:sz w:val="18"/>
          <w:szCs w:val="18"/>
        </w:rPr>
      </w:pPr>
      <w:r>
        <w:rPr>
          <w:rFonts w:ascii="Gadugi" w:hAnsi="Gadugi" w:cs="Gadugi"/>
          <w:sz w:val="18"/>
          <w:szCs w:val="18"/>
        </w:rPr>
        <w:t>(Processo Administrativo n</w:t>
      </w:r>
      <w:r>
        <w:rPr>
          <w:rFonts w:ascii="Gadugi" w:hAnsi="Gadugi" w:cs="Gadugi"/>
          <w:bCs/>
          <w:sz w:val="18"/>
          <w:szCs w:val="18"/>
        </w:rPr>
        <w:t xml:space="preserve">° </w:t>
      </w:r>
      <w:r w:rsidR="00D01032">
        <w:rPr>
          <w:rFonts w:ascii="Gadugi" w:hAnsi="Gadugi" w:cs="Gadugi"/>
          <w:bCs/>
          <w:sz w:val="18"/>
          <w:szCs w:val="18"/>
        </w:rPr>
        <w:t>208/</w:t>
      </w:r>
      <w:r w:rsidR="00D51D46">
        <w:rPr>
          <w:rFonts w:ascii="Gadugi" w:hAnsi="Gadugi" w:cs="Gadugi"/>
          <w:bCs/>
          <w:sz w:val="18"/>
          <w:szCs w:val="18"/>
        </w:rPr>
        <w:t>2025</w:t>
      </w:r>
      <w:r>
        <w:rPr>
          <w:rFonts w:ascii="Gadugi" w:hAnsi="Gadugi" w:cs="Gadugi"/>
          <w:bCs/>
          <w:sz w:val="18"/>
          <w:szCs w:val="18"/>
        </w:rPr>
        <w:t>)</w:t>
      </w:r>
    </w:p>
    <w:p w14:paraId="006BDC47" w14:textId="2A0EDBAB" w:rsidR="005B203D" w:rsidRDefault="00E60DC2">
      <w:pPr>
        <w:ind w:firstLine="567"/>
        <w:jc w:val="center"/>
        <w:rPr>
          <w:rFonts w:ascii="Gadugi" w:hAnsi="Gadugi" w:cs="Gadugi"/>
          <w:sz w:val="18"/>
          <w:szCs w:val="18"/>
        </w:rPr>
      </w:pPr>
      <w:r>
        <w:rPr>
          <w:rFonts w:ascii="Gadugi" w:hAnsi="Gadugi" w:cs="Gadugi"/>
          <w:bCs/>
          <w:sz w:val="18"/>
          <w:szCs w:val="18"/>
        </w:rPr>
        <w:t xml:space="preserve">(Registro de Preço nº </w:t>
      </w:r>
      <w:r w:rsidR="00F831C7">
        <w:rPr>
          <w:rFonts w:ascii="Gadugi" w:hAnsi="Gadugi" w:cs="Gadugi"/>
          <w:bCs/>
          <w:sz w:val="18"/>
          <w:szCs w:val="18"/>
        </w:rPr>
        <w:t>34/2025</w:t>
      </w:r>
      <w:r>
        <w:rPr>
          <w:rFonts w:ascii="Gadugi" w:hAnsi="Gadugi" w:cs="Gadugi"/>
          <w:bCs/>
          <w:sz w:val="18"/>
          <w:szCs w:val="18"/>
        </w:rPr>
        <w:t>)</w:t>
      </w:r>
    </w:p>
    <w:p w14:paraId="44EE431E" w14:textId="77777777" w:rsidR="005B203D" w:rsidRDefault="005B203D">
      <w:pPr>
        <w:jc w:val="both"/>
        <w:rPr>
          <w:rFonts w:ascii="Gadugi" w:hAnsi="Gadugi" w:cs="Gadugi"/>
          <w:b/>
          <w:sz w:val="18"/>
          <w:szCs w:val="18"/>
        </w:rPr>
      </w:pPr>
    </w:p>
    <w:p w14:paraId="0391C001" w14:textId="1FDB84B4" w:rsidR="005B203D" w:rsidRDefault="00E60DC2">
      <w:pPr>
        <w:pStyle w:val="Nivel2"/>
        <w:numPr>
          <w:ilvl w:val="0"/>
          <w:numId w:val="0"/>
        </w:numPr>
        <w:spacing w:before="0" w:after="0" w:line="240" w:lineRule="auto"/>
        <w:ind w:firstLine="709"/>
        <w:rPr>
          <w:rFonts w:ascii="Gadugi" w:hAnsi="Gadugi" w:cs="Gadugi"/>
          <w:color w:val="auto"/>
          <w:sz w:val="18"/>
          <w:szCs w:val="18"/>
        </w:rPr>
      </w:pPr>
      <w:r>
        <w:rPr>
          <w:rFonts w:ascii="Gadugi" w:hAnsi="Gadugi" w:cs="Gadugi"/>
          <w:color w:val="auto"/>
          <w:sz w:val="18"/>
          <w:szCs w:val="18"/>
        </w:rPr>
        <w:t xml:space="preserve">Torna-se público que a Prefeitura Municipal de Santa Bárbara do Sul/RS, por meio do Setor de Licitações, sediado na Avenida Eduardo de Britto, nº 101, Bairro Cerutti, no município de Santa Bárbara do Sul/RS, CEP 98.240-000, realizará licitação, </w:t>
      </w:r>
      <w:r>
        <w:rPr>
          <w:rFonts w:ascii="Gadugi" w:hAnsi="Gadugi" w:cs="Gadugi"/>
          <w:b/>
          <w:bCs/>
          <w:i/>
          <w:iCs/>
          <w:color w:val="auto"/>
          <w:sz w:val="18"/>
          <w:szCs w:val="18"/>
        </w:rPr>
        <w:t xml:space="preserve">Registro de Preço para </w:t>
      </w:r>
      <w:r w:rsidR="00F96489">
        <w:rPr>
          <w:rFonts w:ascii="Gadugi" w:hAnsi="Gadugi" w:cs="Gadugi"/>
          <w:b/>
          <w:bCs/>
          <w:i/>
          <w:iCs/>
          <w:color w:val="auto"/>
          <w:sz w:val="18"/>
          <w:szCs w:val="18"/>
        </w:rPr>
        <w:t xml:space="preserve">AQUISIÇÃO DE </w:t>
      </w:r>
      <w:r w:rsidR="00F831C7">
        <w:rPr>
          <w:rFonts w:ascii="Gadugi" w:hAnsi="Gadugi" w:cs="Gadugi"/>
          <w:b/>
          <w:bCs/>
          <w:i/>
          <w:iCs/>
          <w:color w:val="auto"/>
          <w:sz w:val="18"/>
          <w:szCs w:val="18"/>
        </w:rPr>
        <w:t>EQUIPAMENTOS DE INFORMÁTICA</w:t>
      </w:r>
      <w:r>
        <w:rPr>
          <w:rFonts w:ascii="Gadugi" w:hAnsi="Gadugi" w:cs="Gadugi"/>
          <w:color w:val="auto"/>
          <w:sz w:val="18"/>
          <w:szCs w:val="18"/>
        </w:rPr>
        <w:t xml:space="preserve"> na modalidade PREGÃO, na forma ELETRÔNICA,</w:t>
      </w:r>
      <w:r>
        <w:rPr>
          <w:rFonts w:ascii="Gadugi" w:eastAsia="Times New Roman" w:hAnsi="Gadugi" w:cs="Gadugi"/>
          <w:color w:val="auto"/>
          <w:sz w:val="18"/>
          <w:szCs w:val="18"/>
        </w:rPr>
        <w:t xml:space="preserve"> </w:t>
      </w:r>
      <w:r>
        <w:rPr>
          <w:rFonts w:ascii="Gadugi" w:hAnsi="Gadugi" w:cs="Gadugi"/>
          <w:color w:val="auto"/>
          <w:sz w:val="18"/>
          <w:szCs w:val="18"/>
        </w:rPr>
        <w:t xml:space="preserve">nos termos da </w:t>
      </w:r>
      <w:hyperlink r:id="rId12" w:tooltip="http://www.planalto.gov.br/ccivil_03/_ato2019-2022/2021/lei/L14133.htm">
        <w:r>
          <w:rPr>
            <w:rFonts w:ascii="Gadugi" w:hAnsi="Gadugi" w:cs="Gadugi"/>
            <w:color w:val="auto"/>
            <w:sz w:val="18"/>
            <w:szCs w:val="18"/>
            <w:u w:val="single"/>
          </w:rPr>
          <w:t>Lei nº 14.133, de 1º de abril de 2021</w:t>
        </w:r>
      </w:hyperlink>
      <w:r>
        <w:rPr>
          <w:rFonts w:ascii="Gadugi" w:hAnsi="Gadugi" w:cs="Gadugi"/>
          <w:color w:val="auto"/>
          <w:sz w:val="18"/>
          <w:szCs w:val="18"/>
        </w:rPr>
        <w:t>, da Lei nº 5405/2023 e demais legislações aplicáveis e, ainda, de acordo com as condições estabelecidas neste Edital</w:t>
      </w:r>
      <w:r>
        <w:rPr>
          <w:rFonts w:ascii="Gadugi" w:eastAsia="Times New Roman" w:hAnsi="Gadugi" w:cs="Gadugi"/>
          <w:color w:val="auto"/>
          <w:sz w:val="18"/>
          <w:szCs w:val="18"/>
        </w:rPr>
        <w:t>.</w:t>
      </w:r>
    </w:p>
    <w:p w14:paraId="097F86BC" w14:textId="77777777" w:rsidR="005B203D" w:rsidRDefault="005B203D">
      <w:pPr>
        <w:pStyle w:val="Nivel2"/>
        <w:numPr>
          <w:ilvl w:val="0"/>
          <w:numId w:val="0"/>
        </w:numPr>
        <w:spacing w:before="0" w:after="0" w:line="240" w:lineRule="auto"/>
        <w:ind w:firstLine="709"/>
        <w:rPr>
          <w:rFonts w:ascii="Gadugi" w:hAnsi="Gadugi" w:cs="Gadugi"/>
          <w:color w:val="auto"/>
          <w:sz w:val="18"/>
          <w:szCs w:val="18"/>
        </w:rPr>
      </w:pPr>
    </w:p>
    <w:p w14:paraId="7C609FC1" w14:textId="77777777" w:rsidR="005B203D" w:rsidRDefault="00E60DC2">
      <w:pPr>
        <w:pStyle w:val="Nivel01"/>
        <w:spacing w:before="0" w:after="0" w:line="240" w:lineRule="auto"/>
        <w:ind w:left="0" w:firstLine="0"/>
        <w:rPr>
          <w:rFonts w:ascii="Gadugi" w:hAnsi="Gadugi" w:cs="Gadugi"/>
          <w:color w:val="auto"/>
          <w:sz w:val="18"/>
          <w:szCs w:val="18"/>
        </w:rPr>
      </w:pPr>
      <w:bookmarkStart w:id="0" w:name="_Toc135469223"/>
      <w:r>
        <w:rPr>
          <w:rFonts w:ascii="Gadugi" w:hAnsi="Gadugi" w:cs="Gadugi"/>
          <w:color w:val="auto"/>
          <w:sz w:val="18"/>
          <w:szCs w:val="18"/>
          <w:lang w:eastAsia="en-US"/>
        </w:rPr>
        <w:t>DO OBJETO</w:t>
      </w:r>
      <w:bookmarkEnd w:id="0"/>
    </w:p>
    <w:p w14:paraId="21DD9791" w14:textId="6B6CDC23" w:rsidR="005B203D" w:rsidRDefault="00E60DC2">
      <w:pPr>
        <w:pStyle w:val="Nivel01"/>
        <w:numPr>
          <w:ilvl w:val="1"/>
          <w:numId w:val="2"/>
        </w:numPr>
        <w:spacing w:before="0" w:after="0" w:line="240" w:lineRule="auto"/>
        <w:ind w:left="0" w:firstLine="0"/>
        <w:rPr>
          <w:rFonts w:ascii="Gadugi" w:hAnsi="Gadugi" w:cs="Gadugi"/>
          <w:color w:val="auto"/>
          <w:sz w:val="18"/>
          <w:szCs w:val="18"/>
        </w:rPr>
      </w:pPr>
      <w:r>
        <w:rPr>
          <w:rFonts w:ascii="Gadugi" w:hAnsi="Gadugi" w:cs="Gadugi"/>
          <w:b w:val="0"/>
          <w:bCs w:val="0"/>
          <w:color w:val="auto"/>
          <w:sz w:val="18"/>
          <w:szCs w:val="18"/>
        </w:rPr>
        <w:t xml:space="preserve">O objeto da presente licitação é </w:t>
      </w:r>
      <w:r>
        <w:rPr>
          <w:rFonts w:ascii="Gadugi" w:hAnsi="Gadugi" w:cs="Gadugi"/>
          <w:i/>
          <w:iCs/>
          <w:color w:val="auto"/>
          <w:sz w:val="18"/>
          <w:szCs w:val="18"/>
        </w:rPr>
        <w:t xml:space="preserve">Registro de Preço para </w:t>
      </w:r>
      <w:r w:rsidR="00F96489">
        <w:rPr>
          <w:rFonts w:ascii="Gadugi" w:hAnsi="Gadugi" w:cs="Gadugi"/>
          <w:i/>
          <w:iCs/>
          <w:color w:val="auto"/>
          <w:sz w:val="18"/>
          <w:szCs w:val="18"/>
        </w:rPr>
        <w:t xml:space="preserve">AQUISIÇÃO DE </w:t>
      </w:r>
      <w:r w:rsidR="00F831C7">
        <w:rPr>
          <w:rFonts w:ascii="Gadugi" w:hAnsi="Gadugi" w:cs="Gadugi"/>
          <w:i/>
          <w:iCs/>
          <w:color w:val="auto"/>
          <w:sz w:val="18"/>
          <w:szCs w:val="18"/>
        </w:rPr>
        <w:t>EQUIPAMENTOS DE INFORMÁTICA</w:t>
      </w:r>
      <w:r>
        <w:rPr>
          <w:rFonts w:ascii="Gadugi" w:hAnsi="Gadugi" w:cs="Gadugi"/>
          <w:i/>
          <w:iCs/>
          <w:color w:val="auto"/>
          <w:sz w:val="18"/>
          <w:szCs w:val="18"/>
        </w:rPr>
        <w:t>,</w:t>
      </w:r>
      <w:r>
        <w:rPr>
          <w:rFonts w:ascii="Gadugi" w:hAnsi="Gadugi" w:cs="Gadugi"/>
          <w:b w:val="0"/>
          <w:bCs w:val="0"/>
          <w:color w:val="auto"/>
          <w:sz w:val="18"/>
          <w:szCs w:val="18"/>
        </w:rPr>
        <w:t xml:space="preserve"> conforme condições, quantidades e exigências estabelecidas neste Edital e seus anexos.</w:t>
      </w:r>
    </w:p>
    <w:p w14:paraId="4D0C513E" w14:textId="77777777" w:rsidR="005B203D" w:rsidRDefault="00E60DC2">
      <w:pPr>
        <w:pStyle w:val="Nvel2-Red"/>
        <w:numPr>
          <w:ilvl w:val="0"/>
          <w:numId w:val="0"/>
        </w:numPr>
        <w:spacing w:before="0" w:after="0" w:line="240" w:lineRule="auto"/>
        <w:ind w:firstLine="708"/>
        <w:rPr>
          <w:rFonts w:ascii="Gadugi" w:hAnsi="Gadugi" w:cs="Gadugi"/>
          <w:color w:val="auto"/>
          <w:sz w:val="18"/>
          <w:szCs w:val="18"/>
        </w:rPr>
      </w:pPr>
      <w:r>
        <w:rPr>
          <w:rFonts w:ascii="Gadugi" w:hAnsi="Gadugi" w:cs="Gadugi"/>
          <w:color w:val="auto"/>
          <w:sz w:val="18"/>
          <w:szCs w:val="18"/>
        </w:rPr>
        <w:t>A licitação será dividida em itens, conforme tabela constante do Termo de Referência, facultando-se ao licitante a participação em quantos itens forem de seu interesse.</w:t>
      </w:r>
    </w:p>
    <w:p w14:paraId="6C95A0DF" w14:textId="77777777" w:rsidR="005B203D" w:rsidRDefault="005B203D">
      <w:pPr>
        <w:pStyle w:val="Nvel2-Red"/>
        <w:numPr>
          <w:ilvl w:val="0"/>
          <w:numId w:val="0"/>
        </w:numPr>
        <w:spacing w:before="0" w:after="0" w:line="240" w:lineRule="auto"/>
        <w:rPr>
          <w:rFonts w:ascii="Gadugi" w:hAnsi="Gadugi" w:cs="Gadugi"/>
          <w:color w:val="auto"/>
          <w:sz w:val="18"/>
          <w:szCs w:val="18"/>
        </w:rPr>
      </w:pPr>
    </w:p>
    <w:p w14:paraId="434973B0" w14:textId="77777777" w:rsidR="005B203D" w:rsidRDefault="00E60DC2">
      <w:pPr>
        <w:pStyle w:val="Nivel01"/>
        <w:spacing w:before="0" w:after="0" w:line="240" w:lineRule="auto"/>
        <w:ind w:left="0" w:firstLine="0"/>
        <w:rPr>
          <w:rFonts w:ascii="Gadugi" w:hAnsi="Gadugi" w:cs="Gadugi"/>
          <w:color w:val="auto"/>
          <w:sz w:val="18"/>
          <w:szCs w:val="18"/>
        </w:rPr>
      </w:pPr>
      <w:bookmarkStart w:id="1" w:name="_Toc135469224"/>
      <w:r>
        <w:rPr>
          <w:rFonts w:ascii="Gadugi" w:hAnsi="Gadugi" w:cs="Gadugi"/>
          <w:color w:val="auto"/>
          <w:sz w:val="18"/>
          <w:szCs w:val="18"/>
        </w:rPr>
        <w:t xml:space="preserve">DO REGISTRO DE PREÇOS </w:t>
      </w:r>
      <w:bookmarkEnd w:id="1"/>
    </w:p>
    <w:p w14:paraId="73E7F755" w14:textId="77777777" w:rsidR="005B203D" w:rsidRDefault="00E60DC2">
      <w:pPr>
        <w:pStyle w:val="Nivel01"/>
        <w:numPr>
          <w:ilvl w:val="1"/>
          <w:numId w:val="2"/>
        </w:numPr>
        <w:spacing w:before="0" w:after="0" w:line="240" w:lineRule="auto"/>
        <w:ind w:left="0" w:firstLine="0"/>
        <w:rPr>
          <w:rFonts w:ascii="Gadugi" w:hAnsi="Gadugi" w:cs="Gadugi"/>
          <w:b w:val="0"/>
          <w:bCs w:val="0"/>
          <w:color w:val="auto"/>
          <w:sz w:val="18"/>
          <w:szCs w:val="18"/>
        </w:rPr>
      </w:pPr>
      <w:r>
        <w:rPr>
          <w:rFonts w:ascii="Gadugi" w:hAnsi="Gadugi" w:cs="Gadugi"/>
          <w:b w:val="0"/>
          <w:bCs w:val="0"/>
          <w:color w:val="auto"/>
          <w:sz w:val="18"/>
          <w:szCs w:val="18"/>
        </w:rPr>
        <w:t>As regras referentes aos órgãos gerenciadores e participantes, bem como eventuais adesões são as que constam da minuta de Ata de Registro de Preços.</w:t>
      </w:r>
    </w:p>
    <w:p w14:paraId="25087443" w14:textId="77777777" w:rsidR="005B203D" w:rsidRDefault="005B203D">
      <w:pPr>
        <w:pStyle w:val="Nivel2"/>
        <w:numPr>
          <w:ilvl w:val="0"/>
          <w:numId w:val="0"/>
        </w:numPr>
        <w:spacing w:before="0" w:after="0" w:line="240" w:lineRule="auto"/>
        <w:rPr>
          <w:rFonts w:ascii="Gadugi" w:hAnsi="Gadugi" w:cs="Gadugi"/>
          <w:color w:val="auto"/>
          <w:sz w:val="18"/>
          <w:szCs w:val="18"/>
        </w:rPr>
      </w:pPr>
    </w:p>
    <w:p w14:paraId="56D7587E" w14:textId="77777777" w:rsidR="00E7777D" w:rsidRPr="00E7777D" w:rsidRDefault="00E7777D" w:rsidP="00E7777D">
      <w:pPr>
        <w:pStyle w:val="Nivel2"/>
        <w:numPr>
          <w:ilvl w:val="0"/>
          <w:numId w:val="0"/>
        </w:numPr>
        <w:spacing w:before="0" w:after="0"/>
        <w:rPr>
          <w:rFonts w:ascii="Gadugi" w:eastAsiaTheme="majorEastAsia" w:hAnsi="Gadugi" w:cs="Gadugi"/>
          <w:b/>
          <w:bCs/>
          <w:sz w:val="18"/>
          <w:szCs w:val="18"/>
        </w:rPr>
      </w:pPr>
      <w:r w:rsidRPr="00E7777D">
        <w:rPr>
          <w:rFonts w:ascii="Gadugi" w:eastAsiaTheme="majorEastAsia" w:hAnsi="Gadugi" w:cs="Gadugi"/>
          <w:b/>
          <w:bCs/>
          <w:sz w:val="18"/>
          <w:szCs w:val="18"/>
        </w:rPr>
        <w:t>3. DA PARTICIPAÇÃO NA LICITAÇÃO</w:t>
      </w:r>
    </w:p>
    <w:p w14:paraId="1E6AB005" w14:textId="77777777" w:rsidR="00E7777D" w:rsidRPr="00E7777D" w:rsidRDefault="00E7777D" w:rsidP="00E7777D">
      <w:pPr>
        <w:pStyle w:val="Nivel2"/>
        <w:numPr>
          <w:ilvl w:val="0"/>
          <w:numId w:val="0"/>
        </w:numPr>
        <w:spacing w:before="0" w:after="0"/>
        <w:rPr>
          <w:rFonts w:ascii="Gadugi" w:eastAsiaTheme="majorEastAsia" w:hAnsi="Gadugi" w:cs="Gadugi"/>
          <w:sz w:val="18"/>
          <w:szCs w:val="18"/>
        </w:rPr>
      </w:pPr>
      <w:r w:rsidRPr="00E7777D">
        <w:rPr>
          <w:rFonts w:ascii="Gadugi" w:eastAsiaTheme="majorEastAsia" w:hAnsi="Gadugi" w:cs="Gadugi"/>
          <w:sz w:val="18"/>
          <w:szCs w:val="18"/>
        </w:rPr>
        <w:t xml:space="preserve">3.1 Poderão participar deste Pregão os interessados que estiverem previamente credenciados ao sistema eletrônico, no site </w:t>
      </w:r>
      <w:hyperlink r:id="rId13" w:tgtFrame="_new" w:history="1">
        <w:r w:rsidRPr="00E7777D">
          <w:rPr>
            <w:rStyle w:val="Hyperlink"/>
            <w:rFonts w:ascii="Gadugi" w:eastAsiaTheme="majorEastAsia" w:hAnsi="Gadugi" w:cs="Gadugi"/>
            <w:sz w:val="18"/>
            <w:szCs w:val="18"/>
          </w:rPr>
          <w:t>www.portaldecompraspublicas.com.br</w:t>
        </w:r>
      </w:hyperlink>
      <w:r w:rsidRPr="00E7777D">
        <w:rPr>
          <w:rFonts w:ascii="Gadugi" w:eastAsiaTheme="majorEastAsia" w:hAnsi="Gadugi" w:cs="Gadugi"/>
          <w:sz w:val="18"/>
          <w:szCs w:val="18"/>
        </w:rPr>
        <w:t>.</w:t>
      </w:r>
    </w:p>
    <w:p w14:paraId="7DEF65E9" w14:textId="77777777" w:rsidR="00E7777D" w:rsidRPr="00E7777D" w:rsidRDefault="00E7777D" w:rsidP="00E7777D">
      <w:pPr>
        <w:pStyle w:val="Nivel2"/>
        <w:numPr>
          <w:ilvl w:val="0"/>
          <w:numId w:val="0"/>
        </w:numPr>
        <w:spacing w:before="0" w:after="0"/>
        <w:rPr>
          <w:rFonts w:ascii="Gadugi" w:eastAsiaTheme="majorEastAsia" w:hAnsi="Gadugi" w:cs="Gadugi"/>
          <w:sz w:val="18"/>
          <w:szCs w:val="18"/>
        </w:rPr>
      </w:pPr>
      <w:r w:rsidRPr="00E7777D">
        <w:rPr>
          <w:rFonts w:ascii="Gadugi" w:eastAsiaTheme="majorEastAsia" w:hAnsi="Gadugi" w:cs="Gadugi"/>
          <w:sz w:val="18"/>
          <w:szCs w:val="18"/>
        </w:rPr>
        <w:t>3.2 O licitante responsabiliza-se exclusiva e formalmente pelas transações efetuadas em seu nome, assumindo como firmes e verdadeiras suas propostas e lances, inclusive os atos praticados diretamente ou por seu representante, excluída a responsabilidade do provedor do sistema ou do órgão ou entidade promotora da licitação por eventuais danos decorrentes do uso indevido das credenciais de acesso, ainda que por terceiros.</w:t>
      </w:r>
    </w:p>
    <w:p w14:paraId="6425A164" w14:textId="77777777" w:rsidR="00E7777D" w:rsidRPr="00E7777D" w:rsidRDefault="00E7777D" w:rsidP="00E7777D">
      <w:pPr>
        <w:pStyle w:val="Nivel2"/>
        <w:numPr>
          <w:ilvl w:val="0"/>
          <w:numId w:val="0"/>
        </w:numPr>
        <w:spacing w:before="0" w:after="0"/>
        <w:rPr>
          <w:rFonts w:ascii="Gadugi" w:eastAsiaTheme="majorEastAsia" w:hAnsi="Gadugi" w:cs="Gadugi"/>
          <w:sz w:val="18"/>
          <w:szCs w:val="18"/>
        </w:rPr>
      </w:pPr>
      <w:r w:rsidRPr="00E7777D">
        <w:rPr>
          <w:rFonts w:ascii="Gadugi" w:eastAsiaTheme="majorEastAsia" w:hAnsi="Gadugi" w:cs="Gadugi"/>
          <w:sz w:val="18"/>
          <w:szCs w:val="18"/>
        </w:rPr>
        <w:t>3.3 É de responsabilidade do cadastrado conferir a exatidão dos dados nos Sistemas mencionados no item anterior e mantê-los atualizados junto aos órgãos responsáveis, devendo proceder imediatamente à correção ou alteração tão logo identifique incorreção ou desatualização.</w:t>
      </w:r>
    </w:p>
    <w:p w14:paraId="12AD5C03" w14:textId="77777777" w:rsidR="00E7777D" w:rsidRPr="00E7777D" w:rsidRDefault="00E7777D" w:rsidP="00E7777D">
      <w:pPr>
        <w:pStyle w:val="Nivel2"/>
        <w:numPr>
          <w:ilvl w:val="0"/>
          <w:numId w:val="0"/>
        </w:numPr>
        <w:spacing w:before="0" w:after="0"/>
        <w:rPr>
          <w:rFonts w:ascii="Gadugi" w:eastAsiaTheme="majorEastAsia" w:hAnsi="Gadugi" w:cs="Gadugi"/>
          <w:sz w:val="18"/>
          <w:szCs w:val="18"/>
        </w:rPr>
      </w:pPr>
      <w:r w:rsidRPr="00E7777D">
        <w:rPr>
          <w:rFonts w:ascii="Gadugi" w:eastAsiaTheme="majorEastAsia" w:hAnsi="Gadugi" w:cs="Gadugi"/>
          <w:sz w:val="18"/>
          <w:szCs w:val="18"/>
        </w:rPr>
        <w:t>3.4 A não observância do disposto no item anterior poderá ensejar desclassificação no momento da habilitação.</w:t>
      </w:r>
    </w:p>
    <w:p w14:paraId="1FAF9B09" w14:textId="77777777" w:rsidR="00E7777D" w:rsidRPr="00E7777D" w:rsidRDefault="00E7777D" w:rsidP="00E7777D">
      <w:pPr>
        <w:pStyle w:val="Nivel2"/>
        <w:numPr>
          <w:ilvl w:val="0"/>
          <w:numId w:val="0"/>
        </w:numPr>
        <w:spacing w:before="0" w:after="0"/>
        <w:rPr>
          <w:rFonts w:ascii="Gadugi" w:eastAsiaTheme="majorEastAsia" w:hAnsi="Gadugi" w:cs="Gadugi"/>
          <w:sz w:val="18"/>
          <w:szCs w:val="18"/>
        </w:rPr>
      </w:pPr>
      <w:r w:rsidRPr="00E7777D">
        <w:rPr>
          <w:rFonts w:ascii="Gadugi" w:eastAsiaTheme="majorEastAsia" w:hAnsi="Gadugi" w:cs="Gadugi"/>
          <w:sz w:val="18"/>
          <w:szCs w:val="18"/>
        </w:rPr>
        <w:t>3.5 Não poderão disputar esta licitação:</w:t>
      </w:r>
    </w:p>
    <w:p w14:paraId="2EDB67BC" w14:textId="77777777" w:rsidR="00E7777D" w:rsidRPr="00E7777D" w:rsidRDefault="00E7777D" w:rsidP="00E7777D">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3.5.1 Aqueles que não atendam às condições previstas neste Edital e seus anexos;</w:t>
      </w:r>
    </w:p>
    <w:p w14:paraId="32276B5E" w14:textId="77777777" w:rsidR="00E7777D" w:rsidRPr="00E7777D" w:rsidRDefault="00E7777D" w:rsidP="00E7777D">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3.5.2 O autor do anteprojeto, do projeto básico ou executivo, pessoa física ou jurídica, quando a licitação versar sobre serviços ou fornecimento de bens a ele relacionados;</w:t>
      </w:r>
    </w:p>
    <w:p w14:paraId="2D4EC759" w14:textId="77777777" w:rsidR="00E7777D" w:rsidRPr="00E7777D" w:rsidRDefault="00E7777D" w:rsidP="00E7777D">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3.5.3 Empresa responsável pela elaboração do projeto básico ou executivo, ou da qual o autor do projeto seja dirigente, gerente, controlador, acionista ou detentor de mais de 5% (cinco por cento) do capital com direito a voto, responsável técnico ou subcontratado, quando a licitação versar sobre serviços ou fornecimento de bens necessários à execução do projeto;</w:t>
      </w:r>
    </w:p>
    <w:p w14:paraId="42425EC6" w14:textId="77777777" w:rsidR="00E7777D" w:rsidRPr="00E7777D" w:rsidRDefault="00E7777D" w:rsidP="00E7777D">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3.5.4 Pessoa física ou jurídica impossibilitada de participar de licitação em decorrência de sanção;</w:t>
      </w:r>
    </w:p>
    <w:p w14:paraId="073AA9AD" w14:textId="77777777" w:rsidR="00E7777D" w:rsidRPr="00E7777D" w:rsidRDefault="00E7777D" w:rsidP="00E614EB">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3.5.5 Quem mantenha vínculo técnico, comercial, econômico, financeiro, trabalhista ou civil com dirigente do órgão ou entidade contratante ou com agente público que atue na licitação, fiscalização ou gestão do contrato, ou que deles seja cônjuge, companheiro ou parente até o terceiro grau;</w:t>
      </w:r>
    </w:p>
    <w:p w14:paraId="708BF9DB" w14:textId="77777777" w:rsidR="00E7777D" w:rsidRPr="00E7777D" w:rsidRDefault="00E7777D" w:rsidP="00E614EB">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3.5.6 Empresas controladoras, controladas ou coligadas, nos termos da Lei nº 6.404/1976, concorrendo entre si;</w:t>
      </w:r>
    </w:p>
    <w:p w14:paraId="44FD469C" w14:textId="77777777" w:rsidR="00E7777D" w:rsidRPr="00E7777D" w:rsidRDefault="00E7777D" w:rsidP="00E614EB">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3.5.7 Pessoa física ou jurídica que, nos 5 (cinco) anos anteriores à divulgação do edital, tenha sido condenada judicialmente, com trânsito em julgado, por exploração de trabalho infantil, submissão de trabalhadores a condições análogas às de escravo ou contratação de adolescentes nos casos vedados pela legislação trabalhista;</w:t>
      </w:r>
    </w:p>
    <w:p w14:paraId="438AB8D8" w14:textId="77777777" w:rsidR="00E7777D" w:rsidRPr="00E7777D" w:rsidRDefault="00E7777D" w:rsidP="00E614EB">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3.5.8 Agente público do órgão ou entidade licitante;</w:t>
      </w:r>
    </w:p>
    <w:p w14:paraId="3BE21F12" w14:textId="77777777" w:rsidR="00E7777D" w:rsidRPr="00E7777D" w:rsidRDefault="00E7777D" w:rsidP="00E614EB">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3.5.9 Pessoas jurídicas reunidas em consórcio;</w:t>
      </w:r>
    </w:p>
    <w:p w14:paraId="6CCEBEE4" w14:textId="77777777" w:rsidR="00E7777D" w:rsidRPr="00E7777D" w:rsidRDefault="00E7777D" w:rsidP="00E614EB">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t>3.5.10 Organizações da Sociedade Civil de Interesse Público – OSCIP, atuando nessa condição;</w:t>
      </w:r>
    </w:p>
    <w:p w14:paraId="527E2A5C" w14:textId="77777777" w:rsidR="00E7777D" w:rsidRPr="00E7777D" w:rsidRDefault="00E7777D" w:rsidP="00E614EB">
      <w:pPr>
        <w:pStyle w:val="Nivel2"/>
        <w:numPr>
          <w:ilvl w:val="0"/>
          <w:numId w:val="0"/>
        </w:numPr>
        <w:spacing w:before="0" w:after="0"/>
        <w:ind w:left="720"/>
        <w:rPr>
          <w:rFonts w:ascii="Gadugi" w:eastAsiaTheme="majorEastAsia" w:hAnsi="Gadugi" w:cs="Gadugi"/>
          <w:sz w:val="18"/>
          <w:szCs w:val="18"/>
        </w:rPr>
      </w:pPr>
      <w:r w:rsidRPr="00E7777D">
        <w:rPr>
          <w:rFonts w:ascii="Gadugi" w:eastAsiaTheme="majorEastAsia" w:hAnsi="Gadugi" w:cs="Gadugi"/>
          <w:sz w:val="18"/>
          <w:szCs w:val="18"/>
        </w:rPr>
        <w:lastRenderedPageBreak/>
        <w:t>3.5.11 Quem incorrer em situações que configurem conflito de interesses, no exercício ou após o exercício do cargo ou emprego, nos termos da legislação aplicável, conforme § 1º do art. 9º da Lei nº 14.133/2021.</w:t>
      </w:r>
    </w:p>
    <w:p w14:paraId="4D2BFD3D" w14:textId="77777777" w:rsidR="00E7777D" w:rsidRPr="00E7777D" w:rsidRDefault="00E7777D" w:rsidP="00E614EB">
      <w:pPr>
        <w:pStyle w:val="Nivel2"/>
        <w:numPr>
          <w:ilvl w:val="0"/>
          <w:numId w:val="0"/>
        </w:numPr>
        <w:spacing w:before="0" w:after="0"/>
        <w:rPr>
          <w:rFonts w:ascii="Gadugi" w:eastAsiaTheme="majorEastAsia" w:hAnsi="Gadugi" w:cs="Gadugi"/>
          <w:sz w:val="18"/>
          <w:szCs w:val="18"/>
        </w:rPr>
      </w:pPr>
      <w:r w:rsidRPr="00E7777D">
        <w:rPr>
          <w:rFonts w:ascii="Gadugi" w:eastAsiaTheme="majorEastAsia" w:hAnsi="Gadugi" w:cs="Gadugi"/>
          <w:sz w:val="18"/>
          <w:szCs w:val="18"/>
        </w:rPr>
        <w:t>3.6 Equiparam-se aos autores do projeto as empresas integrantes do mesmo grupo econômico.</w:t>
      </w:r>
    </w:p>
    <w:p w14:paraId="2B9EE3A1" w14:textId="77777777" w:rsidR="00E7777D" w:rsidRPr="00E7777D" w:rsidRDefault="00E7777D" w:rsidP="00E614EB">
      <w:pPr>
        <w:pStyle w:val="Nivel2"/>
        <w:numPr>
          <w:ilvl w:val="0"/>
          <w:numId w:val="0"/>
        </w:numPr>
        <w:spacing w:before="0" w:after="0"/>
        <w:rPr>
          <w:rFonts w:ascii="Gadugi" w:eastAsiaTheme="majorEastAsia" w:hAnsi="Gadugi" w:cs="Gadugi"/>
          <w:sz w:val="18"/>
          <w:szCs w:val="18"/>
        </w:rPr>
      </w:pPr>
      <w:r w:rsidRPr="00E7777D">
        <w:rPr>
          <w:rFonts w:ascii="Gadugi" w:eastAsiaTheme="majorEastAsia" w:hAnsi="Gadugi" w:cs="Gadugi"/>
          <w:sz w:val="18"/>
          <w:szCs w:val="18"/>
        </w:rPr>
        <w:t>3.7 Em licitações e contratações realizadas no âmbito de projetos e programas parcialmente financiados por agência oficial de cooperação estrangeira ou por organismo financeiro internacional, não poderá participar pessoa física ou jurídica que integre o rol de sancionadas por essas entidades ou que seja declarada inidônea nos termos da Lei nº 14.133/2021.</w:t>
      </w:r>
    </w:p>
    <w:p w14:paraId="7CE4B125" w14:textId="77777777" w:rsidR="005B203D" w:rsidRDefault="005B203D">
      <w:pPr>
        <w:pStyle w:val="Nivel2"/>
        <w:numPr>
          <w:ilvl w:val="0"/>
          <w:numId w:val="0"/>
        </w:numPr>
        <w:spacing w:before="0" w:after="0" w:line="240" w:lineRule="auto"/>
        <w:rPr>
          <w:rFonts w:ascii="Gadugi" w:hAnsi="Gadugi" w:cs="Gadugi"/>
          <w:color w:val="auto"/>
          <w:sz w:val="18"/>
          <w:szCs w:val="18"/>
        </w:rPr>
      </w:pPr>
    </w:p>
    <w:p w14:paraId="36BF906C" w14:textId="77777777" w:rsidR="00165DD5" w:rsidRPr="00165DD5" w:rsidRDefault="00165DD5" w:rsidP="00165DD5">
      <w:pPr>
        <w:pStyle w:val="Nvel2-Red"/>
        <w:numPr>
          <w:ilvl w:val="0"/>
          <w:numId w:val="0"/>
        </w:numPr>
        <w:spacing w:before="0" w:after="0"/>
        <w:ind w:left="360"/>
        <w:rPr>
          <w:rFonts w:ascii="Gadugi" w:eastAsiaTheme="majorEastAsia" w:hAnsi="Gadugi" w:cs="Gadugi"/>
          <w:b/>
          <w:bCs/>
          <w:i w:val="0"/>
          <w:iCs w:val="0"/>
          <w:color w:val="auto"/>
          <w:sz w:val="18"/>
          <w:szCs w:val="18"/>
        </w:rPr>
      </w:pPr>
      <w:r w:rsidRPr="00165DD5">
        <w:rPr>
          <w:rFonts w:ascii="Gadugi" w:eastAsiaTheme="majorEastAsia" w:hAnsi="Gadugi" w:cs="Gadugi"/>
          <w:b/>
          <w:bCs/>
          <w:i w:val="0"/>
          <w:iCs w:val="0"/>
          <w:color w:val="auto"/>
          <w:sz w:val="18"/>
          <w:szCs w:val="18"/>
        </w:rPr>
        <w:t>4. DA APRESENTAÇÃO DA PROPOSTA E DOS DOCUMENTOS DE HABILITAÇÃO</w:t>
      </w:r>
    </w:p>
    <w:p w14:paraId="6E14503B" w14:textId="77777777" w:rsidR="00165DD5" w:rsidRPr="00165DD5" w:rsidRDefault="00165DD5" w:rsidP="00165DD5">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 Os licitantes encaminharão, exclusivamente por meio do sistema eletrônico, a proposta com o preço ou percentual de desconto, conforme o critério de julgamento adotado neste Edital, até a data e horário estabelecidos para abertura da sessão pública.</w:t>
      </w:r>
    </w:p>
    <w:p w14:paraId="1C56CED6" w14:textId="77777777" w:rsidR="00165DD5" w:rsidRPr="00165DD5" w:rsidRDefault="00165DD5" w:rsidP="00165DD5">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4.1.1 No cadastramento da proposta inicial, o licitante declarará, em campo próprio do sistema, que:</w:t>
      </w:r>
    </w:p>
    <w:p w14:paraId="4949B4B1" w14:textId="77777777" w:rsidR="00165DD5" w:rsidRPr="00165DD5" w:rsidRDefault="00165DD5" w:rsidP="00165DD5">
      <w:pPr>
        <w:pStyle w:val="Nvel2-Red"/>
        <w:numPr>
          <w:ilvl w:val="0"/>
          <w:numId w:val="0"/>
        </w:numPr>
        <w:spacing w:before="0" w:after="0"/>
        <w:ind w:left="72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4.1.2 Está ciente e concorda com as condições contidas no edital e seus anexos, bem como que a proposta apresentada compreende todos os custos para atendimento dos direitos trabalhistas assegurados na Constituição Federal, nas leis e normas aplicáveis, nas convenções coletivas de trabalho e nos termos de ajustamento de conduta vigentes na data de entrega, cumprindo plenamente os requisitos de habilitação definidos no instrumento convocatório;</w:t>
      </w:r>
    </w:p>
    <w:p w14:paraId="2BA5D90C" w14:textId="77777777" w:rsidR="00165DD5" w:rsidRPr="00165DD5" w:rsidRDefault="00165DD5" w:rsidP="00165DD5">
      <w:pPr>
        <w:pStyle w:val="Nvel2-Red"/>
        <w:numPr>
          <w:ilvl w:val="0"/>
          <w:numId w:val="0"/>
        </w:numPr>
        <w:spacing w:before="0" w:after="0"/>
        <w:ind w:left="72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4.1.3 Não emprega menor de 18 anos em trabalho noturno, perigoso ou insalubre e não emprega menor de 16 anos, salvo a partir de 14 anos na condição de aprendiz, nos termos do art. 7º, XXXIII, da Constituição;</w:t>
      </w:r>
    </w:p>
    <w:p w14:paraId="148466AC" w14:textId="77777777" w:rsidR="00165DD5" w:rsidRPr="00165DD5" w:rsidRDefault="00165DD5" w:rsidP="003A59AD">
      <w:pPr>
        <w:pStyle w:val="Nvel2-Red"/>
        <w:numPr>
          <w:ilvl w:val="0"/>
          <w:numId w:val="0"/>
        </w:numPr>
        <w:spacing w:before="0" w:after="0"/>
        <w:ind w:left="72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4.1.4 Não possui empregados executando trabalho degradante ou forçado, conforme os incisos III e IV do art. 1º e o inciso III do art. 5º da Constituição Federal;</w:t>
      </w:r>
    </w:p>
    <w:p w14:paraId="366388A3" w14:textId="77777777" w:rsidR="00165DD5" w:rsidRPr="00165DD5" w:rsidRDefault="00165DD5" w:rsidP="003A59AD">
      <w:pPr>
        <w:pStyle w:val="Nvel2-Red"/>
        <w:numPr>
          <w:ilvl w:val="0"/>
          <w:numId w:val="0"/>
        </w:numPr>
        <w:spacing w:before="0" w:after="0"/>
        <w:ind w:left="72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4.1.5 Cumpre as exigências de reserva de cargos para pessoa com deficiência e para reabilitado da Previdência Social, previstas em lei e demais normas específicas.</w:t>
      </w:r>
    </w:p>
    <w:p w14:paraId="237D98E1"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4.2 O licitante organizado em cooperativa deverá declarar, também em campo próprio do sistema, que cumpre os requisitos do art. 16 da Lei nº 14.133/2021.</w:t>
      </w:r>
    </w:p>
    <w:p w14:paraId="245EA40A"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4.3 O fornecedor enquadrado como microempresa, empresa de pequeno porte ou sociedade cooperativa deverá declarar que cumpre os requisitos do art. 3º da Lei Complementar nº 123/2006, estando apto a usufruir do tratamento favorecido previsto em seus arts. 42 a 49, observado o disposto nos §§ 1º a 3º do art. 4º da Lei nº 14.133/2021.</w:t>
      </w:r>
    </w:p>
    <w:p w14:paraId="5DC7E53A"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4.4 A falsidade das declarações referidas nos itens 4.2 e 4.3 sujeitará o licitante às sanções previstas na Lei nº 14.133/2021 e neste Edital.</w:t>
      </w:r>
    </w:p>
    <w:p w14:paraId="58B1DADB"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4.5 Os licitantes poderão retirar ou substituir a proposta ou, quando a fase de habilitação anteceder as fases de apresentação de propostas, lances e julgamento, os documentos de habilitação inseridos no sistema, até a abertura da sessão pública.</w:t>
      </w:r>
    </w:p>
    <w:p w14:paraId="3A25D5E8"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4.6 Não haverá ordem de classificação na etapa de apresentação da proposta e documentos de habilitação, o que ocorrerá somente após os procedimentos de abertura da sessão pública e da fase de lances.</w:t>
      </w:r>
    </w:p>
    <w:p w14:paraId="588BF0A8"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4.7 Serão disponibilizados para acesso público os documentos que compõem a proposta dos licitantes convocados, após a fase de envio de lances.</w:t>
      </w:r>
    </w:p>
    <w:p w14:paraId="0B9C52E6"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4.8 Desde que disponível no sistema, o licitante poderá parametrizar o valor final mínimo ou o percentual de desconto máximo no cadastramento da proposta, observando:</w:t>
      </w:r>
    </w:p>
    <w:p w14:paraId="0724EA52" w14:textId="77777777" w:rsidR="00165DD5" w:rsidRPr="00165DD5" w:rsidRDefault="00165DD5" w:rsidP="00165DD5">
      <w:pPr>
        <w:pStyle w:val="Nvel2-Red"/>
        <w:numPr>
          <w:ilvl w:val="0"/>
          <w:numId w:val="19"/>
        </w:numPr>
        <w:spacing w:before="0" w:after="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4.9 Aplicação do intervalo mínimo de diferença entre lances, incidindo tanto nos intermediários quanto no lance que cobrir a melhor oferta;</w:t>
      </w:r>
    </w:p>
    <w:p w14:paraId="2E3DF813" w14:textId="77777777" w:rsidR="00165DD5" w:rsidRPr="00165DD5" w:rsidRDefault="00165DD5" w:rsidP="00165DD5">
      <w:pPr>
        <w:pStyle w:val="Nvel2-Red"/>
        <w:numPr>
          <w:ilvl w:val="0"/>
          <w:numId w:val="19"/>
        </w:numPr>
        <w:spacing w:before="0" w:after="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4.9.1 O envio automático de lances pelo sistema, respeitado o valor final mínimo e o intervalo estabelecido.</w:t>
      </w:r>
    </w:p>
    <w:p w14:paraId="1A62B1CB"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4.10 O valor final mínimo parametrizado poderá ser alterado pelo fornecedor durante a disputa, sendo vedado:</w:t>
      </w:r>
    </w:p>
    <w:p w14:paraId="574B77C2" w14:textId="77777777" w:rsidR="00165DD5" w:rsidRPr="00165DD5" w:rsidRDefault="00165DD5" w:rsidP="00165DD5">
      <w:pPr>
        <w:pStyle w:val="Nvel2-Red"/>
        <w:numPr>
          <w:ilvl w:val="0"/>
          <w:numId w:val="20"/>
        </w:numPr>
        <w:spacing w:before="0" w:after="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4.10.1 Valor superior a lance já registrado, quando adotado o critério de menor preço.</w:t>
      </w:r>
    </w:p>
    <w:p w14:paraId="053E4477"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4.11 O valor final mínimo terá caráter sigiloso para demais fornecedores e para o órgão ou entidade promotora, podendo ser disponibilizado apenas aos órgãos de controle interno e externo.</w:t>
      </w:r>
    </w:p>
    <w:p w14:paraId="40D54DCA"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lastRenderedPageBreak/>
        <w:t>4.12 Cabe ao licitante acompanhar as operações no sistema eletrônico durante o processo licitatório, responsabilizando-se por eventuais prejuízos decorrentes da inobservância de mensagens emitidas pela Administração ou desconexão.</w:t>
      </w:r>
    </w:p>
    <w:p w14:paraId="52161FF0"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4.13 O licitante deverá comunicar imediatamente ao provedor do sistema qualquer ocorrência que comprometa o sigilo ou a segurança, para bloqueio imediato de acesso.</w:t>
      </w:r>
    </w:p>
    <w:p w14:paraId="35D4270F" w14:textId="77777777" w:rsidR="00165DD5" w:rsidRPr="00165DD5" w:rsidRDefault="00165DD5" w:rsidP="003A59AD">
      <w:pPr>
        <w:pStyle w:val="Nvel2-Red"/>
        <w:numPr>
          <w:ilvl w:val="0"/>
          <w:numId w:val="0"/>
        </w:numPr>
        <w:spacing w:before="0" w:after="0"/>
        <w:ind w:left="360"/>
        <w:rPr>
          <w:rFonts w:ascii="Gadugi" w:eastAsiaTheme="majorEastAsia" w:hAnsi="Gadugi" w:cs="Gadugi"/>
          <w:i w:val="0"/>
          <w:iCs w:val="0"/>
          <w:color w:val="auto"/>
          <w:sz w:val="18"/>
          <w:szCs w:val="18"/>
        </w:rPr>
      </w:pPr>
      <w:r w:rsidRPr="00165DD5">
        <w:rPr>
          <w:rFonts w:ascii="Gadugi" w:eastAsiaTheme="majorEastAsia" w:hAnsi="Gadugi" w:cs="Gadugi"/>
          <w:i w:val="0"/>
          <w:iCs w:val="0"/>
          <w:color w:val="auto"/>
          <w:sz w:val="18"/>
          <w:szCs w:val="18"/>
        </w:rPr>
        <w:t>4.14 O licitante deverá observar os requisitos de habilitação e regras de contratação previstos no Anexo I – Termo de Referência.</w:t>
      </w:r>
    </w:p>
    <w:p w14:paraId="2A898160" w14:textId="77777777" w:rsidR="005B203D" w:rsidRDefault="005B203D">
      <w:pPr>
        <w:pStyle w:val="Nvel2-Red"/>
        <w:numPr>
          <w:ilvl w:val="0"/>
          <w:numId w:val="0"/>
        </w:numPr>
        <w:spacing w:before="0" w:after="0" w:line="240" w:lineRule="auto"/>
        <w:ind w:left="360"/>
        <w:rPr>
          <w:rFonts w:ascii="Gadugi" w:hAnsi="Gadugi" w:cs="Gadugi"/>
          <w:i w:val="0"/>
          <w:color w:val="auto"/>
          <w:sz w:val="18"/>
          <w:szCs w:val="18"/>
        </w:rPr>
      </w:pPr>
    </w:p>
    <w:p w14:paraId="325D8B98" w14:textId="77777777" w:rsidR="003A59AD" w:rsidRPr="003A59AD" w:rsidRDefault="003A59AD" w:rsidP="003A59AD">
      <w:pPr>
        <w:pStyle w:val="Nvel2-Red"/>
        <w:numPr>
          <w:ilvl w:val="0"/>
          <w:numId w:val="0"/>
        </w:numPr>
        <w:spacing w:before="0" w:after="0"/>
        <w:ind w:left="992"/>
        <w:rPr>
          <w:rFonts w:ascii="Gadugi" w:eastAsiaTheme="majorEastAsia" w:hAnsi="Gadugi" w:cs="Gadugi"/>
          <w:b/>
          <w:bCs/>
          <w:i w:val="0"/>
          <w:iCs w:val="0"/>
          <w:color w:val="auto"/>
          <w:sz w:val="18"/>
          <w:szCs w:val="18"/>
        </w:rPr>
      </w:pPr>
      <w:bookmarkStart w:id="2" w:name="_Toc135469228"/>
      <w:r w:rsidRPr="003A59AD">
        <w:rPr>
          <w:rFonts w:ascii="Gadugi" w:eastAsiaTheme="majorEastAsia" w:hAnsi="Gadugi" w:cs="Gadugi"/>
          <w:b/>
          <w:bCs/>
          <w:i w:val="0"/>
          <w:iCs w:val="0"/>
          <w:color w:val="auto"/>
          <w:sz w:val="18"/>
          <w:szCs w:val="18"/>
        </w:rPr>
        <w:t>5. DA PROPOSTA</w:t>
      </w:r>
    </w:p>
    <w:p w14:paraId="49C119B0" w14:textId="77777777" w:rsidR="003A59AD" w:rsidRPr="003A59AD" w:rsidRDefault="003A59AD" w:rsidP="003A59AD">
      <w:pPr>
        <w:pStyle w:val="Nvel2-Red"/>
        <w:numPr>
          <w:ilvl w:val="0"/>
          <w:numId w:val="0"/>
        </w:numPr>
        <w:spacing w:before="0" w:after="0"/>
        <w:ind w:left="992"/>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5.1 O licitante deverá enviar sua proposta mediante preenchimento, no sistema eletrônico, dos seguintes campos:</w:t>
      </w:r>
    </w:p>
    <w:p w14:paraId="10035C1E" w14:textId="45E8BB7F" w:rsidR="003A59AD" w:rsidRPr="003A59AD" w:rsidRDefault="003A59AD" w:rsidP="003A59AD">
      <w:pPr>
        <w:pStyle w:val="Nvel2-Red"/>
        <w:numPr>
          <w:ilvl w:val="2"/>
          <w:numId w:val="24"/>
        </w:numPr>
        <w:spacing w:before="0" w:after="0"/>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Valor unitário e total do item;</w:t>
      </w:r>
    </w:p>
    <w:p w14:paraId="6BF1A2F1" w14:textId="77777777" w:rsidR="003A59AD" w:rsidRPr="003A59AD" w:rsidRDefault="003A59AD" w:rsidP="003A59AD">
      <w:pPr>
        <w:pStyle w:val="Nvel2-Red"/>
        <w:numPr>
          <w:ilvl w:val="2"/>
          <w:numId w:val="24"/>
        </w:numPr>
        <w:spacing w:before="0" w:after="0"/>
        <w:ind w:left="992" w:firstLine="424"/>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5.1.2 Quantidade total do item.</w:t>
      </w:r>
    </w:p>
    <w:p w14:paraId="3004F2A9" w14:textId="77777777" w:rsidR="003A59AD" w:rsidRPr="003A59AD" w:rsidRDefault="003A59AD" w:rsidP="003A59AD">
      <w:pPr>
        <w:pStyle w:val="Nvel2-Red"/>
        <w:numPr>
          <w:ilvl w:val="0"/>
          <w:numId w:val="0"/>
        </w:numPr>
        <w:spacing w:before="0" w:after="0"/>
        <w:ind w:left="992"/>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5.2 Todas as especificações do objeto contidas na proposta vinculam o licitante.</w:t>
      </w:r>
    </w:p>
    <w:p w14:paraId="48DE01A7" w14:textId="77777777" w:rsidR="003A59AD" w:rsidRPr="003A59AD" w:rsidRDefault="003A59AD" w:rsidP="003A59AD">
      <w:pPr>
        <w:pStyle w:val="Nvel2-Red"/>
        <w:numPr>
          <w:ilvl w:val="0"/>
          <w:numId w:val="0"/>
        </w:numPr>
        <w:spacing w:before="0" w:after="0"/>
        <w:ind w:left="992"/>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5.3 Nos valores propostos estarão inclusos todos os custos operacionais, encargos previdenciários, trabalhistas, tributários, comerciais e quaisquer outros que incidam direta ou indiretamente na execução do objeto.</w:t>
      </w:r>
    </w:p>
    <w:p w14:paraId="07F24FB8" w14:textId="77777777" w:rsidR="003A59AD" w:rsidRPr="003A59AD" w:rsidRDefault="003A59AD" w:rsidP="003A59AD">
      <w:pPr>
        <w:pStyle w:val="Nvel2-Red"/>
        <w:numPr>
          <w:ilvl w:val="0"/>
          <w:numId w:val="0"/>
        </w:numPr>
        <w:spacing w:before="0" w:after="0"/>
        <w:ind w:left="992"/>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5.4 Os preços ofertados, na proposta inicial e na etapa de lances, são de exclusiva responsabilidade do licitante, não lhe assistindo direito de pleitear alteração sob alegação de erro, omissão ou outro pretexto.</w:t>
      </w:r>
    </w:p>
    <w:p w14:paraId="75E8F678" w14:textId="77777777" w:rsidR="003A59AD" w:rsidRPr="003A59AD" w:rsidRDefault="003A59AD" w:rsidP="003A59AD">
      <w:pPr>
        <w:pStyle w:val="Nvel2-Red"/>
        <w:numPr>
          <w:ilvl w:val="0"/>
          <w:numId w:val="0"/>
        </w:numPr>
        <w:spacing w:before="0" w:after="0"/>
        <w:ind w:left="992"/>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5.5 Se o regime tributário implicar recolhimento de tributos em percentuais variáveis, a cotação adequada será a média dos efetivos recolhimentos da empresa nos últimos doze meses.</w:t>
      </w:r>
    </w:p>
    <w:p w14:paraId="05445561" w14:textId="77777777" w:rsidR="003A59AD" w:rsidRPr="003A59AD" w:rsidRDefault="003A59AD" w:rsidP="003A59AD">
      <w:pPr>
        <w:pStyle w:val="Nvel2-Red"/>
        <w:numPr>
          <w:ilvl w:val="0"/>
          <w:numId w:val="0"/>
        </w:numPr>
        <w:spacing w:before="0" w:after="0"/>
        <w:ind w:left="992"/>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5.6 Independentemente do percentual inserido, serão retidos na fonte os tributos conforme legislação vigente.</w:t>
      </w:r>
    </w:p>
    <w:p w14:paraId="298C206A" w14:textId="77777777" w:rsidR="003A59AD" w:rsidRPr="003A59AD" w:rsidRDefault="003A59AD" w:rsidP="003A59AD">
      <w:pPr>
        <w:pStyle w:val="Nvel2-Red"/>
        <w:numPr>
          <w:ilvl w:val="0"/>
          <w:numId w:val="0"/>
        </w:numPr>
        <w:spacing w:before="0" w:after="0"/>
        <w:ind w:left="992"/>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5.7 Nesta licitação, Microempresa e Empresa de Pequeno Porte não poderão se beneficiar do Simples Nacional, visto que os serviços envolvem cessão de mão de obra, conforme art. 17, inciso XII, da LC nº 123/2006.</w:t>
      </w:r>
    </w:p>
    <w:p w14:paraId="7FC4427E" w14:textId="41236D57" w:rsidR="003A59AD" w:rsidRPr="003A59AD" w:rsidRDefault="003A59AD" w:rsidP="00FB0B2F">
      <w:pPr>
        <w:pStyle w:val="Nvel2-Red"/>
        <w:numPr>
          <w:ilvl w:val="0"/>
          <w:numId w:val="0"/>
        </w:numPr>
        <w:spacing w:before="0" w:after="0"/>
        <w:ind w:left="992"/>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5.8 A apresentação da proposta implica na obrigação de cumprir as disposições nela contidas, conforme Termo de Referência, assumindo o compromisso de executar o objeto licitado e fornecer materiais,</w:t>
      </w:r>
      <w:r w:rsidR="00FB0B2F">
        <w:rPr>
          <w:rFonts w:ascii="Gadugi" w:eastAsiaTheme="majorEastAsia" w:hAnsi="Gadugi" w:cs="Gadugi"/>
          <w:i w:val="0"/>
          <w:iCs w:val="0"/>
          <w:color w:val="auto"/>
          <w:sz w:val="18"/>
          <w:szCs w:val="18"/>
        </w:rPr>
        <w:t xml:space="preserve"> </w:t>
      </w:r>
      <w:r w:rsidRPr="003A59AD">
        <w:rPr>
          <w:rFonts w:ascii="Gadugi" w:eastAsiaTheme="majorEastAsia" w:hAnsi="Gadugi" w:cs="Gadugi"/>
          <w:i w:val="0"/>
          <w:iCs w:val="0"/>
          <w:color w:val="auto"/>
          <w:sz w:val="18"/>
          <w:szCs w:val="18"/>
        </w:rPr>
        <w:t>equipamentos e utensílios necessários, promovendo substituições quando requerido.</w:t>
      </w:r>
    </w:p>
    <w:p w14:paraId="2737E0A0" w14:textId="77777777" w:rsidR="003A59AD" w:rsidRPr="003A59AD" w:rsidRDefault="003A59AD" w:rsidP="00FB0B2F">
      <w:pPr>
        <w:pStyle w:val="Nvel2-Red"/>
        <w:numPr>
          <w:ilvl w:val="0"/>
          <w:numId w:val="0"/>
        </w:numPr>
        <w:spacing w:before="0" w:after="0"/>
        <w:ind w:left="992" w:firstLine="424"/>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5.8.1 O prazo de validade da proposta não será inferior a 60 (sessenta) dias, a contar da data de apresentação.</w:t>
      </w:r>
    </w:p>
    <w:p w14:paraId="25B10F8D" w14:textId="77777777" w:rsidR="003A59AD" w:rsidRPr="003A59AD" w:rsidRDefault="003A59AD" w:rsidP="00FB0B2F">
      <w:pPr>
        <w:pStyle w:val="Nvel2-Red"/>
        <w:numPr>
          <w:ilvl w:val="0"/>
          <w:numId w:val="0"/>
        </w:numPr>
        <w:spacing w:before="0" w:after="0"/>
        <w:ind w:left="992" w:firstLine="424"/>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5.8.2 Os licitantes devem respeitar os preços máximos estabelecidos nas normas federais de contratação pública.</w:t>
      </w:r>
    </w:p>
    <w:p w14:paraId="14AE5B42" w14:textId="77777777" w:rsidR="003A59AD" w:rsidRDefault="003A59AD" w:rsidP="00FB0B2F">
      <w:pPr>
        <w:pStyle w:val="Nvel2-Red"/>
        <w:numPr>
          <w:ilvl w:val="0"/>
          <w:numId w:val="0"/>
        </w:numPr>
        <w:spacing w:before="0" w:after="0"/>
        <w:ind w:left="992" w:firstLine="424"/>
        <w:rPr>
          <w:rFonts w:ascii="Gadugi" w:eastAsiaTheme="majorEastAsia" w:hAnsi="Gadugi" w:cs="Gadugi"/>
          <w:i w:val="0"/>
          <w:iCs w:val="0"/>
          <w:color w:val="auto"/>
          <w:sz w:val="18"/>
          <w:szCs w:val="18"/>
        </w:rPr>
      </w:pPr>
      <w:r w:rsidRPr="003A59AD">
        <w:rPr>
          <w:rFonts w:ascii="Gadugi" w:eastAsiaTheme="majorEastAsia" w:hAnsi="Gadugi" w:cs="Gadugi"/>
          <w:i w:val="0"/>
          <w:iCs w:val="0"/>
          <w:color w:val="auto"/>
          <w:sz w:val="18"/>
          <w:szCs w:val="18"/>
        </w:rPr>
        <w:t>5.8.3 O descumprimento poderá ensejar responsabilização pelo Tribunal de Contas da União e sanções legais, inclusive ressarcimento ao erário em caso de superfaturamento.</w:t>
      </w:r>
    </w:p>
    <w:p w14:paraId="6844ECD2" w14:textId="77777777" w:rsidR="00FB0B2F" w:rsidRPr="003A59AD" w:rsidRDefault="00FB0B2F" w:rsidP="00FB0B2F">
      <w:pPr>
        <w:pStyle w:val="Nvel2-Red"/>
        <w:numPr>
          <w:ilvl w:val="0"/>
          <w:numId w:val="0"/>
        </w:numPr>
        <w:spacing w:before="0" w:after="0"/>
        <w:ind w:left="992" w:firstLine="424"/>
        <w:rPr>
          <w:rFonts w:ascii="Gadugi" w:eastAsiaTheme="majorEastAsia" w:hAnsi="Gadugi" w:cs="Gadugi"/>
          <w:i w:val="0"/>
          <w:iCs w:val="0"/>
          <w:color w:val="auto"/>
          <w:sz w:val="18"/>
          <w:szCs w:val="18"/>
        </w:rPr>
      </w:pPr>
    </w:p>
    <w:p w14:paraId="6722CDC9" w14:textId="77777777" w:rsidR="005B203D" w:rsidRPr="00FB0B2F" w:rsidRDefault="00E60DC2" w:rsidP="00FB0B2F">
      <w:pPr>
        <w:pStyle w:val="Nivel01"/>
        <w:numPr>
          <w:ilvl w:val="0"/>
          <w:numId w:val="25"/>
        </w:numPr>
        <w:spacing w:before="0" w:after="0" w:line="240" w:lineRule="auto"/>
        <w:ind w:left="1418"/>
        <w:rPr>
          <w:rFonts w:ascii="Gadugi" w:hAnsi="Gadugi" w:cs="Gadugi"/>
          <w:color w:val="auto"/>
          <w:sz w:val="18"/>
          <w:szCs w:val="18"/>
        </w:rPr>
      </w:pPr>
      <w:r w:rsidRPr="00FB0B2F">
        <w:rPr>
          <w:rFonts w:ascii="Gadugi" w:hAnsi="Gadugi" w:cs="Gadugi"/>
          <w:color w:val="auto"/>
          <w:sz w:val="18"/>
          <w:szCs w:val="18"/>
        </w:rPr>
        <w:t>DA ABERTURA DA SESSÃO, CLASSIFICAÇÃO DAS PROPOSTAS E FORMULAÇÃO DE LANCES</w:t>
      </w:r>
      <w:bookmarkEnd w:id="2"/>
    </w:p>
    <w:p w14:paraId="3D3D8D3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abertura da presente licitação dar-se-á automaticamente em sessão pública, por meio de sistema eletrônico, na data, horário e local indicados neste Edital.</w:t>
      </w:r>
    </w:p>
    <w:p w14:paraId="7D5F0763"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Os licitantes poderão retirar ou substituir a proposta ou os documentos de habilitação, quando for o caso, anteriormente inseridos no sistema, até a abertura da sessão pública.</w:t>
      </w:r>
    </w:p>
    <w:p w14:paraId="41AB58B3"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O sistema disponibilizará campo próprio para troca de mensagens entre o Pregoeiro e os licitantes.</w:t>
      </w:r>
    </w:p>
    <w:p w14:paraId="6576AF0E"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Iniciada a etapa competitiva, os licitantes deverão encaminhar lances exclusivamente por meio de sistema eletrônico, sendo imediatamente informados do seu recebimento e do valor consignado no registro. </w:t>
      </w:r>
    </w:p>
    <w:p w14:paraId="152698BC"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O lance deverá ser ofertado pelo valor unitário do item</w:t>
      </w:r>
    </w:p>
    <w:p w14:paraId="04BE2650"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Os licitantes poderão oferecer lances sucessivos, observando o horário fixado para abertura da sessão e as regras estabelecidas no Edital.</w:t>
      </w:r>
    </w:p>
    <w:p w14:paraId="0DD07F84"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O licitante somente poderá oferecer lance de valor inferior ao último por ele ofertado e registrado pelo sistema. </w:t>
      </w:r>
    </w:p>
    <w:p w14:paraId="12B8A420"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lastRenderedPageBreak/>
        <w:t>O intervalo mínimo de diferença de valores ou percentuais entre os lances, que incidirá tanto em relação aos lances intermediários quanto em relação à proposta que cobrir a melhor oferta deverá ser de R$ 0,01.</w:t>
      </w:r>
    </w:p>
    <w:p w14:paraId="507D29CE"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O licitante poderá, uma única vez, excluir seu último lance ofertado, no intervalo de quinze segundos após o registro no sistema, na hipótese de lance inconsistente ou inexequível.</w:t>
      </w:r>
    </w:p>
    <w:p w14:paraId="6CB996EE"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O procedimento seguirá de acordo com o modo de disputa adotado.</w:t>
      </w:r>
    </w:p>
    <w:p w14:paraId="26E01329" w14:textId="77777777" w:rsidR="005B203D" w:rsidRDefault="00E60DC2">
      <w:pPr>
        <w:pStyle w:val="Nvel2-Red"/>
        <w:numPr>
          <w:ilvl w:val="2"/>
          <w:numId w:val="2"/>
        </w:numPr>
        <w:spacing w:before="0" w:after="0" w:line="240" w:lineRule="auto"/>
        <w:rPr>
          <w:rFonts w:ascii="Gadugi" w:hAnsi="Gadugi" w:cs="Gadugi"/>
          <w:b/>
          <w:i w:val="0"/>
          <w:color w:val="auto"/>
          <w:sz w:val="18"/>
          <w:szCs w:val="18"/>
        </w:rPr>
      </w:pPr>
      <w:bookmarkStart w:id="3" w:name="_Hlk113697759"/>
      <w:r>
        <w:rPr>
          <w:rFonts w:ascii="Gadugi" w:hAnsi="Gadugi" w:cs="Gadugi"/>
          <w:i w:val="0"/>
          <w:iCs w:val="0"/>
          <w:color w:val="auto"/>
          <w:sz w:val="18"/>
          <w:szCs w:val="18"/>
        </w:rPr>
        <w:t>Caso seja adotado para o envio de lances no pregão eletrônico o modo de disputa “aberto”, os licitantes apresentarão lances públicos e sucessivos, com prorrogações.</w:t>
      </w:r>
      <w:bookmarkEnd w:id="3"/>
    </w:p>
    <w:p w14:paraId="7D4BD88B" w14:textId="77777777" w:rsidR="005B203D" w:rsidRDefault="00E60DC2">
      <w:pPr>
        <w:pStyle w:val="Nvel2-Red"/>
        <w:numPr>
          <w:ilvl w:val="2"/>
          <w:numId w:val="2"/>
        </w:numPr>
        <w:tabs>
          <w:tab w:val="left" w:pos="1638"/>
          <w:tab w:val="left" w:pos="1742"/>
          <w:tab w:val="left" w:pos="1754"/>
        </w:tabs>
        <w:spacing w:before="0" w:after="0" w:line="240" w:lineRule="auto"/>
        <w:rPr>
          <w:rFonts w:ascii="Gadugi" w:hAnsi="Gadugi" w:cs="Gadugi"/>
          <w:i w:val="0"/>
          <w:color w:val="auto"/>
          <w:sz w:val="18"/>
          <w:szCs w:val="18"/>
        </w:rPr>
      </w:pPr>
      <w:bookmarkStart w:id="4" w:name="_Hlk113697816"/>
      <w:r>
        <w:rPr>
          <w:rFonts w:ascii="Gadugi" w:hAnsi="Gadugi" w:cs="Gadugi"/>
          <w:i w:val="0"/>
          <w:iCs w:val="0"/>
          <w:color w:val="auto"/>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61BF45BA" w14:textId="77777777" w:rsidR="005B203D" w:rsidRDefault="00E60DC2">
      <w:pPr>
        <w:pStyle w:val="Nvel2-Red"/>
        <w:numPr>
          <w:ilvl w:val="2"/>
          <w:numId w:val="2"/>
        </w:numPr>
        <w:tabs>
          <w:tab w:val="left" w:pos="1812"/>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01E2ECE1" w14:textId="77777777" w:rsidR="005B203D" w:rsidRDefault="00E60DC2">
      <w:pPr>
        <w:pStyle w:val="Nvel2-Red"/>
        <w:numPr>
          <w:ilvl w:val="2"/>
          <w:numId w:val="2"/>
        </w:numPr>
        <w:tabs>
          <w:tab w:val="left" w:pos="1812"/>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Não havendo novos lances na forma estabelecida nos itens anteriores, a sessão pública encerrar-se-á automaticamente, e o sistema ordenará e divulgará os lances conforme a ordem final de classificação.</w:t>
      </w:r>
    </w:p>
    <w:p w14:paraId="79A63453" w14:textId="77777777" w:rsidR="005B203D" w:rsidRDefault="00E60DC2">
      <w:pPr>
        <w:pStyle w:val="Nvel2-Red"/>
        <w:numPr>
          <w:ilvl w:val="3"/>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8324405" w14:textId="77777777" w:rsidR="005B203D" w:rsidRDefault="00E60DC2">
      <w:pPr>
        <w:pStyle w:val="Nvel2-Red"/>
        <w:numPr>
          <w:ilvl w:val="3"/>
          <w:numId w:val="2"/>
        </w:numPr>
        <w:spacing w:before="0" w:after="0" w:line="240" w:lineRule="auto"/>
        <w:rPr>
          <w:rFonts w:ascii="Gadugi" w:hAnsi="Gadugi" w:cs="Gadugi"/>
          <w:b/>
          <w:i w:val="0"/>
          <w:color w:val="auto"/>
          <w:sz w:val="18"/>
          <w:szCs w:val="18"/>
        </w:rPr>
      </w:pPr>
      <w:r>
        <w:rPr>
          <w:rFonts w:ascii="Gadugi" w:hAnsi="Gadugi" w:cs="Gadugi"/>
          <w:i w:val="0"/>
          <w:iCs w:val="0"/>
          <w:color w:val="auto"/>
          <w:sz w:val="18"/>
          <w:szCs w:val="18"/>
        </w:rPr>
        <w:t xml:space="preserve"> Após o reinício previsto no item supra, os licitantes serão convocados para apresentar lances intermediários.</w:t>
      </w:r>
      <w:bookmarkStart w:id="5" w:name="_Hlk113631522"/>
      <w:bookmarkEnd w:id="4"/>
      <w:bookmarkEnd w:id="5"/>
    </w:p>
    <w:p w14:paraId="3B686BED" w14:textId="77777777" w:rsidR="005B203D" w:rsidRDefault="00E60DC2">
      <w:pPr>
        <w:pStyle w:val="Nvel2-Red"/>
        <w:numPr>
          <w:ilvl w:val="2"/>
          <w:numId w:val="2"/>
        </w:numPr>
        <w:tabs>
          <w:tab w:val="left" w:pos="1419"/>
          <w:tab w:val="left" w:pos="1708"/>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0014388" w14:textId="77777777" w:rsidR="005B203D" w:rsidRDefault="00E60DC2">
      <w:pPr>
        <w:pStyle w:val="Nvel2-Red"/>
        <w:numPr>
          <w:ilvl w:val="2"/>
          <w:numId w:val="2"/>
        </w:numPr>
        <w:tabs>
          <w:tab w:val="left" w:pos="1754"/>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B88897B" w14:textId="77777777" w:rsidR="005B203D" w:rsidRDefault="00E60DC2">
      <w:pPr>
        <w:pStyle w:val="Nvel2-Red"/>
        <w:numPr>
          <w:ilvl w:val="2"/>
          <w:numId w:val="2"/>
        </w:numPr>
        <w:tabs>
          <w:tab w:val="left" w:pos="1731"/>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No procedimento de que trata o subitem supra, o licitante poderá optar por manter o seu último lance da etapa aberta, ou por ofertar melhor lance.</w:t>
      </w:r>
    </w:p>
    <w:p w14:paraId="000EFBB2" w14:textId="77777777" w:rsidR="005B203D" w:rsidRDefault="00E60DC2">
      <w:pPr>
        <w:pStyle w:val="Nvel2-Red"/>
        <w:numPr>
          <w:ilvl w:val="2"/>
          <w:numId w:val="2"/>
        </w:numPr>
        <w:tabs>
          <w:tab w:val="left" w:pos="1731"/>
          <w:tab w:val="left" w:pos="1754"/>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59DA7E21" w14:textId="77777777" w:rsidR="005B203D" w:rsidRDefault="00E60DC2">
      <w:pPr>
        <w:pStyle w:val="Nvel2-Red"/>
        <w:numPr>
          <w:ilvl w:val="2"/>
          <w:numId w:val="2"/>
        </w:numPr>
        <w:tabs>
          <w:tab w:val="left" w:pos="1708"/>
        </w:tabs>
        <w:spacing w:before="0" w:after="0" w:line="240" w:lineRule="auto"/>
        <w:rPr>
          <w:rFonts w:ascii="Gadugi" w:hAnsi="Gadugi" w:cs="Gadugi"/>
          <w:b/>
          <w:i w:val="0"/>
          <w:color w:val="auto"/>
          <w:sz w:val="18"/>
          <w:szCs w:val="18"/>
        </w:rPr>
      </w:pPr>
      <w:bookmarkStart w:id="6" w:name="_Hlk113698144"/>
      <w:r>
        <w:rPr>
          <w:rFonts w:ascii="Gadugi" w:hAnsi="Gadugi" w:cs="Gadugi"/>
          <w:i w:val="0"/>
          <w:iCs w:val="0"/>
          <w:color w:val="auto"/>
          <w:sz w:val="18"/>
          <w:szCs w:val="18"/>
        </w:rPr>
        <w:t>Após o término dos prazos estabelecidos nos itens anteriores, o sistema ordenará e divulgará os lances segundo a ordem crescente de valores.</w:t>
      </w:r>
      <w:bookmarkEnd w:id="6"/>
    </w:p>
    <w:p w14:paraId="2E25A71C" w14:textId="77777777" w:rsidR="005B203D" w:rsidRDefault="00E60DC2">
      <w:pPr>
        <w:pStyle w:val="Nvel2-Red"/>
        <w:numPr>
          <w:ilvl w:val="2"/>
          <w:numId w:val="2"/>
        </w:numPr>
        <w:tabs>
          <w:tab w:val="left" w:pos="1731"/>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Não havendo pelo menos 3 (três) propostas nas condições definidas no item 6.2.16, poderão os licitantes que apresentaram as três melhores propostas, consideradas as empatadas, oferecer novos lances sucessivos.</w:t>
      </w:r>
    </w:p>
    <w:p w14:paraId="7588AC98"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175231BE"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474AF680"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Não havendo novos lances na forma estabelecida nos itens anteriores, a sessão pública encerrar-se-á automaticamente, e o sistema ordenará e divulgará os lances conforme a ordem final de classificação.</w:t>
      </w:r>
    </w:p>
    <w:p w14:paraId="21DF7A59"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56566C0"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Após o reinício previsto no subitem supra, os licitantes serão convocados para apresentar lances intermediários.  </w:t>
      </w:r>
    </w:p>
    <w:p w14:paraId="6E2392FD"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Após o término dos prazos estabelecidos nos subitens anteriores, o sistema ordenará e divulgará os lances segundo a ordem crescente de valores.</w:t>
      </w:r>
    </w:p>
    <w:p w14:paraId="65CAD970" w14:textId="77777777" w:rsidR="005B203D" w:rsidRDefault="00E60DC2">
      <w:pPr>
        <w:pStyle w:val="Nvel2-Red"/>
        <w:numPr>
          <w:ilvl w:val="4"/>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Não serão aceitos dois ou mais lances de mesmo valor, prevalecendo aquele que for recebido e registrado em primeiro lugar. </w:t>
      </w:r>
    </w:p>
    <w:p w14:paraId="32047C53" w14:textId="77777777" w:rsidR="005B203D" w:rsidRDefault="00E60DC2">
      <w:pPr>
        <w:pStyle w:val="Nvel2-Red"/>
        <w:numPr>
          <w:ilvl w:val="4"/>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lastRenderedPageBreak/>
        <w:t xml:space="preserve">Durante o transcurso da sessão pública, os licitantes serão informados, em tempo real, do valor do menor lance registrado, vedada a identificação do licitante. </w:t>
      </w:r>
    </w:p>
    <w:p w14:paraId="71223F6F"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No caso de desconexão com o Pregoeiro, no decorrer da etapa competitiva do Pregão, o sistema eletrônico poderá permanecer acessível aos licitantes para a recepção dos lances. </w:t>
      </w:r>
    </w:p>
    <w:p w14:paraId="49E889DF"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FE1649" w14:textId="77777777" w:rsidR="005B203D" w:rsidRDefault="00E60DC2">
      <w:pPr>
        <w:pStyle w:val="Nvel2-Red"/>
        <w:numPr>
          <w:ilvl w:val="2"/>
          <w:numId w:val="2"/>
        </w:numPr>
        <w:spacing w:before="0" w:after="0" w:line="240" w:lineRule="auto"/>
        <w:rPr>
          <w:rFonts w:ascii="Gadugi" w:hAnsi="Gadugi" w:cs="Gadugi"/>
          <w:i w:val="0"/>
          <w:color w:val="auto"/>
          <w:sz w:val="18"/>
          <w:szCs w:val="18"/>
        </w:rPr>
      </w:pPr>
      <w:r>
        <w:rPr>
          <w:rFonts w:ascii="Gadugi" w:hAnsi="Gadugi" w:cs="Gadugi"/>
          <w:i w:val="0"/>
          <w:iCs w:val="0"/>
          <w:color w:val="auto"/>
          <w:sz w:val="18"/>
          <w:szCs w:val="18"/>
        </w:rPr>
        <w:t>Caso o licitante não apresente lances, concorrerá com o valor de sua proposta.</w:t>
      </w:r>
    </w:p>
    <w:p w14:paraId="46A9EC66" w14:textId="77777777" w:rsidR="005B203D" w:rsidRDefault="00E60DC2">
      <w:pPr>
        <w:pStyle w:val="Nvel2-Red"/>
        <w:numPr>
          <w:ilvl w:val="2"/>
          <w:numId w:val="2"/>
        </w:numPr>
        <w:spacing w:before="0" w:after="0" w:line="240" w:lineRule="auto"/>
        <w:rPr>
          <w:rStyle w:val="Hyperlink1"/>
          <w:rFonts w:ascii="Gadugi" w:hAnsi="Gadugi" w:cs="Gadugi"/>
          <w:i w:val="0"/>
          <w:color w:val="auto"/>
          <w:sz w:val="18"/>
          <w:szCs w:val="18"/>
        </w:rPr>
      </w:pPr>
      <w:r>
        <w:rPr>
          <w:rFonts w:ascii="Gadugi" w:hAnsi="Gadugi" w:cs="Gadugi"/>
          <w:i w:val="0"/>
          <w:iCs w:val="0"/>
          <w:color w:val="auto"/>
          <w:sz w:val="18"/>
          <w:szCs w:val="18"/>
        </w:rPr>
        <w:t>Em relação a itens não exclusivos para participação de microempresas e empresas de pequeno porte, uma vez encerrada a etapa de lances</w:t>
      </w:r>
      <w:r>
        <w:rPr>
          <w:rFonts w:ascii="Gadugi" w:eastAsia="Zurich BT" w:hAnsi="Gadugi" w:cs="Gadugi"/>
          <w:i w:val="0"/>
          <w:iCs w:val="0"/>
          <w:color w:val="auto"/>
          <w:sz w:val="18"/>
          <w:szCs w:val="18"/>
        </w:rPr>
        <w:t xml:space="preserve">, será efetivada a verificação automática, junto à Receita Federal, do porte da entidade empresarial. O sistema identificará em coluna própria as microempresas e empresas de pequeno porte </w:t>
      </w:r>
      <w:r>
        <w:rPr>
          <w:rFonts w:ascii="Gadugi" w:hAnsi="Gadugi" w:cs="Gadugi"/>
          <w:i w:val="0"/>
          <w:iCs w:val="0"/>
          <w:color w:val="auto"/>
          <w:sz w:val="18"/>
          <w:szCs w:val="18"/>
        </w:rPr>
        <w:t>participantes</w:t>
      </w:r>
      <w:r>
        <w:rPr>
          <w:rFonts w:ascii="Gadugi" w:eastAsia="Zurich BT" w:hAnsi="Gadugi" w:cs="Gadugi"/>
          <w:i w:val="0"/>
          <w:iCs w:val="0"/>
          <w:color w:val="auto"/>
          <w:sz w:val="18"/>
          <w:szCs w:val="18"/>
        </w:rPr>
        <w:t xml:space="preserve">, procedendo à comparação com os valores da primeira colocada, se esta for empresa de maior porte, assim como das demais classificadas, para o fim de aplicar-se o disposto nos </w:t>
      </w:r>
      <w:hyperlink r:id="rId14" w:tooltip="https://www.planalto.gov.br/ccivil_03/leis/lcp/lcp123.htm#art44&quot; l &quot;art44">
        <w:r>
          <w:rPr>
            <w:rFonts w:ascii="Gadugi" w:eastAsia="Zurich BT" w:hAnsi="Gadugi" w:cs="Gadugi"/>
            <w:i w:val="0"/>
            <w:iCs w:val="0"/>
            <w:color w:val="auto"/>
            <w:sz w:val="18"/>
            <w:szCs w:val="18"/>
            <w:u w:val="single"/>
          </w:rPr>
          <w:t>arts. 44 e 45 da Lei Complementar nº 123, de 2006</w:t>
        </w:r>
      </w:hyperlink>
      <w:r>
        <w:rPr>
          <w:rFonts w:ascii="Gadugi" w:hAnsi="Gadugi" w:cs="Gadugi"/>
          <w:i w:val="0"/>
          <w:iCs w:val="0"/>
          <w:color w:val="auto"/>
          <w:sz w:val="18"/>
          <w:szCs w:val="18"/>
          <w:u w:val="single"/>
        </w:rPr>
        <w:t>, alterada pela Lei Complementar 147/2014.</w:t>
      </w:r>
    </w:p>
    <w:p w14:paraId="7FDEE4E2"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Nessas condições, as propostas de </w:t>
      </w:r>
      <w:r>
        <w:rPr>
          <w:rFonts w:ascii="Gadugi" w:eastAsia="Zurich BT" w:hAnsi="Gadugi" w:cs="Gadugi"/>
          <w:i w:val="0"/>
          <w:iCs w:val="0"/>
          <w:color w:val="auto"/>
          <w:sz w:val="18"/>
          <w:szCs w:val="18"/>
        </w:rPr>
        <w:t xml:space="preserve">microempresas e empresas de pequeno porte </w:t>
      </w:r>
      <w:r>
        <w:rPr>
          <w:rFonts w:ascii="Gadugi" w:hAnsi="Gadugi" w:cs="Gadugi"/>
          <w:i w:val="0"/>
          <w:iCs w:val="0"/>
          <w:color w:val="auto"/>
          <w:sz w:val="18"/>
          <w:szCs w:val="18"/>
        </w:rPr>
        <w:t>que se encontrarem na faixa de até 5% (cinco por cento) acima da melhor proposta ou melhor lance serão consideradas empatadas com a primeira colocada.</w:t>
      </w:r>
    </w:p>
    <w:p w14:paraId="24FFBE8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3CB71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Caso a </w:t>
      </w:r>
      <w:r>
        <w:rPr>
          <w:rFonts w:ascii="Gadugi" w:eastAsia="Zurich BT" w:hAnsi="Gadugi" w:cs="Gadugi"/>
          <w:i w:val="0"/>
          <w:iCs w:val="0"/>
          <w:color w:val="auto"/>
          <w:sz w:val="18"/>
          <w:szCs w:val="18"/>
        </w:rPr>
        <w:t>microempresa ou a empresa de pequeno porte</w:t>
      </w:r>
      <w:r>
        <w:rPr>
          <w:rFonts w:ascii="Gadugi" w:hAnsi="Gadugi" w:cs="Gadugi"/>
          <w:i w:val="0"/>
          <w:iCs w:val="0"/>
          <w:color w:val="auto"/>
          <w:sz w:val="18"/>
          <w:szCs w:val="18"/>
        </w:rPr>
        <w:t xml:space="preserve"> melhor classificada desista ou não se manifeste no prazo estabelecido, serão convocadas as demais licitantes </w:t>
      </w:r>
      <w:r>
        <w:rPr>
          <w:rFonts w:ascii="Gadugi" w:eastAsia="Zurich BT" w:hAnsi="Gadugi" w:cs="Gadugi"/>
          <w:i w:val="0"/>
          <w:iCs w:val="0"/>
          <w:color w:val="auto"/>
          <w:sz w:val="18"/>
          <w:szCs w:val="18"/>
        </w:rPr>
        <w:t>microempresa e empresa de pequeno porte</w:t>
      </w:r>
      <w:r>
        <w:rPr>
          <w:rFonts w:ascii="Gadugi" w:hAnsi="Gadugi" w:cs="Gadugi"/>
          <w:i w:val="0"/>
          <w:iCs w:val="0"/>
          <w:color w:val="auto"/>
          <w:sz w:val="18"/>
          <w:szCs w:val="18"/>
        </w:rPr>
        <w:t xml:space="preserve"> que se encontrem naquele intervalo de 5% (cinco por cento), na ordem de classificação, para o exercício do mesmo direito, no prazo estabelecido no subitem anterior.</w:t>
      </w:r>
    </w:p>
    <w:p w14:paraId="6E484E08"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6E68BF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Só poderá haver empate entre propostas iguais (não seguidas de lances), ou entre lances finais da fase fechada do modo de disputa aberto e fechado. </w:t>
      </w:r>
    </w:p>
    <w:p w14:paraId="35941AEF"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Havendo eventual empate entre propostas ou lances, o critério de desempate será aquele previsto no </w:t>
      </w:r>
      <w:hyperlink r:id="rId15" w:tooltip="http://www.planalto.gov.br/ccivil_03/_ato2019-2022/2021/lei/L14133.htm#art60&quot; l &quot;art60">
        <w:r>
          <w:rPr>
            <w:rFonts w:ascii="Gadugi" w:eastAsia="Arial" w:hAnsi="Gadugi" w:cs="Gadugi"/>
            <w:i w:val="0"/>
            <w:iCs w:val="0"/>
            <w:color w:val="auto"/>
            <w:sz w:val="18"/>
            <w:szCs w:val="18"/>
            <w:u w:val="single"/>
          </w:rPr>
          <w:t>art</w:t>
        </w:r>
        <w:r>
          <w:rPr>
            <w:rFonts w:ascii="Gadugi" w:hAnsi="Gadugi" w:cs="Gadugi"/>
            <w:i w:val="0"/>
            <w:iCs w:val="0"/>
            <w:color w:val="auto"/>
            <w:sz w:val="18"/>
            <w:szCs w:val="18"/>
            <w:u w:val="single"/>
          </w:rPr>
          <w:t>. 60 da Lei nº 14.133, de 2021</w:t>
        </w:r>
      </w:hyperlink>
      <w:r>
        <w:rPr>
          <w:rFonts w:ascii="Gadugi" w:hAnsi="Gadugi" w:cs="Gadugi"/>
          <w:i w:val="0"/>
          <w:iCs w:val="0"/>
          <w:color w:val="auto"/>
          <w:sz w:val="18"/>
          <w:szCs w:val="18"/>
        </w:rPr>
        <w:t>, nesta ordem:</w:t>
      </w:r>
    </w:p>
    <w:p w14:paraId="0DDA1001"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Disputa final, hipótese em que os licitantes empatados poderão apresentar nova proposta em ato contínuo à classificação;</w:t>
      </w:r>
    </w:p>
    <w:p w14:paraId="01A4AD4A"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Avaliação do desempenho contratual prévio dos licitantes, para a qual deverão preferencialmente ser utilizados registros cadastrais para efeito de atesto de cumprimento de obrigações previstos nesta Lei;</w:t>
      </w:r>
    </w:p>
    <w:p w14:paraId="2598A8D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Desenvolvimento pelo licitante de ações de equidade entre homens e mulheres no ambiente de trabalho, conforme regulamento;</w:t>
      </w:r>
    </w:p>
    <w:p w14:paraId="6C91A8A7"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Desenvolvimento pelo licitante de programa de integridade, conforme orientações dos órgãos de controle.</w:t>
      </w:r>
    </w:p>
    <w:p w14:paraId="2AFFF9A1"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Persistindo o empate, será assegurada preferência, sucessivamente, aos bens e serviços produzidos ou prestados por:</w:t>
      </w:r>
    </w:p>
    <w:p w14:paraId="39186763"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4308E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Empresas brasileiras;</w:t>
      </w:r>
    </w:p>
    <w:p w14:paraId="3EB9216B"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Empresas que invistam em pesquisa e no desenvolvimento de tecnologia no País;</w:t>
      </w:r>
    </w:p>
    <w:p w14:paraId="5F43D2D2"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Empresas que comprovem a prática de mitigação, nos termos da </w:t>
      </w:r>
      <w:hyperlink r:id="rId16" w:tooltip="https://www.planalto.gov.br/ccivil_03/_ato2007-2010/2009/lei/l12187.htm#:~:text=LEI%20N%C2%BA%2012.187%2C%20DE%2029%20DE%20DEZEMBRO%20DE%202009.&amp;text=Institui%20a%20Pol%C3%ADtica%20Nacional%20sobre,PNMC%20e%20d%C3%A1%20outras%20provid%C3%AAncias.&quot; l &quot;:~:text=L">
        <w:r>
          <w:rPr>
            <w:rFonts w:ascii="Gadugi" w:hAnsi="Gadugi" w:cs="Gadugi"/>
            <w:i w:val="0"/>
            <w:iCs w:val="0"/>
            <w:color w:val="auto"/>
            <w:sz w:val="18"/>
            <w:szCs w:val="18"/>
            <w:u w:val="single"/>
          </w:rPr>
          <w:t>Lei nº 12.187, de 29 de dezembro de 2009</w:t>
        </w:r>
      </w:hyperlink>
      <w:r>
        <w:rPr>
          <w:rFonts w:ascii="Gadugi" w:hAnsi="Gadugi" w:cs="Gadugi"/>
          <w:i w:val="0"/>
          <w:iCs w:val="0"/>
          <w:color w:val="auto"/>
          <w:sz w:val="18"/>
          <w:szCs w:val="18"/>
        </w:rPr>
        <w:t>.</w:t>
      </w:r>
    </w:p>
    <w:p w14:paraId="47FBB108"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DC36B9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D02E747" w14:textId="77777777" w:rsidR="005B203D" w:rsidRDefault="00E60DC2">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Pr>
          <w:rFonts w:ascii="Gadugi" w:eastAsia="Times New Roman" w:hAnsi="Gadugi" w:cs="Gadugi"/>
          <w:i w:val="0"/>
          <w:iCs w:val="0"/>
          <w:color w:val="auto"/>
          <w:sz w:val="18"/>
          <w:szCs w:val="18"/>
        </w:rPr>
        <w:t xml:space="preserve">A </w:t>
      </w:r>
      <w:r>
        <w:rPr>
          <w:rFonts w:ascii="Gadugi" w:hAnsi="Gadugi" w:cs="Gadugi"/>
          <w:i w:val="0"/>
          <w:iCs w:val="0"/>
          <w:color w:val="auto"/>
          <w:sz w:val="18"/>
          <w:szCs w:val="18"/>
        </w:rPr>
        <w:t>negociação será realizada por meio do sistema, podendo ser acompanhada pelos demais licitantes.</w:t>
      </w:r>
    </w:p>
    <w:p w14:paraId="236F78D2" w14:textId="77777777" w:rsidR="005B203D" w:rsidRDefault="00E60DC2">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O resultado da negociação será divulgado a todos os licitantes e anexado aos autos do processo licitatório.</w:t>
      </w:r>
    </w:p>
    <w:p w14:paraId="067AC4AB"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b/>
          <w:i w:val="0"/>
          <w:color w:val="auto"/>
          <w:sz w:val="18"/>
          <w:szCs w:val="18"/>
        </w:rPr>
      </w:pPr>
      <w:r>
        <w:rPr>
          <w:rFonts w:ascii="Gadugi" w:hAnsi="Gadugi" w:cs="Gadugi"/>
          <w:i w:val="0"/>
          <w:iCs w:val="0"/>
          <w:color w:val="auto"/>
          <w:sz w:val="18"/>
          <w:szCs w:val="18"/>
        </w:rPr>
        <w:t xml:space="preserve">O pregoeiro solicitará ao licitante mais bem classificado que, no prazo de </w:t>
      </w:r>
      <w:r>
        <w:rPr>
          <w:rFonts w:ascii="Gadugi" w:hAnsi="Gadugi" w:cs="Gadugi"/>
          <w:b/>
          <w:bCs/>
          <w:i w:val="0"/>
          <w:iCs w:val="0"/>
          <w:color w:val="auto"/>
          <w:sz w:val="18"/>
          <w:szCs w:val="18"/>
        </w:rPr>
        <w:t>60 (sessenta) minutos</w:t>
      </w:r>
      <w:r>
        <w:rPr>
          <w:rFonts w:ascii="Gadugi" w:hAnsi="Gadugi" w:cs="Gadugi"/>
          <w:i w:val="0"/>
          <w:iCs w:val="0"/>
          <w:color w:val="auto"/>
          <w:sz w:val="18"/>
          <w:szCs w:val="18"/>
        </w:rPr>
        <w:t xml:space="preserve"> envie a proposta readequada ao último lance ofertado após a negociação realizada, acompanhada, se for o caso, dos documentos complementares, quando necessários à confirmação daqueles exigidos neste Edital e já apresentados</w:t>
      </w:r>
      <w:bookmarkStart w:id="7" w:name="_Hlk117016948"/>
      <w:bookmarkEnd w:id="7"/>
      <w:r>
        <w:rPr>
          <w:rFonts w:ascii="Gadugi" w:hAnsi="Gadugi" w:cs="Gadugi"/>
          <w:i w:val="0"/>
          <w:iCs w:val="0"/>
          <w:color w:val="auto"/>
          <w:sz w:val="18"/>
          <w:szCs w:val="18"/>
        </w:rPr>
        <w:t xml:space="preserve"> SOB PENA DE DESCLASSIFICAÇÃO.</w:t>
      </w:r>
    </w:p>
    <w:p w14:paraId="2ED78653" w14:textId="77777777" w:rsidR="005B203D" w:rsidRDefault="00E60DC2">
      <w:pPr>
        <w:pStyle w:val="Nvel2-Red"/>
        <w:numPr>
          <w:ilvl w:val="2"/>
          <w:numId w:val="2"/>
        </w:numPr>
        <w:tabs>
          <w:tab w:val="left" w:pos="1131"/>
          <w:tab w:val="left" w:pos="1177"/>
        </w:tabs>
        <w:spacing w:before="0" w:after="0" w:line="240" w:lineRule="auto"/>
        <w:ind w:left="999" w:hanging="432"/>
        <w:rPr>
          <w:rFonts w:ascii="Gadugi" w:hAnsi="Gadugi" w:cs="Gadugi"/>
          <w:b/>
          <w:bCs/>
          <w:color w:val="auto"/>
          <w:sz w:val="18"/>
          <w:szCs w:val="18"/>
          <w:u w:val="single"/>
        </w:rPr>
      </w:pPr>
      <w:r>
        <w:rPr>
          <w:rFonts w:ascii="Gadugi" w:hAnsi="Gadugi" w:cs="Gadugi"/>
          <w:b/>
          <w:bCs/>
          <w:color w:val="auto"/>
          <w:sz w:val="18"/>
          <w:szCs w:val="18"/>
          <w:u w:val="single"/>
        </w:rPr>
        <w:t>É facultado ao pregoeiro prorrogar o prazo estabelecido, a partir de solicitação fundamentada feita no chat ou através de e-mail pelo licitante, antes de findo o prazo.</w:t>
      </w:r>
    </w:p>
    <w:p w14:paraId="1D48EC74" w14:textId="77777777" w:rsidR="005B203D" w:rsidRDefault="00E60DC2">
      <w:pPr>
        <w:pStyle w:val="Nvel2-Red"/>
        <w:numPr>
          <w:ilvl w:val="2"/>
          <w:numId w:val="2"/>
        </w:numPr>
        <w:tabs>
          <w:tab w:val="left" w:pos="1131"/>
        </w:tabs>
        <w:spacing w:before="0" w:after="0" w:line="240" w:lineRule="auto"/>
        <w:ind w:left="999" w:hanging="432"/>
        <w:rPr>
          <w:rFonts w:ascii="Gadugi" w:hAnsi="Gadugi" w:cs="Gadugi"/>
          <w:b/>
          <w:i w:val="0"/>
          <w:color w:val="auto"/>
          <w:sz w:val="18"/>
          <w:szCs w:val="18"/>
        </w:rPr>
      </w:pPr>
      <w:bookmarkStart w:id="8" w:name="_Hlk114646655"/>
      <w:r>
        <w:rPr>
          <w:rFonts w:ascii="Gadugi" w:hAnsi="Gadugi" w:cs="Gadugi"/>
          <w:i w:val="0"/>
          <w:iCs w:val="0"/>
          <w:color w:val="auto"/>
          <w:sz w:val="18"/>
          <w:szCs w:val="18"/>
        </w:rPr>
        <w:t>Após a negociação do preço, o Pregoeiro iniciará a fase de aceitação e julgamento da proposta.</w:t>
      </w:r>
      <w:bookmarkEnd w:id="8"/>
    </w:p>
    <w:p w14:paraId="11A3F0DD" w14:textId="77777777" w:rsidR="005B203D" w:rsidRDefault="005B203D">
      <w:pPr>
        <w:pStyle w:val="Nvel2-Red"/>
        <w:numPr>
          <w:ilvl w:val="0"/>
          <w:numId w:val="0"/>
        </w:numPr>
        <w:spacing w:before="0" w:after="0" w:line="240" w:lineRule="auto"/>
        <w:ind w:left="999"/>
        <w:rPr>
          <w:rFonts w:ascii="Gadugi" w:hAnsi="Gadugi" w:cs="Gadugi"/>
          <w:b/>
          <w:i w:val="0"/>
          <w:color w:val="auto"/>
          <w:sz w:val="18"/>
          <w:szCs w:val="18"/>
        </w:rPr>
      </w:pPr>
    </w:p>
    <w:p w14:paraId="595C1624"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bookmarkStart w:id="9" w:name="_Toc135469229"/>
      <w:r>
        <w:rPr>
          <w:rFonts w:ascii="Gadugi" w:hAnsi="Gadugi" w:cs="Gadugi"/>
          <w:b/>
          <w:bCs/>
          <w:i w:val="0"/>
          <w:iCs w:val="0"/>
          <w:color w:val="auto"/>
          <w:sz w:val="18"/>
          <w:szCs w:val="18"/>
        </w:rPr>
        <w:t>DA FASE DE JULGAMENTO</w:t>
      </w:r>
      <w:bookmarkEnd w:id="9"/>
    </w:p>
    <w:p w14:paraId="3CCA4456" w14:textId="77777777" w:rsidR="005B203D" w:rsidRDefault="00E60DC2">
      <w:pPr>
        <w:pStyle w:val="Nvel2-Red"/>
        <w:spacing w:before="0" w:after="0" w:line="240" w:lineRule="auto"/>
        <w:rPr>
          <w:rFonts w:ascii="Gadugi" w:hAnsi="Gadugi" w:cs="Gadugi"/>
          <w:i w:val="0"/>
          <w:color w:val="auto"/>
          <w:sz w:val="18"/>
          <w:szCs w:val="18"/>
        </w:rPr>
      </w:pPr>
      <w:bookmarkStart w:id="10" w:name="_Ref117019424"/>
      <w:r>
        <w:rPr>
          <w:rFonts w:ascii="Gadugi" w:hAnsi="Gadugi" w:cs="Gadugi"/>
          <w:i w:val="0"/>
          <w:iCs w:val="0"/>
          <w:color w:val="auto"/>
          <w:sz w:val="18"/>
          <w:szCs w:val="18"/>
        </w:rPr>
        <w:t xml:space="preserve">Encerrada a etapa de negociação, o pregoeiro verificará se o licitante provisoriamente classificado em primeiro lugar atende às condições de participação no certame, conforme previsto no </w:t>
      </w:r>
      <w:hyperlink r:id="rId17" w:tooltip="http://www.planalto.gov.br/ccivil_03/_ato2019-2022/2021/lei/L14133.htm#art14&quot; l &quot;art14">
        <w:r>
          <w:rPr>
            <w:rFonts w:ascii="Gadugi" w:hAnsi="Gadugi" w:cs="Gadugi"/>
            <w:i w:val="0"/>
            <w:iCs w:val="0"/>
            <w:color w:val="auto"/>
            <w:sz w:val="18"/>
            <w:szCs w:val="18"/>
            <w:u w:val="single"/>
          </w:rPr>
          <w:t>art. 14 da Lei nº 14.133/2021</w:t>
        </w:r>
      </w:hyperlink>
      <w:r>
        <w:rPr>
          <w:rFonts w:ascii="Gadugi" w:hAnsi="Gadugi" w:cs="Gadugi"/>
          <w:i w:val="0"/>
          <w:iCs w:val="0"/>
          <w:color w:val="auto"/>
          <w:sz w:val="18"/>
          <w:szCs w:val="18"/>
        </w:rPr>
        <w:t xml:space="preserve">, legislação correlata e no item 3.6 do edital, </w:t>
      </w:r>
      <w:bookmarkEnd w:id="10"/>
      <w:r>
        <w:rPr>
          <w:rFonts w:ascii="Gadugi" w:hAnsi="Gadugi" w:cs="Gadugi"/>
          <w:i w:val="0"/>
          <w:iCs w:val="0"/>
          <w:color w:val="auto"/>
          <w:sz w:val="18"/>
          <w:szCs w:val="18"/>
          <w:lang w:eastAsia="ar-SA"/>
        </w:rPr>
        <w:t>especialmente quanto à existência de sanção que impeça a participação no certame ou a futura contratação, mediante a consulta aos seguintes cadastros:</w:t>
      </w:r>
    </w:p>
    <w:p w14:paraId="36AC683E"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lang w:eastAsia="ar-SA"/>
        </w:rPr>
        <w:t>Cadastro Nacional de Empresas Inidôneas e Suspensas – CEIS, mantido pela Controladoria-Geral da União (</w:t>
      </w:r>
      <w:hyperlink r:id="rId18" w:tooltip="https://www.portaltransparencia.gov.br/sancoes/ceis">
        <w:r>
          <w:rPr>
            <w:rFonts w:ascii="Gadugi" w:hAnsi="Gadugi" w:cs="Gadugi"/>
            <w:i w:val="0"/>
            <w:iCs w:val="0"/>
            <w:color w:val="auto"/>
            <w:sz w:val="18"/>
            <w:szCs w:val="18"/>
            <w:u w:val="single"/>
            <w:lang w:eastAsia="ar-SA"/>
          </w:rPr>
          <w:t>https://www.portaltransparencia.gov.br/sancoes/ceis</w:t>
        </w:r>
      </w:hyperlink>
      <w:r>
        <w:rPr>
          <w:rFonts w:ascii="Gadugi" w:hAnsi="Gadugi" w:cs="Gadugi"/>
          <w:i w:val="0"/>
          <w:iCs w:val="0"/>
          <w:color w:val="auto"/>
          <w:sz w:val="18"/>
          <w:szCs w:val="18"/>
          <w:lang w:eastAsia="ar-SA"/>
        </w:rPr>
        <w:t xml:space="preserve">); e </w:t>
      </w:r>
    </w:p>
    <w:p w14:paraId="0F27D391" w14:textId="77777777" w:rsidR="005B203D" w:rsidRDefault="00E60DC2">
      <w:pPr>
        <w:pStyle w:val="Nvel2-Red"/>
        <w:numPr>
          <w:ilvl w:val="3"/>
          <w:numId w:val="2"/>
        </w:numPr>
        <w:tabs>
          <w:tab w:val="left" w:pos="1154"/>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lang w:eastAsia="ar-SA"/>
        </w:rPr>
        <w:t>Cadastro Nacional de Empresas Punidas – CNEP, mantido pela Controladoria-Geral da União (</w:t>
      </w:r>
      <w:hyperlink r:id="rId19" w:tooltip="https://www.portaltransparencia.gov.br/sancoes/cnep">
        <w:r>
          <w:rPr>
            <w:rFonts w:ascii="Gadugi" w:hAnsi="Gadugi" w:cs="Gadugi"/>
            <w:i w:val="0"/>
            <w:iCs w:val="0"/>
            <w:color w:val="auto"/>
            <w:sz w:val="18"/>
            <w:szCs w:val="18"/>
            <w:u w:val="single"/>
            <w:lang w:eastAsia="ar-SA"/>
          </w:rPr>
          <w:t>https://www.portaltransparencia.gov.br/sancoes/cnep</w:t>
        </w:r>
      </w:hyperlink>
      <w:r>
        <w:rPr>
          <w:rFonts w:ascii="Gadugi" w:hAnsi="Gadugi" w:cs="Gadugi"/>
          <w:i w:val="0"/>
          <w:iCs w:val="0"/>
          <w:color w:val="auto"/>
          <w:sz w:val="18"/>
          <w:szCs w:val="18"/>
          <w:lang w:eastAsia="ar-SA"/>
        </w:rPr>
        <w:t>).</w:t>
      </w:r>
    </w:p>
    <w:p w14:paraId="05EC0845"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A consulta aos cadastros será realizada em nome da empresa licitante e também de seu sócio majoritário, por força da vedação de que trata o </w:t>
      </w:r>
      <w:hyperlink r:id="rId20" w:tooltip="https://www.planalto.gov.br/ccivil_03/leis/l8429.htm#:~:text=%C3%A0s%20seguintes%20comina%C3%A7%C3%B5es%3A-,Art.,n%C2%BA%2012.120%2C%20de%202009).&quot; l &quot;:~:text=%C3%A0s%20seguintes%20comina%C3%A7%C3%B5es%3A-,Art.,n%C2%BA%2012.120%2C%20de%202009).">
        <w:r>
          <w:rPr>
            <w:rFonts w:ascii="Gadugi" w:hAnsi="Gadugi" w:cs="Gadugi"/>
            <w:i w:val="0"/>
            <w:iCs w:val="0"/>
            <w:color w:val="auto"/>
            <w:sz w:val="18"/>
            <w:szCs w:val="18"/>
            <w:u w:val="single"/>
          </w:rPr>
          <w:t>artigo 12 da Lei n° 8.429, de 1992</w:t>
        </w:r>
      </w:hyperlink>
      <w:r>
        <w:rPr>
          <w:rFonts w:ascii="Gadugi" w:hAnsi="Gadugi" w:cs="Gadugi"/>
          <w:i w:val="0"/>
          <w:iCs w:val="0"/>
          <w:color w:val="auto"/>
          <w:sz w:val="18"/>
          <w:szCs w:val="18"/>
        </w:rPr>
        <w:t>.</w:t>
      </w:r>
    </w:p>
    <w:p w14:paraId="4B05E115"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Caso conste na Consulta de Situação do licitante a existência de Ocorrências Impeditivas Indiretas, o Pregoeiro diligenciará para verificar se houve fraude por parte das empresas apontadas no Relatório de Ocorrências Impeditivas Indiretas.</w:t>
      </w:r>
    </w:p>
    <w:p w14:paraId="3B98CE4D" w14:textId="77777777" w:rsidR="005B203D" w:rsidRDefault="00E60DC2">
      <w:pPr>
        <w:pStyle w:val="Nvel2-Red"/>
        <w:numPr>
          <w:ilvl w:val="3"/>
          <w:numId w:val="2"/>
        </w:numPr>
        <w:tabs>
          <w:tab w:val="left" w:pos="1154"/>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 tentativa de burla será verificada por meio dos vínculos societários, linhas de fornecimento similares, dentre outros.</w:t>
      </w:r>
    </w:p>
    <w:p w14:paraId="702F3A7C" w14:textId="77777777" w:rsidR="005B203D" w:rsidRDefault="00E60DC2">
      <w:pPr>
        <w:pStyle w:val="Nvel2-Red"/>
        <w:numPr>
          <w:ilvl w:val="3"/>
          <w:numId w:val="2"/>
        </w:numPr>
        <w:tabs>
          <w:tab w:val="left" w:pos="1188"/>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O licitante será convocado para manifestação previamente a uma eventual desclassificação. </w:t>
      </w:r>
    </w:p>
    <w:p w14:paraId="5EE39112" w14:textId="77777777" w:rsidR="005B203D" w:rsidRDefault="00E60DC2">
      <w:pPr>
        <w:pStyle w:val="Nvel2-Red"/>
        <w:numPr>
          <w:ilvl w:val="3"/>
          <w:numId w:val="2"/>
        </w:numPr>
        <w:tabs>
          <w:tab w:val="left" w:pos="1177"/>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Constatada a existência de sanção, o licitante será reputado inabilitado, por falta de condição de participação.</w:t>
      </w:r>
    </w:p>
    <w:p w14:paraId="5B413A47" w14:textId="77777777" w:rsidR="005B203D" w:rsidRDefault="00E60DC2">
      <w:pPr>
        <w:pStyle w:val="Nvel2-Red"/>
        <w:numPr>
          <w:ilvl w:val="3"/>
          <w:numId w:val="2"/>
        </w:numPr>
        <w:tabs>
          <w:tab w:val="left" w:pos="1165"/>
        </w:tabs>
        <w:spacing w:before="0" w:after="0" w:line="240" w:lineRule="auto"/>
        <w:ind w:left="999" w:hanging="432"/>
        <w:rPr>
          <w:rFonts w:ascii="Gadugi" w:hAnsi="Gadugi" w:cs="Gadugi"/>
          <w:b/>
          <w:i w:val="0"/>
          <w:color w:val="auto"/>
          <w:sz w:val="18"/>
          <w:szCs w:val="18"/>
        </w:rPr>
      </w:pPr>
      <w:bookmarkStart w:id="11" w:name="_Hlk135317550"/>
      <w:r>
        <w:rPr>
          <w:rFonts w:ascii="Gadugi" w:hAnsi="Gadugi" w:cs="Gadugi"/>
          <w:i w:val="0"/>
          <w:iCs w:val="0"/>
          <w:color w:val="auto"/>
          <w:sz w:val="18"/>
          <w:szCs w:val="18"/>
        </w:rPr>
        <w:t>Na hipótese de inversão das fases de habilitação e julgamento, caso atendidas as condições de participação, será iniciado o procedimento de habilitação.</w:t>
      </w:r>
      <w:bookmarkEnd w:id="11"/>
    </w:p>
    <w:p w14:paraId="70658E5B"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Caso o licitante provisoriamente classificado em primeiro lugar tenha se utilizado de algum tratamento favorecido às ME/EPP, o pregoeiro verificará se faz jus ao benefício.</w:t>
      </w:r>
    </w:p>
    <w:p w14:paraId="03132DBA"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1CDE502"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Será desclassificada a proposta vencedora que: </w:t>
      </w:r>
    </w:p>
    <w:p w14:paraId="22D72631"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Contiver vícios insanáveis;</w:t>
      </w:r>
    </w:p>
    <w:p w14:paraId="32E0F394"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Não obedecer às especificações técnicas contidas no Termo de Referência;</w:t>
      </w:r>
    </w:p>
    <w:p w14:paraId="7AED3D11"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Apresentar preços inexequíveis ou permanecerem acima do preço máximo definido para a contratação;</w:t>
      </w:r>
    </w:p>
    <w:p w14:paraId="7A4CC03D"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Não tiverem sua exequibilidade demonstrada, quando exigido pela Administração;</w:t>
      </w:r>
    </w:p>
    <w:p w14:paraId="6D77E928"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Apresentar desconformidade com quaisquer outras exigências deste Edital ou seus anexos, desde que insanável</w:t>
      </w:r>
    </w:p>
    <w:p w14:paraId="2C388D42"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No caso de bens e serviços em geral, é indício de inexequibilidade das propostas valores inferiores a 50% (cinquenta por cento) do valor orçado pela Administração.</w:t>
      </w:r>
    </w:p>
    <w:p w14:paraId="108FDBD8"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 inexequibilidade, na hipótese de que trata o caput, só será considerada após diligência do pregoeiro, que comprove:</w:t>
      </w:r>
    </w:p>
    <w:p w14:paraId="79F1B027" w14:textId="77777777" w:rsidR="005B203D" w:rsidRDefault="00E60DC2">
      <w:pPr>
        <w:pStyle w:val="Nvel2-Red"/>
        <w:numPr>
          <w:ilvl w:val="3"/>
          <w:numId w:val="2"/>
        </w:numPr>
        <w:tabs>
          <w:tab w:val="left" w:pos="1131"/>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 Que o custo do licitante ultrapassa o valor da proposta; e</w:t>
      </w:r>
    </w:p>
    <w:p w14:paraId="47FFBB55" w14:textId="77777777" w:rsidR="005B203D" w:rsidRDefault="00E60DC2">
      <w:pPr>
        <w:pStyle w:val="Nvel2-Red"/>
        <w:numPr>
          <w:ilvl w:val="3"/>
          <w:numId w:val="2"/>
        </w:numPr>
        <w:tabs>
          <w:tab w:val="left" w:pos="1131"/>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 Inexistirem custos de oportunidade capazes de justificar o vulto da oferta.</w:t>
      </w:r>
    </w:p>
    <w:p w14:paraId="38C28CC3"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Se houver indícios de inexequibilidade da proposta de preço, ou em caso da necessidade de esclarecimentos complementares, poderão ser efetuadas diligências, para que a empresa comprove a exequibilidade da proposta.</w:t>
      </w:r>
    </w:p>
    <w:p w14:paraId="1A9EE95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D6B4410"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bookmarkStart w:id="12" w:name="_Hlk126568356"/>
      <w:r>
        <w:rPr>
          <w:rFonts w:ascii="Gadugi" w:hAnsi="Gadugi" w:cs="Gadugi"/>
          <w:i w:val="0"/>
          <w:iCs w:val="0"/>
          <w:color w:val="auto"/>
          <w:sz w:val="18"/>
          <w:szCs w:val="18"/>
        </w:rPr>
        <w:t>Em se tratando de serviços de engenharia, o licitante vencedor será convocado a apresentar à Administração, por meio eletrônico, as planilhas com indicação dos quantitativos e dos custos unitários</w:t>
      </w:r>
      <w:bookmarkEnd w:id="12"/>
      <w:r>
        <w:rPr>
          <w:rFonts w:ascii="Gadugi" w:hAnsi="Gadugi" w:cs="Gadugi"/>
          <w:i w:val="0"/>
          <w:iCs w:val="0"/>
          <w:color w:val="auto"/>
          <w:sz w:val="18"/>
          <w:szCs w:val="18"/>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 integrada e contratação integrada, exclusivamente para eventuais adequações indispensáveis no cronograma físico-financeiro e para balizar excepcional aditamento posterior do contrato.</w:t>
      </w:r>
    </w:p>
    <w:p w14:paraId="771F0B40"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CFF9699"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O ajuste de que trata este dispositivo se limita a sanar erros ou falhas que não alterem a substância das propostas;</w:t>
      </w:r>
    </w:p>
    <w:p w14:paraId="744171A0"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Considera-se erro no preenchimento da planilha passível de correção a indicação de recolhimento de impostos e contribuições na forma do Simples Nacional, quando não cabível esse regime.</w:t>
      </w:r>
    </w:p>
    <w:p w14:paraId="0DB105AF"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lang w:eastAsia="en-US"/>
        </w:rPr>
        <w:t xml:space="preserve">Para </w:t>
      </w:r>
      <w:r>
        <w:rPr>
          <w:rFonts w:ascii="Gadugi" w:hAnsi="Gadugi" w:cs="Gadugi"/>
          <w:i w:val="0"/>
          <w:iCs w:val="0"/>
          <w:color w:val="auto"/>
          <w:sz w:val="18"/>
          <w:szCs w:val="18"/>
        </w:rPr>
        <w:t>fins</w:t>
      </w:r>
      <w:r>
        <w:rPr>
          <w:rFonts w:ascii="Gadugi" w:hAnsi="Gadugi" w:cs="Gadugi"/>
          <w:i w:val="0"/>
          <w:iCs w:val="0"/>
          <w:color w:val="auto"/>
          <w:sz w:val="18"/>
          <w:szCs w:val="18"/>
          <w:lang w:eastAsia="en-US"/>
        </w:rPr>
        <w:t xml:space="preserve"> de análise da proposta quanto ao cumprimento </w:t>
      </w:r>
      <w:r>
        <w:rPr>
          <w:rFonts w:ascii="Gadugi" w:hAnsi="Gadugi" w:cs="Gadugi"/>
          <w:i w:val="0"/>
          <w:iCs w:val="0"/>
          <w:color w:val="auto"/>
          <w:sz w:val="18"/>
          <w:szCs w:val="18"/>
        </w:rPr>
        <w:t>das</w:t>
      </w:r>
      <w:r>
        <w:rPr>
          <w:rFonts w:ascii="Gadugi" w:hAnsi="Gadugi" w:cs="Gadugi"/>
          <w:i w:val="0"/>
          <w:iCs w:val="0"/>
          <w:color w:val="auto"/>
          <w:sz w:val="18"/>
          <w:szCs w:val="18"/>
          <w:lang w:eastAsia="en-US"/>
        </w:rPr>
        <w:t xml:space="preserve"> especificações do objeto, poderá ser colhida a </w:t>
      </w:r>
      <w:r>
        <w:rPr>
          <w:rFonts w:ascii="Gadugi" w:hAnsi="Gadugi" w:cs="Gadugi"/>
          <w:i w:val="0"/>
          <w:iCs w:val="0"/>
          <w:color w:val="auto"/>
          <w:sz w:val="18"/>
          <w:szCs w:val="18"/>
        </w:rPr>
        <w:t>manifestação</w:t>
      </w:r>
      <w:r>
        <w:rPr>
          <w:rFonts w:ascii="Gadugi" w:hAnsi="Gadugi" w:cs="Gadugi"/>
          <w:i w:val="0"/>
          <w:iCs w:val="0"/>
          <w:color w:val="auto"/>
          <w:sz w:val="18"/>
          <w:szCs w:val="18"/>
          <w:lang w:eastAsia="en-US"/>
        </w:rPr>
        <w:t xml:space="preserve"> escrita do setor requisitante do serviço ou da área especializada no objeto.</w:t>
      </w:r>
    </w:p>
    <w:p w14:paraId="5B33B61B" w14:textId="77777777" w:rsidR="005B203D" w:rsidRDefault="005B203D">
      <w:pPr>
        <w:pStyle w:val="Nvel2-Red"/>
        <w:numPr>
          <w:ilvl w:val="0"/>
          <w:numId w:val="0"/>
        </w:numPr>
        <w:spacing w:before="0" w:after="0" w:line="240" w:lineRule="auto"/>
        <w:ind w:left="999"/>
        <w:rPr>
          <w:rFonts w:ascii="Gadugi" w:hAnsi="Gadugi" w:cs="Gadugi"/>
          <w:i w:val="0"/>
          <w:color w:val="auto"/>
          <w:sz w:val="18"/>
          <w:szCs w:val="18"/>
        </w:rPr>
      </w:pPr>
    </w:p>
    <w:p w14:paraId="69DE181A"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bookmarkStart w:id="13" w:name="_Toc135469230"/>
      <w:r>
        <w:rPr>
          <w:rFonts w:ascii="Gadugi" w:hAnsi="Gadugi" w:cs="Gadugi"/>
          <w:b/>
          <w:bCs/>
          <w:i w:val="0"/>
          <w:iCs w:val="0"/>
          <w:color w:val="auto"/>
          <w:sz w:val="18"/>
          <w:szCs w:val="18"/>
        </w:rPr>
        <w:t>DA FASE DE HABILITAÇÃO</w:t>
      </w:r>
      <w:bookmarkEnd w:id="13"/>
    </w:p>
    <w:p w14:paraId="084F85A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21" w:tooltip="http://www.planalto.gov.br/ccivil_03/_ato2019-2022/2021/lei/L14133.htm#art62&quot; l &quot;art62">
        <w:r>
          <w:rPr>
            <w:rFonts w:ascii="Gadugi" w:hAnsi="Gadugi" w:cs="Gadugi"/>
            <w:i w:val="0"/>
            <w:iCs w:val="0"/>
            <w:color w:val="auto"/>
            <w:sz w:val="18"/>
            <w:szCs w:val="18"/>
            <w:u w:val="single"/>
          </w:rPr>
          <w:t>arts. 62 a 70 da Lei nº 14.133, de 2021</w:t>
        </w:r>
      </w:hyperlink>
      <w:r>
        <w:rPr>
          <w:rFonts w:ascii="Gadugi" w:hAnsi="Gadugi" w:cs="Gadugi"/>
          <w:i w:val="0"/>
          <w:iCs w:val="0"/>
          <w:color w:val="auto"/>
          <w:sz w:val="18"/>
          <w:szCs w:val="18"/>
        </w:rPr>
        <w:t>.</w:t>
      </w:r>
    </w:p>
    <w:p w14:paraId="6DC7E45C"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Quando permitida a participação de empresas estrangeiras que não funcionem no País, as exigências de habilitação serão atendidas mediante documentos equivalentes, inicialmente apresentados em tradução livre.</w:t>
      </w:r>
    </w:p>
    <w:p w14:paraId="28908533"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B52BF08"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0777703"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Se o consórcio não for formado integralmente por microempresas ou empresas de pequeno porte e o termo de referência exigir requisitos de habilitação econômico-financeira, haverá um acréscimo de 30 % para o consórcio em relação ao valor exigido para os licitantes individuais.</w:t>
      </w:r>
    </w:p>
    <w:p w14:paraId="421D9784"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Os documentos exigidos para fins de habilitação poderão ser apresentados em original, por cópia.</w:t>
      </w:r>
    </w:p>
    <w:p w14:paraId="044A6C3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Será verificado se o licitante apresentou declaração de que atende aos requisitos de habilitação, e o declarante responderá pela veracidade das informações prestadas, na forma da lei (</w:t>
      </w:r>
      <w:hyperlink r:id="rId22" w:tooltip="http://www.planalto.gov.br/ccivil_03/_ato2019-2022/2021/lei/L14133.htm#art63&quot; l &quot;art63">
        <w:r>
          <w:rPr>
            <w:rFonts w:ascii="Gadugi" w:hAnsi="Gadugi" w:cs="Gadugi"/>
            <w:i w:val="0"/>
            <w:iCs w:val="0"/>
            <w:color w:val="auto"/>
            <w:sz w:val="18"/>
            <w:szCs w:val="18"/>
            <w:u w:val="single"/>
          </w:rPr>
          <w:t>art. 63, I, da Lei nº 14.133/2021</w:t>
        </w:r>
      </w:hyperlink>
      <w:r>
        <w:rPr>
          <w:rFonts w:ascii="Gadugi" w:hAnsi="Gadugi" w:cs="Gadugi"/>
          <w:i w:val="0"/>
          <w:iCs w:val="0"/>
          <w:color w:val="auto"/>
          <w:sz w:val="18"/>
          <w:szCs w:val="18"/>
        </w:rPr>
        <w:t>).</w:t>
      </w:r>
    </w:p>
    <w:p w14:paraId="36270600"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21DFD6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239006C1"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Somente haverá a necessidade de comprovação do preenchimento de requisitos mediante apresentação dos documentos de habilitação originais não-digitais quando houver dúvida em relação à integridade do documento digital ou quando a lei expressamente o exigir. </w:t>
      </w:r>
    </w:p>
    <w:p w14:paraId="675FF0E1"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66A8CE9D"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A não observância do disposto no item anterior poderá ensejar desclassificação no momento da habilitação. </w:t>
      </w:r>
    </w:p>
    <w:p w14:paraId="750B45EF"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verificação pelo pregoeiro, em sítios eletrônicos oficiais de órgãos e entidades emissores de certidões constitui meio legal de prova, para fins de habilitação.</w:t>
      </w:r>
    </w:p>
    <w:p w14:paraId="4C86C70D" w14:textId="77777777" w:rsidR="005B203D" w:rsidRDefault="00E60DC2">
      <w:pPr>
        <w:pStyle w:val="Nvel2-Red"/>
        <w:numPr>
          <w:ilvl w:val="2"/>
          <w:numId w:val="2"/>
        </w:numPr>
        <w:tabs>
          <w:tab w:val="left" w:pos="1177"/>
        </w:tabs>
        <w:spacing w:before="0" w:after="0" w:line="240" w:lineRule="auto"/>
        <w:ind w:left="999" w:hanging="432"/>
        <w:rPr>
          <w:rFonts w:ascii="Gadugi" w:hAnsi="Gadugi" w:cs="Gadugi"/>
          <w:b/>
          <w:i w:val="0"/>
          <w:color w:val="auto"/>
          <w:sz w:val="18"/>
          <w:szCs w:val="18"/>
        </w:rPr>
      </w:pPr>
      <w:r>
        <w:rPr>
          <w:rFonts w:ascii="Gadugi" w:hAnsi="Gadugi" w:cs="Gadugi"/>
          <w:i w:val="0"/>
          <w:iCs w:val="0"/>
          <w:color w:val="auto"/>
          <w:sz w:val="18"/>
          <w:szCs w:val="18"/>
        </w:rPr>
        <w:t>Os documentos exigidos para habilitação serão enviados por meio do sistema, em formato digital, no prazo</w:t>
      </w:r>
      <w:r>
        <w:rPr>
          <w:rFonts w:ascii="Gadugi" w:hAnsi="Gadugi" w:cs="Gadugi"/>
          <w:b/>
          <w:bCs/>
          <w:i w:val="0"/>
          <w:iCs w:val="0"/>
          <w:color w:val="auto"/>
          <w:sz w:val="18"/>
          <w:szCs w:val="18"/>
        </w:rPr>
        <w:t xml:space="preserve"> 120 (cento e vinte) minutos</w:t>
      </w:r>
      <w:r>
        <w:rPr>
          <w:rFonts w:ascii="Gadugi" w:hAnsi="Gadugi" w:cs="Gadugi"/>
          <w:i w:val="0"/>
          <w:iCs w:val="0"/>
          <w:color w:val="auto"/>
          <w:sz w:val="18"/>
          <w:szCs w:val="18"/>
        </w:rPr>
        <w:t>, sem prorrogação de deste prazo.</w:t>
      </w:r>
    </w:p>
    <w:p w14:paraId="698F26D8" w14:textId="77777777" w:rsidR="005B203D" w:rsidRDefault="00E60DC2">
      <w:pPr>
        <w:pStyle w:val="Nvel2-Red"/>
        <w:numPr>
          <w:ilvl w:val="2"/>
          <w:numId w:val="2"/>
        </w:numPr>
        <w:tabs>
          <w:tab w:val="left" w:pos="1154"/>
          <w:tab w:val="left" w:pos="1177"/>
        </w:tabs>
        <w:spacing w:before="0" w:after="0" w:line="240" w:lineRule="auto"/>
        <w:ind w:left="999" w:hanging="432"/>
        <w:rPr>
          <w:rFonts w:ascii="Gadugi" w:hAnsi="Gadugi" w:cs="Gadugi"/>
          <w:b/>
          <w:i w:val="0"/>
          <w:color w:val="auto"/>
          <w:sz w:val="18"/>
          <w:szCs w:val="18"/>
        </w:rPr>
      </w:pPr>
      <w:r>
        <w:rPr>
          <w:rFonts w:ascii="Gadugi" w:hAnsi="Gadugi" w:cs="Gadugi"/>
          <w:i w:val="0"/>
          <w:iCs w:val="0"/>
          <w:color w:val="auto"/>
          <w:sz w:val="18"/>
          <w:szCs w:val="18"/>
        </w:rPr>
        <w:t xml:space="preserve"> </w:t>
      </w:r>
      <w:r>
        <w:rPr>
          <w:rFonts w:ascii="Gadugi" w:hAnsi="Gadugi" w:cs="Gadugi"/>
          <w:b/>
          <w:bCs/>
          <w:color w:val="auto"/>
          <w:sz w:val="18"/>
          <w:szCs w:val="18"/>
          <w:u w:val="single"/>
        </w:rPr>
        <w:t>É facultado ao pregoeiro prorrogar o prazo estabelecido, a partir de solicitação fundamentada feita no chat ou através de e-mail, pelo licitante, antes de findo o prazo.</w:t>
      </w:r>
    </w:p>
    <w:p w14:paraId="33D2269A"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Na hipótese de a fase de habilitação anteceder a fase de apresentação de propostas e lances, os licitantes encaminharão, por meio do sistema, simultaneamente os documentos de habilitação e a proposta com o preço ou o percentual de desconto.</w:t>
      </w:r>
    </w:p>
    <w:p w14:paraId="201FBEA2"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verificação da habilitação somente será feita em relação ao licitante vencedor.</w:t>
      </w:r>
    </w:p>
    <w:p w14:paraId="7CE11AC6" w14:textId="77777777" w:rsidR="005B203D" w:rsidRDefault="00E60DC2">
      <w:pPr>
        <w:pStyle w:val="Nvel2-Red"/>
        <w:numPr>
          <w:ilvl w:val="2"/>
          <w:numId w:val="2"/>
        </w:numPr>
        <w:tabs>
          <w:tab w:val="left" w:pos="1177"/>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Os documentos relativos à regularidade fiscal que constem do Termo de Referência somente serão exigidos, em qualquer caso, em momento posterior ao julgamento das propostas, e apenas do licitante mais bem classificado.</w:t>
      </w:r>
    </w:p>
    <w:p w14:paraId="62CD1A89" w14:textId="77777777" w:rsidR="005B203D" w:rsidRDefault="00E60DC2">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17FD64E"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Após a entrega dos documentos para habilitação, não será permitida a substituição ou a apresentação de novos documentos, salvo em sede de diligência, para (</w:t>
      </w:r>
      <w:hyperlink r:id="rId23" w:tooltip="http://www.planalto.gov.br/ccivil_03/_ato2019-2022/2021/lei/L14133.htm#art64&quot; l &quot;art64">
        <w:r>
          <w:rPr>
            <w:rFonts w:ascii="Gadugi" w:hAnsi="Gadugi" w:cs="Gadugi"/>
            <w:i w:val="0"/>
            <w:iCs w:val="0"/>
            <w:color w:val="auto"/>
            <w:sz w:val="18"/>
            <w:szCs w:val="18"/>
            <w:u w:val="single"/>
          </w:rPr>
          <w:t>Lei 14.133/21, art. 64</w:t>
        </w:r>
      </w:hyperlink>
      <w:r>
        <w:rPr>
          <w:rStyle w:val="Hyperlink1"/>
          <w:rFonts w:ascii="Gadugi" w:hAnsi="Gadugi" w:cs="Gadugi"/>
          <w:i w:val="0"/>
          <w:iCs w:val="0"/>
          <w:color w:val="auto"/>
          <w:sz w:val="18"/>
          <w:szCs w:val="18"/>
        </w:rPr>
        <w:t>)</w:t>
      </w:r>
      <w:r>
        <w:rPr>
          <w:rFonts w:ascii="Gadugi" w:hAnsi="Gadugi" w:cs="Gadugi"/>
          <w:i w:val="0"/>
          <w:iCs w:val="0"/>
          <w:color w:val="auto"/>
          <w:sz w:val="18"/>
          <w:szCs w:val="18"/>
        </w:rPr>
        <w:t>.</w:t>
      </w:r>
    </w:p>
    <w:p w14:paraId="504D54B0" w14:textId="77777777" w:rsidR="005B203D" w:rsidRDefault="00E60DC2">
      <w:pPr>
        <w:pStyle w:val="Nvel2-Red"/>
        <w:numPr>
          <w:ilvl w:val="2"/>
          <w:numId w:val="2"/>
        </w:numPr>
        <w:tabs>
          <w:tab w:val="left" w:pos="1142"/>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Complementação de informações acerca dos documentos já apresentados pelos licitantes e desde que necessária para apurar fatos existentes à época da abertura do certame; e</w:t>
      </w:r>
    </w:p>
    <w:p w14:paraId="41B6C292" w14:textId="77777777" w:rsidR="005B203D" w:rsidRDefault="00E60DC2">
      <w:pPr>
        <w:pStyle w:val="Nvel2-Red"/>
        <w:numPr>
          <w:ilvl w:val="2"/>
          <w:numId w:val="2"/>
        </w:numPr>
        <w:tabs>
          <w:tab w:val="left" w:pos="1154"/>
          <w:tab w:val="left" w:pos="1188"/>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Atualização de documentos cuja validade tenha expirado após a data de recebimento das propostas;</w:t>
      </w:r>
    </w:p>
    <w:p w14:paraId="1B5344B1" w14:textId="77777777" w:rsidR="005B203D" w:rsidRDefault="00E60DC2">
      <w:pPr>
        <w:pStyle w:val="Nvel2-Red"/>
        <w:spacing w:before="0" w:after="0" w:line="240" w:lineRule="auto"/>
        <w:rPr>
          <w:rFonts w:ascii="Gadugi" w:hAnsi="Gadugi" w:cs="Gadugi"/>
          <w:i w:val="0"/>
          <w:color w:val="auto"/>
          <w:sz w:val="18"/>
          <w:szCs w:val="18"/>
        </w:rPr>
      </w:pPr>
      <w:bookmarkStart w:id="14" w:name="_Ref114670319"/>
      <w:r>
        <w:rPr>
          <w:rFonts w:ascii="Gadugi" w:hAnsi="Gadugi" w:cs="Gadugi"/>
          <w:i w:val="0"/>
          <w:iCs w:val="0"/>
          <w:color w:val="auto"/>
          <w:sz w:val="18"/>
          <w:szCs w:val="18"/>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14"/>
    </w:p>
    <w:p w14:paraId="647EF21F" w14:textId="77777777" w:rsidR="005B203D" w:rsidRDefault="00E60DC2">
      <w:pPr>
        <w:pStyle w:val="Nvel2-Red"/>
        <w:spacing w:before="0" w:after="0" w:line="240" w:lineRule="auto"/>
        <w:rPr>
          <w:rFonts w:ascii="Gadugi" w:hAnsi="Gadugi" w:cs="Gadugi"/>
          <w:i w:val="0"/>
          <w:color w:val="auto"/>
          <w:sz w:val="18"/>
          <w:szCs w:val="18"/>
        </w:rPr>
      </w:pPr>
      <w:bookmarkStart w:id="15" w:name="_Ref114665528"/>
      <w:r>
        <w:rPr>
          <w:rFonts w:ascii="Gadugi" w:hAnsi="Gadugi" w:cs="Gadugi"/>
          <w:i w:val="0"/>
          <w:iCs w:val="0"/>
          <w:color w:val="auto"/>
          <w:sz w:val="18"/>
          <w:szCs w:val="18"/>
        </w:rPr>
        <w:t>Na hipótese de o licitante não atender às exigências para habilitação, o pregoeiro examinará a proposta subsequente e assim sucessivamente, na ordem de classificação, até a apuração de uma proposta que atenda ao presente edital</w:t>
      </w:r>
      <w:bookmarkEnd w:id="15"/>
      <w:r>
        <w:rPr>
          <w:rFonts w:ascii="Gadugi" w:hAnsi="Gadugi" w:cs="Gadugi"/>
          <w:i w:val="0"/>
          <w:iCs w:val="0"/>
          <w:color w:val="auto"/>
          <w:sz w:val="18"/>
          <w:szCs w:val="18"/>
        </w:rPr>
        <w:t>.</w:t>
      </w:r>
    </w:p>
    <w:p w14:paraId="751B7576" w14:textId="77777777" w:rsidR="005B203D" w:rsidRDefault="00E60DC2">
      <w:pPr>
        <w:pStyle w:val="Nvel2-Red"/>
        <w:spacing w:before="0" w:after="0" w:line="240" w:lineRule="auto"/>
        <w:rPr>
          <w:rFonts w:ascii="Gadugi" w:hAnsi="Gadugi" w:cs="Gadugi"/>
          <w:i w:val="0"/>
          <w:color w:val="auto"/>
          <w:sz w:val="18"/>
          <w:szCs w:val="18"/>
        </w:rPr>
      </w:pPr>
      <w:bookmarkStart w:id="16" w:name="_Ref114665515"/>
      <w:r>
        <w:rPr>
          <w:rFonts w:ascii="Gadugi" w:hAnsi="Gadugi" w:cs="Gadugi"/>
          <w:i w:val="0"/>
          <w:iCs w:val="0"/>
          <w:color w:val="auto"/>
          <w:sz w:val="18"/>
          <w:szCs w:val="18"/>
        </w:rPr>
        <w:t>Somente serão disponibilizados para acesso público os documentos de habilitação do licitante cuja proposta atenda ao edital de licitação, após concluídos os procedimentos de que trata o subitem anterior</w:t>
      </w:r>
      <w:bookmarkEnd w:id="16"/>
      <w:r>
        <w:rPr>
          <w:rFonts w:ascii="Gadugi" w:hAnsi="Gadugi" w:cs="Gadugi"/>
          <w:i w:val="0"/>
          <w:iCs w:val="0"/>
          <w:color w:val="auto"/>
          <w:sz w:val="18"/>
          <w:szCs w:val="18"/>
        </w:rPr>
        <w:t>.</w:t>
      </w:r>
    </w:p>
    <w:p w14:paraId="397626C7"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comprovação de regularidade fiscal e trabalhista das microempresas e das empresas de pequeno porte somente será exigida para efeito de contratação, e não como condição para participação na licitação.</w:t>
      </w:r>
    </w:p>
    <w:p w14:paraId="04BA8454"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Quando a fase de habilitação anteceder a de julgamento e já tiver sido encerrada, não caberá exclusão de licitante por motivo relacionado à habilitação, salvo em razão de fatos supervenientes ou só conhecidos após o julgamento.</w:t>
      </w:r>
    </w:p>
    <w:p w14:paraId="02732A70" w14:textId="77777777" w:rsidR="005B203D" w:rsidRDefault="005B203D">
      <w:pPr>
        <w:pStyle w:val="Nvel2-Red"/>
        <w:numPr>
          <w:ilvl w:val="0"/>
          <w:numId w:val="0"/>
        </w:numPr>
        <w:spacing w:before="0" w:after="0" w:line="240" w:lineRule="auto"/>
        <w:ind w:left="999"/>
        <w:rPr>
          <w:rFonts w:ascii="Gadugi" w:hAnsi="Gadugi" w:cs="Gadugi"/>
          <w:i w:val="0"/>
          <w:color w:val="auto"/>
          <w:sz w:val="18"/>
          <w:szCs w:val="18"/>
        </w:rPr>
      </w:pPr>
    </w:p>
    <w:p w14:paraId="172FCCB4"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bookmarkStart w:id="17" w:name="_Toc135469231"/>
      <w:r>
        <w:rPr>
          <w:rFonts w:ascii="Gadugi" w:hAnsi="Gadugi" w:cs="Gadugi"/>
          <w:b/>
          <w:bCs/>
          <w:i w:val="0"/>
          <w:iCs w:val="0"/>
          <w:color w:val="auto"/>
          <w:sz w:val="18"/>
          <w:szCs w:val="18"/>
        </w:rPr>
        <w:t>DA ATA DE REGISTRO DE PREÇOS</w:t>
      </w:r>
      <w:bookmarkEnd w:id="17"/>
    </w:p>
    <w:p w14:paraId="1FCCC9D8"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Homologado o resultado da licitação, o licitante melhor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E6833A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 prazo de convocação poderá ser prorrogado uma vez, por igual período, mediante solicitação do licitante mais bem classificado ou do fornecedor convocado, desde que:</w:t>
      </w:r>
    </w:p>
    <w:p w14:paraId="4E92020E" w14:textId="77777777" w:rsidR="005B203D" w:rsidRDefault="00E60DC2">
      <w:pPr>
        <w:pStyle w:val="Nivel2"/>
        <w:numPr>
          <w:ilvl w:val="0"/>
          <w:numId w:val="0"/>
        </w:numPr>
        <w:spacing w:before="0" w:after="0" w:line="240" w:lineRule="auto"/>
        <w:ind w:left="2126"/>
        <w:rPr>
          <w:rFonts w:ascii="Gadugi" w:hAnsi="Gadugi" w:cs="Gadugi"/>
          <w:color w:val="auto"/>
          <w:sz w:val="18"/>
          <w:szCs w:val="18"/>
        </w:rPr>
      </w:pPr>
      <w:r>
        <w:rPr>
          <w:rFonts w:ascii="Gadugi" w:hAnsi="Gadugi" w:cs="Gadugi"/>
          <w:color w:val="auto"/>
          <w:sz w:val="18"/>
          <w:szCs w:val="18"/>
        </w:rPr>
        <w:t>(a) a solicitação seja devidamente justificada e apresentada dentro do prazo; e</w:t>
      </w:r>
    </w:p>
    <w:p w14:paraId="5265A701" w14:textId="77777777" w:rsidR="005B203D" w:rsidRDefault="00E60DC2">
      <w:pPr>
        <w:pStyle w:val="Nivel2"/>
        <w:numPr>
          <w:ilvl w:val="0"/>
          <w:numId w:val="0"/>
        </w:numPr>
        <w:spacing w:before="0" w:after="0" w:line="240" w:lineRule="auto"/>
        <w:ind w:left="2126"/>
        <w:rPr>
          <w:rFonts w:ascii="Gadugi" w:hAnsi="Gadugi" w:cs="Gadugi"/>
          <w:color w:val="auto"/>
          <w:sz w:val="18"/>
          <w:szCs w:val="18"/>
        </w:rPr>
      </w:pPr>
      <w:r>
        <w:rPr>
          <w:rFonts w:ascii="Gadugi" w:hAnsi="Gadugi" w:cs="Gadugi"/>
          <w:color w:val="auto"/>
          <w:sz w:val="18"/>
          <w:szCs w:val="18"/>
        </w:rPr>
        <w:t>(b) a justificativa apresentada seja aceita pela Administração.</w:t>
      </w:r>
    </w:p>
    <w:p w14:paraId="20C4BBF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ata de registro de preços será assinada por meio de assinatura digital e disponibilizada no sistema de registro de preços.</w:t>
      </w:r>
    </w:p>
    <w:p w14:paraId="366C9E98"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00D0437"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 preço registrado, com a indicação dos fornecedores, será divulgado no PNCP e disponibilizado durante a vigência da ata de registro de preços.</w:t>
      </w:r>
    </w:p>
    <w:p w14:paraId="0E67610A"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F0272CF"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BFB3CD9" w14:textId="77777777" w:rsidR="005B203D" w:rsidRDefault="005B203D">
      <w:pPr>
        <w:pStyle w:val="Nvel2-Red"/>
        <w:numPr>
          <w:ilvl w:val="0"/>
          <w:numId w:val="0"/>
        </w:numPr>
        <w:spacing w:before="0" w:after="0" w:line="240" w:lineRule="auto"/>
        <w:ind w:left="999"/>
        <w:rPr>
          <w:rFonts w:ascii="Gadugi" w:hAnsi="Gadugi" w:cs="Gadugi"/>
          <w:b/>
          <w:i w:val="0"/>
          <w:color w:val="auto"/>
          <w:sz w:val="18"/>
          <w:szCs w:val="18"/>
        </w:rPr>
      </w:pPr>
    </w:p>
    <w:p w14:paraId="405A0356"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bookmarkStart w:id="18" w:name="_Toc135469232"/>
      <w:r>
        <w:rPr>
          <w:rFonts w:ascii="Gadugi" w:hAnsi="Gadugi" w:cs="Gadugi"/>
          <w:b/>
          <w:bCs/>
          <w:i w:val="0"/>
          <w:iCs w:val="0"/>
          <w:color w:val="auto"/>
          <w:sz w:val="18"/>
          <w:szCs w:val="18"/>
        </w:rPr>
        <w:t>DA FORMAÇÃO DO CADASTRO DE RESERVA</w:t>
      </w:r>
      <w:bookmarkEnd w:id="18"/>
      <w:r>
        <w:rPr>
          <w:rFonts w:ascii="Gadugi" w:hAnsi="Gadugi" w:cs="Gadugi"/>
          <w:b/>
          <w:bCs/>
          <w:i w:val="0"/>
          <w:iCs w:val="0"/>
          <w:color w:val="auto"/>
          <w:sz w:val="18"/>
          <w:szCs w:val="18"/>
        </w:rPr>
        <w:t xml:space="preserve"> </w:t>
      </w:r>
    </w:p>
    <w:p w14:paraId="583EBE0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Após a homologação da licitação, será incluído na ata, na forma de anexo, o registro:.</w:t>
      </w:r>
    </w:p>
    <w:p w14:paraId="7A0DE152" w14:textId="77777777" w:rsidR="005B203D" w:rsidRDefault="00E60DC2">
      <w:pPr>
        <w:pStyle w:val="Nvel2-Red"/>
        <w:numPr>
          <w:ilvl w:val="2"/>
          <w:numId w:val="2"/>
        </w:numPr>
        <w:tabs>
          <w:tab w:val="left" w:pos="1142"/>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Dos licitantes </w:t>
      </w:r>
      <w:bookmarkStart w:id="19" w:name="_Hlk132991372"/>
      <w:r>
        <w:rPr>
          <w:rFonts w:ascii="Gadugi" w:hAnsi="Gadugi" w:cs="Gadugi"/>
          <w:i w:val="0"/>
          <w:iCs w:val="0"/>
          <w:color w:val="auto"/>
          <w:sz w:val="18"/>
          <w:szCs w:val="18"/>
        </w:rPr>
        <w:t xml:space="preserve">que </w:t>
      </w:r>
      <w:bookmarkStart w:id="20" w:name="_Hlk132989696"/>
      <w:r>
        <w:rPr>
          <w:rFonts w:ascii="Gadugi" w:hAnsi="Gadugi" w:cs="Gadugi"/>
          <w:i w:val="0"/>
          <w:iCs w:val="0"/>
          <w:color w:val="auto"/>
          <w:sz w:val="18"/>
          <w:szCs w:val="18"/>
        </w:rPr>
        <w:t>aceitarem cotar o objeto com preço igual ao do adjudicatári</w:t>
      </w:r>
      <w:bookmarkEnd w:id="19"/>
      <w:r>
        <w:rPr>
          <w:rFonts w:ascii="Gadugi" w:hAnsi="Gadugi" w:cs="Gadugi"/>
          <w:i w:val="0"/>
          <w:iCs w:val="0"/>
          <w:color w:val="auto"/>
          <w:sz w:val="18"/>
          <w:szCs w:val="18"/>
        </w:rPr>
        <w:t>o</w:t>
      </w:r>
      <w:bookmarkEnd w:id="20"/>
      <w:r>
        <w:rPr>
          <w:rFonts w:ascii="Gadugi" w:hAnsi="Gadugi" w:cs="Gadugi"/>
          <w:i w:val="0"/>
          <w:iCs w:val="0"/>
          <w:color w:val="auto"/>
          <w:sz w:val="18"/>
          <w:szCs w:val="18"/>
        </w:rPr>
        <w:t xml:space="preserve">, observada a classificação na licitação; e </w:t>
      </w:r>
    </w:p>
    <w:p w14:paraId="0189F683"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Dos licitantes que mantiverem sua proposta original</w:t>
      </w:r>
    </w:p>
    <w:p w14:paraId="24C2AC79"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Será respeitada, nas contratações, a ordem de classificação dos licitantes ou fornecedores registrados na ata.</w:t>
      </w:r>
    </w:p>
    <w:p w14:paraId="5B5F703A" w14:textId="77777777" w:rsidR="005B203D" w:rsidRDefault="00E60DC2">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 apresentação de novas propostas na forma deste item não prejudicará o resultado do certame em relação ao licitante mais bem classificado.</w:t>
      </w:r>
    </w:p>
    <w:p w14:paraId="77615757" w14:textId="77777777" w:rsidR="005B203D" w:rsidRDefault="00E60DC2">
      <w:pPr>
        <w:pStyle w:val="Nvel2-Red"/>
        <w:numPr>
          <w:ilvl w:val="2"/>
          <w:numId w:val="2"/>
        </w:numPr>
        <w:tabs>
          <w:tab w:val="left" w:pos="1177"/>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Para fins da ordem de classificação, os licitantes ou fornecedores que aceitarem cotar o objeto com preço igual ao do adjudicatário antecederão aqueles que mantiverem sua proposta original.</w:t>
      </w:r>
    </w:p>
    <w:p w14:paraId="6C60AD46"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 A habilitação dos licitantes que comporão o cadastro de reserva será efetuada quando houver necessidade de contratação dos licitantes remanescentes, nas seguintes hipóteses:</w:t>
      </w:r>
    </w:p>
    <w:p w14:paraId="53E43C42" w14:textId="77777777" w:rsidR="005B203D" w:rsidRDefault="00E60DC2">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Quando o licitante vencedor não assinar a ata de registro de preços no prazo e nas condições estabelecidos no edital; ou</w:t>
      </w:r>
    </w:p>
    <w:p w14:paraId="75E8841E"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quando houver o cancelamento do registro do fornecedor ou do registro de preços, nas hipóteses previstas nos art. 28 e art. 29 do Decreto nº 11.462/23.</w:t>
      </w:r>
    </w:p>
    <w:p w14:paraId="7421726C"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22F9F6E" w14:textId="77777777" w:rsidR="005B203D" w:rsidRDefault="00E60DC2">
      <w:pPr>
        <w:pStyle w:val="Nvel2-Red"/>
        <w:numPr>
          <w:ilvl w:val="2"/>
          <w:numId w:val="2"/>
        </w:numPr>
        <w:tabs>
          <w:tab w:val="left" w:pos="1142"/>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 convocar os licitantes que mantiveram sua proposta original para negociação, na ordem de classificação, com vistas à obtenção de preço melhor, mesmo que acima do preço do adjudicatário; ou</w:t>
      </w:r>
    </w:p>
    <w:p w14:paraId="38042517" w14:textId="77777777" w:rsidR="005B203D" w:rsidRDefault="00E60DC2">
      <w:pPr>
        <w:pStyle w:val="Nvel2-Red"/>
        <w:numPr>
          <w:ilvl w:val="2"/>
          <w:numId w:val="2"/>
        </w:numPr>
        <w:tabs>
          <w:tab w:val="left" w:pos="1177"/>
        </w:tabs>
        <w:spacing w:before="0" w:after="0" w:line="240" w:lineRule="auto"/>
        <w:ind w:left="999" w:hanging="432"/>
        <w:rPr>
          <w:rFonts w:ascii="Gadugi" w:hAnsi="Gadugi" w:cs="Gadugi"/>
          <w:color w:val="auto"/>
          <w:sz w:val="18"/>
          <w:szCs w:val="18"/>
        </w:rPr>
      </w:pPr>
      <w:r>
        <w:rPr>
          <w:rFonts w:ascii="Gadugi" w:hAnsi="Gadugi" w:cs="Gadugi"/>
          <w:i w:val="0"/>
          <w:iCs w:val="0"/>
          <w:color w:val="auto"/>
          <w:sz w:val="18"/>
          <w:szCs w:val="18"/>
        </w:rPr>
        <w:t>Adjudicar e firmar o contrato nas condições ofertadas pelos licitantes remanescentes, observada a ordem de classificação, quando frustrada a negociação de melhor condição</w:t>
      </w:r>
      <w:r>
        <w:rPr>
          <w:rFonts w:ascii="Gadugi" w:hAnsi="Gadugi" w:cs="Gadugi"/>
          <w:color w:val="auto"/>
          <w:sz w:val="18"/>
          <w:szCs w:val="18"/>
        </w:rPr>
        <w:t>.</w:t>
      </w:r>
    </w:p>
    <w:p w14:paraId="120FACF0" w14:textId="77777777" w:rsidR="005B203D" w:rsidRDefault="005B203D">
      <w:pPr>
        <w:pStyle w:val="Nvel2-Red"/>
        <w:numPr>
          <w:ilvl w:val="0"/>
          <w:numId w:val="0"/>
        </w:numPr>
        <w:spacing w:before="0" w:after="0" w:line="240" w:lineRule="auto"/>
        <w:ind w:left="999"/>
        <w:rPr>
          <w:rFonts w:ascii="Gadugi" w:hAnsi="Gadugi" w:cs="Gadugi"/>
          <w:color w:val="auto"/>
          <w:sz w:val="18"/>
          <w:szCs w:val="18"/>
        </w:rPr>
      </w:pPr>
    </w:p>
    <w:p w14:paraId="7E6A34E5"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bookmarkStart w:id="21" w:name="_Toc135469233"/>
      <w:r>
        <w:rPr>
          <w:rFonts w:ascii="Gadugi" w:hAnsi="Gadugi" w:cs="Gadugi"/>
          <w:b/>
          <w:bCs/>
          <w:i w:val="0"/>
          <w:iCs w:val="0"/>
          <w:color w:val="auto"/>
          <w:sz w:val="18"/>
          <w:szCs w:val="18"/>
        </w:rPr>
        <w:t>DOS RECURSOS</w:t>
      </w:r>
      <w:bookmarkEnd w:id="21"/>
    </w:p>
    <w:p w14:paraId="4B7C40DB"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A interposição de recurso referente ao julgamento das propostas, à habilitação ou inabilitação de licitantes, à anulação ou revogação da licitação, observará o disposto no </w:t>
      </w:r>
      <w:hyperlink r:id="rId24" w:tooltip="http://www.planalto.gov.br/ccivil_03/_ato2019-2022/2021/lei/L14133.htm#art165&quot; l &quot;art165">
        <w:r>
          <w:rPr>
            <w:rFonts w:ascii="Gadugi" w:hAnsi="Gadugi" w:cs="Gadugi"/>
            <w:i w:val="0"/>
            <w:iCs w:val="0"/>
            <w:color w:val="auto"/>
            <w:sz w:val="18"/>
            <w:szCs w:val="18"/>
          </w:rPr>
          <w:t>art. 165 da Lei nº 14.133, de 2021</w:t>
        </w:r>
      </w:hyperlink>
      <w:r>
        <w:rPr>
          <w:rFonts w:ascii="Gadugi" w:hAnsi="Gadugi" w:cs="Gadugi"/>
          <w:i w:val="0"/>
          <w:iCs w:val="0"/>
          <w:color w:val="auto"/>
          <w:sz w:val="18"/>
          <w:szCs w:val="18"/>
        </w:rPr>
        <w:t>.</w:t>
      </w:r>
    </w:p>
    <w:p w14:paraId="78D10193" w14:textId="77777777" w:rsidR="005B203D" w:rsidRDefault="00E60DC2">
      <w:pPr>
        <w:pStyle w:val="Nvel2-Red"/>
        <w:numPr>
          <w:ilvl w:val="2"/>
          <w:numId w:val="2"/>
        </w:numPr>
        <w:tabs>
          <w:tab w:val="left" w:pos="1131"/>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O prazo recursal é de 3 (três) dias úteis, contados da data de intimação ou de lavratura da ata.</w:t>
      </w:r>
    </w:p>
    <w:p w14:paraId="05365373"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Quando o recurso apresentado impugnar o julgamento das propostas ou o ato de habilitação ou inabilitação do licitante:</w:t>
      </w:r>
    </w:p>
    <w:p w14:paraId="102C1DC0"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 intenção de recorrer deverá ser manifestada imediatamente, sob pena de preclusão;</w:t>
      </w:r>
    </w:p>
    <w:p w14:paraId="077E005B"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i w:val="0"/>
          <w:color w:val="auto"/>
          <w:sz w:val="18"/>
          <w:szCs w:val="18"/>
        </w:rPr>
      </w:pPr>
      <w:bookmarkStart w:id="22" w:name="_Hlk135318381"/>
      <w:bookmarkStart w:id="23" w:name="_Hlk135315794"/>
      <w:r>
        <w:rPr>
          <w:rFonts w:ascii="Gadugi" w:hAnsi="Gadugi" w:cs="Gadugi"/>
          <w:i w:val="0"/>
          <w:iCs w:val="0"/>
          <w:color w:val="auto"/>
          <w:sz w:val="18"/>
          <w:szCs w:val="18"/>
        </w:rPr>
        <w:t>o prazo para a manifestação da intenção de recorrer não será inferior a 15 (quinze) minutos.</w:t>
      </w:r>
      <w:bookmarkEnd w:id="22"/>
      <w:bookmarkEnd w:id="23"/>
    </w:p>
    <w:p w14:paraId="07E05FFB" w14:textId="77777777" w:rsidR="005B203D" w:rsidRDefault="00E60DC2">
      <w:pPr>
        <w:pStyle w:val="Nvel2-Red"/>
        <w:numPr>
          <w:ilvl w:val="2"/>
          <w:numId w:val="2"/>
        </w:numPr>
        <w:tabs>
          <w:tab w:val="left" w:pos="1154"/>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O prazo para apresentação das razões recursais será iniciado na data de intimação ou de lavratura da ata de habilitação ou inabilitação;</w:t>
      </w:r>
    </w:p>
    <w:p w14:paraId="45CEC725" w14:textId="77777777" w:rsidR="005B203D" w:rsidRDefault="00E60DC2">
      <w:pPr>
        <w:pStyle w:val="Nvel2-Red"/>
        <w:numPr>
          <w:ilvl w:val="2"/>
          <w:numId w:val="2"/>
        </w:numPr>
        <w:tabs>
          <w:tab w:val="left" w:pos="1177"/>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Na hipótese de adoção da inversão de fases prevista no </w:t>
      </w:r>
      <w:hyperlink r:id="rId25" w:tooltip="http://www.planalto.gov.br/ccivil_03/_ato2019-2022/2021/lei/L14133.htm#art17§1&quot; l &quot;art17§1">
        <w:r>
          <w:rPr>
            <w:rFonts w:ascii="Gadugi" w:hAnsi="Gadugi" w:cs="Gadugi"/>
            <w:i w:val="0"/>
            <w:iCs w:val="0"/>
            <w:color w:val="auto"/>
            <w:sz w:val="18"/>
            <w:szCs w:val="18"/>
          </w:rPr>
          <w:t>§ 1º do art. 17 da Lei nº 14.133, de 2021</w:t>
        </w:r>
      </w:hyperlink>
      <w:r>
        <w:rPr>
          <w:rFonts w:ascii="Gadugi" w:hAnsi="Gadugi" w:cs="Gadugi"/>
          <w:i w:val="0"/>
          <w:iCs w:val="0"/>
          <w:color w:val="auto"/>
          <w:sz w:val="18"/>
          <w:szCs w:val="18"/>
        </w:rPr>
        <w:t>, o prazo para apresentação das razões recursais será iniciado na data de intimação da ata de julgamento.</w:t>
      </w:r>
    </w:p>
    <w:p w14:paraId="28BAC1AA"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Os recursos deverão ser encaminhados exclusivamente em campo próprio do sistema.</w:t>
      </w:r>
    </w:p>
    <w:p w14:paraId="1FA46DD4"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0216140B"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Os recursos interpostos fora do prazo não serão conhecidos. </w:t>
      </w:r>
    </w:p>
    <w:p w14:paraId="240B9C0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6C6E5F16"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O recurso e o pedido de reconsideração terão efeito suspensivo do ato ou da decisão recorrida até que sobrevenha decisão final da autoridade competente. </w:t>
      </w:r>
    </w:p>
    <w:p w14:paraId="6142C0F5"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O acolhimento do recurso invalida tão somente os atos insuscetíveis de aproveitamento. </w:t>
      </w:r>
    </w:p>
    <w:p w14:paraId="58F15B7B"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Os autos do processo permanecerão com vista franqueada aos interessados no sítio eletrônico </w:t>
      </w:r>
      <w:hyperlink r:id="rId26">
        <w:r>
          <w:rPr>
            <w:rFonts w:ascii="Gadugi" w:hAnsi="Gadugi" w:cs="Gadugi"/>
            <w:i w:val="0"/>
            <w:iCs w:val="0"/>
            <w:color w:val="auto"/>
            <w:sz w:val="18"/>
            <w:szCs w:val="18"/>
            <w:u w:val="single"/>
          </w:rPr>
          <w:t>www.santabarbaradosul.rs.gov.br</w:t>
        </w:r>
      </w:hyperlink>
      <w:r>
        <w:rPr>
          <w:rFonts w:ascii="Gadugi" w:hAnsi="Gadugi" w:cs="Gadugi"/>
          <w:i w:val="0"/>
          <w:iCs w:val="0"/>
          <w:color w:val="auto"/>
          <w:sz w:val="18"/>
          <w:szCs w:val="18"/>
        </w:rPr>
        <w:t xml:space="preserve"> </w:t>
      </w:r>
    </w:p>
    <w:p w14:paraId="3E4F6DC7" w14:textId="77777777" w:rsidR="005B203D" w:rsidRDefault="005B203D">
      <w:pPr>
        <w:pStyle w:val="Nvel2-Red"/>
        <w:numPr>
          <w:ilvl w:val="0"/>
          <w:numId w:val="0"/>
        </w:numPr>
        <w:spacing w:before="0" w:after="0" w:line="240" w:lineRule="auto"/>
        <w:rPr>
          <w:rFonts w:ascii="Gadugi" w:hAnsi="Gadugi" w:cs="Gadugi"/>
          <w:i w:val="0"/>
          <w:color w:val="auto"/>
          <w:sz w:val="18"/>
          <w:szCs w:val="18"/>
        </w:rPr>
      </w:pPr>
    </w:p>
    <w:p w14:paraId="08333AF2"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bookmarkStart w:id="24" w:name="_Toc135469234"/>
      <w:r>
        <w:rPr>
          <w:rFonts w:ascii="Gadugi" w:hAnsi="Gadugi" w:cs="Gadugi"/>
          <w:b/>
          <w:bCs/>
          <w:i w:val="0"/>
          <w:iCs w:val="0"/>
          <w:color w:val="auto"/>
          <w:sz w:val="18"/>
          <w:szCs w:val="18"/>
        </w:rPr>
        <w:t>DAS INFRAÇÕES ADMINISTRATIVAS E SANÇÕES</w:t>
      </w:r>
      <w:bookmarkEnd w:id="24"/>
    </w:p>
    <w:p w14:paraId="30690C9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Comete infração administrativa, nos termos da lei, o licitante que, com dolo ou culpa: </w:t>
      </w:r>
    </w:p>
    <w:p w14:paraId="4915AD70"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b/>
          <w:i w:val="0"/>
          <w:color w:val="auto"/>
          <w:sz w:val="18"/>
          <w:szCs w:val="18"/>
        </w:rPr>
      </w:pPr>
      <w:bookmarkStart w:id="25" w:name="_Ref114668085"/>
      <w:bookmarkStart w:id="26" w:name="_Hlk114652595"/>
      <w:r>
        <w:rPr>
          <w:rFonts w:ascii="Gadugi" w:hAnsi="Gadugi" w:cs="Gadugi"/>
          <w:i w:val="0"/>
          <w:iCs w:val="0"/>
          <w:color w:val="auto"/>
          <w:sz w:val="18"/>
          <w:szCs w:val="18"/>
        </w:rPr>
        <w:t>Deixar de entregar a documentação exigida para o certame ou não entregar qualquer documento que tenha sido solicitado pelo/a pregoeiro/a durante o certame;</w:t>
      </w:r>
      <w:bookmarkEnd w:id="25"/>
    </w:p>
    <w:p w14:paraId="5FAB89B0" w14:textId="77777777" w:rsidR="005B203D" w:rsidRDefault="00E60DC2">
      <w:pPr>
        <w:pStyle w:val="Nvel2-Red"/>
        <w:numPr>
          <w:ilvl w:val="2"/>
          <w:numId w:val="2"/>
        </w:numPr>
        <w:tabs>
          <w:tab w:val="left" w:pos="1165"/>
        </w:tabs>
        <w:spacing w:before="0" w:after="0" w:line="240" w:lineRule="auto"/>
        <w:ind w:left="999" w:hanging="432"/>
        <w:rPr>
          <w:rFonts w:ascii="Gadugi" w:hAnsi="Gadugi" w:cs="Gadugi"/>
          <w:b/>
          <w:i w:val="0"/>
          <w:color w:val="auto"/>
          <w:sz w:val="18"/>
          <w:szCs w:val="18"/>
        </w:rPr>
      </w:pPr>
      <w:bookmarkStart w:id="27" w:name="_Ref114668108"/>
      <w:r>
        <w:rPr>
          <w:rFonts w:ascii="Gadugi" w:hAnsi="Gadugi" w:cs="Gadugi"/>
          <w:i w:val="0"/>
          <w:iCs w:val="0"/>
          <w:color w:val="auto"/>
          <w:sz w:val="18"/>
          <w:szCs w:val="18"/>
        </w:rPr>
        <w:t>Salvo em decorrência de fato superveniente devidamente justificado, não mantiver a proposta em especial quando:</w:t>
      </w:r>
      <w:bookmarkEnd w:id="27"/>
    </w:p>
    <w:p w14:paraId="52CE0345" w14:textId="77777777" w:rsidR="005B203D" w:rsidRDefault="00E60DC2">
      <w:pPr>
        <w:pStyle w:val="Nvel2-Red"/>
        <w:numPr>
          <w:ilvl w:val="3"/>
          <w:numId w:val="2"/>
        </w:numPr>
        <w:tabs>
          <w:tab w:val="left" w:pos="1247"/>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Não enviar a proposta adequada ao último lance ofertado ou após a negociação; </w:t>
      </w:r>
    </w:p>
    <w:p w14:paraId="44606235" w14:textId="77777777" w:rsidR="005B203D" w:rsidRDefault="00E60DC2">
      <w:pPr>
        <w:pStyle w:val="Nvel2-Red"/>
        <w:numPr>
          <w:ilvl w:val="3"/>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Recusar-se a enviar o detalhamento da proposta quando exigível; </w:t>
      </w:r>
    </w:p>
    <w:p w14:paraId="40A4538F" w14:textId="77777777" w:rsidR="005B203D" w:rsidRDefault="00E60DC2">
      <w:pPr>
        <w:pStyle w:val="Nvel2-Red"/>
        <w:numPr>
          <w:ilvl w:val="3"/>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Pedir para ser desclassificado quando encerrada a etapa competitiva; ou </w:t>
      </w:r>
    </w:p>
    <w:p w14:paraId="7B2679A6" w14:textId="77777777" w:rsidR="005B203D" w:rsidRDefault="00E60DC2">
      <w:pPr>
        <w:pStyle w:val="Nvel2-Red"/>
        <w:numPr>
          <w:ilvl w:val="3"/>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Deixar de apresentar amostra;</w:t>
      </w:r>
    </w:p>
    <w:p w14:paraId="0E15DA4E" w14:textId="77777777" w:rsidR="005B203D" w:rsidRDefault="00E60DC2">
      <w:pPr>
        <w:pStyle w:val="Nvel2-Red"/>
        <w:numPr>
          <w:ilvl w:val="3"/>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Apresentar proposta ou amostra em desacordo com as especificações do edital; </w:t>
      </w:r>
    </w:p>
    <w:p w14:paraId="7764A5B2" w14:textId="77777777" w:rsidR="005B203D" w:rsidRDefault="00E60DC2">
      <w:pPr>
        <w:pStyle w:val="Nvel2-Red"/>
        <w:numPr>
          <w:ilvl w:val="2"/>
          <w:numId w:val="2"/>
        </w:numPr>
        <w:spacing w:before="0" w:after="0" w:line="240" w:lineRule="auto"/>
        <w:ind w:left="999" w:hanging="432"/>
        <w:rPr>
          <w:rFonts w:ascii="Gadugi" w:hAnsi="Gadugi" w:cs="Gadugi"/>
          <w:b/>
          <w:i w:val="0"/>
          <w:color w:val="auto"/>
          <w:sz w:val="18"/>
          <w:szCs w:val="18"/>
        </w:rPr>
      </w:pPr>
      <w:bookmarkStart w:id="28" w:name="_Ref114668139"/>
      <w:r>
        <w:rPr>
          <w:rFonts w:ascii="Gadugi" w:hAnsi="Gadugi" w:cs="Gadugi"/>
          <w:i w:val="0"/>
          <w:iCs w:val="0"/>
          <w:color w:val="auto"/>
          <w:sz w:val="18"/>
          <w:szCs w:val="18"/>
        </w:rPr>
        <w:t>Não celebrar o contrato ou não entregar a documentação exigida para a contratação, quando convocado dentro do prazo de validade de sua proposta;</w:t>
      </w:r>
      <w:bookmarkEnd w:id="28"/>
    </w:p>
    <w:p w14:paraId="6B3582D1" w14:textId="77777777" w:rsidR="005B203D" w:rsidRDefault="00E60DC2">
      <w:pPr>
        <w:pStyle w:val="Nvel2-Red"/>
        <w:numPr>
          <w:ilvl w:val="3"/>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Recusar-se, sem justificativa, a assinar o contrato ou a ata de registro de preço, ou a aceitar ou retirar o instrumento equivalente no prazo estabelecido pela Administração;</w:t>
      </w:r>
    </w:p>
    <w:p w14:paraId="7EE86E27"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bookmarkStart w:id="29" w:name="_Ref114668249"/>
      <w:r>
        <w:rPr>
          <w:rFonts w:ascii="Gadugi" w:hAnsi="Gadugi" w:cs="Gadugi"/>
          <w:i w:val="0"/>
          <w:iCs w:val="0"/>
          <w:color w:val="auto"/>
          <w:sz w:val="18"/>
          <w:szCs w:val="18"/>
        </w:rPr>
        <w:t>Apresentar declaração ou documentação falsa exigida para o certame ou prestar declaração falsa durante a licitação</w:t>
      </w:r>
      <w:bookmarkEnd w:id="29"/>
      <w:r>
        <w:rPr>
          <w:rFonts w:ascii="Gadugi" w:hAnsi="Gadugi" w:cs="Gadugi"/>
          <w:i w:val="0"/>
          <w:iCs w:val="0"/>
          <w:color w:val="auto"/>
          <w:sz w:val="18"/>
          <w:szCs w:val="18"/>
        </w:rPr>
        <w:t>;</w:t>
      </w:r>
    </w:p>
    <w:p w14:paraId="35D6D377"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bookmarkStart w:id="30" w:name="_Ref114668245"/>
      <w:r>
        <w:rPr>
          <w:rFonts w:ascii="Gadugi" w:hAnsi="Gadugi" w:cs="Gadugi"/>
          <w:i w:val="0"/>
          <w:iCs w:val="0"/>
          <w:color w:val="auto"/>
          <w:sz w:val="18"/>
          <w:szCs w:val="18"/>
        </w:rPr>
        <w:t>Fraudar a licitação</w:t>
      </w:r>
      <w:bookmarkEnd w:id="30"/>
      <w:r>
        <w:rPr>
          <w:rFonts w:ascii="Gadugi" w:hAnsi="Gadugi" w:cs="Gadugi"/>
          <w:i w:val="0"/>
          <w:iCs w:val="0"/>
          <w:color w:val="auto"/>
          <w:sz w:val="18"/>
          <w:szCs w:val="18"/>
        </w:rPr>
        <w:t>,</w:t>
      </w:r>
    </w:p>
    <w:p w14:paraId="0D7B5B78" w14:textId="77777777" w:rsidR="005B203D" w:rsidRDefault="00E60DC2">
      <w:pPr>
        <w:pStyle w:val="Nvel2-Red"/>
        <w:numPr>
          <w:ilvl w:val="2"/>
          <w:numId w:val="2"/>
        </w:numPr>
        <w:spacing w:before="0" w:after="0" w:line="240" w:lineRule="auto"/>
        <w:ind w:left="999" w:hanging="432"/>
        <w:rPr>
          <w:rFonts w:ascii="Gadugi" w:hAnsi="Gadugi" w:cs="Gadugi"/>
          <w:b/>
          <w:i w:val="0"/>
          <w:color w:val="auto"/>
          <w:sz w:val="18"/>
          <w:szCs w:val="18"/>
        </w:rPr>
      </w:pPr>
      <w:bookmarkStart w:id="31" w:name="_Ref114668247"/>
      <w:r>
        <w:rPr>
          <w:rFonts w:ascii="Gadugi" w:hAnsi="Gadugi" w:cs="Gadugi"/>
          <w:i w:val="0"/>
          <w:iCs w:val="0"/>
          <w:color w:val="auto"/>
          <w:sz w:val="18"/>
          <w:szCs w:val="18"/>
        </w:rPr>
        <w:t>Comportar-se de modo inidôneo ou cometer fraude de qualquer natureza, em especial quando:</w:t>
      </w:r>
      <w:bookmarkEnd w:id="31"/>
    </w:p>
    <w:p w14:paraId="5070B8E6" w14:textId="77777777" w:rsidR="005B203D" w:rsidRDefault="00E60DC2">
      <w:pPr>
        <w:pStyle w:val="Nvel2-Red"/>
        <w:numPr>
          <w:ilvl w:val="3"/>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Agir em conluio ou em desconformidade com a lei; </w:t>
      </w:r>
    </w:p>
    <w:p w14:paraId="0F723323" w14:textId="77777777" w:rsidR="005B203D" w:rsidRDefault="00E60DC2">
      <w:pPr>
        <w:pStyle w:val="Nvel2-Red"/>
        <w:numPr>
          <w:ilvl w:val="3"/>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Induzir deliberadamente a erro no julgamento; </w:t>
      </w:r>
    </w:p>
    <w:p w14:paraId="2B20888D" w14:textId="77777777" w:rsidR="005B203D" w:rsidRDefault="00E60DC2">
      <w:pPr>
        <w:pStyle w:val="Nvel2-Red"/>
        <w:numPr>
          <w:ilvl w:val="3"/>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Apresentar amostra falsificada ou deteriorada; </w:t>
      </w:r>
    </w:p>
    <w:p w14:paraId="1A2363F7" w14:textId="77777777" w:rsidR="005B203D" w:rsidRDefault="00E60DC2">
      <w:pPr>
        <w:pStyle w:val="Nvel2-Red"/>
        <w:numPr>
          <w:ilvl w:val="3"/>
          <w:numId w:val="2"/>
        </w:numPr>
        <w:spacing w:before="0" w:after="0" w:line="240" w:lineRule="auto"/>
        <w:ind w:left="999" w:hanging="432"/>
        <w:rPr>
          <w:rFonts w:ascii="Gadugi" w:hAnsi="Gadugi" w:cs="Gadugi"/>
          <w:b/>
          <w:i w:val="0"/>
          <w:color w:val="auto"/>
          <w:sz w:val="18"/>
          <w:szCs w:val="18"/>
        </w:rPr>
      </w:pPr>
      <w:bookmarkStart w:id="32" w:name="_Ref114668251"/>
      <w:r>
        <w:rPr>
          <w:rFonts w:ascii="Gadugi" w:hAnsi="Gadugi" w:cs="Gadugi"/>
          <w:i w:val="0"/>
          <w:iCs w:val="0"/>
          <w:color w:val="auto"/>
          <w:sz w:val="18"/>
          <w:szCs w:val="18"/>
        </w:rPr>
        <w:t>Praticar atos ilícitos com vistas a frustrar os objetivos da licitação</w:t>
      </w:r>
      <w:bookmarkEnd w:id="32"/>
    </w:p>
    <w:p w14:paraId="5ABEACEE" w14:textId="77777777" w:rsidR="005B203D" w:rsidRDefault="00E60DC2">
      <w:pPr>
        <w:pStyle w:val="Nvel2-Red"/>
        <w:numPr>
          <w:ilvl w:val="3"/>
          <w:numId w:val="2"/>
        </w:numPr>
        <w:spacing w:before="0" w:after="0" w:line="240" w:lineRule="auto"/>
        <w:ind w:left="999" w:hanging="432"/>
        <w:rPr>
          <w:rFonts w:ascii="Gadugi" w:hAnsi="Gadugi" w:cs="Gadugi"/>
          <w:b/>
          <w:i w:val="0"/>
          <w:color w:val="auto"/>
          <w:sz w:val="18"/>
          <w:szCs w:val="18"/>
        </w:rPr>
      </w:pPr>
      <w:bookmarkStart w:id="33" w:name="_Ref114668252"/>
      <w:r>
        <w:rPr>
          <w:rFonts w:ascii="Gadugi" w:hAnsi="Gadugi" w:cs="Gadugi"/>
          <w:i w:val="0"/>
          <w:iCs w:val="0"/>
          <w:color w:val="auto"/>
          <w:sz w:val="18"/>
          <w:szCs w:val="18"/>
        </w:rPr>
        <w:t xml:space="preserve">Praticar ato lesivo previsto no </w:t>
      </w:r>
      <w:hyperlink r:id="rId27" w:tooltip="https://www.planalto.gov.br/ccivil_03/_ato2011-2014/2013/lei/l12846.htm#art5&quot; l &quot;art5">
        <w:r>
          <w:rPr>
            <w:rFonts w:ascii="Gadugi" w:hAnsi="Gadugi" w:cs="Gadugi"/>
            <w:i w:val="0"/>
            <w:iCs w:val="0"/>
            <w:color w:val="auto"/>
            <w:sz w:val="18"/>
            <w:szCs w:val="18"/>
          </w:rPr>
          <w:t>art. 5º da Lei n.º 12.846, de 2013</w:t>
        </w:r>
      </w:hyperlink>
      <w:r>
        <w:rPr>
          <w:rFonts w:ascii="Gadugi" w:hAnsi="Gadugi" w:cs="Gadugi"/>
          <w:i w:val="0"/>
          <w:iCs w:val="0"/>
          <w:color w:val="auto"/>
          <w:sz w:val="18"/>
          <w:szCs w:val="18"/>
        </w:rPr>
        <w:t>.</w:t>
      </w:r>
      <w:bookmarkEnd w:id="26"/>
      <w:bookmarkEnd w:id="33"/>
    </w:p>
    <w:p w14:paraId="5FFD1B1F"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Com fulcro na </w:t>
      </w:r>
      <w:hyperlink r:id="rId28" w:tooltip="http://www.planalto.gov.br/ccivil_03/_ato2019-2022/2021/lei/L14133.htm">
        <w:r>
          <w:rPr>
            <w:rFonts w:ascii="Gadugi" w:hAnsi="Gadugi" w:cs="Gadugi"/>
            <w:i w:val="0"/>
            <w:iCs w:val="0"/>
            <w:color w:val="auto"/>
            <w:sz w:val="18"/>
            <w:szCs w:val="18"/>
            <w:u w:val="single"/>
          </w:rPr>
          <w:t>Lei nº 14.133, de 2021</w:t>
        </w:r>
      </w:hyperlink>
      <w:r>
        <w:rPr>
          <w:rFonts w:ascii="Gadugi" w:hAnsi="Gadugi" w:cs="Gadugi"/>
          <w:i w:val="0"/>
          <w:iCs w:val="0"/>
          <w:color w:val="auto"/>
          <w:sz w:val="18"/>
          <w:szCs w:val="18"/>
        </w:rPr>
        <w:t xml:space="preserve">, a Administração poderá, garantida a prévia defesa, aplicar aos licitantes e/ou adjudicatários as seguintes sanções, sem prejuízo das responsabilidades civil e criminal: </w:t>
      </w:r>
    </w:p>
    <w:p w14:paraId="0C066D59"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Advertência;</w:t>
      </w:r>
    </w:p>
    <w:p w14:paraId="6D9DB730"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Multa;</w:t>
      </w:r>
    </w:p>
    <w:p w14:paraId="56898DB2"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Impedimento de licitar e contratar e</w:t>
      </w:r>
    </w:p>
    <w:p w14:paraId="760DB6CF"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Declaração de inidoneidade para licitar ou contratar, enquanto perdurarem os motivos determinantes da punição ou até que seja promovida sua reabilitação perante a própria autoridade que aplicou a penalidade</w:t>
      </w:r>
    </w:p>
    <w:p w14:paraId="072B188A"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Na aplicação das sanções serão considerados:</w:t>
      </w:r>
    </w:p>
    <w:p w14:paraId="1B592AFF"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 natureza e a gravidade da infração cometida.</w:t>
      </w:r>
    </w:p>
    <w:p w14:paraId="46D32957"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As peculiaridades do caso concreto</w:t>
      </w:r>
    </w:p>
    <w:p w14:paraId="2DE5CAFE"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As circunstâncias agravantes ou atenuantes</w:t>
      </w:r>
    </w:p>
    <w:p w14:paraId="63A94AB0"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Os danos que dela provierem para a Administração Pública</w:t>
      </w:r>
    </w:p>
    <w:p w14:paraId="70A328A9"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 implantação ou o aperfeiçoamento de programa de integridade, conforme normas e orientações dos órgãos de controle.</w:t>
      </w:r>
    </w:p>
    <w:p w14:paraId="3E5BDCB9"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A multa será recolhida em percentual de 30% incidente sobre o valor do contrato licitado, recolhida no prazo máximo de 05 (dias) úteis, a contar da comunicação oficial. </w:t>
      </w:r>
    </w:p>
    <w:p w14:paraId="652F6C76" w14:textId="46E215B4" w:rsidR="005B203D" w:rsidRDefault="00E60DC2">
      <w:pPr>
        <w:pStyle w:val="Nvel2-Red"/>
        <w:numPr>
          <w:ilvl w:val="2"/>
          <w:numId w:val="2"/>
        </w:numPr>
        <w:spacing w:before="0" w:after="0" w:line="240" w:lineRule="auto"/>
        <w:ind w:left="999" w:hanging="432"/>
        <w:rPr>
          <w:rFonts w:ascii="Gadugi" w:hAnsi="Gadugi" w:cs="Gadugi"/>
          <w:b/>
          <w:i w:val="0"/>
          <w:color w:val="auto"/>
          <w:sz w:val="18"/>
          <w:szCs w:val="18"/>
        </w:rPr>
      </w:pPr>
      <w:bookmarkStart w:id="34" w:name="_Hlk113876035"/>
      <w:r>
        <w:rPr>
          <w:rFonts w:ascii="Gadugi" w:hAnsi="Gadugi" w:cs="Gadugi"/>
          <w:i w:val="0"/>
          <w:iCs w:val="0"/>
          <w:color w:val="auto"/>
          <w:sz w:val="18"/>
          <w:szCs w:val="18"/>
        </w:rPr>
        <w:t xml:space="preserve">Para as infrações previstas nos itens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_Ref114668085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12.1.1</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_Ref114668108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12.1.2</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_Ref114668139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12.1.3</w:t>
      </w:r>
      <w:r>
        <w:rPr>
          <w:rFonts w:ascii="Gadugi" w:hAnsi="Gadugi" w:cs="Gadugi"/>
          <w:i w:val="0"/>
          <w:iCs w:val="0"/>
          <w:color w:val="auto"/>
          <w:sz w:val="18"/>
          <w:szCs w:val="18"/>
        </w:rPr>
        <w:fldChar w:fldCharType="end"/>
      </w:r>
      <w:r>
        <w:rPr>
          <w:rFonts w:ascii="Gadugi" w:hAnsi="Gadugi" w:cs="Gadugi"/>
          <w:i w:val="0"/>
          <w:iCs w:val="0"/>
          <w:color w:val="auto"/>
          <w:sz w:val="18"/>
          <w:szCs w:val="18"/>
        </w:rPr>
        <w:t>, a multa será de 15% do valor do contrato licitado.</w:t>
      </w:r>
      <w:bookmarkEnd w:id="34"/>
    </w:p>
    <w:p w14:paraId="6760E11A" w14:textId="592A0E2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 xml:space="preserve">Para as infrações previstas nos itens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_Ref114668249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12.1.4</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_Ref114668245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12.1.5</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_Ref114668247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12.1.6</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_Ref114668251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12.1.6.4</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_Ref114668252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12.1.6.5</w:t>
      </w:r>
      <w:r>
        <w:rPr>
          <w:rFonts w:ascii="Gadugi" w:hAnsi="Gadugi" w:cs="Gadugi"/>
          <w:i w:val="0"/>
          <w:iCs w:val="0"/>
          <w:color w:val="auto"/>
          <w:sz w:val="18"/>
          <w:szCs w:val="18"/>
        </w:rPr>
        <w:fldChar w:fldCharType="end"/>
      </w:r>
      <w:r>
        <w:rPr>
          <w:rFonts w:ascii="Gadugi" w:hAnsi="Gadugi" w:cs="Gadugi"/>
          <w:i w:val="0"/>
          <w:iCs w:val="0"/>
          <w:color w:val="auto"/>
          <w:sz w:val="18"/>
          <w:szCs w:val="18"/>
        </w:rPr>
        <w:t>, a multa será de 30% do valor do contrato licitado.</w:t>
      </w:r>
    </w:p>
    <w:p w14:paraId="0AA8946A"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As sanções de advertência, impedimento de licitar e contratar e declaração de inidoneidade para licitar ou contratar poderão ser aplicadas, cumulativamente ou não, à penalidade de multa</w:t>
      </w:r>
    </w:p>
    <w:p w14:paraId="0052648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Na aplicação da sanção de multa será facultada a defesa do interessado no prazo de 15 (quinze) dias úteis, contado da data de sua intimação.</w:t>
      </w:r>
    </w:p>
    <w:p w14:paraId="73E837FB" w14:textId="5CEFD94B"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A sanção de impedimento de licitar e contratar será aplicada ao responsável em decorrência das infrações administrativas relacionadas nos itens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_Ref114668085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12.1.1</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_Ref114668108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12.1.2</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_Ref114668139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12.1.3</w:t>
      </w:r>
      <w:r>
        <w:rPr>
          <w:rFonts w:ascii="Gadugi" w:hAnsi="Gadugi" w:cs="Gadugi"/>
          <w:i w:val="0"/>
          <w:iCs w:val="0"/>
          <w:color w:val="auto"/>
          <w:sz w:val="18"/>
          <w:szCs w:val="18"/>
        </w:rPr>
        <w:fldChar w:fldCharType="end"/>
      </w:r>
      <w:r>
        <w:rPr>
          <w:rFonts w:ascii="Gadugi" w:hAnsi="Gadugi" w:cs="Gadugi"/>
          <w:i w:val="0"/>
          <w:iCs w:val="0"/>
          <w:color w:val="auto"/>
          <w:sz w:val="18"/>
          <w:szCs w:val="1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B89252" w14:textId="7AB28710"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Poderá ser aplicada ao responsável a sanção de declaração de inidoneidade para licitar ou contratar, em decorrência da prática das infrações dispostas nos itens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_Ref114668249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12.1.4</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_Ref114668245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12.1.5</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_Ref114668247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12.1.6</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_Ref114668251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12.1.6.4</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_Ref114668252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12.1.6.5</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bem como pelas infrações administrativas previstas nos itens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_Ref114668085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12.1.1</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_Ref114668108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12.1.2</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e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_Ref114668139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12.1.3</w:t>
      </w:r>
      <w:r>
        <w:rPr>
          <w:rFonts w:ascii="Gadugi" w:hAnsi="Gadugi" w:cs="Gadugi"/>
          <w:i w:val="0"/>
          <w:iCs w:val="0"/>
          <w:color w:val="auto"/>
          <w:sz w:val="18"/>
          <w:szCs w:val="18"/>
        </w:rPr>
        <w:fldChar w:fldCharType="end"/>
      </w:r>
      <w:r>
        <w:rPr>
          <w:rFonts w:ascii="Gadugi" w:hAnsi="Gadugi" w:cs="Gadugi"/>
          <w:i w:val="0"/>
          <w:iCs w:val="0"/>
          <w:color w:val="auto"/>
          <w:sz w:val="18"/>
          <w:szCs w:val="18"/>
        </w:rPr>
        <w:t xml:space="preserve"> que justifiquem a imposição de penalidade mais grave que a sanção de impedimento de licitar e contratar, cuja duração observará o prazo previsto no </w:t>
      </w:r>
      <w:hyperlink r:id="rId29" w:tooltip="http://www.planalto.gov.br/ccivil_03/_ato2019-2022/2021/lei/L14133.htm#art156§5&quot; l &quot;art156§5">
        <w:r>
          <w:rPr>
            <w:rFonts w:ascii="Gadugi" w:hAnsi="Gadugi" w:cs="Gadugi"/>
            <w:i w:val="0"/>
            <w:iCs w:val="0"/>
            <w:color w:val="auto"/>
            <w:sz w:val="18"/>
            <w:szCs w:val="18"/>
          </w:rPr>
          <w:t>art. 156, §5º, da Lei n.º 14.133/2021</w:t>
        </w:r>
      </w:hyperlink>
      <w:r>
        <w:rPr>
          <w:rFonts w:ascii="Gadugi" w:hAnsi="Gadugi" w:cs="Gadugi"/>
          <w:i w:val="0"/>
          <w:iCs w:val="0"/>
          <w:color w:val="auto"/>
          <w:sz w:val="18"/>
          <w:szCs w:val="18"/>
        </w:rPr>
        <w:t>.</w:t>
      </w:r>
    </w:p>
    <w:p w14:paraId="79D2187F" w14:textId="16CB6AC1"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Gadugi" w:hAnsi="Gadugi" w:cs="Gadugi"/>
          <w:i w:val="0"/>
          <w:iCs w:val="0"/>
          <w:color w:val="auto"/>
          <w:sz w:val="18"/>
          <w:szCs w:val="18"/>
        </w:rPr>
        <w:fldChar w:fldCharType="begin"/>
      </w:r>
      <w:r>
        <w:rPr>
          <w:rFonts w:ascii="Gadugi" w:hAnsi="Gadugi" w:cs="Gadugi"/>
          <w:i w:val="0"/>
          <w:iCs w:val="0"/>
          <w:color w:val="auto"/>
          <w:sz w:val="18"/>
          <w:szCs w:val="18"/>
        </w:rPr>
        <w:instrText xml:space="preserve"> REF _Ref114668139 \r \r \h </w:instrText>
      </w:r>
      <w:r>
        <w:rPr>
          <w:rFonts w:ascii="Gadugi" w:hAnsi="Gadugi" w:cs="Gadugi"/>
          <w:i w:val="0"/>
          <w:iCs w:val="0"/>
          <w:color w:val="auto"/>
          <w:sz w:val="18"/>
          <w:szCs w:val="18"/>
        </w:rPr>
      </w:r>
      <w:r>
        <w:rPr>
          <w:rFonts w:ascii="Gadugi" w:hAnsi="Gadugi" w:cs="Gadugi"/>
          <w:i w:val="0"/>
          <w:iCs w:val="0"/>
          <w:color w:val="auto"/>
          <w:sz w:val="18"/>
          <w:szCs w:val="18"/>
        </w:rPr>
        <w:fldChar w:fldCharType="separate"/>
      </w:r>
      <w:r w:rsidR="00877DD7">
        <w:rPr>
          <w:rFonts w:ascii="Gadugi" w:hAnsi="Gadugi" w:cs="Gadugi"/>
          <w:i w:val="0"/>
          <w:iCs w:val="0"/>
          <w:color w:val="auto"/>
          <w:sz w:val="18"/>
          <w:szCs w:val="18"/>
        </w:rPr>
        <w:t>12.1.3</w:t>
      </w:r>
      <w:r>
        <w:rPr>
          <w:rFonts w:ascii="Gadugi" w:hAnsi="Gadugi" w:cs="Gadugi"/>
          <w:i w:val="0"/>
          <w:iCs w:val="0"/>
          <w:color w:val="auto"/>
          <w:sz w:val="18"/>
          <w:szCs w:val="18"/>
        </w:rPr>
        <w:fldChar w:fldCharType="end"/>
      </w:r>
      <w:r>
        <w:rPr>
          <w:rFonts w:ascii="Gadugi" w:hAnsi="Gadugi" w:cs="Gadugi"/>
          <w:i w:val="0"/>
          <w:iCs w:val="0"/>
          <w:color w:val="auto"/>
          <w:sz w:val="18"/>
          <w:szCs w:val="18"/>
        </w:rPr>
        <w:t>, caracterizará o descumprimento total da obrigação assumida e o sujeitará às penalidades e à imediata perda da garantia de proposta em favor do órgão ou entidade promotora da licitação.</w:t>
      </w:r>
    </w:p>
    <w:p w14:paraId="0C02AFA2" w14:textId="77777777" w:rsidR="005B203D" w:rsidRDefault="00E60DC2">
      <w:pPr>
        <w:pStyle w:val="Nvel2-Red"/>
        <w:tabs>
          <w:tab w:val="left" w:pos="1119"/>
          <w:tab w:val="left" w:pos="1177"/>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E18981E" w14:textId="77777777" w:rsidR="005B203D" w:rsidRDefault="00E60DC2">
      <w:pPr>
        <w:pStyle w:val="Nvel2-Red"/>
        <w:tabs>
          <w:tab w:val="left" w:pos="1154"/>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908E90" w14:textId="77777777" w:rsidR="005B203D" w:rsidRDefault="00E60DC2">
      <w:pPr>
        <w:pStyle w:val="Nvel2-Red"/>
        <w:tabs>
          <w:tab w:val="left" w:pos="1131"/>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4BA1814" w14:textId="77777777" w:rsidR="005B203D" w:rsidRDefault="00E60DC2">
      <w:pPr>
        <w:pStyle w:val="Nvel2-Red"/>
        <w:tabs>
          <w:tab w:val="left" w:pos="1142"/>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O recurso e o pedido de reconsideração terão efeito suspensivo do ato ou da decisão recorrida até que sobrevenha decisão final da autoridade competente.</w:t>
      </w:r>
    </w:p>
    <w:p w14:paraId="223ABB84" w14:textId="77777777" w:rsidR="005B203D" w:rsidRDefault="00E60DC2">
      <w:pPr>
        <w:pStyle w:val="Nvel2-Red"/>
        <w:tabs>
          <w:tab w:val="left" w:pos="1119"/>
        </w:tabs>
        <w:spacing w:before="0" w:after="0" w:line="240" w:lineRule="auto"/>
        <w:rPr>
          <w:rFonts w:ascii="Gadugi" w:hAnsi="Gadugi" w:cs="Gadugi"/>
          <w:color w:val="auto"/>
          <w:sz w:val="18"/>
          <w:szCs w:val="18"/>
        </w:rPr>
      </w:pPr>
      <w:r>
        <w:rPr>
          <w:rFonts w:ascii="Gadugi" w:hAnsi="Gadugi" w:cs="Gadugi"/>
          <w:i w:val="0"/>
          <w:iCs w:val="0"/>
          <w:color w:val="auto"/>
          <w:sz w:val="18"/>
          <w:szCs w:val="18"/>
        </w:rPr>
        <w:t>A aplicação das sanções previstas neste edital não exclui, em hipótese alguma, a obrigação de reparação integral dos danos causados</w:t>
      </w:r>
      <w:r>
        <w:rPr>
          <w:rFonts w:ascii="Gadugi" w:hAnsi="Gadugi" w:cs="Gadugi"/>
          <w:color w:val="auto"/>
          <w:sz w:val="18"/>
          <w:szCs w:val="18"/>
        </w:rPr>
        <w:t>.</w:t>
      </w:r>
    </w:p>
    <w:p w14:paraId="4238815B" w14:textId="77777777" w:rsidR="005B203D" w:rsidRDefault="005B203D">
      <w:pPr>
        <w:pStyle w:val="Nvel2-Red"/>
        <w:numPr>
          <w:ilvl w:val="0"/>
          <w:numId w:val="0"/>
        </w:numPr>
        <w:spacing w:before="0" w:after="0" w:line="240" w:lineRule="auto"/>
        <w:rPr>
          <w:rFonts w:ascii="Gadugi" w:hAnsi="Gadugi" w:cs="Gadugi"/>
          <w:color w:val="auto"/>
          <w:sz w:val="18"/>
          <w:szCs w:val="18"/>
        </w:rPr>
      </w:pPr>
    </w:p>
    <w:p w14:paraId="0CC76810"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bookmarkStart w:id="35" w:name="_Toc135469235"/>
      <w:r>
        <w:rPr>
          <w:rFonts w:ascii="Gadugi" w:hAnsi="Gadugi" w:cs="Gadugi"/>
          <w:b/>
          <w:bCs/>
          <w:i w:val="0"/>
          <w:iCs w:val="0"/>
          <w:color w:val="auto"/>
          <w:sz w:val="18"/>
          <w:szCs w:val="18"/>
        </w:rPr>
        <w:t>DA IMPUGNAÇÃO AO EDITAL E DO PEDIDO DE ESCLARECIMENTO</w:t>
      </w:r>
      <w:bookmarkEnd w:id="35"/>
    </w:p>
    <w:p w14:paraId="58EFE5C8"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Qualquer pessoa é parte legítima para impugnar este Edital por irregularidade na aplicação da </w:t>
      </w:r>
      <w:hyperlink r:id="rId30" w:tooltip="http://www.planalto.gov.br/ccivil_03/_ato2019-2022/2021/lei/L14133.htm">
        <w:r>
          <w:rPr>
            <w:rFonts w:ascii="Gadugi" w:hAnsi="Gadugi" w:cs="Gadugi"/>
            <w:i w:val="0"/>
            <w:iCs w:val="0"/>
            <w:color w:val="auto"/>
            <w:sz w:val="18"/>
            <w:szCs w:val="18"/>
          </w:rPr>
          <w:t>Lei nº 14.133, de 2021</w:t>
        </w:r>
      </w:hyperlink>
      <w:r>
        <w:rPr>
          <w:rFonts w:ascii="Gadugi" w:hAnsi="Gadugi" w:cs="Gadugi"/>
          <w:i w:val="0"/>
          <w:iCs w:val="0"/>
          <w:color w:val="auto"/>
          <w:sz w:val="18"/>
          <w:szCs w:val="18"/>
        </w:rPr>
        <w:t>, devendo protocolar o pedido até 3 (três) dias úteis antes da data da abertura do certame.</w:t>
      </w:r>
    </w:p>
    <w:p w14:paraId="064F1DCD"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resposta à impugnação ou ao pedido de esclarecimento será divulgado em sítio eletrônico oficial no prazo de até 3 (três) dias úteis, limitado ao último dia útil anterior à data da abertura do certame.</w:t>
      </w:r>
    </w:p>
    <w:p w14:paraId="2436E36B" w14:textId="0D024A4C"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A impugnação e o pedido de esclarecimento poderão ser realizados por </w:t>
      </w:r>
      <w:r>
        <w:rPr>
          <w:rFonts w:ascii="Gadugi" w:hAnsi="Gadugi" w:cs="Gadugi"/>
          <w:color w:val="auto"/>
          <w:sz w:val="18"/>
          <w:szCs w:val="18"/>
        </w:rPr>
        <w:t>EXCLUSIVAMENTE</w:t>
      </w:r>
      <w:r>
        <w:rPr>
          <w:rFonts w:ascii="Gadugi" w:hAnsi="Gadugi" w:cs="Gadugi"/>
          <w:i w:val="0"/>
          <w:iCs w:val="0"/>
          <w:color w:val="auto"/>
          <w:sz w:val="18"/>
          <w:szCs w:val="18"/>
        </w:rPr>
        <w:t xml:space="preserve"> na forma eletrônica, pelos seguintes meios: </w:t>
      </w:r>
      <w:hyperlink r:id="rId31">
        <w:r>
          <w:rPr>
            <w:rFonts w:ascii="Gadugi" w:hAnsi="Gadugi" w:cs="Gadugi"/>
            <w:i w:val="0"/>
            <w:iCs w:val="0"/>
            <w:color w:val="auto"/>
            <w:sz w:val="18"/>
            <w:szCs w:val="18"/>
            <w:u w:val="single"/>
          </w:rPr>
          <w:t>licita@santabarbaradosul.rs.gov.br</w:t>
        </w:r>
      </w:hyperlink>
      <w:r>
        <w:rPr>
          <w:rStyle w:val="Hyperlink1"/>
          <w:rFonts w:ascii="Gadugi" w:hAnsi="Gadugi" w:cs="Gadugi"/>
          <w:i w:val="0"/>
          <w:iCs w:val="0"/>
          <w:color w:val="auto"/>
          <w:sz w:val="18"/>
          <w:szCs w:val="18"/>
        </w:rPr>
        <w:t xml:space="preserve"> </w:t>
      </w:r>
      <w:r>
        <w:rPr>
          <w:rStyle w:val="Hyperlink1"/>
          <w:rFonts w:ascii="Gadugi" w:hAnsi="Gadugi" w:cs="Gadugi"/>
          <w:i w:val="0"/>
          <w:iCs w:val="0"/>
          <w:color w:val="auto"/>
          <w:sz w:val="18"/>
          <w:szCs w:val="18"/>
          <w:u w:val="none"/>
        </w:rPr>
        <w:t xml:space="preserve">ou </w:t>
      </w:r>
      <w:hyperlink r:id="rId32" w:tooltip="https://pregaobanrisul.com.br/">
        <w:r w:rsidR="00D01032">
          <w:rPr>
            <w:rFonts w:ascii="Gadugi" w:hAnsi="Gadugi" w:cs="Gadugi"/>
            <w:i w:val="0"/>
            <w:iCs w:val="0"/>
            <w:color w:val="auto"/>
            <w:sz w:val="18"/>
            <w:szCs w:val="18"/>
            <w:u w:val="single"/>
          </w:rPr>
          <w:t>www.portaldecompraspublicas.com.br</w:t>
        </w:r>
      </w:hyperlink>
    </w:p>
    <w:p w14:paraId="68BF3E36"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As impugnações e pedidos de esclarecimentos não suspendem os prazos previstos no certame.</w:t>
      </w:r>
    </w:p>
    <w:p w14:paraId="0BC27C41" w14:textId="77777777" w:rsidR="005B203D" w:rsidRDefault="00E60DC2">
      <w:pPr>
        <w:pStyle w:val="Nvel2-Red"/>
        <w:numPr>
          <w:ilvl w:val="2"/>
          <w:numId w:val="2"/>
        </w:numPr>
        <w:tabs>
          <w:tab w:val="left" w:pos="1119"/>
        </w:tabs>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 concessão de efeito suspensivo à impugnação é medida excepcional e deverá ser motivada pelo agente de contratação, nos autos do processo de licitação.</w:t>
      </w:r>
    </w:p>
    <w:p w14:paraId="3F258CE6"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Acolhida a impugnação, será definida e publicada nova data para a realização do certame.</w:t>
      </w:r>
    </w:p>
    <w:p w14:paraId="1E9B31BE" w14:textId="77777777" w:rsidR="005B203D" w:rsidRDefault="005B203D">
      <w:pPr>
        <w:pStyle w:val="Nvel2-Red"/>
        <w:numPr>
          <w:ilvl w:val="0"/>
          <w:numId w:val="0"/>
        </w:numPr>
        <w:spacing w:before="0" w:after="0" w:line="240" w:lineRule="auto"/>
        <w:rPr>
          <w:rFonts w:ascii="Gadugi" w:hAnsi="Gadugi" w:cs="Gadugi"/>
          <w:b/>
          <w:i w:val="0"/>
          <w:color w:val="auto"/>
          <w:sz w:val="18"/>
          <w:szCs w:val="18"/>
        </w:rPr>
      </w:pPr>
    </w:p>
    <w:p w14:paraId="42D005DD"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r>
        <w:rPr>
          <w:rFonts w:ascii="Gadugi" w:hAnsi="Gadugi" w:cs="Gadugi"/>
          <w:b/>
          <w:bCs/>
          <w:i w:val="0"/>
          <w:iCs w:val="0"/>
          <w:color w:val="auto"/>
          <w:sz w:val="18"/>
          <w:szCs w:val="18"/>
        </w:rPr>
        <w:t>DO REAJUSTE CONTRATUAL</w:t>
      </w:r>
    </w:p>
    <w:p w14:paraId="417DBFD5" w14:textId="77777777" w:rsidR="005B203D" w:rsidRDefault="00E60DC2">
      <w:pPr>
        <w:pStyle w:val="Nvel2-Red"/>
        <w:numPr>
          <w:ilvl w:val="0"/>
          <w:numId w:val="0"/>
        </w:numPr>
        <w:spacing w:before="0" w:after="0" w:line="240" w:lineRule="auto"/>
        <w:ind w:left="567"/>
        <w:rPr>
          <w:rFonts w:ascii="Gadugi" w:hAnsi="Gadugi" w:cs="Gadugi"/>
          <w:b/>
          <w:i w:val="0"/>
          <w:color w:val="auto"/>
          <w:sz w:val="18"/>
          <w:szCs w:val="18"/>
        </w:rPr>
      </w:pPr>
      <w:r>
        <w:rPr>
          <w:rFonts w:ascii="Gadugi" w:eastAsia="Times New Roman" w:hAnsi="Gadugi" w:cs="Gadugi"/>
          <w:i w:val="0"/>
          <w:iCs w:val="0"/>
          <w:color w:val="auto"/>
          <w:sz w:val="18"/>
          <w:szCs w:val="18"/>
        </w:rPr>
        <w:t>14.1. O preço contratado será reajustado anualmente, conforme disposto no art. 92 da Lei nº 14.133/2021, mediante a aplicação do índice estabelecido neste edital, respeitando a periodicidade mínima de um ano, contada a partir da data limite para apresentação da proposta ou do orçamento a que a proposta se referir.</w:t>
      </w:r>
      <w:r>
        <w:rPr>
          <w:rFonts w:ascii="Gadugi" w:eastAsia="Times New Roman" w:hAnsi="Gadugi" w:cs="Gadugi"/>
          <w:b/>
          <w:color w:val="auto"/>
          <w:sz w:val="18"/>
          <w:szCs w:val="18"/>
        </w:rPr>
        <w:br/>
      </w:r>
      <w:r>
        <w:rPr>
          <w:rFonts w:ascii="Gadugi" w:eastAsia="Times New Roman" w:hAnsi="Gadugi" w:cs="Gadugi"/>
          <w:i w:val="0"/>
          <w:iCs w:val="0"/>
          <w:color w:val="auto"/>
          <w:sz w:val="18"/>
          <w:szCs w:val="18"/>
        </w:rPr>
        <w:t>14.2. O reajuste será realizado com base no Índice Nacional de Preços ao Consumidor Amplo (IPCA), publicado pelo Instituto Brasileiro de Geografia e Estatística (IBGE), ou outro índice oficial que venha a substituí-lo.</w:t>
      </w:r>
    </w:p>
    <w:p w14:paraId="10353256" w14:textId="77777777" w:rsidR="005B203D" w:rsidRDefault="00E60DC2">
      <w:pPr>
        <w:ind w:left="567"/>
        <w:rPr>
          <w:rFonts w:ascii="Gadugi" w:eastAsia="Times New Roman" w:hAnsi="Gadugi" w:cs="Gadugi"/>
          <w:sz w:val="18"/>
          <w:szCs w:val="18"/>
        </w:rPr>
      </w:pPr>
      <w:r>
        <w:rPr>
          <w:rFonts w:ascii="Gadugi" w:eastAsia="Times New Roman" w:hAnsi="Gadugi" w:cs="Gadugi"/>
          <w:sz w:val="18"/>
          <w:szCs w:val="18"/>
        </w:rPr>
        <w:t>14.3. Caso o índice estipulado esteja extinto ou indisponível na data do reajuste, será adotado outro índice que melhor reflita a variação dos custos do contrato, mediante justificativa técnica da Administração e anuência da contratada</w:t>
      </w:r>
      <w:r>
        <w:rPr>
          <w:rFonts w:ascii="Gadugi" w:eastAsia="Times New Roman" w:hAnsi="Gadugi" w:cs="Gadugi"/>
          <w:b/>
          <w:sz w:val="18"/>
          <w:szCs w:val="18"/>
        </w:rPr>
        <w:br/>
      </w:r>
      <w:r>
        <w:rPr>
          <w:rFonts w:ascii="Gadugi" w:eastAsia="Times New Roman" w:hAnsi="Gadugi" w:cs="Gadugi"/>
          <w:sz w:val="18"/>
          <w:szCs w:val="18"/>
        </w:rPr>
        <w:t xml:space="preserve"> 14.4. O reajuste será aplicado automaticamente após a periodicidade mínima de um ano, salvo disposição contratual em contrário, e incidirá sobre o valor original do contrato ou, se for o caso, sobre o último valor reajustado.</w:t>
      </w:r>
    </w:p>
    <w:p w14:paraId="63D8CC8E" w14:textId="77777777" w:rsidR="005B203D" w:rsidRDefault="00E60DC2">
      <w:pPr>
        <w:ind w:left="567"/>
        <w:rPr>
          <w:rFonts w:ascii="Gadugi" w:hAnsi="Gadugi" w:cs="Gadugi"/>
          <w:sz w:val="18"/>
          <w:szCs w:val="18"/>
        </w:rPr>
      </w:pPr>
      <w:r>
        <w:rPr>
          <w:rFonts w:ascii="Gadugi" w:eastAsia="Times New Roman" w:hAnsi="Gadugi" w:cs="Gadugi"/>
          <w:sz w:val="18"/>
          <w:szCs w:val="18"/>
        </w:rPr>
        <w:t>14.5. A contratada poderá solicitar a aplicação do reajuste mediante requerimento formal, acompanhado dos cálculos e da documentação necessária para comprovação do índice adotado.</w:t>
      </w:r>
    </w:p>
    <w:p w14:paraId="0F2C5016" w14:textId="77777777" w:rsidR="005B203D" w:rsidRDefault="00E60DC2">
      <w:pPr>
        <w:ind w:left="567"/>
        <w:rPr>
          <w:rFonts w:ascii="Gadugi" w:eastAsia="Times New Roman" w:hAnsi="Gadugi" w:cs="Gadugi"/>
          <w:sz w:val="18"/>
          <w:szCs w:val="18"/>
        </w:rPr>
      </w:pPr>
      <w:r>
        <w:rPr>
          <w:rFonts w:ascii="Gadugi" w:eastAsia="Times New Roman" w:hAnsi="Gadugi" w:cs="Gadugi"/>
          <w:sz w:val="18"/>
          <w:szCs w:val="18"/>
        </w:rPr>
        <w:t xml:space="preserve">14.6. A Administração Pública terá o prazo de até </w:t>
      </w:r>
      <w:r>
        <w:rPr>
          <w:rFonts w:ascii="Gadugi" w:eastAsia="Times New Roman" w:hAnsi="Gadugi" w:cs="Gadugi"/>
          <w:b/>
          <w:sz w:val="18"/>
          <w:szCs w:val="18"/>
        </w:rPr>
        <w:t xml:space="preserve">15 (quinze) </w:t>
      </w:r>
      <w:r>
        <w:rPr>
          <w:rFonts w:ascii="Gadugi" w:eastAsia="Times New Roman" w:hAnsi="Gadugi" w:cs="Gadugi"/>
          <w:sz w:val="18"/>
          <w:szCs w:val="18"/>
        </w:rPr>
        <w:t>dias úteis para analisar e validar os cálculos apresentados e proceder com a atualização do valor contratual.</w:t>
      </w:r>
      <w:r>
        <w:rPr>
          <w:rFonts w:ascii="Gadugi" w:eastAsia="Times New Roman" w:hAnsi="Gadugi" w:cs="Gadugi"/>
          <w:b/>
          <w:sz w:val="18"/>
          <w:szCs w:val="18"/>
        </w:rPr>
        <w:br/>
      </w:r>
      <w:r>
        <w:rPr>
          <w:rFonts w:ascii="Gadugi" w:eastAsia="Times New Roman" w:hAnsi="Gadugi" w:cs="Gadugi"/>
          <w:sz w:val="18"/>
          <w:szCs w:val="18"/>
        </w:rPr>
        <w:t>14.7. Em casos excepcionais, quando houver grande variação de preços que comprometa a execução do contrato, poderá ser admitida a revisão contratual, nos termos do art. 124 da Lei nº 14.133/2021, para restabelecer o equilíbrio econômico-financeiro do contrato.</w:t>
      </w:r>
    </w:p>
    <w:p w14:paraId="32091012" w14:textId="77777777" w:rsidR="005B203D" w:rsidRDefault="00E60DC2">
      <w:pPr>
        <w:ind w:left="567"/>
        <w:rPr>
          <w:rFonts w:ascii="Gadugi" w:eastAsia="Times New Roman" w:hAnsi="Gadugi" w:cs="Gadugi"/>
          <w:sz w:val="18"/>
          <w:szCs w:val="18"/>
        </w:rPr>
      </w:pPr>
      <w:r>
        <w:rPr>
          <w:rFonts w:ascii="Gadugi" w:eastAsia="Times New Roman" w:hAnsi="Gadugi" w:cs="Gadugi"/>
          <w:sz w:val="18"/>
          <w:szCs w:val="18"/>
        </w:rPr>
        <w:t>14.8. O não cumprimento da aplicação do reajuste dentro do prazo estipulado não exime a Administração da obrigação de pagá-lo, sendo devido desde a data do aniversário do contrato</w:t>
      </w:r>
    </w:p>
    <w:p w14:paraId="20BA3F3C" w14:textId="77777777" w:rsidR="005B203D" w:rsidRDefault="005B203D">
      <w:pPr>
        <w:ind w:left="567"/>
        <w:rPr>
          <w:rFonts w:ascii="Gadugi" w:eastAsia="Times New Roman" w:hAnsi="Gadugi" w:cs="Gadugi"/>
          <w:sz w:val="18"/>
          <w:szCs w:val="18"/>
        </w:rPr>
      </w:pPr>
    </w:p>
    <w:p w14:paraId="24189938" w14:textId="77777777" w:rsidR="005B203D" w:rsidRDefault="00E60DC2">
      <w:pPr>
        <w:pStyle w:val="Nvel2-Red"/>
        <w:numPr>
          <w:ilvl w:val="0"/>
          <w:numId w:val="2"/>
        </w:numPr>
        <w:spacing w:before="0" w:after="0" w:line="240" w:lineRule="auto"/>
        <w:ind w:left="999" w:hanging="432"/>
        <w:rPr>
          <w:rFonts w:ascii="Gadugi" w:hAnsi="Gadugi" w:cs="Gadugi"/>
          <w:b/>
          <w:i w:val="0"/>
          <w:color w:val="auto"/>
          <w:sz w:val="18"/>
          <w:szCs w:val="18"/>
        </w:rPr>
      </w:pPr>
      <w:bookmarkStart w:id="36" w:name="_Toc135469236"/>
      <w:r>
        <w:rPr>
          <w:rFonts w:ascii="Gadugi" w:hAnsi="Gadugi" w:cs="Gadugi"/>
          <w:b/>
          <w:bCs/>
          <w:i w:val="0"/>
          <w:iCs w:val="0"/>
          <w:color w:val="auto"/>
          <w:sz w:val="18"/>
          <w:szCs w:val="18"/>
        </w:rPr>
        <w:t>DAS DISPOSIÇÕES GERAIS</w:t>
      </w:r>
      <w:bookmarkEnd w:id="36"/>
    </w:p>
    <w:p w14:paraId="5EBACA91"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Será divulgada ata da sessão pública no sistema eletrônico.</w:t>
      </w:r>
    </w:p>
    <w:p w14:paraId="3EF9F29E"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5DD7E5A"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Todas as referências de tempo no Edital, no aviso e durante a sessão pública observarão o horário de Brasília/ DF.</w:t>
      </w:r>
    </w:p>
    <w:p w14:paraId="6D450C33"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A homologação do resultado desta licitação não implicará direito à contratação.</w:t>
      </w:r>
    </w:p>
    <w:p w14:paraId="0CF1E1A3"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669ED47"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Os licitantes assumem todos os custos de preparação e apresentação de suas propostas e a Administração não será, em nenhum caso, responsável por esses custos, independentemente da condução ou do resultado do processo licitatório.</w:t>
      </w:r>
    </w:p>
    <w:p w14:paraId="18C08613"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Na contagem dos prazos estabelecidos neste Edital e seus Anexos, excluir-se-á o dia do início e incluir-se-á o do vencimento. Só se iniciam e vencem os prazos em dias de expediente na Administração.</w:t>
      </w:r>
    </w:p>
    <w:p w14:paraId="2CE4531B"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O desatendimento de exigências formais não essenciais não importará o afastamento do licitante, desde que seja possível o aproveitamento do ato, observados os princípios da isonomia e do interesse público.</w:t>
      </w:r>
    </w:p>
    <w:p w14:paraId="4E55023B"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Em caso de divergência entre disposições deste Edital e de seus anexos ou demais peças que compõem o processo, prevalecerá as deste Edital.</w:t>
      </w:r>
    </w:p>
    <w:p w14:paraId="2E437FF4" w14:textId="77777777" w:rsidR="005B203D" w:rsidRDefault="00E60DC2">
      <w:pPr>
        <w:pStyle w:val="Nvel2-Red"/>
        <w:tabs>
          <w:tab w:val="left" w:pos="1074"/>
        </w:tabs>
        <w:spacing w:before="0" w:after="0" w:line="240" w:lineRule="auto"/>
        <w:rPr>
          <w:rFonts w:ascii="Gadugi" w:hAnsi="Gadugi" w:cs="Gadugi"/>
          <w:i w:val="0"/>
          <w:color w:val="auto"/>
          <w:sz w:val="18"/>
          <w:szCs w:val="18"/>
        </w:rPr>
      </w:pPr>
      <w:r>
        <w:rPr>
          <w:rFonts w:ascii="Gadugi" w:hAnsi="Gadugi" w:cs="Gadugi"/>
          <w:i w:val="0"/>
          <w:iCs w:val="0"/>
          <w:color w:val="auto"/>
          <w:sz w:val="18"/>
          <w:szCs w:val="18"/>
        </w:rPr>
        <w:t xml:space="preserve">O Edital e seus anexos estão disponíveis, na íntegra, no Portal Nacional de Contratações Públicas (PNCP) e endereço eletrônico </w:t>
      </w:r>
      <w:hyperlink r:id="rId33">
        <w:r>
          <w:rPr>
            <w:rFonts w:ascii="Gadugi" w:hAnsi="Gadugi" w:cs="Gadugi"/>
            <w:i w:val="0"/>
            <w:iCs w:val="0"/>
            <w:color w:val="auto"/>
            <w:sz w:val="18"/>
            <w:szCs w:val="18"/>
            <w:u w:val="single"/>
          </w:rPr>
          <w:t>www.santabarbaradosul.rs.gov.br</w:t>
        </w:r>
      </w:hyperlink>
      <w:r>
        <w:rPr>
          <w:rStyle w:val="Hyperlink1"/>
          <w:rFonts w:ascii="Gadugi" w:hAnsi="Gadugi" w:cs="Gadugi"/>
          <w:i w:val="0"/>
          <w:iCs w:val="0"/>
          <w:color w:val="auto"/>
          <w:sz w:val="18"/>
          <w:szCs w:val="18"/>
        </w:rPr>
        <w:t xml:space="preserve"> </w:t>
      </w:r>
    </w:p>
    <w:p w14:paraId="6E908A68" w14:textId="77777777" w:rsidR="005B203D" w:rsidRDefault="00E60DC2">
      <w:pPr>
        <w:pStyle w:val="Nvel2-Red"/>
        <w:spacing w:before="0" w:after="0" w:line="240" w:lineRule="auto"/>
        <w:rPr>
          <w:rFonts w:ascii="Gadugi" w:hAnsi="Gadugi" w:cs="Gadugi"/>
          <w:i w:val="0"/>
          <w:color w:val="auto"/>
          <w:sz w:val="18"/>
          <w:szCs w:val="18"/>
        </w:rPr>
      </w:pPr>
      <w:r>
        <w:rPr>
          <w:rFonts w:ascii="Gadugi" w:hAnsi="Gadugi" w:cs="Gadugi"/>
          <w:i w:val="0"/>
          <w:iCs w:val="0"/>
          <w:color w:val="auto"/>
          <w:sz w:val="18"/>
          <w:szCs w:val="18"/>
        </w:rPr>
        <w:t>Integram este Edital, para todos os fins e efeitos, os seguintes anexos:</w:t>
      </w:r>
    </w:p>
    <w:p w14:paraId="3A1A9EA9"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ANEXO I – Termo de Referência.</w:t>
      </w:r>
    </w:p>
    <w:p w14:paraId="2A457C02"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Apêndice do Anexo I – Estudo Técnico Preliminar.</w:t>
      </w:r>
    </w:p>
    <w:p w14:paraId="46B31E8F"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ANEXO II – Modelo Proposta</w:t>
      </w:r>
    </w:p>
    <w:p w14:paraId="60A838E0"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ANEXO III – Minuta de Ata de Registro de Preço</w:t>
      </w:r>
    </w:p>
    <w:p w14:paraId="309ADCEA"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ANEXO IV – Minuta Cadastro Reserva</w:t>
      </w:r>
    </w:p>
    <w:p w14:paraId="4019DA4B" w14:textId="77777777" w:rsidR="005B203D" w:rsidRDefault="00E60DC2">
      <w:pPr>
        <w:pStyle w:val="Nvel2-Red"/>
        <w:numPr>
          <w:ilvl w:val="2"/>
          <w:numId w:val="2"/>
        </w:numPr>
        <w:spacing w:before="0" w:after="0" w:line="240" w:lineRule="auto"/>
        <w:ind w:left="999" w:hanging="432"/>
        <w:rPr>
          <w:rFonts w:ascii="Gadugi" w:hAnsi="Gadugi" w:cs="Gadugi"/>
          <w:i w:val="0"/>
          <w:color w:val="auto"/>
          <w:sz w:val="18"/>
          <w:szCs w:val="18"/>
        </w:rPr>
      </w:pPr>
      <w:r>
        <w:rPr>
          <w:rFonts w:ascii="Gadugi" w:hAnsi="Gadugi" w:cs="Gadugi"/>
          <w:i w:val="0"/>
          <w:iCs w:val="0"/>
          <w:color w:val="auto"/>
          <w:sz w:val="18"/>
          <w:szCs w:val="18"/>
        </w:rPr>
        <w:t>ANEXO V – Extrato de Aviso de Edital</w:t>
      </w:r>
    </w:p>
    <w:p w14:paraId="3AD84E8E" w14:textId="77777777" w:rsidR="005B203D" w:rsidRDefault="00E60DC2">
      <w:pPr>
        <w:pStyle w:val="Nvel2-Red"/>
        <w:numPr>
          <w:ilvl w:val="2"/>
          <w:numId w:val="2"/>
        </w:numPr>
        <w:spacing w:before="0" w:after="0" w:line="240" w:lineRule="auto"/>
        <w:ind w:left="999" w:hanging="432"/>
        <w:rPr>
          <w:rFonts w:ascii="Gadugi" w:hAnsi="Gadugi" w:cs="Gadugi"/>
          <w:b/>
          <w:i w:val="0"/>
          <w:color w:val="auto"/>
          <w:sz w:val="18"/>
          <w:szCs w:val="18"/>
        </w:rPr>
      </w:pPr>
      <w:r>
        <w:rPr>
          <w:rFonts w:ascii="Gadugi" w:hAnsi="Gadugi" w:cs="Gadugi"/>
          <w:i w:val="0"/>
          <w:iCs w:val="0"/>
          <w:color w:val="auto"/>
          <w:sz w:val="18"/>
          <w:szCs w:val="18"/>
        </w:rPr>
        <w:t>ANEXO VI – Autorização Autoridade Competente</w:t>
      </w:r>
    </w:p>
    <w:p w14:paraId="174A793A" w14:textId="77777777" w:rsidR="005B203D" w:rsidRDefault="005B203D">
      <w:pPr>
        <w:rPr>
          <w:rFonts w:ascii="Gadugi" w:hAnsi="Gadugi" w:cs="Gadugi"/>
          <w:sz w:val="18"/>
          <w:szCs w:val="18"/>
        </w:rPr>
      </w:pPr>
    </w:p>
    <w:p w14:paraId="1F195F2B" w14:textId="77777777" w:rsidR="005B203D" w:rsidRDefault="005B203D">
      <w:pPr>
        <w:jc w:val="right"/>
        <w:rPr>
          <w:rFonts w:ascii="Gadugi" w:eastAsia="MS Mincho" w:hAnsi="Gadugi" w:cs="Gadugi"/>
          <w:sz w:val="18"/>
          <w:szCs w:val="18"/>
        </w:rPr>
      </w:pPr>
    </w:p>
    <w:p w14:paraId="2B64B7D5" w14:textId="77777777" w:rsidR="005B203D" w:rsidRDefault="005B203D">
      <w:pPr>
        <w:jc w:val="right"/>
        <w:rPr>
          <w:rFonts w:ascii="Gadugi" w:eastAsia="MS Mincho" w:hAnsi="Gadugi" w:cs="Gadugi"/>
          <w:sz w:val="18"/>
          <w:szCs w:val="18"/>
        </w:rPr>
      </w:pPr>
    </w:p>
    <w:p w14:paraId="51ED3D98" w14:textId="09F8127D" w:rsidR="005B203D" w:rsidRDefault="00E60DC2">
      <w:pPr>
        <w:jc w:val="right"/>
        <w:rPr>
          <w:rFonts w:ascii="Gadugi" w:eastAsia="MS Mincho" w:hAnsi="Gadugi" w:cs="Gadugi"/>
          <w:sz w:val="18"/>
          <w:szCs w:val="18"/>
        </w:rPr>
      </w:pPr>
      <w:r>
        <w:rPr>
          <w:rFonts w:ascii="Gadugi" w:eastAsia="MS Mincho" w:hAnsi="Gadugi" w:cs="Gadugi"/>
          <w:sz w:val="18"/>
          <w:szCs w:val="18"/>
        </w:rPr>
        <w:t xml:space="preserve">Santa Bárbara do Sul, RS, </w:t>
      </w:r>
      <w:r w:rsidR="005B62C0">
        <w:rPr>
          <w:rFonts w:ascii="Gadugi" w:eastAsia="MS Mincho" w:hAnsi="Gadugi" w:cs="Gadugi"/>
          <w:sz w:val="18"/>
          <w:szCs w:val="18"/>
        </w:rPr>
        <w:t>11 de agosto</w:t>
      </w:r>
      <w:r>
        <w:rPr>
          <w:rFonts w:ascii="Gadugi" w:eastAsia="MS Mincho" w:hAnsi="Gadugi" w:cs="Gadugi"/>
          <w:sz w:val="18"/>
          <w:szCs w:val="18"/>
        </w:rPr>
        <w:t xml:space="preserve"> de 2025</w:t>
      </w:r>
    </w:p>
    <w:p w14:paraId="1560DA8B" w14:textId="77777777" w:rsidR="005B203D" w:rsidRDefault="005B203D">
      <w:pPr>
        <w:jc w:val="right"/>
        <w:rPr>
          <w:rFonts w:ascii="Gadugi" w:eastAsia="MS Mincho" w:hAnsi="Gadugi" w:cs="Gadugi"/>
          <w:sz w:val="18"/>
          <w:szCs w:val="18"/>
        </w:rPr>
      </w:pPr>
    </w:p>
    <w:p w14:paraId="3FACD6AB" w14:textId="77777777" w:rsidR="005B203D" w:rsidRDefault="005B203D">
      <w:pPr>
        <w:jc w:val="right"/>
        <w:rPr>
          <w:rFonts w:ascii="Gadugi" w:eastAsia="MS Mincho" w:hAnsi="Gadugi" w:cs="Gadugi"/>
          <w:sz w:val="18"/>
          <w:szCs w:val="18"/>
        </w:rPr>
      </w:pPr>
    </w:p>
    <w:p w14:paraId="64B44598" w14:textId="77777777" w:rsidR="005B203D" w:rsidRDefault="005B203D">
      <w:pPr>
        <w:rPr>
          <w:rFonts w:ascii="Gadugi" w:hAnsi="Gadugi" w:cs="Gadugi"/>
          <w:sz w:val="18"/>
          <w:szCs w:val="18"/>
        </w:rPr>
      </w:pPr>
    </w:p>
    <w:p w14:paraId="72DED280" w14:textId="77777777" w:rsidR="005B203D" w:rsidRDefault="005B203D">
      <w:pPr>
        <w:ind w:firstLine="567"/>
        <w:jc w:val="center"/>
        <w:rPr>
          <w:rFonts w:ascii="Gadugi" w:hAnsi="Gadugi" w:cs="Gadugi"/>
          <w:sz w:val="18"/>
          <w:szCs w:val="18"/>
        </w:rPr>
      </w:pPr>
    </w:p>
    <w:p w14:paraId="693E631F" w14:textId="77777777" w:rsidR="005B203D" w:rsidRDefault="00E60DC2">
      <w:pPr>
        <w:jc w:val="center"/>
        <w:rPr>
          <w:rFonts w:ascii="Gadugi" w:hAnsi="Gadugi" w:cs="Gadugi"/>
          <w:i/>
          <w:iCs/>
          <w:sz w:val="18"/>
          <w:szCs w:val="18"/>
        </w:rPr>
      </w:pPr>
      <w:r>
        <w:rPr>
          <w:rFonts w:ascii="Gadugi" w:hAnsi="Gadugi" w:cs="Gadugi"/>
          <w:i/>
          <w:iCs/>
          <w:sz w:val="18"/>
          <w:szCs w:val="18"/>
        </w:rPr>
        <w:t>Leandro Caraffini Veneral</w:t>
      </w:r>
    </w:p>
    <w:p w14:paraId="196D8863" w14:textId="77777777" w:rsidR="005B203D" w:rsidRDefault="00E60DC2">
      <w:pPr>
        <w:jc w:val="center"/>
        <w:rPr>
          <w:rFonts w:ascii="Gadugi" w:hAnsi="Gadugi" w:cs="Gadugi"/>
          <w:i/>
          <w:iCs/>
          <w:sz w:val="18"/>
          <w:szCs w:val="18"/>
        </w:rPr>
      </w:pPr>
      <w:r>
        <w:rPr>
          <w:rFonts w:ascii="Gadugi" w:hAnsi="Gadugi" w:cs="Gadugi"/>
          <w:i/>
          <w:iCs/>
          <w:sz w:val="18"/>
          <w:szCs w:val="18"/>
        </w:rPr>
        <w:t>Prefeito</w:t>
      </w:r>
    </w:p>
    <w:p w14:paraId="1A15F590" w14:textId="77777777" w:rsidR="005B203D" w:rsidRDefault="005B203D">
      <w:pPr>
        <w:jc w:val="center"/>
        <w:rPr>
          <w:rFonts w:ascii="Gadugi" w:hAnsi="Gadugi" w:cs="Gadugi"/>
          <w:i/>
          <w:iCs/>
          <w:sz w:val="18"/>
          <w:szCs w:val="18"/>
        </w:rPr>
      </w:pPr>
    </w:p>
    <w:p w14:paraId="577A669C" w14:textId="77777777" w:rsidR="005B203D" w:rsidRDefault="005B203D">
      <w:pPr>
        <w:jc w:val="center"/>
        <w:rPr>
          <w:rFonts w:ascii="Gadugi" w:hAnsi="Gadugi" w:cs="Gadugi"/>
          <w:i/>
          <w:iCs/>
          <w:sz w:val="18"/>
          <w:szCs w:val="18"/>
        </w:rPr>
      </w:pPr>
    </w:p>
    <w:p w14:paraId="0DBF4B96" w14:textId="77777777" w:rsidR="005B203D" w:rsidRDefault="005B203D">
      <w:pPr>
        <w:jc w:val="center"/>
        <w:rPr>
          <w:rFonts w:ascii="Gadugi" w:hAnsi="Gadugi" w:cs="Gadugi"/>
          <w:i/>
          <w:iCs/>
          <w:sz w:val="18"/>
          <w:szCs w:val="18"/>
        </w:rPr>
      </w:pPr>
    </w:p>
    <w:p w14:paraId="7EC375F5" w14:textId="77777777" w:rsidR="005B203D" w:rsidRDefault="005B203D">
      <w:pPr>
        <w:jc w:val="center"/>
        <w:rPr>
          <w:rFonts w:ascii="Gadugi" w:hAnsi="Gadugi" w:cs="Gadugi"/>
          <w:i/>
          <w:iCs/>
          <w:sz w:val="18"/>
          <w:szCs w:val="18"/>
        </w:rPr>
      </w:pPr>
    </w:p>
    <w:p w14:paraId="2B912840" w14:textId="77777777" w:rsidR="005B203D" w:rsidRDefault="005B203D">
      <w:pPr>
        <w:jc w:val="center"/>
        <w:rPr>
          <w:rFonts w:ascii="Gadugi" w:hAnsi="Gadugi" w:cs="Gadugi"/>
          <w:i/>
          <w:iCs/>
          <w:sz w:val="18"/>
          <w:szCs w:val="18"/>
        </w:rPr>
      </w:pPr>
    </w:p>
    <w:p w14:paraId="7AC1D69E" w14:textId="77777777" w:rsidR="005B203D" w:rsidRDefault="005B203D">
      <w:pPr>
        <w:jc w:val="center"/>
        <w:rPr>
          <w:rFonts w:ascii="Gadugi" w:hAnsi="Gadugi" w:cs="Gadugi"/>
          <w:i/>
          <w:iCs/>
          <w:sz w:val="18"/>
          <w:szCs w:val="18"/>
        </w:rPr>
      </w:pPr>
    </w:p>
    <w:p w14:paraId="79537484" w14:textId="77777777" w:rsidR="005B203D" w:rsidRDefault="005B203D">
      <w:pPr>
        <w:jc w:val="center"/>
        <w:rPr>
          <w:rFonts w:ascii="Gadugi" w:hAnsi="Gadugi" w:cs="Gadugi"/>
          <w:i/>
          <w:iCs/>
          <w:sz w:val="18"/>
          <w:szCs w:val="18"/>
        </w:rPr>
      </w:pPr>
    </w:p>
    <w:p w14:paraId="11A9D561" w14:textId="77777777" w:rsidR="005B203D" w:rsidRDefault="00E60DC2">
      <w:pPr>
        <w:pStyle w:val="Cabealho"/>
        <w:jc w:val="center"/>
        <w:rPr>
          <w:rFonts w:ascii="Gadugi" w:hAnsi="Gadugi" w:cs="Gadugi"/>
          <w:i/>
          <w:iCs/>
          <w:sz w:val="18"/>
          <w:szCs w:val="18"/>
        </w:rPr>
      </w:pPr>
      <w:r>
        <w:rPr>
          <w:rFonts w:ascii="Gadugi" w:hAnsi="Gadugi" w:cs="Gadugi"/>
          <w:i/>
          <w:iCs/>
          <w:sz w:val="18"/>
          <w:szCs w:val="18"/>
        </w:rPr>
        <w:t>Carolina da Costa Vianna</w:t>
      </w:r>
    </w:p>
    <w:p w14:paraId="3B6BB398" w14:textId="77777777" w:rsidR="005B203D" w:rsidRDefault="00E60DC2">
      <w:pPr>
        <w:pStyle w:val="Cabealho"/>
        <w:jc w:val="center"/>
        <w:rPr>
          <w:rFonts w:ascii="Gadugi" w:hAnsi="Gadugi" w:cs="Gadugi"/>
          <w:i/>
          <w:iCs/>
          <w:sz w:val="18"/>
          <w:szCs w:val="18"/>
        </w:rPr>
      </w:pPr>
      <w:r>
        <w:rPr>
          <w:rFonts w:ascii="Gadugi" w:hAnsi="Gadugi" w:cs="Gadugi"/>
          <w:i/>
          <w:iCs/>
          <w:sz w:val="18"/>
          <w:szCs w:val="18"/>
        </w:rPr>
        <w:t>Setor de Licitações</w:t>
      </w:r>
    </w:p>
    <w:p w14:paraId="2DD5A164" w14:textId="77777777" w:rsidR="005B203D" w:rsidRDefault="005B203D">
      <w:pPr>
        <w:pStyle w:val="Cabealho"/>
        <w:rPr>
          <w:rFonts w:ascii="Gadugi" w:hAnsi="Gadugi" w:cs="Gadugi"/>
          <w:i/>
          <w:iCs/>
          <w:sz w:val="18"/>
          <w:szCs w:val="18"/>
        </w:rPr>
      </w:pPr>
    </w:p>
    <w:p w14:paraId="779D44A1" w14:textId="77777777" w:rsidR="005B203D" w:rsidRDefault="005B203D">
      <w:pPr>
        <w:pStyle w:val="Cabealho"/>
        <w:rPr>
          <w:rFonts w:ascii="Gadugi" w:hAnsi="Gadugi" w:cs="Gadugi"/>
          <w:sz w:val="18"/>
          <w:szCs w:val="18"/>
        </w:rPr>
      </w:pPr>
    </w:p>
    <w:p w14:paraId="675EC361" w14:textId="77777777" w:rsidR="005B203D" w:rsidRDefault="005B203D">
      <w:pPr>
        <w:pStyle w:val="Cabealho"/>
        <w:rPr>
          <w:rFonts w:ascii="Gadugi" w:hAnsi="Gadugi" w:cs="Gadugi"/>
          <w:sz w:val="18"/>
          <w:szCs w:val="18"/>
        </w:rPr>
      </w:pPr>
    </w:p>
    <w:p w14:paraId="397A59D9" w14:textId="77777777" w:rsidR="005B203D" w:rsidRDefault="005B203D">
      <w:pPr>
        <w:pStyle w:val="Cabealho"/>
        <w:rPr>
          <w:rFonts w:ascii="Gadugi" w:hAnsi="Gadugi" w:cs="Gadugi"/>
          <w:sz w:val="18"/>
          <w:szCs w:val="18"/>
        </w:rPr>
      </w:pPr>
    </w:p>
    <w:p w14:paraId="25D5AC1B" w14:textId="77777777" w:rsidR="005B203D" w:rsidRDefault="005B203D">
      <w:pPr>
        <w:pStyle w:val="Cabealho"/>
        <w:rPr>
          <w:rFonts w:ascii="Gadugi" w:hAnsi="Gadugi" w:cs="Gadugi"/>
          <w:sz w:val="18"/>
          <w:szCs w:val="18"/>
        </w:rPr>
      </w:pPr>
    </w:p>
    <w:p w14:paraId="11384C39" w14:textId="77777777" w:rsidR="005B203D" w:rsidRDefault="005B203D">
      <w:pPr>
        <w:pStyle w:val="Cabealho"/>
        <w:rPr>
          <w:rFonts w:ascii="Gadugi" w:hAnsi="Gadugi" w:cs="Gadugi"/>
          <w:sz w:val="18"/>
          <w:szCs w:val="18"/>
        </w:rPr>
      </w:pPr>
    </w:p>
    <w:p w14:paraId="37D0D3F7" w14:textId="77777777" w:rsidR="005B203D" w:rsidRDefault="005B203D">
      <w:pPr>
        <w:pStyle w:val="Cabealho"/>
        <w:rPr>
          <w:rFonts w:ascii="Gadugi" w:hAnsi="Gadugi" w:cs="Gadugi"/>
          <w:sz w:val="18"/>
          <w:szCs w:val="18"/>
        </w:rPr>
      </w:pPr>
    </w:p>
    <w:p w14:paraId="6160797A" w14:textId="77777777" w:rsidR="005B203D" w:rsidRDefault="005B203D">
      <w:pPr>
        <w:pStyle w:val="Cabealho"/>
        <w:rPr>
          <w:rFonts w:ascii="Gadugi" w:hAnsi="Gadugi" w:cs="Gadugi"/>
          <w:sz w:val="18"/>
          <w:szCs w:val="18"/>
        </w:rPr>
      </w:pPr>
    </w:p>
    <w:p w14:paraId="4D2139DA" w14:textId="77777777" w:rsidR="005B203D" w:rsidRDefault="005B203D">
      <w:pPr>
        <w:pStyle w:val="Cabealho"/>
        <w:rPr>
          <w:rFonts w:ascii="Gadugi" w:hAnsi="Gadugi" w:cs="Gadugi"/>
          <w:sz w:val="18"/>
          <w:szCs w:val="18"/>
        </w:rPr>
      </w:pPr>
    </w:p>
    <w:p w14:paraId="0EB535B1" w14:textId="77777777" w:rsidR="005B203D" w:rsidRDefault="005B203D">
      <w:pPr>
        <w:pStyle w:val="Cabealho"/>
        <w:rPr>
          <w:rFonts w:ascii="Gadugi" w:hAnsi="Gadugi" w:cs="Gadugi"/>
          <w:sz w:val="18"/>
          <w:szCs w:val="18"/>
        </w:rPr>
      </w:pPr>
    </w:p>
    <w:p w14:paraId="58D98471" w14:textId="77777777" w:rsidR="005B203D" w:rsidRDefault="00E60DC2">
      <w:pPr>
        <w:pStyle w:val="Cabealho"/>
        <w:jc w:val="center"/>
        <w:rPr>
          <w:rFonts w:ascii="Gadugi" w:hAnsi="Gadugi" w:cs="Gadugi"/>
          <w:b/>
          <w:bCs/>
          <w:sz w:val="18"/>
          <w:szCs w:val="18"/>
        </w:rPr>
      </w:pPr>
      <w:r>
        <w:rPr>
          <w:rFonts w:ascii="Gadugi" w:hAnsi="Gadugi" w:cs="Gadugi"/>
          <w:b/>
          <w:bCs/>
          <w:sz w:val="18"/>
          <w:szCs w:val="18"/>
        </w:rPr>
        <w:t>ANEXO I</w:t>
      </w:r>
    </w:p>
    <w:p w14:paraId="2BBAC549" w14:textId="77777777" w:rsidR="005B203D" w:rsidRDefault="00E60DC2">
      <w:pPr>
        <w:pStyle w:val="Cabealho"/>
        <w:jc w:val="center"/>
        <w:rPr>
          <w:rFonts w:ascii="Gadugi" w:hAnsi="Gadugi" w:cs="Gadugi"/>
          <w:sz w:val="18"/>
          <w:szCs w:val="18"/>
        </w:rPr>
      </w:pPr>
      <w:r>
        <w:rPr>
          <w:rFonts w:ascii="Gadugi" w:hAnsi="Gadugi" w:cs="Gadugi"/>
          <w:b/>
          <w:bCs/>
          <w:sz w:val="18"/>
          <w:szCs w:val="18"/>
        </w:rPr>
        <w:t>TERMO DE REFERÊNCIA</w:t>
      </w:r>
    </w:p>
    <w:p w14:paraId="372F3A04" w14:textId="7FE3B6CF" w:rsidR="005B203D" w:rsidRDefault="00F96489">
      <w:pPr>
        <w:pStyle w:val="Cabealho"/>
        <w:jc w:val="center"/>
        <w:rPr>
          <w:rFonts w:ascii="Gadugi" w:hAnsi="Gadugi" w:cs="Gadugi"/>
          <w:sz w:val="18"/>
          <w:szCs w:val="18"/>
        </w:rPr>
      </w:pPr>
      <w:r>
        <w:rPr>
          <w:rFonts w:ascii="Gadugi" w:hAnsi="Gadugi" w:cs="Gadugi"/>
          <w:b/>
          <w:bCs/>
          <w:i/>
          <w:iCs/>
          <w:sz w:val="18"/>
          <w:szCs w:val="18"/>
        </w:rPr>
        <w:t xml:space="preserve">AQUISIÇÃO DE </w:t>
      </w:r>
      <w:r w:rsidR="00F831C7">
        <w:rPr>
          <w:rFonts w:ascii="Gadugi" w:hAnsi="Gadugi" w:cs="Gadugi"/>
          <w:b/>
          <w:bCs/>
          <w:i/>
          <w:iCs/>
          <w:sz w:val="18"/>
          <w:szCs w:val="18"/>
        </w:rPr>
        <w:t>EQUIPAMENTOS DE INFORMÁTICA</w:t>
      </w:r>
    </w:p>
    <w:p w14:paraId="29D183A5" w14:textId="40B3CF3B" w:rsidR="005B203D" w:rsidRDefault="00E60DC2">
      <w:pPr>
        <w:jc w:val="center"/>
        <w:rPr>
          <w:rFonts w:ascii="Gadugi" w:hAnsi="Gadugi" w:cs="Gadugi"/>
          <w:sz w:val="18"/>
          <w:szCs w:val="18"/>
        </w:rPr>
      </w:pPr>
      <w:r>
        <w:rPr>
          <w:rFonts w:ascii="Gadugi" w:hAnsi="Gadugi" w:cs="Gadugi"/>
          <w:b/>
          <w:bCs/>
          <w:sz w:val="18"/>
          <w:szCs w:val="18"/>
        </w:rPr>
        <w:t>(Processo Administrativo n°</w:t>
      </w:r>
      <w:r w:rsidR="002B40B9">
        <w:rPr>
          <w:rFonts w:ascii="Gadugi" w:hAnsi="Gadugi" w:cs="Gadugi"/>
          <w:b/>
          <w:bCs/>
          <w:sz w:val="18"/>
          <w:szCs w:val="18"/>
        </w:rPr>
        <w:t>208/2025</w:t>
      </w:r>
      <w:r>
        <w:rPr>
          <w:rFonts w:ascii="Gadugi" w:hAnsi="Gadugi" w:cs="Gadugi"/>
          <w:b/>
          <w:bCs/>
          <w:sz w:val="18"/>
          <w:szCs w:val="18"/>
        </w:rPr>
        <w:t>)</w:t>
      </w:r>
    </w:p>
    <w:p w14:paraId="65B422C3"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 – CONDIÇÕES GERAIS DA CONTRATAÇÃO</w:t>
      </w:r>
    </w:p>
    <w:p w14:paraId="4AA67A2A" w14:textId="52A427E3" w:rsidR="005B203D" w:rsidRDefault="00E60DC2">
      <w:pPr>
        <w:pStyle w:val="Cabealho"/>
        <w:rPr>
          <w:rFonts w:ascii="Gadugi" w:hAnsi="Gadugi" w:cs="Gadugi"/>
          <w:sz w:val="18"/>
          <w:szCs w:val="18"/>
        </w:rPr>
      </w:pPr>
      <w:r>
        <w:rPr>
          <w:rFonts w:ascii="Gadugi" w:hAnsi="Gadugi" w:cs="Gadugi"/>
          <w:sz w:val="18"/>
          <w:szCs w:val="18"/>
        </w:rPr>
        <w:t xml:space="preserve">1.1 – O objeto do presente termo é o </w:t>
      </w:r>
      <w:r>
        <w:rPr>
          <w:rFonts w:ascii="Gadugi" w:hAnsi="Gadugi" w:cs="Gadugi"/>
          <w:b/>
          <w:bCs/>
          <w:i/>
          <w:iCs/>
          <w:sz w:val="18"/>
          <w:szCs w:val="18"/>
        </w:rPr>
        <w:t xml:space="preserve">Registro de Preço para </w:t>
      </w:r>
      <w:r w:rsidR="00F96489">
        <w:rPr>
          <w:rFonts w:ascii="Gadugi" w:hAnsi="Gadugi" w:cs="Gadugi"/>
          <w:b/>
          <w:bCs/>
          <w:i/>
          <w:iCs/>
          <w:sz w:val="18"/>
          <w:szCs w:val="18"/>
        </w:rPr>
        <w:t xml:space="preserve">AQUISIÇÃO DE </w:t>
      </w:r>
      <w:r w:rsidR="00F831C7">
        <w:rPr>
          <w:rFonts w:ascii="Gadugi" w:hAnsi="Gadugi" w:cs="Gadugi"/>
          <w:b/>
          <w:bCs/>
          <w:i/>
          <w:iCs/>
          <w:sz w:val="18"/>
          <w:szCs w:val="18"/>
        </w:rPr>
        <w:t>EQUIPAMENTOS DE INFORMÁTICA</w:t>
      </w:r>
      <w:r>
        <w:rPr>
          <w:rFonts w:ascii="Gadugi" w:hAnsi="Gadugi" w:cs="Gadugi"/>
          <w:b/>
          <w:bCs/>
          <w:sz w:val="18"/>
          <w:szCs w:val="18"/>
        </w:rPr>
        <w:t xml:space="preserve"> </w:t>
      </w:r>
      <w:r>
        <w:rPr>
          <w:rFonts w:ascii="Gadugi" w:hAnsi="Gadugi" w:cs="Gadugi"/>
          <w:sz w:val="18"/>
          <w:szCs w:val="18"/>
        </w:rPr>
        <w:t>nos termos da tabela abaixo, conforme condições e exigências estabelecidas neste instrumento.</w:t>
      </w:r>
    </w:p>
    <w:p w14:paraId="795F4ABA" w14:textId="77777777" w:rsidR="005B203D" w:rsidRDefault="005B203D">
      <w:pPr>
        <w:pStyle w:val="Cabealho"/>
        <w:rPr>
          <w:rFonts w:ascii="Gadugi" w:hAnsi="Gadugi" w:cs="Gadugi"/>
          <w:sz w:val="18"/>
          <w:szCs w:val="18"/>
        </w:rPr>
      </w:pPr>
    </w:p>
    <w:tbl>
      <w:tblPr>
        <w:tblW w:w="9703" w:type="dxa"/>
        <w:tblInd w:w="75" w:type="dxa"/>
        <w:tblCellMar>
          <w:left w:w="70" w:type="dxa"/>
          <w:right w:w="70" w:type="dxa"/>
        </w:tblCellMar>
        <w:tblLook w:val="04A0" w:firstRow="1" w:lastRow="0" w:firstColumn="1" w:lastColumn="0" w:noHBand="0" w:noVBand="1"/>
      </w:tblPr>
      <w:tblGrid>
        <w:gridCol w:w="558"/>
        <w:gridCol w:w="6646"/>
        <w:gridCol w:w="729"/>
        <w:gridCol w:w="852"/>
        <w:gridCol w:w="918"/>
      </w:tblGrid>
      <w:tr w:rsidR="005B62C0" w:rsidRPr="00CB6588" w14:paraId="5D25EBD4" w14:textId="77777777" w:rsidTr="005B62C0">
        <w:trPr>
          <w:trHeight w:val="345"/>
        </w:trPr>
        <w:tc>
          <w:tcPr>
            <w:tcW w:w="558"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05AC2758" w14:textId="77777777" w:rsidR="005B62C0" w:rsidRPr="005B62C0" w:rsidRDefault="005B62C0" w:rsidP="005B62C0">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Item</w:t>
            </w:r>
          </w:p>
        </w:tc>
        <w:tc>
          <w:tcPr>
            <w:tcW w:w="6646" w:type="dxa"/>
            <w:tcBorders>
              <w:top w:val="single" w:sz="4" w:space="0" w:color="auto"/>
              <w:left w:val="nil"/>
              <w:bottom w:val="single" w:sz="4" w:space="0" w:color="auto"/>
              <w:right w:val="single" w:sz="4" w:space="0" w:color="auto"/>
            </w:tcBorders>
            <w:shd w:val="clear" w:color="000000" w:fill="F0FFFF"/>
            <w:noWrap/>
            <w:vAlign w:val="center"/>
            <w:hideMark/>
          </w:tcPr>
          <w:p w14:paraId="386E0C0C" w14:textId="77777777" w:rsidR="005B62C0" w:rsidRPr="005B62C0" w:rsidRDefault="005B62C0" w:rsidP="005B62C0">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Descrição</w:t>
            </w:r>
          </w:p>
        </w:tc>
        <w:tc>
          <w:tcPr>
            <w:tcW w:w="729" w:type="dxa"/>
            <w:tcBorders>
              <w:top w:val="single" w:sz="4" w:space="0" w:color="auto"/>
              <w:left w:val="nil"/>
              <w:bottom w:val="single" w:sz="4" w:space="0" w:color="auto"/>
              <w:right w:val="single" w:sz="4" w:space="0" w:color="auto"/>
            </w:tcBorders>
            <w:shd w:val="clear" w:color="000000" w:fill="F0FFFF"/>
            <w:noWrap/>
            <w:vAlign w:val="center"/>
            <w:hideMark/>
          </w:tcPr>
          <w:p w14:paraId="70D10139" w14:textId="77777777" w:rsidR="005B62C0" w:rsidRPr="005B62C0" w:rsidRDefault="005B62C0" w:rsidP="005B62C0">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Unidade</w:t>
            </w:r>
          </w:p>
        </w:tc>
        <w:tc>
          <w:tcPr>
            <w:tcW w:w="852" w:type="dxa"/>
            <w:tcBorders>
              <w:top w:val="single" w:sz="4" w:space="0" w:color="auto"/>
              <w:left w:val="nil"/>
              <w:bottom w:val="single" w:sz="4" w:space="0" w:color="auto"/>
              <w:right w:val="single" w:sz="4" w:space="0" w:color="auto"/>
            </w:tcBorders>
            <w:shd w:val="clear" w:color="000000" w:fill="F0FFFF"/>
            <w:noWrap/>
            <w:vAlign w:val="center"/>
            <w:hideMark/>
          </w:tcPr>
          <w:p w14:paraId="1D28D1E2" w14:textId="77777777" w:rsidR="005B62C0" w:rsidRPr="005B62C0" w:rsidRDefault="005B62C0" w:rsidP="005B62C0">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 xml:space="preserve">Quant. </w:t>
            </w:r>
          </w:p>
        </w:tc>
        <w:tc>
          <w:tcPr>
            <w:tcW w:w="918" w:type="dxa"/>
            <w:tcBorders>
              <w:top w:val="single" w:sz="4" w:space="0" w:color="auto"/>
              <w:left w:val="nil"/>
              <w:bottom w:val="single" w:sz="4" w:space="0" w:color="auto"/>
              <w:right w:val="single" w:sz="4" w:space="0" w:color="auto"/>
            </w:tcBorders>
            <w:shd w:val="clear" w:color="000000" w:fill="F0FFFF"/>
            <w:noWrap/>
            <w:vAlign w:val="center"/>
            <w:hideMark/>
          </w:tcPr>
          <w:p w14:paraId="42088D6A" w14:textId="77777777" w:rsidR="005B62C0" w:rsidRPr="005B62C0" w:rsidRDefault="005B62C0" w:rsidP="005B62C0">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Preço Unit. Estimado</w:t>
            </w:r>
          </w:p>
        </w:tc>
      </w:tr>
      <w:tr w:rsidR="005B62C0" w:rsidRPr="00CB6588" w14:paraId="6FD1FA51"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2D5196E"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6646" w:type="dxa"/>
            <w:tcBorders>
              <w:top w:val="nil"/>
              <w:left w:val="nil"/>
              <w:bottom w:val="single" w:sz="4" w:space="0" w:color="auto"/>
              <w:right w:val="single" w:sz="4" w:space="0" w:color="auto"/>
            </w:tcBorders>
            <w:shd w:val="clear" w:color="auto" w:fill="auto"/>
            <w:noWrap/>
            <w:vAlign w:val="center"/>
            <w:hideMark/>
          </w:tcPr>
          <w:p w14:paraId="143D5CA4" w14:textId="58087DF6"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ADAPTADOR DE REDE GIGAETHERNET Transferência de dados: 10/100/1000 Mbps.</w:t>
            </w:r>
            <w:r w:rsidRPr="005B62C0">
              <w:rPr>
                <w:rFonts w:ascii="Gadugi" w:eastAsia="Times New Roman" w:hAnsi="Gadugi" w:cs="Calibri"/>
                <w:color w:val="000000"/>
                <w:sz w:val="14"/>
                <w:szCs w:val="14"/>
              </w:rPr>
              <w:br/>
              <w:t>Interface: PCI-Express x1.</w:t>
            </w:r>
            <w:r w:rsidRPr="005B62C0">
              <w:rPr>
                <w:rFonts w:ascii="Gadugi" w:eastAsia="Times New Roman" w:hAnsi="Gadugi" w:cs="Calibri"/>
                <w:color w:val="000000"/>
                <w:sz w:val="14"/>
                <w:szCs w:val="14"/>
              </w:rPr>
              <w:br/>
              <w:t>Chapas metálicas: Low Profile e Normal Profile.</w:t>
            </w:r>
            <w:r w:rsidRPr="005B62C0">
              <w:rPr>
                <w:rFonts w:ascii="Gadugi" w:eastAsia="Times New Roman" w:hAnsi="Gadugi" w:cs="Calibri"/>
                <w:color w:val="000000"/>
                <w:sz w:val="14"/>
                <w:szCs w:val="14"/>
              </w:rPr>
              <w:br/>
              <w:t>Porta RJ45: Uma porta gigabit (no mínimo).</w:t>
            </w:r>
            <w:r w:rsidRPr="005B62C0">
              <w:rPr>
                <w:rFonts w:ascii="Gadugi" w:eastAsia="Times New Roman" w:hAnsi="Gadugi" w:cs="Calibri"/>
                <w:color w:val="000000"/>
                <w:sz w:val="14"/>
                <w:szCs w:val="14"/>
              </w:rPr>
              <w:br/>
              <w:t>Demais itens inclusos: Drivers necessários compatíveis com sistemas operacionais Windows 10 (64 bits) e Windows 11 (64 bits).</w:t>
            </w:r>
          </w:p>
        </w:tc>
        <w:tc>
          <w:tcPr>
            <w:tcW w:w="729" w:type="dxa"/>
            <w:tcBorders>
              <w:top w:val="nil"/>
              <w:left w:val="nil"/>
              <w:bottom w:val="single" w:sz="4" w:space="0" w:color="auto"/>
              <w:right w:val="single" w:sz="4" w:space="0" w:color="auto"/>
            </w:tcBorders>
            <w:shd w:val="clear" w:color="auto" w:fill="auto"/>
            <w:noWrap/>
            <w:vAlign w:val="center"/>
            <w:hideMark/>
          </w:tcPr>
          <w:p w14:paraId="1117C49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57DD937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918" w:type="dxa"/>
            <w:tcBorders>
              <w:top w:val="nil"/>
              <w:left w:val="nil"/>
              <w:bottom w:val="single" w:sz="4" w:space="0" w:color="auto"/>
              <w:right w:val="single" w:sz="4" w:space="0" w:color="auto"/>
            </w:tcBorders>
            <w:shd w:val="clear" w:color="auto" w:fill="auto"/>
            <w:noWrap/>
            <w:vAlign w:val="center"/>
            <w:hideMark/>
          </w:tcPr>
          <w:p w14:paraId="6A70434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R$ 69,44</w:t>
            </w:r>
          </w:p>
        </w:tc>
      </w:tr>
      <w:tr w:rsidR="005B62C0" w:rsidRPr="00CB6588" w14:paraId="00A4D122"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57CFB78"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w:t>
            </w:r>
          </w:p>
        </w:tc>
        <w:tc>
          <w:tcPr>
            <w:tcW w:w="6646" w:type="dxa"/>
            <w:tcBorders>
              <w:top w:val="nil"/>
              <w:left w:val="nil"/>
              <w:bottom w:val="single" w:sz="4" w:space="0" w:color="auto"/>
              <w:right w:val="single" w:sz="4" w:space="0" w:color="auto"/>
            </w:tcBorders>
            <w:shd w:val="clear" w:color="auto" w:fill="auto"/>
            <w:noWrap/>
            <w:vAlign w:val="center"/>
            <w:hideMark/>
          </w:tcPr>
          <w:p w14:paraId="06C82927" w14:textId="3579BF96"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BATERIA CMOS Tipo: Bateria de lítio.</w:t>
            </w:r>
            <w:r w:rsidRPr="005B62C0">
              <w:rPr>
                <w:rFonts w:ascii="Gadugi" w:eastAsia="Times New Roman" w:hAnsi="Gadugi" w:cs="Calibri"/>
                <w:color w:val="000000"/>
                <w:sz w:val="14"/>
                <w:szCs w:val="14"/>
              </w:rPr>
              <w:br/>
              <w:t>Tamanho: CR2032.</w:t>
            </w:r>
            <w:r w:rsidRPr="005B62C0">
              <w:rPr>
                <w:rFonts w:ascii="Gadugi" w:eastAsia="Times New Roman" w:hAnsi="Gadugi" w:cs="Calibri"/>
                <w:color w:val="000000"/>
                <w:sz w:val="14"/>
                <w:szCs w:val="14"/>
              </w:rPr>
              <w:br/>
              <w:t>Tensão: 3 V.</w:t>
            </w:r>
            <w:r w:rsidRPr="005B62C0">
              <w:rPr>
                <w:rFonts w:ascii="Gadugi" w:eastAsia="Times New Roman" w:hAnsi="Gadugi" w:cs="Calibri"/>
                <w:color w:val="000000"/>
                <w:sz w:val="14"/>
                <w:szCs w:val="14"/>
              </w:rPr>
              <w:br/>
              <w:t>Pacote com 20 unidades.</w:t>
            </w:r>
          </w:p>
        </w:tc>
        <w:tc>
          <w:tcPr>
            <w:tcW w:w="729" w:type="dxa"/>
            <w:tcBorders>
              <w:top w:val="nil"/>
              <w:left w:val="nil"/>
              <w:bottom w:val="single" w:sz="4" w:space="0" w:color="auto"/>
              <w:right w:val="single" w:sz="4" w:space="0" w:color="auto"/>
            </w:tcBorders>
            <w:shd w:val="clear" w:color="auto" w:fill="auto"/>
            <w:noWrap/>
            <w:vAlign w:val="center"/>
            <w:hideMark/>
          </w:tcPr>
          <w:p w14:paraId="47DF68A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PAC</w:t>
            </w:r>
          </w:p>
        </w:tc>
        <w:tc>
          <w:tcPr>
            <w:tcW w:w="852" w:type="dxa"/>
            <w:tcBorders>
              <w:top w:val="nil"/>
              <w:left w:val="nil"/>
              <w:bottom w:val="single" w:sz="4" w:space="0" w:color="auto"/>
              <w:right w:val="single" w:sz="4" w:space="0" w:color="auto"/>
            </w:tcBorders>
            <w:shd w:val="clear" w:color="auto" w:fill="auto"/>
            <w:noWrap/>
            <w:vAlign w:val="center"/>
            <w:hideMark/>
          </w:tcPr>
          <w:p w14:paraId="60BDA973"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w:t>
            </w:r>
          </w:p>
        </w:tc>
        <w:tc>
          <w:tcPr>
            <w:tcW w:w="918" w:type="dxa"/>
            <w:tcBorders>
              <w:top w:val="nil"/>
              <w:left w:val="nil"/>
              <w:bottom w:val="single" w:sz="4" w:space="0" w:color="auto"/>
              <w:right w:val="single" w:sz="4" w:space="0" w:color="auto"/>
            </w:tcBorders>
            <w:shd w:val="clear" w:color="auto" w:fill="auto"/>
            <w:noWrap/>
            <w:vAlign w:val="center"/>
            <w:hideMark/>
          </w:tcPr>
          <w:p w14:paraId="671A8D1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R$ 38,95</w:t>
            </w:r>
          </w:p>
        </w:tc>
      </w:tr>
      <w:tr w:rsidR="005B62C0" w:rsidRPr="00CB6588" w14:paraId="7CAEC565"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DF7A3E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w:t>
            </w:r>
          </w:p>
        </w:tc>
        <w:tc>
          <w:tcPr>
            <w:tcW w:w="6646" w:type="dxa"/>
            <w:tcBorders>
              <w:top w:val="nil"/>
              <w:left w:val="nil"/>
              <w:bottom w:val="single" w:sz="4" w:space="0" w:color="auto"/>
              <w:right w:val="single" w:sz="4" w:space="0" w:color="auto"/>
            </w:tcBorders>
            <w:shd w:val="clear" w:color="auto" w:fill="auto"/>
            <w:noWrap/>
            <w:vAlign w:val="center"/>
            <w:hideMark/>
          </w:tcPr>
          <w:p w14:paraId="305872C6" w14:textId="54A11F1A"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CÂMERA DE VIDEOCONFERÊNCIA CONFIGURAÇÃO MINIMA:</w:t>
            </w:r>
            <w:r w:rsidRPr="005B62C0">
              <w:rPr>
                <w:rFonts w:ascii="Gadugi" w:eastAsia="Times New Roman" w:hAnsi="Gadugi" w:cs="Calibri"/>
                <w:color w:val="000000"/>
                <w:sz w:val="14"/>
                <w:szCs w:val="14"/>
              </w:rPr>
              <w:br/>
              <w:t xml:space="preserve">   1080p 60 Fps, USB-C,</w:t>
            </w:r>
            <w:r w:rsidRPr="005B62C0">
              <w:rPr>
                <w:rFonts w:ascii="Gadugi" w:eastAsia="Times New Roman" w:hAnsi="Gadugi" w:cs="Calibri"/>
                <w:color w:val="000000"/>
                <w:sz w:val="14"/>
                <w:szCs w:val="14"/>
              </w:rPr>
              <w:br/>
              <w:t>Resolução máxima de vídeo: 2160p.</w:t>
            </w:r>
            <w:r w:rsidRPr="005B62C0">
              <w:rPr>
                <w:rFonts w:ascii="Gadugi" w:eastAsia="Times New Roman" w:hAnsi="Gadugi" w:cs="Calibri"/>
                <w:color w:val="000000"/>
                <w:sz w:val="14"/>
                <w:szCs w:val="14"/>
              </w:rPr>
              <w:br/>
              <w:t>Interface: USB 3.0.</w:t>
            </w:r>
            <w:r w:rsidRPr="005B62C0">
              <w:rPr>
                <w:rFonts w:ascii="Gadugi" w:eastAsia="Times New Roman" w:hAnsi="Gadugi" w:cs="Calibri"/>
                <w:color w:val="000000"/>
                <w:sz w:val="14"/>
                <w:szCs w:val="14"/>
              </w:rPr>
              <w:br/>
              <w:t>Adequado para notebook.</w:t>
            </w:r>
            <w:r w:rsidRPr="005B62C0">
              <w:rPr>
                <w:rFonts w:ascii="Gadugi" w:eastAsia="Times New Roman" w:hAnsi="Gadugi" w:cs="Calibri"/>
                <w:color w:val="000000"/>
                <w:sz w:val="14"/>
                <w:szCs w:val="14"/>
              </w:rPr>
              <w:br/>
              <w:t>Compatível com Zoom.</w:t>
            </w:r>
            <w:r w:rsidRPr="005B62C0">
              <w:rPr>
                <w:rFonts w:ascii="Gadugi" w:eastAsia="Times New Roman" w:hAnsi="Gadugi" w:cs="Calibri"/>
                <w:color w:val="000000"/>
                <w:sz w:val="14"/>
                <w:szCs w:val="14"/>
              </w:rPr>
              <w:br/>
              <w:t>Sensor de imagem CMOS.</w:t>
            </w:r>
            <w:r w:rsidRPr="005B62C0">
              <w:rPr>
                <w:rFonts w:ascii="Gadugi" w:eastAsia="Times New Roman" w:hAnsi="Gadugi" w:cs="Calibri"/>
                <w:color w:val="000000"/>
                <w:sz w:val="14"/>
                <w:szCs w:val="14"/>
              </w:rPr>
              <w:br/>
              <w:t>Tem um microfone embutido.</w:t>
            </w:r>
          </w:p>
        </w:tc>
        <w:tc>
          <w:tcPr>
            <w:tcW w:w="729" w:type="dxa"/>
            <w:tcBorders>
              <w:top w:val="nil"/>
              <w:left w:val="nil"/>
              <w:bottom w:val="single" w:sz="4" w:space="0" w:color="auto"/>
              <w:right w:val="single" w:sz="4" w:space="0" w:color="auto"/>
            </w:tcBorders>
            <w:shd w:val="clear" w:color="auto" w:fill="auto"/>
            <w:noWrap/>
            <w:vAlign w:val="center"/>
            <w:hideMark/>
          </w:tcPr>
          <w:p w14:paraId="4C37D34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4B1DB63"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918" w:type="dxa"/>
            <w:tcBorders>
              <w:top w:val="nil"/>
              <w:left w:val="nil"/>
              <w:bottom w:val="single" w:sz="4" w:space="0" w:color="auto"/>
              <w:right w:val="single" w:sz="4" w:space="0" w:color="auto"/>
            </w:tcBorders>
            <w:shd w:val="clear" w:color="auto" w:fill="auto"/>
            <w:noWrap/>
            <w:vAlign w:val="center"/>
            <w:hideMark/>
          </w:tcPr>
          <w:p w14:paraId="063A111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R$ 1.496,02</w:t>
            </w:r>
          </w:p>
        </w:tc>
      </w:tr>
      <w:tr w:rsidR="005B62C0" w:rsidRPr="00CB6588" w14:paraId="665FB294"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7D7A14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4</w:t>
            </w:r>
          </w:p>
        </w:tc>
        <w:tc>
          <w:tcPr>
            <w:tcW w:w="6646" w:type="dxa"/>
            <w:tcBorders>
              <w:top w:val="nil"/>
              <w:left w:val="nil"/>
              <w:bottom w:val="single" w:sz="4" w:space="0" w:color="auto"/>
              <w:right w:val="single" w:sz="4" w:space="0" w:color="auto"/>
            </w:tcBorders>
            <w:shd w:val="clear" w:color="auto" w:fill="auto"/>
            <w:noWrap/>
            <w:vAlign w:val="center"/>
            <w:hideMark/>
          </w:tcPr>
          <w:p w14:paraId="06544A04" w14:textId="36534B36"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 xml:space="preserve">CAMERA FOTOGRAFICA DIGITAL </w:t>
            </w:r>
            <w:r w:rsidRPr="005B62C0">
              <w:rPr>
                <w:rFonts w:ascii="Gadugi" w:eastAsia="Times New Roman" w:hAnsi="Gadugi" w:cs="Calibri"/>
                <w:color w:val="000000"/>
                <w:sz w:val="14"/>
                <w:szCs w:val="14"/>
              </w:rPr>
              <w:br/>
              <w:t>Resolução do Sensor:</w:t>
            </w:r>
            <w:r w:rsidRPr="005B62C0">
              <w:rPr>
                <w:rFonts w:ascii="Gadugi" w:eastAsia="Times New Roman" w:hAnsi="Gadugi" w:cs="Calibri"/>
                <w:color w:val="000000"/>
                <w:sz w:val="14"/>
                <w:szCs w:val="14"/>
              </w:rPr>
              <w:br/>
              <w:t>Real: 27.1 Megapixels</w:t>
            </w:r>
            <w:r w:rsidRPr="005B62C0">
              <w:rPr>
                <w:rFonts w:ascii="Gadugi" w:eastAsia="Times New Roman" w:hAnsi="Gadugi" w:cs="Calibri"/>
                <w:color w:val="000000"/>
                <w:sz w:val="14"/>
                <w:szCs w:val="14"/>
              </w:rPr>
              <w:br/>
              <w:t>Efetiva: 26.2 Megapixels (6240 x 4160)</w:t>
            </w:r>
            <w:r w:rsidRPr="005B62C0">
              <w:rPr>
                <w:rFonts w:ascii="Gadugi" w:eastAsia="Times New Roman" w:hAnsi="Gadugi" w:cs="Calibri"/>
                <w:color w:val="000000"/>
                <w:sz w:val="14"/>
                <w:szCs w:val="14"/>
              </w:rPr>
              <w:br/>
              <w:t>Tipo de Sensor de Imagem:CMOS Full-Frame (35.9 x 24 mm)</w:t>
            </w:r>
            <w:r w:rsidRPr="005B62C0">
              <w:rPr>
                <w:rFonts w:ascii="Gadugi" w:eastAsia="Times New Roman" w:hAnsi="Gadugi" w:cs="Calibri"/>
                <w:color w:val="000000"/>
                <w:sz w:val="14"/>
                <w:szCs w:val="14"/>
              </w:rPr>
              <w:br/>
              <w:t>Estabilização de Imagem:Digital, 5 eixos (apenas vídeo)</w:t>
            </w:r>
            <w:r w:rsidRPr="005B62C0">
              <w:rPr>
                <w:rFonts w:ascii="Gadugi" w:eastAsia="Times New Roman" w:hAnsi="Gadugi" w:cs="Calibri"/>
                <w:color w:val="000000"/>
                <w:sz w:val="14"/>
                <w:szCs w:val="14"/>
              </w:rPr>
              <w:br/>
              <w:t>Faixa de Sensibilidade ISO (Foto):100 a 40.000 (Estendida: 50 a 102.400)</w:t>
            </w:r>
            <w:r w:rsidRPr="005B62C0">
              <w:rPr>
                <w:rFonts w:ascii="Gadugi" w:eastAsia="Times New Roman" w:hAnsi="Gadugi" w:cs="Calibri"/>
                <w:color w:val="000000"/>
                <w:sz w:val="14"/>
                <w:szCs w:val="14"/>
              </w:rPr>
              <w:br/>
              <w:t>Faixa de Sensibilidade ISO (Vídeo):100 a 25.600 (Manual, Modo Automático; Estendida: 100 a 102.400)</w:t>
            </w:r>
            <w:r w:rsidRPr="005B62C0">
              <w:rPr>
                <w:rFonts w:ascii="Gadugi" w:eastAsia="Times New Roman" w:hAnsi="Gadugi" w:cs="Calibri"/>
                <w:color w:val="000000"/>
                <w:sz w:val="14"/>
                <w:szCs w:val="14"/>
              </w:rPr>
              <w:br/>
              <w:t>Modos de Gravação Interna:H.264/MP4, UHD 4K (3840 x 2160) a 23.98/25 fps, 1920 x 1080p a várias taxas de fps</w:t>
            </w:r>
            <w:r w:rsidRPr="005B62C0">
              <w:rPr>
                <w:rFonts w:ascii="Gadugi" w:eastAsia="Times New Roman" w:hAnsi="Gadugi" w:cs="Calibri"/>
                <w:color w:val="000000"/>
                <w:sz w:val="14"/>
                <w:szCs w:val="14"/>
              </w:rPr>
              <w:br/>
              <w:t>Slot para Cartão de Mídia/Memória:Slot único: SD/SDHC/SDXC (UHS-II)</w:t>
            </w:r>
            <w:r w:rsidRPr="005B62C0">
              <w:rPr>
                <w:rFonts w:ascii="Gadugi" w:eastAsia="Times New Roman" w:hAnsi="Gadugi" w:cs="Calibri"/>
                <w:color w:val="000000"/>
                <w:sz w:val="14"/>
                <w:szCs w:val="14"/>
              </w:rPr>
              <w:br/>
              <w:t>Saída de Vídeo:1x Mini-HDMI</w:t>
            </w:r>
            <w:r w:rsidRPr="005B62C0">
              <w:rPr>
                <w:rFonts w:ascii="Gadugi" w:eastAsia="Times New Roman" w:hAnsi="Gadugi" w:cs="Calibri"/>
                <w:color w:val="000000"/>
                <w:sz w:val="14"/>
                <w:szCs w:val="14"/>
              </w:rPr>
              <w:br/>
              <w:t>Saída de Áudio:1x 1/8" / 3.5 mm TRS para fones de ouvido, 1x 1/8" / 3.5 mm TRS para microfone</w:t>
            </w:r>
            <w:r w:rsidRPr="005B62C0">
              <w:rPr>
                <w:rFonts w:ascii="Gadugi" w:eastAsia="Times New Roman" w:hAnsi="Gadugi" w:cs="Calibri"/>
                <w:color w:val="000000"/>
                <w:sz w:val="14"/>
                <w:szCs w:val="14"/>
              </w:rPr>
              <w:br/>
              <w:t>Entrada/Saída de Energia:1x USB-C</w:t>
            </w:r>
            <w:r w:rsidRPr="005B62C0">
              <w:rPr>
                <w:rFonts w:ascii="Gadugi" w:eastAsia="Times New Roman" w:hAnsi="Gadugi" w:cs="Calibri"/>
                <w:color w:val="000000"/>
                <w:sz w:val="14"/>
                <w:szCs w:val="14"/>
              </w:rPr>
              <w:br/>
              <w:t>Conectividade Sem Fio:Wi-Fi 4 (802.11n), Bluetooth 4.1</w:t>
            </w:r>
            <w:r w:rsidRPr="005B62C0">
              <w:rPr>
                <w:rFonts w:ascii="Gadugi" w:eastAsia="Times New Roman" w:hAnsi="Gadugi" w:cs="Calibri"/>
                <w:color w:val="000000"/>
                <w:sz w:val="14"/>
                <w:szCs w:val="14"/>
              </w:rPr>
              <w:br/>
              <w:t>Tela:LCD touchscreen articulado de 3.0" com resolução de 1.040.000 pontos</w:t>
            </w:r>
            <w:r w:rsidRPr="005B62C0">
              <w:rPr>
                <w:rFonts w:ascii="Gadugi" w:eastAsia="Times New Roman" w:hAnsi="Gadugi" w:cs="Calibri"/>
                <w:color w:val="000000"/>
                <w:sz w:val="14"/>
                <w:szCs w:val="14"/>
              </w:rPr>
              <w:br/>
              <w:t>Bateria:1x LP-E17 recarregável, 7.2 VDC, 1040 mAh (inclusa)</w:t>
            </w:r>
            <w:r w:rsidRPr="005B62C0">
              <w:rPr>
                <w:rFonts w:ascii="Gadugi" w:eastAsia="Times New Roman" w:hAnsi="Gadugi" w:cs="Calibri"/>
                <w:color w:val="000000"/>
                <w:sz w:val="14"/>
                <w:szCs w:val="14"/>
              </w:rPr>
              <w:br/>
              <w:t>Dimensões (L x A x P):132.5 x 85 x 70 mm</w:t>
            </w:r>
            <w:r w:rsidRPr="005B62C0">
              <w:rPr>
                <w:rFonts w:ascii="Gadugi" w:eastAsia="Times New Roman" w:hAnsi="Gadugi" w:cs="Calibri"/>
                <w:color w:val="000000"/>
                <w:sz w:val="14"/>
                <w:szCs w:val="14"/>
              </w:rPr>
              <w:br/>
              <w:t>Peso:485 g (com bateria)</w:t>
            </w:r>
            <w:r w:rsidRPr="005B62C0">
              <w:rPr>
                <w:rFonts w:ascii="Gadugi" w:eastAsia="Times New Roman" w:hAnsi="Gadugi" w:cs="Calibri"/>
                <w:color w:val="000000"/>
                <w:sz w:val="14"/>
                <w:szCs w:val="14"/>
              </w:rPr>
              <w:br/>
              <w:t>Material de Construção:Alumínio, liga de magnésio, policarbonato</w:t>
            </w:r>
            <w:r w:rsidRPr="005B62C0">
              <w:rPr>
                <w:rFonts w:ascii="Gadugi" w:eastAsia="Times New Roman" w:hAnsi="Gadugi" w:cs="Calibri"/>
                <w:color w:val="000000"/>
                <w:sz w:val="14"/>
                <w:szCs w:val="14"/>
              </w:rPr>
              <w:br/>
              <w:t>Condições de Operação:0 a 40C, até 85% de umidade.</w:t>
            </w:r>
          </w:p>
        </w:tc>
        <w:tc>
          <w:tcPr>
            <w:tcW w:w="729" w:type="dxa"/>
            <w:tcBorders>
              <w:top w:val="nil"/>
              <w:left w:val="nil"/>
              <w:bottom w:val="single" w:sz="4" w:space="0" w:color="auto"/>
              <w:right w:val="single" w:sz="4" w:space="0" w:color="auto"/>
            </w:tcBorders>
            <w:shd w:val="clear" w:color="auto" w:fill="auto"/>
            <w:noWrap/>
            <w:vAlign w:val="center"/>
            <w:hideMark/>
          </w:tcPr>
          <w:p w14:paraId="6AA827A9"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50065EAD"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918" w:type="dxa"/>
            <w:tcBorders>
              <w:top w:val="nil"/>
              <w:left w:val="nil"/>
              <w:bottom w:val="single" w:sz="4" w:space="0" w:color="auto"/>
              <w:right w:val="single" w:sz="4" w:space="0" w:color="auto"/>
            </w:tcBorders>
            <w:shd w:val="clear" w:color="auto" w:fill="auto"/>
            <w:noWrap/>
            <w:vAlign w:val="center"/>
            <w:hideMark/>
          </w:tcPr>
          <w:p w14:paraId="1F6AFC59"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R$ 11.622,64</w:t>
            </w:r>
          </w:p>
        </w:tc>
      </w:tr>
      <w:tr w:rsidR="005B62C0" w:rsidRPr="00CB6588" w14:paraId="6020963A"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052C63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6646" w:type="dxa"/>
            <w:tcBorders>
              <w:top w:val="nil"/>
              <w:left w:val="nil"/>
              <w:bottom w:val="single" w:sz="4" w:space="0" w:color="auto"/>
              <w:right w:val="single" w:sz="4" w:space="0" w:color="auto"/>
            </w:tcBorders>
            <w:shd w:val="clear" w:color="auto" w:fill="auto"/>
            <w:noWrap/>
            <w:vAlign w:val="center"/>
            <w:hideMark/>
          </w:tcPr>
          <w:p w14:paraId="028AD56B" w14:textId="1EB56F9E"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CARREGADOR DE PILHAS Pilhas AA/AAA 2500mAh;</w:t>
            </w:r>
            <w:r w:rsidRPr="005B62C0">
              <w:rPr>
                <w:rFonts w:ascii="Gadugi" w:eastAsia="Times New Roman" w:hAnsi="Gadugi" w:cs="Calibri"/>
                <w:color w:val="000000"/>
                <w:sz w:val="14"/>
                <w:szCs w:val="14"/>
              </w:rPr>
              <w:br/>
              <w:t>Carrega até 4 pilhas simultaneamente: Funciona com pilhas AA e AAA;</w:t>
            </w:r>
            <w:r w:rsidRPr="005B62C0">
              <w:rPr>
                <w:rFonts w:ascii="Gadugi" w:eastAsia="Times New Roman" w:hAnsi="Gadugi" w:cs="Calibri"/>
                <w:color w:val="000000"/>
                <w:sz w:val="14"/>
                <w:szCs w:val="14"/>
              </w:rPr>
              <w:br/>
              <w:t>Tempo de recarga rápido: Aproximadamente 10 horas para pilhas AA 2500mAh e 4,5 horas para AAA 900mAh;</w:t>
            </w:r>
            <w:r w:rsidRPr="005B62C0">
              <w:rPr>
                <w:rFonts w:ascii="Gadugi" w:eastAsia="Times New Roman" w:hAnsi="Gadugi" w:cs="Calibri"/>
                <w:color w:val="000000"/>
                <w:sz w:val="14"/>
                <w:szCs w:val="14"/>
              </w:rPr>
              <w:br/>
              <w:t>Bivolt.</w:t>
            </w:r>
          </w:p>
        </w:tc>
        <w:tc>
          <w:tcPr>
            <w:tcW w:w="729" w:type="dxa"/>
            <w:tcBorders>
              <w:top w:val="nil"/>
              <w:left w:val="nil"/>
              <w:bottom w:val="single" w:sz="4" w:space="0" w:color="auto"/>
              <w:right w:val="single" w:sz="4" w:space="0" w:color="auto"/>
            </w:tcBorders>
            <w:shd w:val="clear" w:color="auto" w:fill="auto"/>
            <w:noWrap/>
            <w:vAlign w:val="center"/>
            <w:hideMark/>
          </w:tcPr>
          <w:p w14:paraId="232A2E82"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CJ</w:t>
            </w:r>
          </w:p>
        </w:tc>
        <w:tc>
          <w:tcPr>
            <w:tcW w:w="852" w:type="dxa"/>
            <w:tcBorders>
              <w:top w:val="nil"/>
              <w:left w:val="nil"/>
              <w:bottom w:val="single" w:sz="4" w:space="0" w:color="auto"/>
              <w:right w:val="single" w:sz="4" w:space="0" w:color="auto"/>
            </w:tcBorders>
            <w:shd w:val="clear" w:color="auto" w:fill="auto"/>
            <w:noWrap/>
            <w:vAlign w:val="center"/>
            <w:hideMark/>
          </w:tcPr>
          <w:p w14:paraId="244701C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918" w:type="dxa"/>
            <w:tcBorders>
              <w:top w:val="nil"/>
              <w:left w:val="nil"/>
              <w:bottom w:val="single" w:sz="4" w:space="0" w:color="auto"/>
              <w:right w:val="single" w:sz="4" w:space="0" w:color="auto"/>
            </w:tcBorders>
            <w:shd w:val="clear" w:color="auto" w:fill="auto"/>
            <w:noWrap/>
            <w:vAlign w:val="center"/>
            <w:hideMark/>
          </w:tcPr>
          <w:p w14:paraId="531B79E8"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R$ 117,67</w:t>
            </w:r>
          </w:p>
        </w:tc>
      </w:tr>
      <w:tr w:rsidR="005B62C0" w:rsidRPr="00CB6588" w14:paraId="41B5DE23"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D30289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6</w:t>
            </w:r>
          </w:p>
        </w:tc>
        <w:tc>
          <w:tcPr>
            <w:tcW w:w="6646" w:type="dxa"/>
            <w:tcBorders>
              <w:top w:val="nil"/>
              <w:left w:val="nil"/>
              <w:bottom w:val="single" w:sz="4" w:space="0" w:color="auto"/>
              <w:right w:val="single" w:sz="4" w:space="0" w:color="auto"/>
            </w:tcBorders>
            <w:shd w:val="clear" w:color="auto" w:fill="auto"/>
            <w:noWrap/>
            <w:vAlign w:val="center"/>
            <w:hideMark/>
          </w:tcPr>
          <w:p w14:paraId="1B928D9D" w14:textId="3F00BF0E"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COMPUTADOR COMPLETO AVANÇADO Processador - Plataforma/Segmento: Desktop.</w:t>
            </w:r>
            <w:r w:rsidRPr="005B62C0">
              <w:rPr>
                <w:rFonts w:ascii="Gadugi" w:eastAsia="Times New Roman" w:hAnsi="Gadugi" w:cs="Calibri"/>
                <w:color w:val="000000"/>
                <w:sz w:val="14"/>
                <w:szCs w:val="14"/>
              </w:rPr>
              <w:br/>
              <w:t>Processador - Arquitetura: X86-64.</w:t>
            </w:r>
            <w:r w:rsidRPr="005B62C0">
              <w:rPr>
                <w:rFonts w:ascii="Gadugi" w:eastAsia="Times New Roman" w:hAnsi="Gadugi" w:cs="Calibri"/>
                <w:color w:val="000000"/>
                <w:sz w:val="14"/>
                <w:szCs w:val="14"/>
              </w:rPr>
              <w:br/>
              <w:t>Processador - Frequência base: 3 GHz (no mínimo, sem necessidade de overclock via software, overclock via hardware, Thermal Velocity Boost, Turbo Max Core Speed, Max Turbo, Turbo Boost, Precision Boost para alcançar tal frequência).</w:t>
            </w:r>
            <w:r w:rsidRPr="005B62C0">
              <w:rPr>
                <w:rFonts w:ascii="Gadugi" w:eastAsia="Times New Roman" w:hAnsi="Gadugi" w:cs="Calibri"/>
                <w:color w:val="000000"/>
                <w:sz w:val="14"/>
                <w:szCs w:val="14"/>
              </w:rPr>
              <w:br/>
              <w:t>Processador - Frequência turbo: 5 GHz (ou superior).</w:t>
            </w:r>
            <w:r w:rsidRPr="005B62C0">
              <w:rPr>
                <w:rFonts w:ascii="Gadugi" w:eastAsia="Times New Roman" w:hAnsi="Gadugi" w:cs="Calibri"/>
                <w:color w:val="000000"/>
                <w:sz w:val="14"/>
                <w:szCs w:val="14"/>
              </w:rPr>
              <w:br/>
              <w:t>Processador - Núcleos físicos: 16 cores (no mínimo).</w:t>
            </w:r>
            <w:r w:rsidRPr="005B62C0">
              <w:rPr>
                <w:rFonts w:ascii="Gadugi" w:eastAsia="Times New Roman" w:hAnsi="Gadugi" w:cs="Calibri"/>
                <w:color w:val="000000"/>
                <w:sz w:val="14"/>
                <w:szCs w:val="14"/>
              </w:rPr>
              <w:br/>
              <w:t>Processador - Núcleos lógicos: 32 threads (no mínimo).</w:t>
            </w:r>
            <w:r w:rsidRPr="005B62C0">
              <w:rPr>
                <w:rFonts w:ascii="Gadugi" w:eastAsia="Times New Roman" w:hAnsi="Gadugi" w:cs="Calibri"/>
                <w:color w:val="000000"/>
                <w:sz w:val="14"/>
                <w:szCs w:val="14"/>
              </w:rPr>
              <w:br/>
              <w:t>Processador - Memória cache: 36 MB (no mínimo).</w:t>
            </w:r>
            <w:r w:rsidRPr="005B62C0">
              <w:rPr>
                <w:rFonts w:ascii="Gadugi" w:eastAsia="Times New Roman" w:hAnsi="Gadugi" w:cs="Calibri"/>
                <w:color w:val="000000"/>
                <w:sz w:val="14"/>
                <w:szCs w:val="14"/>
              </w:rPr>
              <w:br/>
              <w:t>Placa-mãe - Compatibilidade: Totalmente compatível com o processador deste kit (comprovado através de lista de processadores suportados no site oficial da marca e modelo da placa-mãe).</w:t>
            </w:r>
            <w:r w:rsidRPr="005B62C0">
              <w:rPr>
                <w:rFonts w:ascii="Gadugi" w:eastAsia="Times New Roman" w:hAnsi="Gadugi" w:cs="Calibri"/>
                <w:color w:val="000000"/>
                <w:sz w:val="14"/>
                <w:szCs w:val="14"/>
              </w:rPr>
              <w:br/>
              <w:t>Placa-mãe - Tamanho: Padrão Micro ATX (mATX).</w:t>
            </w:r>
            <w:r w:rsidRPr="005B62C0">
              <w:rPr>
                <w:rFonts w:ascii="Gadugi" w:eastAsia="Times New Roman" w:hAnsi="Gadugi" w:cs="Calibri"/>
                <w:color w:val="000000"/>
                <w:sz w:val="14"/>
                <w:szCs w:val="14"/>
              </w:rPr>
              <w:br/>
              <w:t>Placa-mãe - LAN: Integrada.</w:t>
            </w:r>
            <w:r w:rsidRPr="005B62C0">
              <w:rPr>
                <w:rFonts w:ascii="Gadugi" w:eastAsia="Times New Roman" w:hAnsi="Gadugi" w:cs="Calibri"/>
                <w:color w:val="000000"/>
                <w:sz w:val="14"/>
                <w:szCs w:val="14"/>
              </w:rPr>
              <w:br/>
              <w:t>Placa-mãe - Som: Placa de som onboard integrada  placa-mãe.</w:t>
            </w:r>
            <w:r w:rsidRPr="005B62C0">
              <w:rPr>
                <w:rFonts w:ascii="Gadugi" w:eastAsia="Times New Roman" w:hAnsi="Gadugi" w:cs="Calibri"/>
                <w:color w:val="000000"/>
                <w:sz w:val="14"/>
                <w:szCs w:val="14"/>
              </w:rPr>
              <w:br/>
              <w:t>Placa-mãe - Memória RAM suportada: Padrão DDR5.</w:t>
            </w:r>
            <w:r w:rsidRPr="005B62C0">
              <w:rPr>
                <w:rFonts w:ascii="Gadugi" w:eastAsia="Times New Roman" w:hAnsi="Gadugi" w:cs="Calibri"/>
                <w:color w:val="000000"/>
                <w:sz w:val="14"/>
                <w:szCs w:val="14"/>
              </w:rPr>
              <w:br/>
              <w:t>Placa-mãe - Memória RAM capacidade total: 128 GB (ou superior).</w:t>
            </w:r>
            <w:r w:rsidRPr="005B62C0">
              <w:rPr>
                <w:rFonts w:ascii="Gadugi" w:eastAsia="Times New Roman" w:hAnsi="Gadugi" w:cs="Calibri"/>
                <w:color w:val="000000"/>
                <w:sz w:val="14"/>
                <w:szCs w:val="14"/>
              </w:rPr>
              <w:br/>
              <w:t>Placa-mãe - Memória RAM frequência suportada: 4800 MHz (ou superior).</w:t>
            </w:r>
            <w:r w:rsidRPr="005B62C0">
              <w:rPr>
                <w:rFonts w:ascii="Gadugi" w:eastAsia="Times New Roman" w:hAnsi="Gadugi" w:cs="Calibri"/>
                <w:color w:val="000000"/>
                <w:sz w:val="14"/>
                <w:szCs w:val="14"/>
              </w:rPr>
              <w:br/>
              <w:t>Placa-mãe - Memória RAM canais: Suporte para ligação de 2 (no mínimo) memórias RAM.</w:t>
            </w:r>
            <w:r w:rsidRPr="005B62C0">
              <w:rPr>
                <w:rFonts w:ascii="Gadugi" w:eastAsia="Times New Roman" w:hAnsi="Gadugi" w:cs="Calibri"/>
                <w:color w:val="000000"/>
                <w:sz w:val="14"/>
                <w:szCs w:val="14"/>
              </w:rPr>
              <w:br/>
              <w:t>Placa-mãe - Armazenamento: 2 conectores (no mínimo) interface SATA 3.</w:t>
            </w:r>
            <w:r w:rsidRPr="005B62C0">
              <w:rPr>
                <w:rFonts w:ascii="Gadugi" w:eastAsia="Times New Roman" w:hAnsi="Gadugi" w:cs="Calibri"/>
                <w:color w:val="000000"/>
                <w:sz w:val="14"/>
                <w:szCs w:val="14"/>
              </w:rPr>
              <w:br/>
              <w:t>Placa-mãe  Armazenamento: 1 conector (no mínimo) interface SSD M.2 2280 - PCIe 4.0 NVMe (ou superior).</w:t>
            </w:r>
            <w:r w:rsidRPr="005B62C0">
              <w:rPr>
                <w:rFonts w:ascii="Gadugi" w:eastAsia="Times New Roman" w:hAnsi="Gadugi" w:cs="Calibri"/>
                <w:color w:val="000000"/>
                <w:sz w:val="14"/>
                <w:szCs w:val="14"/>
              </w:rPr>
              <w:br/>
              <w:t>Placa-mãe - Expansão PCI-Express: Um slot (no mínimo) PCI-E x1. Um slot (no mínimo) PCI-E x16.</w:t>
            </w:r>
            <w:r w:rsidRPr="005B62C0">
              <w:rPr>
                <w:rFonts w:ascii="Gadugi" w:eastAsia="Times New Roman" w:hAnsi="Gadugi" w:cs="Calibri"/>
                <w:color w:val="000000"/>
                <w:sz w:val="14"/>
                <w:szCs w:val="14"/>
              </w:rPr>
              <w:br/>
              <w:t>Placa-mãe - Conexões externas presentes na placa-mãe: Uma porta (no mínimo) RJ45 1Gbps (ou superior). Quatro portas (no mínimo) USB (sendo, no mínimo, duas destas no padrão USB 3). Uma saída de áudio (no mínimo)  3,5 mm. Uma entrada (no mínimo) para microfone  3,5 mm.</w:t>
            </w:r>
            <w:r w:rsidRPr="005B62C0">
              <w:rPr>
                <w:rFonts w:ascii="Gadugi" w:eastAsia="Times New Roman" w:hAnsi="Gadugi" w:cs="Calibri"/>
                <w:color w:val="000000"/>
                <w:sz w:val="14"/>
                <w:szCs w:val="14"/>
              </w:rPr>
              <w:br/>
              <w:t>Memória RAM  Total instalada: 32 GB (no mínimo).</w:t>
            </w:r>
            <w:r w:rsidRPr="005B62C0">
              <w:rPr>
                <w:rFonts w:ascii="Gadugi" w:eastAsia="Times New Roman" w:hAnsi="Gadugi" w:cs="Calibri"/>
                <w:color w:val="000000"/>
                <w:sz w:val="14"/>
                <w:szCs w:val="14"/>
              </w:rPr>
              <w:br/>
              <w:t>Memória RAM - Padrão: DDR5.</w:t>
            </w:r>
            <w:r w:rsidRPr="005B62C0">
              <w:rPr>
                <w:rFonts w:ascii="Gadugi" w:eastAsia="Times New Roman" w:hAnsi="Gadugi" w:cs="Calibri"/>
                <w:color w:val="000000"/>
                <w:sz w:val="14"/>
                <w:szCs w:val="14"/>
              </w:rPr>
              <w:br/>
              <w:t>Memória RAM - Frequência: 4800 MHz (ou superior).</w:t>
            </w:r>
            <w:r w:rsidRPr="005B62C0">
              <w:rPr>
                <w:rFonts w:ascii="Gadugi" w:eastAsia="Times New Roman" w:hAnsi="Gadugi" w:cs="Calibri"/>
                <w:color w:val="000000"/>
                <w:sz w:val="14"/>
                <w:szCs w:val="14"/>
              </w:rPr>
              <w:br/>
              <w:t>Memória RAM - Compatibilidade: Memória RAM totalmente compatível com o processador e placa-mãe deste kit.</w:t>
            </w:r>
            <w:r w:rsidRPr="005B62C0">
              <w:rPr>
                <w:rFonts w:ascii="Gadugi" w:eastAsia="Times New Roman" w:hAnsi="Gadugi" w:cs="Calibri"/>
                <w:color w:val="000000"/>
                <w:sz w:val="14"/>
                <w:szCs w:val="14"/>
              </w:rPr>
              <w:br/>
              <w:t>Placa de vídeo - GPU  Frequência base: 1300 MHz (ou superior).</w:t>
            </w:r>
            <w:r w:rsidRPr="005B62C0">
              <w:rPr>
                <w:rFonts w:ascii="Gadugi" w:eastAsia="Times New Roman" w:hAnsi="Gadugi" w:cs="Calibri"/>
                <w:color w:val="000000"/>
                <w:sz w:val="14"/>
                <w:szCs w:val="14"/>
              </w:rPr>
              <w:br/>
              <w:t>Placa de vídeo - Memória  Tipo de memória gráfica: GDDR6.</w:t>
            </w:r>
            <w:r w:rsidRPr="005B62C0">
              <w:rPr>
                <w:rFonts w:ascii="Gadugi" w:eastAsia="Times New Roman" w:hAnsi="Gadugi" w:cs="Calibri"/>
                <w:color w:val="000000"/>
                <w:sz w:val="14"/>
                <w:szCs w:val="14"/>
              </w:rPr>
              <w:br/>
              <w:t>Placa de vídeo - Memória - Interface (barramento): 64 bits (ou superior).</w:t>
            </w:r>
            <w:r w:rsidRPr="005B62C0">
              <w:rPr>
                <w:rFonts w:ascii="Gadugi" w:eastAsia="Times New Roman" w:hAnsi="Gadugi" w:cs="Calibri"/>
                <w:color w:val="000000"/>
                <w:sz w:val="14"/>
                <w:szCs w:val="14"/>
              </w:rPr>
              <w:br/>
              <w:t>Placa de vídeo - Memória - Capacidade: 6 GB (ou superior).</w:t>
            </w:r>
            <w:r w:rsidRPr="005B62C0">
              <w:rPr>
                <w:rFonts w:ascii="Gadugi" w:eastAsia="Times New Roman" w:hAnsi="Gadugi" w:cs="Calibri"/>
                <w:color w:val="000000"/>
                <w:sz w:val="14"/>
                <w:szCs w:val="14"/>
              </w:rPr>
              <w:br/>
              <w:t>Placa de vídeo - Saídas de vídeo: 1 saída HDMI (no mínimo), 1 saída Display Port (no mínimo).</w:t>
            </w:r>
            <w:r w:rsidRPr="005B62C0">
              <w:rPr>
                <w:rFonts w:ascii="Gadugi" w:eastAsia="Times New Roman" w:hAnsi="Gadugi" w:cs="Calibri"/>
                <w:color w:val="000000"/>
                <w:sz w:val="14"/>
                <w:szCs w:val="14"/>
              </w:rPr>
              <w:br/>
              <w:t>Placa de vídeo - Interface: PCI-Express x16.</w:t>
            </w:r>
            <w:r w:rsidRPr="005B62C0">
              <w:rPr>
                <w:rFonts w:ascii="Gadugi" w:eastAsia="Times New Roman" w:hAnsi="Gadugi" w:cs="Calibri"/>
                <w:color w:val="000000"/>
                <w:sz w:val="14"/>
                <w:szCs w:val="14"/>
              </w:rPr>
              <w:br/>
              <w:t>Placa de vídeo - Resfriamento: Ativa, por ar (cooler).</w:t>
            </w:r>
            <w:r w:rsidRPr="005B62C0">
              <w:rPr>
                <w:rFonts w:ascii="Gadugi" w:eastAsia="Times New Roman" w:hAnsi="Gadugi" w:cs="Calibri"/>
                <w:color w:val="000000"/>
                <w:sz w:val="14"/>
                <w:szCs w:val="14"/>
              </w:rPr>
              <w:br/>
              <w:t>Armazenamento  Capacidade de armazenamento: 2 TB (ou superior).</w:t>
            </w:r>
            <w:r w:rsidRPr="005B62C0">
              <w:rPr>
                <w:rFonts w:ascii="Gadugi" w:eastAsia="Times New Roman" w:hAnsi="Gadugi" w:cs="Calibri"/>
                <w:color w:val="000000"/>
                <w:sz w:val="14"/>
                <w:szCs w:val="14"/>
              </w:rPr>
              <w:br/>
              <w:t>Armazenamento - Especificação: Unidade de estado sólido (SSD) M.2 2280 NVMe.</w:t>
            </w:r>
            <w:r w:rsidRPr="005B62C0">
              <w:rPr>
                <w:rFonts w:ascii="Gadugi" w:eastAsia="Times New Roman" w:hAnsi="Gadugi" w:cs="Calibri"/>
                <w:color w:val="000000"/>
                <w:sz w:val="14"/>
                <w:szCs w:val="14"/>
              </w:rPr>
              <w:br/>
              <w:t>Armazenamento  Interface: PCIe Gen 3 (ou superior).</w:t>
            </w:r>
            <w:r w:rsidRPr="005B62C0">
              <w:rPr>
                <w:rFonts w:ascii="Gadugi" w:eastAsia="Times New Roman" w:hAnsi="Gadugi" w:cs="Calibri"/>
                <w:color w:val="000000"/>
                <w:sz w:val="14"/>
                <w:szCs w:val="14"/>
              </w:rPr>
              <w:br/>
              <w:t>Armazenamento - Velocidade de leitura de dados: 6000 MB/s (ou superior).</w:t>
            </w:r>
            <w:r w:rsidRPr="005B62C0">
              <w:rPr>
                <w:rFonts w:ascii="Gadugi" w:eastAsia="Times New Roman" w:hAnsi="Gadugi" w:cs="Calibri"/>
                <w:color w:val="000000"/>
                <w:sz w:val="14"/>
                <w:szCs w:val="14"/>
              </w:rPr>
              <w:br/>
              <w:t>Armazenamento - Velocidade de gravação de dados: 5000 MB/s (ou superior).</w:t>
            </w:r>
            <w:r w:rsidRPr="005B62C0">
              <w:rPr>
                <w:rFonts w:ascii="Gadugi" w:eastAsia="Times New Roman" w:hAnsi="Gadugi" w:cs="Calibri"/>
                <w:color w:val="000000"/>
                <w:sz w:val="14"/>
                <w:szCs w:val="14"/>
              </w:rPr>
              <w:br/>
              <w:t>Armazenamento - Compatibilidade: SSD M.2 NVMe totalmente compatível com a placa-mãe deste kit.</w:t>
            </w:r>
            <w:r w:rsidRPr="005B62C0">
              <w:rPr>
                <w:rFonts w:ascii="Gadugi" w:eastAsia="Times New Roman" w:hAnsi="Gadugi" w:cs="Calibri"/>
                <w:color w:val="000000"/>
                <w:sz w:val="14"/>
                <w:szCs w:val="14"/>
              </w:rPr>
              <w:br/>
              <w:t>Fonte de alimentação - Alimentação da placa-mãe - Principal: 24 (20+4) pinos.</w:t>
            </w:r>
            <w:r w:rsidRPr="005B62C0">
              <w:rPr>
                <w:rFonts w:ascii="Gadugi" w:eastAsia="Times New Roman" w:hAnsi="Gadugi" w:cs="Calibri"/>
                <w:color w:val="000000"/>
                <w:sz w:val="14"/>
                <w:szCs w:val="14"/>
              </w:rPr>
              <w:br/>
              <w:t>Fonte de alimentação - Alimentação da placa-mãe - ATX 12 V: 8 (4+4) pinos.</w:t>
            </w:r>
            <w:r w:rsidRPr="005B62C0">
              <w:rPr>
                <w:rFonts w:ascii="Gadugi" w:eastAsia="Times New Roman" w:hAnsi="Gadugi" w:cs="Calibri"/>
                <w:color w:val="000000"/>
                <w:sz w:val="14"/>
                <w:szCs w:val="14"/>
              </w:rPr>
              <w:br/>
              <w:t>Fonte de alimentação - Alimentação da placa de vídeo  PCIE: 8 (6+2) pinos (um conector PCIE, no mínimo).</w:t>
            </w:r>
            <w:r w:rsidRPr="005B62C0">
              <w:rPr>
                <w:rFonts w:ascii="Gadugi" w:eastAsia="Times New Roman" w:hAnsi="Gadugi" w:cs="Calibri"/>
                <w:color w:val="000000"/>
                <w:sz w:val="14"/>
                <w:szCs w:val="14"/>
              </w:rPr>
              <w:br/>
              <w:t>Fonte de alimentação - Alimentação para dispositivos SATA: 3 conectores (no mínimo).</w:t>
            </w:r>
            <w:r w:rsidRPr="005B62C0">
              <w:rPr>
                <w:rFonts w:ascii="Gadugi" w:eastAsia="Times New Roman" w:hAnsi="Gadugi" w:cs="Calibri"/>
                <w:color w:val="000000"/>
                <w:sz w:val="14"/>
                <w:szCs w:val="14"/>
              </w:rPr>
              <w:br/>
              <w:t>Fonte de alimentação - Resfriamento: Ativo, por ar (cooler).</w:t>
            </w:r>
            <w:r w:rsidRPr="005B62C0">
              <w:rPr>
                <w:rFonts w:ascii="Gadugi" w:eastAsia="Times New Roman" w:hAnsi="Gadugi" w:cs="Calibri"/>
                <w:color w:val="000000"/>
                <w:sz w:val="14"/>
                <w:szCs w:val="14"/>
              </w:rPr>
              <w:br/>
              <w:t>Fonte de alimentação - Potência de saída: 850 Watts (ou superior).</w:t>
            </w:r>
            <w:r w:rsidRPr="005B62C0">
              <w:rPr>
                <w:rFonts w:ascii="Gadugi" w:eastAsia="Times New Roman" w:hAnsi="Gadugi" w:cs="Calibri"/>
                <w:color w:val="000000"/>
                <w:sz w:val="14"/>
                <w:szCs w:val="14"/>
              </w:rPr>
              <w:br/>
              <w:t>Fonte de alimentação - Tipo: Compatível com computadores de mesa (desktop).</w:t>
            </w:r>
            <w:r w:rsidRPr="005B62C0">
              <w:rPr>
                <w:rFonts w:ascii="Gadugi" w:eastAsia="Times New Roman" w:hAnsi="Gadugi" w:cs="Calibri"/>
                <w:color w:val="000000"/>
                <w:sz w:val="14"/>
                <w:szCs w:val="14"/>
              </w:rPr>
              <w:br/>
              <w:t>Fonte de alimentação - Tensão de entrada: Bivolt.</w:t>
            </w:r>
            <w:r w:rsidRPr="005B62C0">
              <w:rPr>
                <w:rFonts w:ascii="Gadugi" w:eastAsia="Times New Roman" w:hAnsi="Gadugi" w:cs="Calibri"/>
                <w:color w:val="000000"/>
                <w:sz w:val="14"/>
                <w:szCs w:val="14"/>
              </w:rPr>
              <w:br/>
              <w:t>Fonte de alimentação - Certificação: 80 Plus (Gold, Platinum ou Titanium).</w:t>
            </w:r>
            <w:r w:rsidRPr="005B62C0">
              <w:rPr>
                <w:rFonts w:ascii="Gadugi" w:eastAsia="Times New Roman" w:hAnsi="Gadugi" w:cs="Calibri"/>
                <w:color w:val="000000"/>
                <w:sz w:val="14"/>
                <w:szCs w:val="14"/>
              </w:rPr>
              <w:br/>
              <w:t>Fonte de alimentação - Cabo de força: Plugue padrão ABNT NBR 14136.</w:t>
            </w:r>
            <w:r w:rsidRPr="005B62C0">
              <w:rPr>
                <w:rFonts w:ascii="Gadugi" w:eastAsia="Times New Roman" w:hAnsi="Gadugi" w:cs="Calibri"/>
                <w:color w:val="000000"/>
                <w:sz w:val="14"/>
                <w:szCs w:val="14"/>
              </w:rPr>
              <w:br/>
              <w:t>Gabinete para computador - Espaço interno: Suporte para fixação de placas-mãe padrão ATX e padrão Micro ATX (mATX).</w:t>
            </w:r>
            <w:r w:rsidRPr="005B62C0">
              <w:rPr>
                <w:rFonts w:ascii="Gadugi" w:eastAsia="Times New Roman" w:hAnsi="Gadugi" w:cs="Calibri"/>
                <w:color w:val="000000"/>
                <w:sz w:val="14"/>
                <w:szCs w:val="14"/>
              </w:rPr>
              <w:br/>
              <w:t>Gabinete para computador - Espaço interno: Suporte para fixação de (no mínimo) 2 dispositivos de armazenamento padrão (form factory) 3,5 polegadas.</w:t>
            </w:r>
            <w:r w:rsidRPr="005B62C0">
              <w:rPr>
                <w:rFonts w:ascii="Gadugi" w:eastAsia="Times New Roman" w:hAnsi="Gadugi" w:cs="Calibri"/>
                <w:color w:val="000000"/>
                <w:sz w:val="14"/>
                <w:szCs w:val="14"/>
              </w:rPr>
              <w:br/>
              <w:t>Gabinete para computador - Espaço interno: Suporte para fixação de (no mínimo) 1 dispositivo de armazenamento padrão (form factory) 2,5 polegadas.</w:t>
            </w:r>
            <w:r w:rsidRPr="005B62C0">
              <w:rPr>
                <w:rFonts w:ascii="Gadugi" w:eastAsia="Times New Roman" w:hAnsi="Gadugi" w:cs="Calibri"/>
                <w:color w:val="000000"/>
                <w:sz w:val="14"/>
                <w:szCs w:val="14"/>
              </w:rPr>
              <w:br/>
              <w:t>Gabinete para computador - Espaço interno: Suporte para fixação de (no mínimo) 1 leitor/gravador de discos ópticos (com acesso  baia frontal).</w:t>
            </w:r>
            <w:r w:rsidRPr="005B62C0">
              <w:rPr>
                <w:rFonts w:ascii="Gadugi" w:eastAsia="Times New Roman" w:hAnsi="Gadugi" w:cs="Calibri"/>
                <w:color w:val="000000"/>
                <w:sz w:val="14"/>
                <w:szCs w:val="14"/>
              </w:rPr>
              <w:br/>
              <w:t>Gabinete para computador - Área traseira: Suporte para encaixe de (no mínimo) 3 dispositivos PCI ou PCI Express.</w:t>
            </w:r>
            <w:r w:rsidRPr="005B62C0">
              <w:rPr>
                <w:rFonts w:ascii="Gadugi" w:eastAsia="Times New Roman" w:hAnsi="Gadugi" w:cs="Calibri"/>
                <w:color w:val="000000"/>
                <w:sz w:val="14"/>
                <w:szCs w:val="14"/>
              </w:rPr>
              <w:br/>
              <w:t>Gabinete para computador - Área traseira: Suporte para encaixe de fonte de alimentação padrão ATX.</w:t>
            </w:r>
            <w:r w:rsidRPr="005B62C0">
              <w:rPr>
                <w:rFonts w:ascii="Gadugi" w:eastAsia="Times New Roman" w:hAnsi="Gadugi" w:cs="Calibri"/>
                <w:color w:val="000000"/>
                <w:sz w:val="14"/>
                <w:szCs w:val="14"/>
              </w:rPr>
              <w:br/>
              <w:t>Gabinete para computador - Área frontal: Botão liga/desliga, com fiação para conectar  placa-mãe (Power SW).</w:t>
            </w:r>
            <w:r w:rsidRPr="005B62C0">
              <w:rPr>
                <w:rFonts w:ascii="Gadugi" w:eastAsia="Times New Roman" w:hAnsi="Gadugi" w:cs="Calibri"/>
                <w:color w:val="000000"/>
                <w:sz w:val="14"/>
                <w:szCs w:val="14"/>
              </w:rPr>
              <w:br/>
              <w:t>Gabinete para computador - Área frontal: Botão reset, com fiação para conectar  placa-mãe (Reset SW).</w:t>
            </w:r>
            <w:r w:rsidRPr="005B62C0">
              <w:rPr>
                <w:rFonts w:ascii="Gadugi" w:eastAsia="Times New Roman" w:hAnsi="Gadugi" w:cs="Calibri"/>
                <w:color w:val="000000"/>
                <w:sz w:val="14"/>
                <w:szCs w:val="14"/>
              </w:rPr>
              <w:br/>
              <w:t>Gabinete para computador - Área frontal: Conector para microfone, conector para fone de ouvido e (no mínimo) 2 conectores USB, com fiação para conectarem-se  placa-mãe.</w:t>
            </w:r>
            <w:r w:rsidRPr="005B62C0">
              <w:rPr>
                <w:rFonts w:ascii="Gadugi" w:eastAsia="Times New Roman" w:hAnsi="Gadugi" w:cs="Calibri"/>
                <w:color w:val="000000"/>
                <w:sz w:val="14"/>
                <w:szCs w:val="14"/>
              </w:rPr>
              <w:br/>
              <w:t>Gabinete para computador - Área frontal: LED para indicar placa-mãe ligada (Power LED) e LED para indicar acesso aos dispositivos de armazenamento (HDD LED).</w:t>
            </w:r>
            <w:r w:rsidRPr="005B62C0">
              <w:rPr>
                <w:rFonts w:ascii="Gadugi" w:eastAsia="Times New Roman" w:hAnsi="Gadugi" w:cs="Calibri"/>
                <w:color w:val="000000"/>
                <w:sz w:val="14"/>
                <w:szCs w:val="14"/>
              </w:rPr>
              <w:br/>
              <w:t>Sistema operacional: Windows 11 Pro (64-bits) original (com chave de ativação ou licença digital). Não pode ser pré-instalado. Licença vitalícia.</w:t>
            </w:r>
            <w:r w:rsidRPr="005B62C0">
              <w:rPr>
                <w:rFonts w:ascii="Gadugi" w:eastAsia="Times New Roman" w:hAnsi="Gadugi" w:cs="Calibri"/>
                <w:color w:val="000000"/>
                <w:sz w:val="14"/>
                <w:szCs w:val="14"/>
              </w:rPr>
              <w:br/>
              <w:t>Demais itens inclusos: Espelho traseiro (do respectivo modelo da placa-mãe, para fixação no gabinete). Bateria CR2032. Cooler e dissipador térmico para o processador, totalmente compatíveis com o processador e a placa-mãe deste kit. Drivers da placa-mãe, compatíveis com sistemas operacionais Windows 11 (64 bits). Cabo de força (plugue padrão ABNT NBR 14136).</w:t>
            </w:r>
            <w:r w:rsidRPr="005B62C0">
              <w:rPr>
                <w:rFonts w:ascii="Gadugi" w:eastAsia="Times New Roman" w:hAnsi="Gadugi" w:cs="Calibri"/>
                <w:color w:val="000000"/>
                <w:sz w:val="14"/>
                <w:szCs w:val="14"/>
              </w:rPr>
              <w:br/>
              <w:t>Observações: Itens novos, perfeitamente funcionais. Todos os itens montados no gabinete. Computador completamente funcional. Itens com seus manuais de uso e suas respectivas caixas.</w:t>
            </w:r>
            <w:r w:rsidRPr="005B62C0">
              <w:rPr>
                <w:rFonts w:ascii="Gadugi" w:eastAsia="Times New Roman" w:hAnsi="Gadugi" w:cs="Calibri"/>
                <w:color w:val="000000"/>
                <w:sz w:val="14"/>
                <w:szCs w:val="14"/>
              </w:rPr>
              <w:br/>
              <w:t>--&gt;&gt; Algumas opções que atendem os requisitos:</w:t>
            </w:r>
            <w:r w:rsidRPr="005B62C0">
              <w:rPr>
                <w:rFonts w:ascii="Gadugi" w:eastAsia="Times New Roman" w:hAnsi="Gadugi" w:cs="Calibri"/>
                <w:color w:val="000000"/>
                <w:sz w:val="14"/>
                <w:szCs w:val="14"/>
              </w:rPr>
              <w:br/>
              <w:t>* Intel Core i9 14900KF (R$ 3.300,00) + Asus Prime Z790-A WIFI (R$ 2.000,00) ... ou ...</w:t>
            </w:r>
            <w:r w:rsidRPr="005B62C0">
              <w:rPr>
                <w:rFonts w:ascii="Gadugi" w:eastAsia="Times New Roman" w:hAnsi="Gadugi" w:cs="Calibri"/>
                <w:color w:val="000000"/>
                <w:sz w:val="14"/>
                <w:szCs w:val="14"/>
              </w:rPr>
              <w:br/>
              <w:t>* AMD Ryzen 9 7950X (R$ 4.000,00) + MSI MEG X670E ACE (R$ 2.500,00)</w:t>
            </w:r>
            <w:r w:rsidRPr="005B62C0">
              <w:rPr>
                <w:rFonts w:ascii="Gadugi" w:eastAsia="Times New Roman" w:hAnsi="Gadugi" w:cs="Calibri"/>
                <w:color w:val="000000"/>
                <w:sz w:val="14"/>
                <w:szCs w:val="14"/>
              </w:rPr>
              <w:br/>
              <w:t>* PCYes RTX 2060 Nvidia geForce GEF 6GB (R$ 2.000,00)</w:t>
            </w:r>
            <w:r w:rsidRPr="005B62C0">
              <w:rPr>
                <w:rFonts w:ascii="Gadugi" w:eastAsia="Times New Roman" w:hAnsi="Gadugi" w:cs="Calibri"/>
                <w:color w:val="000000"/>
                <w:sz w:val="14"/>
                <w:szCs w:val="14"/>
              </w:rPr>
              <w:br/>
              <w:t>* SSD Kingston Fury Renagade 2TB  M.2 2280 (7300MB/7000MB) (R$1.4500,00) ... ou ...</w:t>
            </w:r>
            <w:r w:rsidRPr="005B62C0">
              <w:rPr>
                <w:rFonts w:ascii="Gadugi" w:eastAsia="Times New Roman" w:hAnsi="Gadugi" w:cs="Calibri"/>
                <w:color w:val="000000"/>
                <w:sz w:val="14"/>
                <w:szCs w:val="14"/>
              </w:rPr>
              <w:br/>
              <w:t>* SSD Adata Legend 860 2TB  M.2 2280 (6000MB/5000MB) (R$ 1.000,00)</w:t>
            </w:r>
            <w:r w:rsidRPr="005B62C0">
              <w:rPr>
                <w:rFonts w:ascii="Gadugi" w:eastAsia="Times New Roman" w:hAnsi="Gadugi" w:cs="Calibri"/>
                <w:color w:val="000000"/>
                <w:sz w:val="14"/>
                <w:szCs w:val="14"/>
              </w:rPr>
              <w:br/>
              <w:t>* Memoria RAM DDR5  Kingston Fury CL40 (R$ 700,00)</w:t>
            </w:r>
            <w:r w:rsidRPr="005B62C0">
              <w:rPr>
                <w:rFonts w:ascii="Gadugi" w:eastAsia="Times New Roman" w:hAnsi="Gadugi" w:cs="Calibri"/>
                <w:color w:val="000000"/>
                <w:sz w:val="14"/>
                <w:szCs w:val="14"/>
              </w:rPr>
              <w:br/>
              <w:t>* Fonte Pichau Cluster 850W, PCIe 5.0, Full Modular, Cybenetics Gold, Preto, PG-CL850-BK01 (R$ 560,00)</w:t>
            </w:r>
            <w:r w:rsidRPr="005B62C0">
              <w:rPr>
                <w:rFonts w:ascii="Gadugi" w:eastAsia="Times New Roman" w:hAnsi="Gadugi" w:cs="Calibri"/>
                <w:color w:val="000000"/>
                <w:sz w:val="14"/>
                <w:szCs w:val="14"/>
              </w:rPr>
              <w:br/>
              <w:t>* Gabinete Gamer Rise Mode Galaxy Glass, Mid Tower  RM-GA-GG-FB (R$ 440,00)</w:t>
            </w:r>
            <w:r w:rsidRPr="005B62C0">
              <w:rPr>
                <w:rFonts w:ascii="Gadugi" w:eastAsia="Times New Roman" w:hAnsi="Gadugi" w:cs="Calibri"/>
                <w:color w:val="000000"/>
                <w:sz w:val="14"/>
                <w:szCs w:val="14"/>
              </w:rPr>
              <w:br/>
              <w:t>* Licença perpétua Windows 11 Pro.</w:t>
            </w:r>
          </w:p>
        </w:tc>
        <w:tc>
          <w:tcPr>
            <w:tcW w:w="729" w:type="dxa"/>
            <w:tcBorders>
              <w:top w:val="nil"/>
              <w:left w:val="nil"/>
              <w:bottom w:val="single" w:sz="4" w:space="0" w:color="auto"/>
              <w:right w:val="single" w:sz="4" w:space="0" w:color="auto"/>
            </w:tcBorders>
            <w:shd w:val="clear" w:color="auto" w:fill="auto"/>
            <w:noWrap/>
            <w:vAlign w:val="center"/>
            <w:hideMark/>
          </w:tcPr>
          <w:p w14:paraId="604F889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6636F5EB"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w:t>
            </w:r>
          </w:p>
        </w:tc>
        <w:tc>
          <w:tcPr>
            <w:tcW w:w="918" w:type="dxa"/>
            <w:tcBorders>
              <w:top w:val="nil"/>
              <w:left w:val="nil"/>
              <w:bottom w:val="single" w:sz="4" w:space="0" w:color="auto"/>
              <w:right w:val="single" w:sz="4" w:space="0" w:color="auto"/>
            </w:tcBorders>
            <w:shd w:val="clear" w:color="auto" w:fill="auto"/>
            <w:noWrap/>
            <w:vAlign w:val="center"/>
            <w:hideMark/>
          </w:tcPr>
          <w:p w14:paraId="6585310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R$ 12.598,13</w:t>
            </w:r>
          </w:p>
        </w:tc>
      </w:tr>
      <w:tr w:rsidR="005B62C0" w:rsidRPr="00CB6588" w14:paraId="04F04570"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917B85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7</w:t>
            </w:r>
          </w:p>
        </w:tc>
        <w:tc>
          <w:tcPr>
            <w:tcW w:w="6646" w:type="dxa"/>
            <w:tcBorders>
              <w:top w:val="nil"/>
              <w:left w:val="nil"/>
              <w:bottom w:val="single" w:sz="4" w:space="0" w:color="auto"/>
              <w:right w:val="single" w:sz="4" w:space="0" w:color="auto"/>
            </w:tcBorders>
            <w:shd w:val="clear" w:color="auto" w:fill="auto"/>
            <w:noWrap/>
            <w:vAlign w:val="center"/>
            <w:hideMark/>
          </w:tcPr>
          <w:p w14:paraId="1E0789FF" w14:textId="1AAE5075"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COMPUTADOR COMPLETO BASICO Computador básico</w:t>
            </w:r>
            <w:r w:rsidRPr="005B62C0">
              <w:rPr>
                <w:rFonts w:ascii="Gadugi" w:eastAsia="Times New Roman" w:hAnsi="Gadugi" w:cs="Calibri"/>
                <w:color w:val="000000"/>
                <w:sz w:val="14"/>
                <w:szCs w:val="14"/>
              </w:rPr>
              <w:br/>
              <w:t>Processador - Plataforma/Segmento: Desktop.</w:t>
            </w:r>
            <w:r w:rsidRPr="005B62C0">
              <w:rPr>
                <w:rFonts w:ascii="Gadugi" w:eastAsia="Times New Roman" w:hAnsi="Gadugi" w:cs="Calibri"/>
                <w:color w:val="000000"/>
                <w:sz w:val="14"/>
                <w:szCs w:val="14"/>
              </w:rPr>
              <w:br/>
              <w:t>Processador - Arquitetura: X86-64.</w:t>
            </w:r>
            <w:r w:rsidRPr="005B62C0">
              <w:rPr>
                <w:rFonts w:ascii="Gadugi" w:eastAsia="Times New Roman" w:hAnsi="Gadugi" w:cs="Calibri"/>
                <w:color w:val="000000"/>
                <w:sz w:val="14"/>
                <w:szCs w:val="14"/>
              </w:rPr>
              <w:br/>
              <w:t>Processador - Frequência base: 2,0 GHz (no mínimo, sem necessidade de overclock via software, overclock via hardware, Thermal Velocity Boost, Turbo Max Core Speed, Max Turbo, Turbo Boost, Precision Boost para alcançar tal frequência).</w:t>
            </w:r>
            <w:r w:rsidRPr="005B62C0">
              <w:rPr>
                <w:rFonts w:ascii="Gadugi" w:eastAsia="Times New Roman" w:hAnsi="Gadugi" w:cs="Calibri"/>
                <w:color w:val="000000"/>
                <w:sz w:val="14"/>
                <w:szCs w:val="14"/>
              </w:rPr>
              <w:br/>
              <w:t>Processador - Frequência turbo: 3,5 GHz (ou superior).</w:t>
            </w:r>
            <w:r w:rsidRPr="005B62C0">
              <w:rPr>
                <w:rFonts w:ascii="Gadugi" w:eastAsia="Times New Roman" w:hAnsi="Gadugi" w:cs="Calibri"/>
                <w:color w:val="000000"/>
                <w:sz w:val="14"/>
                <w:szCs w:val="14"/>
              </w:rPr>
              <w:br/>
              <w:t>Processador - Núcleos físicos: 4 cores (no mínimo).</w:t>
            </w:r>
            <w:r w:rsidRPr="005B62C0">
              <w:rPr>
                <w:rFonts w:ascii="Gadugi" w:eastAsia="Times New Roman" w:hAnsi="Gadugi" w:cs="Calibri"/>
                <w:color w:val="000000"/>
                <w:sz w:val="14"/>
                <w:szCs w:val="14"/>
              </w:rPr>
              <w:br/>
              <w:t>Processador - Núcleos lógicos: 8 threads (no mínimo).</w:t>
            </w:r>
            <w:r w:rsidRPr="005B62C0">
              <w:rPr>
                <w:rFonts w:ascii="Gadugi" w:eastAsia="Times New Roman" w:hAnsi="Gadugi" w:cs="Calibri"/>
                <w:color w:val="000000"/>
                <w:sz w:val="14"/>
                <w:szCs w:val="14"/>
              </w:rPr>
              <w:br/>
              <w:t>Processador - Memória cache: 8 MB (no mínimo).</w:t>
            </w:r>
            <w:r w:rsidRPr="005B62C0">
              <w:rPr>
                <w:rFonts w:ascii="Gadugi" w:eastAsia="Times New Roman" w:hAnsi="Gadugi" w:cs="Calibri"/>
                <w:color w:val="000000"/>
                <w:sz w:val="14"/>
                <w:szCs w:val="14"/>
              </w:rPr>
              <w:br/>
              <w:t>Processador - Vídeo: Processamento gráfico integrado (evitando a necessidade de placas de vídeo offboard para exibição de imagens).</w:t>
            </w:r>
            <w:r w:rsidRPr="005B62C0">
              <w:rPr>
                <w:rFonts w:ascii="Gadugi" w:eastAsia="Times New Roman" w:hAnsi="Gadugi" w:cs="Calibri"/>
                <w:color w:val="000000"/>
                <w:sz w:val="14"/>
                <w:szCs w:val="14"/>
              </w:rPr>
              <w:br/>
              <w:t>Placa-mãe - Compatibilidade: Totalmente compatível com o processador deste kit (comprovado através de lista de processadores suportados no site oficial da marca e modelo da placa-mãe).</w:t>
            </w:r>
            <w:r w:rsidRPr="005B62C0">
              <w:rPr>
                <w:rFonts w:ascii="Gadugi" w:eastAsia="Times New Roman" w:hAnsi="Gadugi" w:cs="Calibri"/>
                <w:color w:val="000000"/>
                <w:sz w:val="14"/>
                <w:szCs w:val="14"/>
              </w:rPr>
              <w:br/>
              <w:t>Placa-mãe - Tamanho: Padrão Micro ATX (mATX).</w:t>
            </w:r>
            <w:r w:rsidRPr="005B62C0">
              <w:rPr>
                <w:rFonts w:ascii="Gadugi" w:eastAsia="Times New Roman" w:hAnsi="Gadugi" w:cs="Calibri"/>
                <w:color w:val="000000"/>
                <w:sz w:val="14"/>
                <w:szCs w:val="14"/>
              </w:rPr>
              <w:br/>
              <w:t>Placa-mãe - LAN: Integrada.</w:t>
            </w:r>
            <w:r w:rsidRPr="005B62C0">
              <w:rPr>
                <w:rFonts w:ascii="Gadugi" w:eastAsia="Times New Roman" w:hAnsi="Gadugi" w:cs="Calibri"/>
                <w:color w:val="000000"/>
                <w:sz w:val="14"/>
                <w:szCs w:val="14"/>
              </w:rPr>
              <w:br/>
              <w:t>Placa-mãe - Gráficos: Saída de vídeo onboard integrada (evitando a necessidade de placas de vídeo offboard para exibição de imagens).</w:t>
            </w:r>
            <w:r w:rsidRPr="005B62C0">
              <w:rPr>
                <w:rFonts w:ascii="Gadugi" w:eastAsia="Times New Roman" w:hAnsi="Gadugi" w:cs="Calibri"/>
                <w:color w:val="000000"/>
                <w:sz w:val="14"/>
                <w:szCs w:val="14"/>
              </w:rPr>
              <w:br/>
              <w:t>Placa-mãe - Som: Placa de som onboard integrada  placa-mãe.</w:t>
            </w:r>
            <w:r w:rsidRPr="005B62C0">
              <w:rPr>
                <w:rFonts w:ascii="Gadugi" w:eastAsia="Times New Roman" w:hAnsi="Gadugi" w:cs="Calibri"/>
                <w:color w:val="000000"/>
                <w:sz w:val="14"/>
                <w:szCs w:val="14"/>
              </w:rPr>
              <w:br/>
              <w:t>Placa-mãe - Memória RAM capacidade total: 32 GB (ou superior).</w:t>
            </w:r>
            <w:r w:rsidRPr="005B62C0">
              <w:rPr>
                <w:rFonts w:ascii="Gadugi" w:eastAsia="Times New Roman" w:hAnsi="Gadugi" w:cs="Calibri"/>
                <w:color w:val="000000"/>
                <w:sz w:val="14"/>
                <w:szCs w:val="14"/>
              </w:rPr>
              <w:br/>
              <w:t>Placa-mãe - Memória RAM frequência suportada: 3800 MHz (ou superior).</w:t>
            </w:r>
            <w:r w:rsidRPr="005B62C0">
              <w:rPr>
                <w:rFonts w:ascii="Gadugi" w:eastAsia="Times New Roman" w:hAnsi="Gadugi" w:cs="Calibri"/>
                <w:color w:val="000000"/>
                <w:sz w:val="14"/>
                <w:szCs w:val="14"/>
              </w:rPr>
              <w:br/>
              <w:t>Placa-mãe - Memória RAM canais: Suporte para ligação de 2 (no mínimo) memórias RAM.</w:t>
            </w:r>
            <w:r w:rsidRPr="005B62C0">
              <w:rPr>
                <w:rFonts w:ascii="Gadugi" w:eastAsia="Times New Roman" w:hAnsi="Gadugi" w:cs="Calibri"/>
                <w:color w:val="000000"/>
                <w:sz w:val="14"/>
                <w:szCs w:val="14"/>
              </w:rPr>
              <w:br/>
              <w:t>Placa-mãe - Armazenamento: 2 conectores (no mínimo) interface SATA 3.</w:t>
            </w:r>
            <w:r w:rsidRPr="005B62C0">
              <w:rPr>
                <w:rFonts w:ascii="Gadugi" w:eastAsia="Times New Roman" w:hAnsi="Gadugi" w:cs="Calibri"/>
                <w:color w:val="000000"/>
                <w:sz w:val="14"/>
                <w:szCs w:val="14"/>
              </w:rPr>
              <w:br/>
              <w:t>Placa-mãe - Expansão PCI-Express: Um slot (no mínimo) PCI-E x1. Um slot (no mínimo) PCI-E x16.</w:t>
            </w:r>
            <w:r w:rsidRPr="005B62C0">
              <w:rPr>
                <w:rFonts w:ascii="Gadugi" w:eastAsia="Times New Roman" w:hAnsi="Gadugi" w:cs="Calibri"/>
                <w:color w:val="000000"/>
                <w:sz w:val="14"/>
                <w:szCs w:val="14"/>
              </w:rPr>
              <w:br/>
              <w:t>Placa-mãe - Conexões externas presentes na placa-mãe: Uma porta (no mínimo) RJ45. Quatro portas (no mínimo) USB (sendo, no mínimo, duas destas no padrão USB 3). Uma porta VGA. Uma porta HDMI. Uma saída de áudio (no mínimo)  3,5 mm. Uma entrada (no mínimo) para microfone  3,5 mm.</w:t>
            </w:r>
            <w:r w:rsidRPr="005B62C0">
              <w:rPr>
                <w:rFonts w:ascii="Gadugi" w:eastAsia="Times New Roman" w:hAnsi="Gadugi" w:cs="Calibri"/>
                <w:color w:val="000000"/>
                <w:sz w:val="14"/>
                <w:szCs w:val="14"/>
              </w:rPr>
              <w:br/>
              <w:t>Memória RAM - Instalada: 8 GB (no mínimo).</w:t>
            </w:r>
            <w:r w:rsidRPr="005B62C0">
              <w:rPr>
                <w:rFonts w:ascii="Gadugi" w:eastAsia="Times New Roman" w:hAnsi="Gadugi" w:cs="Calibri"/>
                <w:color w:val="000000"/>
                <w:sz w:val="14"/>
                <w:szCs w:val="14"/>
              </w:rPr>
              <w:br/>
              <w:t>Memória RAM - Frequência: 4800 MHz (ou superior).</w:t>
            </w:r>
            <w:r w:rsidRPr="005B62C0">
              <w:rPr>
                <w:rFonts w:ascii="Gadugi" w:eastAsia="Times New Roman" w:hAnsi="Gadugi" w:cs="Calibri"/>
                <w:color w:val="000000"/>
                <w:sz w:val="14"/>
                <w:szCs w:val="14"/>
              </w:rPr>
              <w:br/>
              <w:t>Memória RAM - Compatibilidade: Memória RAM totalmente compatível com o processador e placa-mãe deste kit.</w:t>
            </w:r>
            <w:r w:rsidRPr="005B62C0">
              <w:rPr>
                <w:rFonts w:ascii="Gadugi" w:eastAsia="Times New Roman" w:hAnsi="Gadugi" w:cs="Calibri"/>
                <w:color w:val="000000"/>
                <w:sz w:val="14"/>
                <w:szCs w:val="14"/>
              </w:rPr>
              <w:br/>
              <w:t>Armazenamento  Capacidade de armazenamento: 480 GB (ou superior).</w:t>
            </w:r>
            <w:r w:rsidRPr="005B62C0">
              <w:rPr>
                <w:rFonts w:ascii="Gadugi" w:eastAsia="Times New Roman" w:hAnsi="Gadugi" w:cs="Calibri"/>
                <w:color w:val="000000"/>
                <w:sz w:val="14"/>
                <w:szCs w:val="14"/>
              </w:rPr>
              <w:br/>
              <w:t>Armazenamento - Especificação: Unidade de estado sólido (SSD).</w:t>
            </w:r>
            <w:r w:rsidRPr="005B62C0">
              <w:rPr>
                <w:rFonts w:ascii="Gadugi" w:eastAsia="Times New Roman" w:hAnsi="Gadugi" w:cs="Calibri"/>
                <w:color w:val="000000"/>
                <w:sz w:val="14"/>
                <w:szCs w:val="14"/>
              </w:rPr>
              <w:br/>
              <w:t>Armazenamento - Velocidade de leitura de dados: 3500 MB/s (ou superior).</w:t>
            </w:r>
            <w:r w:rsidRPr="005B62C0">
              <w:rPr>
                <w:rFonts w:ascii="Gadugi" w:eastAsia="Times New Roman" w:hAnsi="Gadugi" w:cs="Calibri"/>
                <w:color w:val="000000"/>
                <w:sz w:val="14"/>
                <w:szCs w:val="14"/>
              </w:rPr>
              <w:br/>
              <w:t>Armazenamento - Velocidade de gravação de dados: 3500 MB/s (ou superior).</w:t>
            </w:r>
            <w:r w:rsidRPr="005B62C0">
              <w:rPr>
                <w:rFonts w:ascii="Gadugi" w:eastAsia="Times New Roman" w:hAnsi="Gadugi" w:cs="Calibri"/>
                <w:color w:val="000000"/>
                <w:sz w:val="14"/>
                <w:szCs w:val="14"/>
              </w:rPr>
              <w:br/>
              <w:t>Armazenamento - Compatibilidade: SSD totalmente compatível com a placa-mãe deste kit.</w:t>
            </w:r>
            <w:r w:rsidRPr="005B62C0">
              <w:rPr>
                <w:rFonts w:ascii="Gadugi" w:eastAsia="Times New Roman" w:hAnsi="Gadugi" w:cs="Calibri"/>
                <w:color w:val="000000"/>
                <w:sz w:val="14"/>
                <w:szCs w:val="14"/>
              </w:rPr>
              <w:br/>
              <w:t>Fonte de alimentação - Alimentação da placa-mãe - Principal: 24 (20+4) pinos.</w:t>
            </w:r>
            <w:r w:rsidRPr="005B62C0">
              <w:rPr>
                <w:rFonts w:ascii="Gadugi" w:eastAsia="Times New Roman" w:hAnsi="Gadugi" w:cs="Calibri"/>
                <w:color w:val="000000"/>
                <w:sz w:val="14"/>
                <w:szCs w:val="14"/>
              </w:rPr>
              <w:br/>
              <w:t>Fonte de alimentação - Alimentação da placa-mãe - ATX 12 V: 8 (4+4) pinos.</w:t>
            </w:r>
            <w:r w:rsidRPr="005B62C0">
              <w:rPr>
                <w:rFonts w:ascii="Gadugi" w:eastAsia="Times New Roman" w:hAnsi="Gadugi" w:cs="Calibri"/>
                <w:color w:val="000000"/>
                <w:sz w:val="14"/>
                <w:szCs w:val="14"/>
              </w:rPr>
              <w:br/>
              <w:t>Fonte de alimentação - Alimentação da placa de vídeo  PCIE: 8 (6+2) pinos (um conector PCIE, no mínimo).</w:t>
            </w:r>
            <w:r w:rsidRPr="005B62C0">
              <w:rPr>
                <w:rFonts w:ascii="Gadugi" w:eastAsia="Times New Roman" w:hAnsi="Gadugi" w:cs="Calibri"/>
                <w:color w:val="000000"/>
                <w:sz w:val="14"/>
                <w:szCs w:val="14"/>
              </w:rPr>
              <w:br/>
              <w:t>Fonte de alimentação - Alimentação para dispositivos SATA: 3 conectores (no mínimo).</w:t>
            </w:r>
            <w:r w:rsidRPr="005B62C0">
              <w:rPr>
                <w:rFonts w:ascii="Gadugi" w:eastAsia="Times New Roman" w:hAnsi="Gadugi" w:cs="Calibri"/>
                <w:color w:val="000000"/>
                <w:sz w:val="14"/>
                <w:szCs w:val="14"/>
              </w:rPr>
              <w:br/>
              <w:t>Fonte de alimentação - Resfriamento: Ativo, por ar (cooler).</w:t>
            </w:r>
            <w:r w:rsidRPr="005B62C0">
              <w:rPr>
                <w:rFonts w:ascii="Gadugi" w:eastAsia="Times New Roman" w:hAnsi="Gadugi" w:cs="Calibri"/>
                <w:color w:val="000000"/>
                <w:sz w:val="14"/>
                <w:szCs w:val="14"/>
              </w:rPr>
              <w:br/>
              <w:t>Fonte de alimentação - Potência de saída: 400 Watts (ou superior).</w:t>
            </w:r>
            <w:r w:rsidRPr="005B62C0">
              <w:rPr>
                <w:rFonts w:ascii="Gadugi" w:eastAsia="Times New Roman" w:hAnsi="Gadugi" w:cs="Calibri"/>
                <w:color w:val="000000"/>
                <w:sz w:val="14"/>
                <w:szCs w:val="14"/>
              </w:rPr>
              <w:br/>
              <w:t>Fonte de alimentação - Tipo: Compatível com computadores de mesa (desktop).</w:t>
            </w:r>
            <w:r w:rsidRPr="005B62C0">
              <w:rPr>
                <w:rFonts w:ascii="Gadugi" w:eastAsia="Times New Roman" w:hAnsi="Gadugi" w:cs="Calibri"/>
                <w:color w:val="000000"/>
                <w:sz w:val="14"/>
                <w:szCs w:val="14"/>
              </w:rPr>
              <w:br/>
              <w:t>Fonte de alimentação - Tensão de entrada: Bivolt.</w:t>
            </w:r>
            <w:r w:rsidRPr="005B62C0">
              <w:rPr>
                <w:rFonts w:ascii="Gadugi" w:eastAsia="Times New Roman" w:hAnsi="Gadugi" w:cs="Calibri"/>
                <w:color w:val="000000"/>
                <w:sz w:val="14"/>
                <w:szCs w:val="14"/>
              </w:rPr>
              <w:br/>
              <w:t>Fonte de alimentação - Cabo de força: Plugue padrão ABNT NBR 14136.</w:t>
            </w:r>
            <w:r w:rsidRPr="005B62C0">
              <w:rPr>
                <w:rFonts w:ascii="Gadugi" w:eastAsia="Times New Roman" w:hAnsi="Gadugi" w:cs="Calibri"/>
                <w:color w:val="000000"/>
                <w:sz w:val="14"/>
                <w:szCs w:val="14"/>
              </w:rPr>
              <w:br/>
              <w:t>Gabinete para computador - Espaço interno: Suporte para fixação de placas-mãe padrão ATX e padrão Micro ATX (mATX).</w:t>
            </w:r>
            <w:r w:rsidRPr="005B62C0">
              <w:rPr>
                <w:rFonts w:ascii="Gadugi" w:eastAsia="Times New Roman" w:hAnsi="Gadugi" w:cs="Calibri"/>
                <w:color w:val="000000"/>
                <w:sz w:val="14"/>
                <w:szCs w:val="14"/>
              </w:rPr>
              <w:br/>
              <w:t>Gabinete para computador - Espaço interno: Suporte para fixação de (no mínimo) 1 dispositivo de armazenamento padrão (form factory) 3,5 polegadas.</w:t>
            </w:r>
            <w:r w:rsidRPr="005B62C0">
              <w:rPr>
                <w:rFonts w:ascii="Gadugi" w:eastAsia="Times New Roman" w:hAnsi="Gadugi" w:cs="Calibri"/>
                <w:color w:val="000000"/>
                <w:sz w:val="14"/>
                <w:szCs w:val="14"/>
              </w:rPr>
              <w:br/>
              <w:t>Gabinete para computador - Espaço interno: Suporte para fixação de (no mínimo) 1 dispositivo de armazenamento padrão (form factory) 2,5 polegadas.</w:t>
            </w:r>
            <w:r w:rsidRPr="005B62C0">
              <w:rPr>
                <w:rFonts w:ascii="Gadugi" w:eastAsia="Times New Roman" w:hAnsi="Gadugi" w:cs="Calibri"/>
                <w:color w:val="000000"/>
                <w:sz w:val="14"/>
                <w:szCs w:val="14"/>
              </w:rPr>
              <w:br/>
              <w:t>Gabinete para computador - Espaço interno: Suporte para fixação de (no mínimo) 1 leitor/gravador de discos ópticos (com acesso  baia frontal).</w:t>
            </w:r>
            <w:r w:rsidRPr="005B62C0">
              <w:rPr>
                <w:rFonts w:ascii="Gadugi" w:eastAsia="Times New Roman" w:hAnsi="Gadugi" w:cs="Calibri"/>
                <w:color w:val="000000"/>
                <w:sz w:val="14"/>
                <w:szCs w:val="14"/>
              </w:rPr>
              <w:br/>
              <w:t>Gabinete para computador - Área traseira: Suporte para encaixe de (no mínimo) 2 dispositivos PCI ou PCI Express.</w:t>
            </w:r>
            <w:r w:rsidRPr="005B62C0">
              <w:rPr>
                <w:rFonts w:ascii="Gadugi" w:eastAsia="Times New Roman" w:hAnsi="Gadugi" w:cs="Calibri"/>
                <w:color w:val="000000"/>
                <w:sz w:val="14"/>
                <w:szCs w:val="14"/>
              </w:rPr>
              <w:br/>
              <w:t>Gabinete para computador - Área traseira: Suporte para encaixe de fonte de alimentação padrão ATX.</w:t>
            </w:r>
            <w:r w:rsidRPr="005B62C0">
              <w:rPr>
                <w:rFonts w:ascii="Gadugi" w:eastAsia="Times New Roman" w:hAnsi="Gadugi" w:cs="Calibri"/>
                <w:color w:val="000000"/>
                <w:sz w:val="14"/>
                <w:szCs w:val="14"/>
              </w:rPr>
              <w:br/>
              <w:t>Gabinete para computador - Área frontal: Botão liga/desliga, com fiação para conectar  placa-mãe (Power SW).</w:t>
            </w:r>
            <w:r w:rsidRPr="005B62C0">
              <w:rPr>
                <w:rFonts w:ascii="Gadugi" w:eastAsia="Times New Roman" w:hAnsi="Gadugi" w:cs="Calibri"/>
                <w:color w:val="000000"/>
                <w:sz w:val="14"/>
                <w:szCs w:val="14"/>
              </w:rPr>
              <w:br/>
              <w:t>Gabinete para computador - Área frontal: Botão reset, com fiação para conectar  placa-mãe (Reset SW).</w:t>
            </w:r>
            <w:r w:rsidRPr="005B62C0">
              <w:rPr>
                <w:rFonts w:ascii="Gadugi" w:eastAsia="Times New Roman" w:hAnsi="Gadugi" w:cs="Calibri"/>
                <w:color w:val="000000"/>
                <w:sz w:val="14"/>
                <w:szCs w:val="14"/>
              </w:rPr>
              <w:br/>
              <w:t>Gabinete para computador - Área frontal: Conector para microfone, conector para fone de ouvido e (no mínimo) 2 conectores USB, com fiação para conectarem-se  placa-mãe.</w:t>
            </w:r>
            <w:r w:rsidRPr="005B62C0">
              <w:rPr>
                <w:rFonts w:ascii="Gadugi" w:eastAsia="Times New Roman" w:hAnsi="Gadugi" w:cs="Calibri"/>
                <w:color w:val="000000"/>
                <w:sz w:val="14"/>
                <w:szCs w:val="14"/>
              </w:rPr>
              <w:br/>
              <w:t>Gabinete para computador - Área frontal: LED para indicar placa-mãe ligada (Power LED) e LED para indicar acesso aos dispositivos de armazenamento (HDD LED).</w:t>
            </w:r>
            <w:r w:rsidRPr="005B62C0">
              <w:rPr>
                <w:rFonts w:ascii="Gadugi" w:eastAsia="Times New Roman" w:hAnsi="Gadugi" w:cs="Calibri"/>
                <w:color w:val="000000"/>
                <w:sz w:val="14"/>
                <w:szCs w:val="14"/>
              </w:rPr>
              <w:br/>
              <w:t>Demais itens inclusos: Espelho traseiro (do respectivo modelo da placa-mãe, para fixação no gabinete). Bateria CR2032. Cooler e dissipador térmico totalmente compatíveis com o processador e a placa-mãe deste kit. Drivers da placa-mãe, compatíveis com os sistemas operacionais Windows 10 (64 bits) e Windows 11 (64 bits). Cabo de força (plugue padrão ABNT NBR 14136).</w:t>
            </w:r>
            <w:r w:rsidRPr="005B62C0">
              <w:rPr>
                <w:rFonts w:ascii="Gadugi" w:eastAsia="Times New Roman" w:hAnsi="Gadugi" w:cs="Calibri"/>
                <w:color w:val="000000"/>
                <w:sz w:val="14"/>
                <w:szCs w:val="14"/>
              </w:rPr>
              <w:br/>
              <w:t>Observações: Itens novos, perfeitamente funcionais, com seus manuais de uso e suas respectivas caixas.</w:t>
            </w:r>
            <w:r w:rsidRPr="005B62C0">
              <w:rPr>
                <w:rFonts w:ascii="Gadugi" w:eastAsia="Times New Roman" w:hAnsi="Gadugi" w:cs="Calibri"/>
                <w:color w:val="000000"/>
                <w:sz w:val="14"/>
                <w:szCs w:val="14"/>
              </w:rPr>
              <w:br/>
              <w:t>Algumas opções:</w:t>
            </w:r>
            <w:r w:rsidRPr="005B62C0">
              <w:rPr>
                <w:rFonts w:ascii="Gadugi" w:eastAsia="Times New Roman" w:hAnsi="Gadugi" w:cs="Calibri"/>
                <w:color w:val="000000"/>
                <w:sz w:val="14"/>
                <w:szCs w:val="14"/>
              </w:rPr>
              <w:br/>
              <w:t>Processador: Intel i3-12100</w:t>
            </w:r>
            <w:r w:rsidRPr="005B62C0">
              <w:rPr>
                <w:rFonts w:ascii="Gadugi" w:eastAsia="Times New Roman" w:hAnsi="Gadugi" w:cs="Calibri"/>
                <w:color w:val="000000"/>
                <w:sz w:val="14"/>
                <w:szCs w:val="14"/>
              </w:rPr>
              <w:br/>
              <w:t>Placa-mãe: Gigabyte B760M D2H</w:t>
            </w:r>
            <w:r w:rsidRPr="005B62C0">
              <w:rPr>
                <w:rFonts w:ascii="Gadugi" w:eastAsia="Times New Roman" w:hAnsi="Gadugi" w:cs="Calibri"/>
                <w:color w:val="000000"/>
                <w:sz w:val="14"/>
                <w:szCs w:val="14"/>
              </w:rPr>
              <w:br/>
              <w:t>Memória RAM: Kingston 4GB (2X)</w:t>
            </w:r>
            <w:r w:rsidRPr="005B62C0">
              <w:rPr>
                <w:rFonts w:ascii="Gadugi" w:eastAsia="Times New Roman" w:hAnsi="Gadugi" w:cs="Calibri"/>
                <w:color w:val="000000"/>
                <w:sz w:val="14"/>
                <w:szCs w:val="14"/>
              </w:rPr>
              <w:br/>
              <w:t>Fonte de alimentação: Mancer Thunder</w:t>
            </w:r>
            <w:r w:rsidRPr="005B62C0">
              <w:rPr>
                <w:rFonts w:ascii="Gadugi" w:eastAsia="Times New Roman" w:hAnsi="Gadugi" w:cs="Calibri"/>
                <w:color w:val="000000"/>
                <w:sz w:val="14"/>
                <w:szCs w:val="14"/>
              </w:rPr>
              <w:br/>
              <w:t>Armazenamento: SSD WD Green 480GB</w:t>
            </w:r>
          </w:p>
        </w:tc>
        <w:tc>
          <w:tcPr>
            <w:tcW w:w="729" w:type="dxa"/>
            <w:tcBorders>
              <w:top w:val="nil"/>
              <w:left w:val="nil"/>
              <w:bottom w:val="single" w:sz="4" w:space="0" w:color="auto"/>
              <w:right w:val="single" w:sz="4" w:space="0" w:color="auto"/>
            </w:tcBorders>
            <w:shd w:val="clear" w:color="auto" w:fill="auto"/>
            <w:noWrap/>
            <w:vAlign w:val="center"/>
            <w:hideMark/>
          </w:tcPr>
          <w:p w14:paraId="2245AB8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65D1C36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15</w:t>
            </w:r>
          </w:p>
        </w:tc>
        <w:tc>
          <w:tcPr>
            <w:tcW w:w="918" w:type="dxa"/>
            <w:tcBorders>
              <w:top w:val="nil"/>
              <w:left w:val="nil"/>
              <w:bottom w:val="single" w:sz="4" w:space="0" w:color="auto"/>
              <w:right w:val="single" w:sz="4" w:space="0" w:color="auto"/>
            </w:tcBorders>
            <w:shd w:val="clear" w:color="auto" w:fill="auto"/>
            <w:noWrap/>
            <w:vAlign w:val="center"/>
            <w:hideMark/>
          </w:tcPr>
          <w:p w14:paraId="3B4298E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R$ 5.886,21</w:t>
            </w:r>
          </w:p>
        </w:tc>
      </w:tr>
      <w:tr w:rsidR="005B62C0" w:rsidRPr="00CB6588" w14:paraId="61E6B704"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0A48EA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8</w:t>
            </w:r>
          </w:p>
        </w:tc>
        <w:tc>
          <w:tcPr>
            <w:tcW w:w="6646" w:type="dxa"/>
            <w:tcBorders>
              <w:top w:val="nil"/>
              <w:left w:val="nil"/>
              <w:bottom w:val="single" w:sz="4" w:space="0" w:color="auto"/>
              <w:right w:val="single" w:sz="4" w:space="0" w:color="auto"/>
            </w:tcBorders>
            <w:shd w:val="clear" w:color="auto" w:fill="auto"/>
            <w:noWrap/>
            <w:vAlign w:val="center"/>
            <w:hideMark/>
          </w:tcPr>
          <w:p w14:paraId="1401D359"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COMPUTADOR COMPLETO INTERMEDIARIO Processador - Plataforma/Segmento: Desktop.</w:t>
            </w:r>
            <w:r w:rsidRPr="005B62C0">
              <w:rPr>
                <w:rFonts w:ascii="Gadugi" w:eastAsia="Times New Roman" w:hAnsi="Gadugi" w:cs="Calibri"/>
                <w:color w:val="000000"/>
                <w:sz w:val="14"/>
                <w:szCs w:val="14"/>
              </w:rPr>
              <w:br/>
              <w:t>Processador - Arquitetura: X86-64.</w:t>
            </w:r>
            <w:r w:rsidRPr="005B62C0">
              <w:rPr>
                <w:rFonts w:ascii="Gadugi" w:eastAsia="Times New Roman" w:hAnsi="Gadugi" w:cs="Calibri"/>
                <w:color w:val="000000"/>
                <w:sz w:val="14"/>
                <w:szCs w:val="14"/>
              </w:rPr>
              <w:br/>
              <w:t>Processador - Frequência base: 2,5 GHz (no mínimo, sem necessidade de overclock via software, overclock via hardware, Thermal Velocity Boost, Turbo Max Core Speed, Max Turbo, Turbo Boost, Precision Boost para alcançar tal frequência).</w:t>
            </w:r>
            <w:r w:rsidRPr="005B62C0">
              <w:rPr>
                <w:rFonts w:ascii="Gadugi" w:eastAsia="Times New Roman" w:hAnsi="Gadugi" w:cs="Calibri"/>
                <w:color w:val="000000"/>
                <w:sz w:val="14"/>
                <w:szCs w:val="14"/>
              </w:rPr>
              <w:br/>
              <w:t>Processador - Frequência turbo: 5 GHz (ou superior).</w:t>
            </w:r>
            <w:r w:rsidRPr="005B62C0">
              <w:rPr>
                <w:rFonts w:ascii="Gadugi" w:eastAsia="Times New Roman" w:hAnsi="Gadugi" w:cs="Calibri"/>
                <w:color w:val="000000"/>
                <w:sz w:val="14"/>
                <w:szCs w:val="14"/>
              </w:rPr>
              <w:br/>
              <w:t>Processador - Núcleos físicos: 8 cores (no mínimo).</w:t>
            </w:r>
            <w:r w:rsidRPr="005B62C0">
              <w:rPr>
                <w:rFonts w:ascii="Gadugi" w:eastAsia="Times New Roman" w:hAnsi="Gadugi" w:cs="Calibri"/>
                <w:color w:val="000000"/>
                <w:sz w:val="14"/>
                <w:szCs w:val="14"/>
              </w:rPr>
              <w:br/>
              <w:t>Processador - Núcleos lógicos: 16 threads (no mínimo).</w:t>
            </w:r>
            <w:r w:rsidRPr="005B62C0">
              <w:rPr>
                <w:rFonts w:ascii="Gadugi" w:eastAsia="Times New Roman" w:hAnsi="Gadugi" w:cs="Calibri"/>
                <w:color w:val="000000"/>
                <w:sz w:val="14"/>
                <w:szCs w:val="14"/>
              </w:rPr>
              <w:br/>
              <w:t>Processador - Memória cache: 16 MB (no mínimo).</w:t>
            </w:r>
            <w:r w:rsidRPr="005B62C0">
              <w:rPr>
                <w:rFonts w:ascii="Gadugi" w:eastAsia="Times New Roman" w:hAnsi="Gadugi" w:cs="Calibri"/>
                <w:color w:val="000000"/>
                <w:sz w:val="14"/>
                <w:szCs w:val="14"/>
              </w:rPr>
              <w:br/>
              <w:t>Processador - Litografia: 14 nanômetros (ou inferior).</w:t>
            </w:r>
            <w:r w:rsidRPr="005B62C0">
              <w:rPr>
                <w:rFonts w:ascii="Gadugi" w:eastAsia="Times New Roman" w:hAnsi="Gadugi" w:cs="Calibri"/>
                <w:color w:val="000000"/>
                <w:sz w:val="14"/>
                <w:szCs w:val="14"/>
              </w:rPr>
              <w:br/>
              <w:t>Processador - Vídeo: Processamento gráfico integrado (evitando a necessidade de placas de vídeo offboard para exibição de imagens).</w:t>
            </w:r>
            <w:r w:rsidRPr="005B62C0">
              <w:rPr>
                <w:rFonts w:ascii="Gadugi" w:eastAsia="Times New Roman" w:hAnsi="Gadugi" w:cs="Calibri"/>
                <w:color w:val="000000"/>
                <w:sz w:val="14"/>
                <w:szCs w:val="14"/>
              </w:rPr>
              <w:br/>
              <w:t>Placa-mãe - Compatibilidade: Totalmente compatível com o processador deste kit (comprovado através de lista de processadores suportados no site oficial da marca e modelo da placa-mãe).</w:t>
            </w:r>
            <w:r w:rsidRPr="005B62C0">
              <w:rPr>
                <w:rFonts w:ascii="Gadugi" w:eastAsia="Times New Roman" w:hAnsi="Gadugi" w:cs="Calibri"/>
                <w:color w:val="000000"/>
                <w:sz w:val="14"/>
                <w:szCs w:val="14"/>
              </w:rPr>
              <w:br/>
              <w:t>Placa-mãe - Tamanho: Padrão Micro ATX (mATX).</w:t>
            </w:r>
            <w:r w:rsidRPr="005B62C0">
              <w:rPr>
                <w:rFonts w:ascii="Gadugi" w:eastAsia="Times New Roman" w:hAnsi="Gadugi" w:cs="Calibri"/>
                <w:color w:val="000000"/>
                <w:sz w:val="14"/>
                <w:szCs w:val="14"/>
              </w:rPr>
              <w:br/>
              <w:t>Placa-mãe - LAN: Integrada.</w:t>
            </w:r>
            <w:r w:rsidRPr="005B62C0">
              <w:rPr>
                <w:rFonts w:ascii="Gadugi" w:eastAsia="Times New Roman" w:hAnsi="Gadugi" w:cs="Calibri"/>
                <w:color w:val="000000"/>
                <w:sz w:val="14"/>
                <w:szCs w:val="14"/>
              </w:rPr>
              <w:br/>
              <w:t>Placa-mãe - Gráficos: Saída de vídeo onboard integrada (evitando a necessidade de placas de vídeo offboard para exibição de imagens).</w:t>
            </w:r>
            <w:r w:rsidRPr="005B62C0">
              <w:rPr>
                <w:rFonts w:ascii="Gadugi" w:eastAsia="Times New Roman" w:hAnsi="Gadugi" w:cs="Calibri"/>
                <w:color w:val="000000"/>
                <w:sz w:val="14"/>
                <w:szCs w:val="14"/>
              </w:rPr>
              <w:br/>
              <w:t>Placa-mãe - Som: Placa de som onboard integrada  placa-mãe.</w:t>
            </w:r>
            <w:r w:rsidRPr="005B62C0">
              <w:rPr>
                <w:rFonts w:ascii="Gadugi" w:eastAsia="Times New Roman" w:hAnsi="Gadugi" w:cs="Calibri"/>
                <w:color w:val="000000"/>
                <w:sz w:val="14"/>
                <w:szCs w:val="14"/>
              </w:rPr>
              <w:br/>
              <w:t>Placa-mãe - Memória RAM suportada: Padrão DDR5.</w:t>
            </w:r>
            <w:r w:rsidRPr="005B62C0">
              <w:rPr>
                <w:rFonts w:ascii="Gadugi" w:eastAsia="Times New Roman" w:hAnsi="Gadugi" w:cs="Calibri"/>
                <w:color w:val="000000"/>
                <w:sz w:val="14"/>
                <w:szCs w:val="14"/>
              </w:rPr>
              <w:br/>
              <w:t>Placa-mãe - Memória RAM capacidade total: 64 GB (ou superior).</w:t>
            </w:r>
            <w:r w:rsidRPr="005B62C0">
              <w:rPr>
                <w:rFonts w:ascii="Gadugi" w:eastAsia="Times New Roman" w:hAnsi="Gadugi" w:cs="Calibri"/>
                <w:color w:val="000000"/>
                <w:sz w:val="14"/>
                <w:szCs w:val="14"/>
              </w:rPr>
              <w:br/>
              <w:t>Placa-mãe - Memória RAM frequência suportada: 4800 MHz (ou superior).</w:t>
            </w:r>
            <w:r w:rsidRPr="005B62C0">
              <w:rPr>
                <w:rFonts w:ascii="Gadugi" w:eastAsia="Times New Roman" w:hAnsi="Gadugi" w:cs="Calibri"/>
                <w:color w:val="000000"/>
                <w:sz w:val="14"/>
                <w:szCs w:val="14"/>
              </w:rPr>
              <w:br/>
              <w:t>Placa-mãe - Memória RAM canais: Suporte para ligação de 2 (no mínimo) memórias RAM.</w:t>
            </w:r>
            <w:r w:rsidRPr="005B62C0">
              <w:rPr>
                <w:rFonts w:ascii="Gadugi" w:eastAsia="Times New Roman" w:hAnsi="Gadugi" w:cs="Calibri"/>
                <w:color w:val="000000"/>
                <w:sz w:val="14"/>
                <w:szCs w:val="14"/>
              </w:rPr>
              <w:br/>
              <w:t>Placa-mãe - Armazenamento: 2 conectores (no mínimo) interface SATA 3.</w:t>
            </w:r>
            <w:r w:rsidRPr="005B62C0">
              <w:rPr>
                <w:rFonts w:ascii="Gadugi" w:eastAsia="Times New Roman" w:hAnsi="Gadugi" w:cs="Calibri"/>
                <w:color w:val="000000"/>
                <w:sz w:val="14"/>
                <w:szCs w:val="14"/>
              </w:rPr>
              <w:br/>
              <w:t>Placa-mãe  Armazenamento: 1 conector (no mínimo) interface SSD M.2 (PCIe 4.0 NVMe).</w:t>
            </w:r>
            <w:r w:rsidRPr="005B62C0">
              <w:rPr>
                <w:rFonts w:ascii="Gadugi" w:eastAsia="Times New Roman" w:hAnsi="Gadugi" w:cs="Calibri"/>
                <w:color w:val="000000"/>
                <w:sz w:val="14"/>
                <w:szCs w:val="14"/>
              </w:rPr>
              <w:br/>
              <w:t>Placa-mãe - Expansão PCI-Express: Um slot (no mínimo) PCI-E x1. Um slot (no mínimo) PCI-E x16.</w:t>
            </w:r>
            <w:r w:rsidRPr="005B62C0">
              <w:rPr>
                <w:rFonts w:ascii="Gadugi" w:eastAsia="Times New Roman" w:hAnsi="Gadugi" w:cs="Calibri"/>
                <w:color w:val="000000"/>
                <w:sz w:val="14"/>
                <w:szCs w:val="14"/>
              </w:rPr>
              <w:br/>
              <w:t>Placa-mãe - Conexões externas presentes na placa-mãe: Uma porta (no mínimo) RJ45 Gigabit. Quatro portas (no mínimo) USB (sendo, no mínimo, duas destas no padrão USB 3). Uma porta VGA. Uma porta HDMI. Uma saída de áudio (no mínimo)  3,5 mm. Uma entrada (no mínimo) para microfone  3,5 mm.</w:t>
            </w:r>
            <w:r w:rsidRPr="005B62C0">
              <w:rPr>
                <w:rFonts w:ascii="Gadugi" w:eastAsia="Times New Roman" w:hAnsi="Gadugi" w:cs="Calibri"/>
                <w:color w:val="000000"/>
                <w:sz w:val="14"/>
                <w:szCs w:val="14"/>
              </w:rPr>
              <w:br/>
              <w:t>Memória RAM - Instalada: 8 GB (no mínimo).</w:t>
            </w:r>
            <w:r w:rsidRPr="005B62C0">
              <w:rPr>
                <w:rFonts w:ascii="Gadugi" w:eastAsia="Times New Roman" w:hAnsi="Gadugi" w:cs="Calibri"/>
                <w:color w:val="000000"/>
                <w:sz w:val="14"/>
                <w:szCs w:val="14"/>
              </w:rPr>
              <w:br/>
              <w:t>Memória RAM - Padrão: DDR5.</w:t>
            </w:r>
            <w:r w:rsidRPr="005B62C0">
              <w:rPr>
                <w:rFonts w:ascii="Gadugi" w:eastAsia="Times New Roman" w:hAnsi="Gadugi" w:cs="Calibri"/>
                <w:color w:val="000000"/>
                <w:sz w:val="14"/>
                <w:szCs w:val="14"/>
              </w:rPr>
              <w:br/>
              <w:t>Memória RAM - Frequência: 4800 MHz (ou superior).</w:t>
            </w:r>
            <w:r w:rsidRPr="005B62C0">
              <w:rPr>
                <w:rFonts w:ascii="Gadugi" w:eastAsia="Times New Roman" w:hAnsi="Gadugi" w:cs="Calibri"/>
                <w:color w:val="000000"/>
                <w:sz w:val="14"/>
                <w:szCs w:val="14"/>
              </w:rPr>
              <w:br/>
              <w:t>Memória RAM - Compatibilidade: Memória RAM totalmente compatível com o processador e placa-mãe deste kit.</w:t>
            </w:r>
            <w:r w:rsidRPr="005B62C0">
              <w:rPr>
                <w:rFonts w:ascii="Gadugi" w:eastAsia="Times New Roman" w:hAnsi="Gadugi" w:cs="Calibri"/>
                <w:color w:val="000000"/>
                <w:sz w:val="14"/>
                <w:szCs w:val="14"/>
              </w:rPr>
              <w:br/>
              <w:t>Armazenamento  Capacidade de armazenamento: 1 TB (ou superior).</w:t>
            </w:r>
            <w:r w:rsidRPr="005B62C0">
              <w:rPr>
                <w:rFonts w:ascii="Gadugi" w:eastAsia="Times New Roman" w:hAnsi="Gadugi" w:cs="Calibri"/>
                <w:color w:val="000000"/>
                <w:sz w:val="14"/>
                <w:szCs w:val="14"/>
              </w:rPr>
              <w:br/>
              <w:t>Armazenamento - Especificação: Unidade de estado sólido (SSD) M.2 NVMe.</w:t>
            </w:r>
            <w:r w:rsidRPr="005B62C0">
              <w:rPr>
                <w:rFonts w:ascii="Gadugi" w:eastAsia="Times New Roman" w:hAnsi="Gadugi" w:cs="Calibri"/>
                <w:color w:val="000000"/>
                <w:sz w:val="14"/>
                <w:szCs w:val="14"/>
              </w:rPr>
              <w:br/>
              <w:t>Armazenamento  Interface: PCIe Gen 3 (ou superior).</w:t>
            </w:r>
            <w:r w:rsidRPr="005B62C0">
              <w:rPr>
                <w:rFonts w:ascii="Gadugi" w:eastAsia="Times New Roman" w:hAnsi="Gadugi" w:cs="Calibri"/>
                <w:color w:val="000000"/>
                <w:sz w:val="14"/>
                <w:szCs w:val="14"/>
              </w:rPr>
              <w:br/>
              <w:t>Armazenamento - Velocidade de leitura de dados: 5000 MB/s (ou superior).</w:t>
            </w:r>
            <w:r w:rsidRPr="005B62C0">
              <w:rPr>
                <w:rFonts w:ascii="Gadugi" w:eastAsia="Times New Roman" w:hAnsi="Gadugi" w:cs="Calibri"/>
                <w:color w:val="000000"/>
                <w:sz w:val="14"/>
                <w:szCs w:val="14"/>
              </w:rPr>
              <w:br/>
              <w:t>Armazenamento - Velocidade de gravação de dados: 4500 MB/s (ou superior).</w:t>
            </w:r>
            <w:r w:rsidRPr="005B62C0">
              <w:rPr>
                <w:rFonts w:ascii="Gadugi" w:eastAsia="Times New Roman" w:hAnsi="Gadugi" w:cs="Calibri"/>
                <w:color w:val="000000"/>
                <w:sz w:val="14"/>
                <w:szCs w:val="14"/>
              </w:rPr>
              <w:br/>
              <w:t>Armazenamento - Compatibilidade: SSD M.2 NVMe totalmente compatível com a placa-mãe deste kit.</w:t>
            </w:r>
            <w:r w:rsidRPr="005B62C0">
              <w:rPr>
                <w:rFonts w:ascii="Gadugi" w:eastAsia="Times New Roman" w:hAnsi="Gadugi" w:cs="Calibri"/>
                <w:color w:val="000000"/>
                <w:sz w:val="14"/>
                <w:szCs w:val="14"/>
              </w:rPr>
              <w:br/>
              <w:t>Fonte de alimentação - Alimentação da placa-mãe - Principal: 24 (20+4) pinos.</w:t>
            </w:r>
            <w:r w:rsidRPr="005B62C0">
              <w:rPr>
                <w:rFonts w:ascii="Gadugi" w:eastAsia="Times New Roman" w:hAnsi="Gadugi" w:cs="Calibri"/>
                <w:color w:val="000000"/>
                <w:sz w:val="14"/>
                <w:szCs w:val="14"/>
              </w:rPr>
              <w:br/>
              <w:t>Fonte de alimentação - Alimentação da placa-mãe - ATX 12 V: 8 (4+4) pinos.</w:t>
            </w:r>
            <w:r w:rsidRPr="005B62C0">
              <w:rPr>
                <w:rFonts w:ascii="Gadugi" w:eastAsia="Times New Roman" w:hAnsi="Gadugi" w:cs="Calibri"/>
                <w:color w:val="000000"/>
                <w:sz w:val="14"/>
                <w:szCs w:val="14"/>
              </w:rPr>
              <w:br/>
              <w:t>Fonte de alimentação - Alimentação da placa de vídeo  PCIE: 8 (6+2) pinos (um conector PCIE, no mínimo).</w:t>
            </w:r>
            <w:r w:rsidRPr="005B62C0">
              <w:rPr>
                <w:rFonts w:ascii="Gadugi" w:eastAsia="Times New Roman" w:hAnsi="Gadugi" w:cs="Calibri"/>
                <w:color w:val="000000"/>
                <w:sz w:val="14"/>
                <w:szCs w:val="14"/>
              </w:rPr>
              <w:br/>
              <w:t>Fonte de alimentação - Alimentação para dispositivos SATA: 3 conectores (no mínimo).</w:t>
            </w:r>
            <w:r w:rsidRPr="005B62C0">
              <w:rPr>
                <w:rFonts w:ascii="Gadugi" w:eastAsia="Times New Roman" w:hAnsi="Gadugi" w:cs="Calibri"/>
                <w:color w:val="000000"/>
                <w:sz w:val="14"/>
                <w:szCs w:val="14"/>
              </w:rPr>
              <w:br/>
              <w:t>Fonte de alimentação - Resfriamento: Ativo, por ar (cooler).</w:t>
            </w:r>
            <w:r w:rsidRPr="005B62C0">
              <w:rPr>
                <w:rFonts w:ascii="Gadugi" w:eastAsia="Times New Roman" w:hAnsi="Gadugi" w:cs="Calibri"/>
                <w:color w:val="000000"/>
                <w:sz w:val="14"/>
                <w:szCs w:val="14"/>
              </w:rPr>
              <w:br/>
              <w:t>Fonte de alimentação - Potência de saída: 600 Watts (ou superior).</w:t>
            </w:r>
            <w:r w:rsidRPr="005B62C0">
              <w:rPr>
                <w:rFonts w:ascii="Gadugi" w:eastAsia="Times New Roman" w:hAnsi="Gadugi" w:cs="Calibri"/>
                <w:color w:val="000000"/>
                <w:sz w:val="14"/>
                <w:szCs w:val="14"/>
              </w:rPr>
              <w:br/>
              <w:t>Fonte de alimentação - Tipo: Compatível com computadores de mesa (desktop).</w:t>
            </w:r>
            <w:r w:rsidRPr="005B62C0">
              <w:rPr>
                <w:rFonts w:ascii="Gadugi" w:eastAsia="Times New Roman" w:hAnsi="Gadugi" w:cs="Calibri"/>
                <w:color w:val="000000"/>
                <w:sz w:val="14"/>
                <w:szCs w:val="14"/>
              </w:rPr>
              <w:br/>
              <w:t>Fonte de alimentação - Tensão de entrada: Bivolt.</w:t>
            </w:r>
            <w:r w:rsidRPr="005B62C0">
              <w:rPr>
                <w:rFonts w:ascii="Gadugi" w:eastAsia="Times New Roman" w:hAnsi="Gadugi" w:cs="Calibri"/>
                <w:color w:val="000000"/>
                <w:sz w:val="14"/>
                <w:szCs w:val="14"/>
              </w:rPr>
              <w:br/>
              <w:t>Fonte de alimentação - Certificação: 80 Plus (White, Bronze, Silver, Gold, Platinum ou Titanium).</w:t>
            </w:r>
            <w:r w:rsidRPr="005B62C0">
              <w:rPr>
                <w:rFonts w:ascii="Gadugi" w:eastAsia="Times New Roman" w:hAnsi="Gadugi" w:cs="Calibri"/>
                <w:color w:val="000000"/>
                <w:sz w:val="14"/>
                <w:szCs w:val="14"/>
              </w:rPr>
              <w:br/>
              <w:t>Fonte de alimentação - Cabo de força: Plugue padrão ABNT NBR 14136.</w:t>
            </w:r>
            <w:r w:rsidRPr="005B62C0">
              <w:rPr>
                <w:rFonts w:ascii="Gadugi" w:eastAsia="Times New Roman" w:hAnsi="Gadugi" w:cs="Calibri"/>
                <w:color w:val="000000"/>
                <w:sz w:val="14"/>
                <w:szCs w:val="14"/>
              </w:rPr>
              <w:br/>
              <w:t>Gabinete para computador - Espaço interno: Suporte para fixação de placas-mãe padrão ATX e padrão Micro ATX (mATX).</w:t>
            </w:r>
            <w:r w:rsidRPr="005B62C0">
              <w:rPr>
                <w:rFonts w:ascii="Gadugi" w:eastAsia="Times New Roman" w:hAnsi="Gadugi" w:cs="Calibri"/>
                <w:color w:val="000000"/>
                <w:sz w:val="14"/>
                <w:szCs w:val="14"/>
              </w:rPr>
              <w:br/>
              <w:t>Gabinete para computador - Espaço interno: Suporte para fixação de (no mínimo) 2 dispositivos de armazenamento padrão (form factory) 3,5 polegadas.</w:t>
            </w:r>
            <w:r w:rsidRPr="005B62C0">
              <w:rPr>
                <w:rFonts w:ascii="Gadugi" w:eastAsia="Times New Roman" w:hAnsi="Gadugi" w:cs="Calibri"/>
                <w:color w:val="000000"/>
                <w:sz w:val="14"/>
                <w:szCs w:val="14"/>
              </w:rPr>
              <w:br/>
              <w:t>Gabinete para computador - Espaço interno: Suporte para fixação de (no mínimo) 1 dispositivo de armazenamento padrão (form factory) 2,5 polegadas.</w:t>
            </w:r>
            <w:r w:rsidRPr="005B62C0">
              <w:rPr>
                <w:rFonts w:ascii="Gadugi" w:eastAsia="Times New Roman" w:hAnsi="Gadugi" w:cs="Calibri"/>
                <w:color w:val="000000"/>
                <w:sz w:val="14"/>
                <w:szCs w:val="14"/>
              </w:rPr>
              <w:br/>
              <w:t>Gabinete para computador - Espaço interno: Suporte para fixação de (no mínimo) 1 leitor/gravador de discos ópticos (com acesso  baia frontal).</w:t>
            </w:r>
            <w:r w:rsidRPr="005B62C0">
              <w:rPr>
                <w:rFonts w:ascii="Gadugi" w:eastAsia="Times New Roman" w:hAnsi="Gadugi" w:cs="Calibri"/>
                <w:color w:val="000000"/>
                <w:sz w:val="14"/>
                <w:szCs w:val="14"/>
              </w:rPr>
              <w:br/>
              <w:t>Gabinete para computador - Área traseira: Suporte para encaixe de (no mínimo) 3 dispositivos PCI ou PCI Express.</w:t>
            </w:r>
            <w:r w:rsidRPr="005B62C0">
              <w:rPr>
                <w:rFonts w:ascii="Gadugi" w:eastAsia="Times New Roman" w:hAnsi="Gadugi" w:cs="Calibri"/>
                <w:color w:val="000000"/>
                <w:sz w:val="14"/>
                <w:szCs w:val="14"/>
              </w:rPr>
              <w:br/>
              <w:t>Gabinete para computador - Área traseira: Suporte para encaixe de fonte de alimentação padrão ATX.</w:t>
            </w:r>
            <w:r w:rsidRPr="005B62C0">
              <w:rPr>
                <w:rFonts w:ascii="Gadugi" w:eastAsia="Times New Roman" w:hAnsi="Gadugi" w:cs="Calibri"/>
                <w:color w:val="000000"/>
                <w:sz w:val="14"/>
                <w:szCs w:val="14"/>
              </w:rPr>
              <w:br/>
              <w:t>Gabinete para computador - Área frontal: Botão liga/desliga, com fiação para conectar  placa-mãe (Power SW).</w:t>
            </w:r>
            <w:r w:rsidRPr="005B62C0">
              <w:rPr>
                <w:rFonts w:ascii="Gadugi" w:eastAsia="Times New Roman" w:hAnsi="Gadugi" w:cs="Calibri"/>
                <w:color w:val="000000"/>
                <w:sz w:val="14"/>
                <w:szCs w:val="14"/>
              </w:rPr>
              <w:br/>
              <w:t>Gabinete para computador - Área frontal: Botão reset, com fiação para conectar  placa-mãe (Reset SW).</w:t>
            </w:r>
            <w:r w:rsidRPr="005B62C0">
              <w:rPr>
                <w:rFonts w:ascii="Gadugi" w:eastAsia="Times New Roman" w:hAnsi="Gadugi" w:cs="Calibri"/>
                <w:color w:val="000000"/>
                <w:sz w:val="14"/>
                <w:szCs w:val="14"/>
              </w:rPr>
              <w:br/>
              <w:t>Gabinete para computador - Área frontal: Conector para microfone, conector para fone de ouvido e (no mínimo) 2 conectores USB, com fiação para conectarem-se  placa-mãe.</w:t>
            </w:r>
            <w:r w:rsidRPr="005B62C0">
              <w:rPr>
                <w:rFonts w:ascii="Gadugi" w:eastAsia="Times New Roman" w:hAnsi="Gadugi" w:cs="Calibri"/>
                <w:color w:val="000000"/>
                <w:sz w:val="14"/>
                <w:szCs w:val="14"/>
              </w:rPr>
              <w:br/>
              <w:t>Gabinete para computador - Área frontal: LED para indicar placa-mãe ligada (Power LED) e LED para indicar acesso aos dispositivos de armazenamento (HDD LED).</w:t>
            </w:r>
            <w:r w:rsidRPr="005B62C0">
              <w:rPr>
                <w:rFonts w:ascii="Gadugi" w:eastAsia="Times New Roman" w:hAnsi="Gadugi" w:cs="Calibri"/>
                <w:color w:val="000000"/>
                <w:sz w:val="14"/>
                <w:szCs w:val="14"/>
              </w:rPr>
              <w:br/>
              <w:t>Demais itens inclusos: Espelho traseiro (do respectivo modelo da placa-mãe, para fixação no gabinete). Bateria CR2032. Cooler e dissipador térmico totalmente compatíveis com o processador e a placa-mãe deste kit. Drivers da placa-mãe, compatíveis com os sistemas operacionais Windows 10 (64 bits) e Windows 11 (64 bits). Cabo de força (plugue padrão ABNT NBR 14136).</w:t>
            </w:r>
            <w:r w:rsidRPr="005B62C0">
              <w:rPr>
                <w:rFonts w:ascii="Gadugi" w:eastAsia="Times New Roman" w:hAnsi="Gadugi" w:cs="Calibri"/>
                <w:color w:val="000000"/>
                <w:sz w:val="14"/>
                <w:szCs w:val="14"/>
              </w:rPr>
              <w:br/>
              <w:t>Observações: Itens novos, perfeitamente funcionais, com seus manuais de uso e suas respectivas caixas.</w:t>
            </w:r>
          </w:p>
        </w:tc>
        <w:tc>
          <w:tcPr>
            <w:tcW w:w="729" w:type="dxa"/>
            <w:tcBorders>
              <w:top w:val="nil"/>
              <w:left w:val="nil"/>
              <w:bottom w:val="single" w:sz="4" w:space="0" w:color="auto"/>
              <w:right w:val="single" w:sz="4" w:space="0" w:color="auto"/>
            </w:tcBorders>
            <w:shd w:val="clear" w:color="auto" w:fill="auto"/>
            <w:noWrap/>
            <w:vAlign w:val="center"/>
            <w:hideMark/>
          </w:tcPr>
          <w:p w14:paraId="2515AAA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4B41117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22</w:t>
            </w:r>
          </w:p>
        </w:tc>
        <w:tc>
          <w:tcPr>
            <w:tcW w:w="918" w:type="dxa"/>
            <w:tcBorders>
              <w:top w:val="nil"/>
              <w:left w:val="nil"/>
              <w:bottom w:val="single" w:sz="4" w:space="0" w:color="auto"/>
              <w:right w:val="single" w:sz="4" w:space="0" w:color="auto"/>
            </w:tcBorders>
            <w:shd w:val="clear" w:color="auto" w:fill="auto"/>
            <w:noWrap/>
            <w:vAlign w:val="center"/>
            <w:hideMark/>
          </w:tcPr>
          <w:p w14:paraId="1A48475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R$ 6.756,51</w:t>
            </w:r>
          </w:p>
        </w:tc>
      </w:tr>
      <w:tr w:rsidR="005B62C0" w:rsidRPr="00CB6588" w14:paraId="796E12C3"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B07F46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9</w:t>
            </w:r>
          </w:p>
        </w:tc>
        <w:tc>
          <w:tcPr>
            <w:tcW w:w="6646" w:type="dxa"/>
            <w:tcBorders>
              <w:top w:val="nil"/>
              <w:left w:val="nil"/>
              <w:bottom w:val="single" w:sz="4" w:space="0" w:color="auto"/>
              <w:right w:val="single" w:sz="4" w:space="0" w:color="auto"/>
            </w:tcBorders>
            <w:shd w:val="clear" w:color="auto" w:fill="auto"/>
            <w:noWrap/>
            <w:vAlign w:val="center"/>
            <w:hideMark/>
          </w:tcPr>
          <w:p w14:paraId="2B393A51" w14:textId="06C87940" w:rsidR="005B62C0" w:rsidRPr="005B62C0" w:rsidRDefault="005B62C0" w:rsidP="0059583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DISCO RíGIDO EXTERNO  1 TB Capacidade de armazenamento: 1 TB (ou superior).</w:t>
            </w:r>
            <w:r w:rsidRPr="005B62C0">
              <w:rPr>
                <w:rFonts w:ascii="Gadugi" w:eastAsia="Times New Roman" w:hAnsi="Gadugi" w:cs="Calibri"/>
                <w:color w:val="000000"/>
                <w:sz w:val="14"/>
                <w:szCs w:val="14"/>
              </w:rPr>
              <w:br/>
              <w:t>Conexão: USB 3.0 (ou superior).</w:t>
            </w:r>
            <w:r w:rsidRPr="005B62C0">
              <w:rPr>
                <w:rFonts w:ascii="Gadugi" w:eastAsia="Times New Roman" w:hAnsi="Gadugi" w:cs="Calibri"/>
                <w:color w:val="000000"/>
                <w:sz w:val="14"/>
                <w:szCs w:val="14"/>
              </w:rPr>
              <w:br/>
              <w:t>Rotação de disco: 5400 RPM (ou superior).</w:t>
            </w:r>
            <w:r w:rsidRPr="005B62C0">
              <w:rPr>
                <w:rFonts w:ascii="Gadugi" w:eastAsia="Times New Roman" w:hAnsi="Gadugi" w:cs="Calibri"/>
                <w:color w:val="000000"/>
                <w:sz w:val="14"/>
                <w:szCs w:val="14"/>
              </w:rPr>
              <w:br/>
              <w:t>Tamanho: 2,5 polegadas.</w:t>
            </w:r>
            <w:r w:rsidRPr="005B62C0">
              <w:rPr>
                <w:rFonts w:ascii="Gadugi" w:eastAsia="Times New Roman" w:hAnsi="Gadugi" w:cs="Calibri"/>
                <w:color w:val="000000"/>
                <w:sz w:val="14"/>
                <w:szCs w:val="14"/>
              </w:rPr>
              <w:br/>
              <w:t>Demais itens incluídos: Cabo USB (para alimentação e transferência de dados) e manual.</w:t>
            </w:r>
          </w:p>
        </w:tc>
        <w:tc>
          <w:tcPr>
            <w:tcW w:w="729" w:type="dxa"/>
            <w:tcBorders>
              <w:top w:val="nil"/>
              <w:left w:val="nil"/>
              <w:bottom w:val="single" w:sz="4" w:space="0" w:color="auto"/>
              <w:right w:val="single" w:sz="4" w:space="0" w:color="auto"/>
            </w:tcBorders>
            <w:shd w:val="clear" w:color="auto" w:fill="auto"/>
            <w:noWrap/>
            <w:vAlign w:val="center"/>
            <w:hideMark/>
          </w:tcPr>
          <w:p w14:paraId="4D7EEFCB"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9C22BB2"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12</w:t>
            </w:r>
          </w:p>
        </w:tc>
        <w:tc>
          <w:tcPr>
            <w:tcW w:w="918" w:type="dxa"/>
            <w:tcBorders>
              <w:top w:val="nil"/>
              <w:left w:val="nil"/>
              <w:bottom w:val="single" w:sz="4" w:space="0" w:color="auto"/>
              <w:right w:val="single" w:sz="4" w:space="0" w:color="auto"/>
            </w:tcBorders>
            <w:shd w:val="clear" w:color="auto" w:fill="auto"/>
            <w:noWrap/>
            <w:vAlign w:val="center"/>
            <w:hideMark/>
          </w:tcPr>
          <w:p w14:paraId="4913033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R$ 431,18</w:t>
            </w:r>
          </w:p>
        </w:tc>
      </w:tr>
      <w:tr w:rsidR="005B62C0" w:rsidRPr="00CB6588" w14:paraId="672A8893"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ED2CA3D"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6646" w:type="dxa"/>
            <w:tcBorders>
              <w:top w:val="nil"/>
              <w:left w:val="nil"/>
              <w:bottom w:val="single" w:sz="4" w:space="0" w:color="auto"/>
              <w:right w:val="single" w:sz="4" w:space="0" w:color="auto"/>
            </w:tcBorders>
            <w:shd w:val="clear" w:color="auto" w:fill="auto"/>
            <w:noWrap/>
            <w:vAlign w:val="center"/>
            <w:hideMark/>
          </w:tcPr>
          <w:p w14:paraId="47A54254" w14:textId="0754F99A"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DISCO RIGIDO INTERNO(HDD)1TB Capacidade de armazenamento: 1 TB (ou superior).</w:t>
            </w:r>
            <w:r w:rsidRPr="005B62C0">
              <w:rPr>
                <w:rFonts w:ascii="Gadugi" w:eastAsia="Times New Roman" w:hAnsi="Gadugi" w:cs="Calibri"/>
                <w:color w:val="000000"/>
                <w:sz w:val="14"/>
                <w:szCs w:val="14"/>
              </w:rPr>
              <w:br/>
              <w:t>Interface: SATA 3.</w:t>
            </w:r>
            <w:r w:rsidRPr="005B62C0">
              <w:rPr>
                <w:rFonts w:ascii="Gadugi" w:eastAsia="Times New Roman" w:hAnsi="Gadugi" w:cs="Calibri"/>
                <w:color w:val="000000"/>
                <w:sz w:val="14"/>
                <w:szCs w:val="14"/>
              </w:rPr>
              <w:br/>
              <w:t>Tamanho (Form Factor): 3,5 polegadas.</w:t>
            </w:r>
            <w:r w:rsidRPr="005B62C0">
              <w:rPr>
                <w:rFonts w:ascii="Gadugi" w:eastAsia="Times New Roman" w:hAnsi="Gadugi" w:cs="Calibri"/>
                <w:color w:val="000000"/>
                <w:sz w:val="14"/>
                <w:szCs w:val="14"/>
              </w:rPr>
              <w:br/>
              <w:t>Memória cache: 64 MB (ou superior).</w:t>
            </w:r>
            <w:r w:rsidRPr="005B62C0">
              <w:rPr>
                <w:rFonts w:ascii="Gadugi" w:eastAsia="Times New Roman" w:hAnsi="Gadugi" w:cs="Calibri"/>
                <w:color w:val="000000"/>
                <w:sz w:val="14"/>
                <w:szCs w:val="14"/>
              </w:rPr>
              <w:br/>
              <w:t>Rotação de disco: 7200 RPM (ou superior).</w:t>
            </w:r>
          </w:p>
        </w:tc>
        <w:tc>
          <w:tcPr>
            <w:tcW w:w="729" w:type="dxa"/>
            <w:tcBorders>
              <w:top w:val="nil"/>
              <w:left w:val="nil"/>
              <w:bottom w:val="single" w:sz="4" w:space="0" w:color="auto"/>
              <w:right w:val="single" w:sz="4" w:space="0" w:color="auto"/>
            </w:tcBorders>
            <w:shd w:val="clear" w:color="auto" w:fill="auto"/>
            <w:noWrap/>
            <w:vAlign w:val="center"/>
            <w:hideMark/>
          </w:tcPr>
          <w:p w14:paraId="29EE64E3"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39A1202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w:t>
            </w:r>
          </w:p>
        </w:tc>
        <w:tc>
          <w:tcPr>
            <w:tcW w:w="918" w:type="dxa"/>
            <w:tcBorders>
              <w:top w:val="nil"/>
              <w:left w:val="nil"/>
              <w:bottom w:val="single" w:sz="4" w:space="0" w:color="auto"/>
              <w:right w:val="single" w:sz="4" w:space="0" w:color="auto"/>
            </w:tcBorders>
            <w:shd w:val="clear" w:color="auto" w:fill="auto"/>
            <w:noWrap/>
            <w:vAlign w:val="center"/>
            <w:hideMark/>
          </w:tcPr>
          <w:p w14:paraId="755C0B4D"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R$ 303,78</w:t>
            </w:r>
          </w:p>
        </w:tc>
      </w:tr>
      <w:tr w:rsidR="005B62C0" w:rsidRPr="00CB6588" w14:paraId="5E903F4F"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5C6562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11</w:t>
            </w:r>
          </w:p>
        </w:tc>
        <w:tc>
          <w:tcPr>
            <w:tcW w:w="6646" w:type="dxa"/>
            <w:tcBorders>
              <w:top w:val="nil"/>
              <w:left w:val="nil"/>
              <w:bottom w:val="single" w:sz="4" w:space="0" w:color="auto"/>
              <w:right w:val="single" w:sz="4" w:space="0" w:color="auto"/>
            </w:tcBorders>
            <w:shd w:val="clear" w:color="auto" w:fill="auto"/>
            <w:noWrap/>
            <w:vAlign w:val="center"/>
            <w:hideMark/>
          </w:tcPr>
          <w:p w14:paraId="04E30AF5" w14:textId="72812FCA"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ESTABILIZADOR Potência: 500 VA (ou superior).</w:t>
            </w:r>
            <w:r w:rsidRPr="005B62C0">
              <w:rPr>
                <w:rFonts w:ascii="Gadugi" w:eastAsia="Times New Roman" w:hAnsi="Gadugi" w:cs="Calibri"/>
                <w:color w:val="000000"/>
                <w:sz w:val="14"/>
                <w:szCs w:val="14"/>
              </w:rPr>
              <w:br/>
              <w:t>Tomadas: 4 tomadas (no mínimo) padrão ABNT NBR 14236.</w:t>
            </w:r>
            <w:r w:rsidRPr="005B62C0">
              <w:rPr>
                <w:rFonts w:ascii="Gadugi" w:eastAsia="Times New Roman" w:hAnsi="Gadugi" w:cs="Calibri"/>
                <w:color w:val="000000"/>
                <w:sz w:val="14"/>
                <w:szCs w:val="14"/>
              </w:rPr>
              <w:br/>
              <w:t>Proteções: Subtensão, sobretensão, filtro de linha.</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Tensão de saída: 115 V~.</w:t>
            </w:r>
            <w:r w:rsidRPr="005B62C0">
              <w:rPr>
                <w:rFonts w:ascii="Gadugi" w:eastAsia="Times New Roman" w:hAnsi="Gadugi" w:cs="Calibri"/>
                <w:color w:val="000000"/>
                <w:sz w:val="14"/>
                <w:szCs w:val="14"/>
              </w:rPr>
              <w:br/>
              <w:t>Cabo de força: Plugue padrão ABNT NBR 14136.</w:t>
            </w:r>
          </w:p>
        </w:tc>
        <w:tc>
          <w:tcPr>
            <w:tcW w:w="729" w:type="dxa"/>
            <w:tcBorders>
              <w:top w:val="nil"/>
              <w:left w:val="nil"/>
              <w:bottom w:val="single" w:sz="4" w:space="0" w:color="auto"/>
              <w:right w:val="single" w:sz="4" w:space="0" w:color="auto"/>
            </w:tcBorders>
            <w:shd w:val="clear" w:color="auto" w:fill="auto"/>
            <w:noWrap/>
            <w:vAlign w:val="center"/>
            <w:hideMark/>
          </w:tcPr>
          <w:p w14:paraId="1527F9C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39A4FCB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918" w:type="dxa"/>
            <w:tcBorders>
              <w:top w:val="nil"/>
              <w:left w:val="nil"/>
              <w:bottom w:val="single" w:sz="4" w:space="0" w:color="auto"/>
              <w:right w:val="single" w:sz="4" w:space="0" w:color="auto"/>
            </w:tcBorders>
            <w:shd w:val="clear" w:color="auto" w:fill="auto"/>
            <w:noWrap/>
            <w:vAlign w:val="center"/>
            <w:hideMark/>
          </w:tcPr>
          <w:p w14:paraId="097EBFC9"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R$ 289,20</w:t>
            </w:r>
          </w:p>
        </w:tc>
      </w:tr>
      <w:tr w:rsidR="005B62C0" w:rsidRPr="00CB6588" w14:paraId="0DF8C5E3"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ED9A9DE"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12</w:t>
            </w:r>
          </w:p>
        </w:tc>
        <w:tc>
          <w:tcPr>
            <w:tcW w:w="6646" w:type="dxa"/>
            <w:tcBorders>
              <w:top w:val="nil"/>
              <w:left w:val="nil"/>
              <w:bottom w:val="single" w:sz="4" w:space="0" w:color="auto"/>
              <w:right w:val="single" w:sz="4" w:space="0" w:color="auto"/>
            </w:tcBorders>
            <w:shd w:val="clear" w:color="auto" w:fill="auto"/>
            <w:noWrap/>
            <w:vAlign w:val="center"/>
            <w:hideMark/>
          </w:tcPr>
          <w:p w14:paraId="5F568044" w14:textId="35C3C473"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EXTENSãO DE REDE ELÉTRICA Cabo de força- padrão do plugue: ABNT NBR 14136;</w:t>
            </w:r>
            <w:r w:rsidRPr="005B62C0">
              <w:rPr>
                <w:rFonts w:ascii="Gadugi" w:eastAsia="Times New Roman" w:hAnsi="Gadugi" w:cs="Calibri"/>
                <w:color w:val="000000"/>
                <w:sz w:val="14"/>
                <w:szCs w:val="14"/>
              </w:rPr>
              <w:br/>
              <w:t>Cabo de força- Comprimento: 3 metros (no mínimo);</w:t>
            </w:r>
            <w:r w:rsidRPr="005B62C0">
              <w:rPr>
                <w:rFonts w:ascii="Gadugi" w:eastAsia="Times New Roman" w:hAnsi="Gadugi" w:cs="Calibri"/>
                <w:color w:val="000000"/>
                <w:sz w:val="14"/>
                <w:szCs w:val="14"/>
              </w:rPr>
              <w:br/>
              <w:t>Tomadas- padrão: ABNT NBR 14136;</w:t>
            </w:r>
            <w:r w:rsidRPr="005B62C0">
              <w:rPr>
                <w:rFonts w:ascii="Gadugi" w:eastAsia="Times New Roman" w:hAnsi="Gadugi" w:cs="Calibri"/>
                <w:color w:val="000000"/>
                <w:sz w:val="14"/>
                <w:szCs w:val="14"/>
              </w:rPr>
              <w:br/>
              <w:t>Tomadas: quantidade: 3 (no mínimo);</w:t>
            </w:r>
            <w:r w:rsidRPr="005B62C0">
              <w:rPr>
                <w:rFonts w:ascii="Gadugi" w:eastAsia="Times New Roman" w:hAnsi="Gadugi" w:cs="Calibri"/>
                <w:color w:val="000000"/>
                <w:sz w:val="14"/>
                <w:szCs w:val="14"/>
              </w:rPr>
              <w:br/>
              <w:t>Corrente suportada: 10 ampers.</w:t>
            </w:r>
          </w:p>
        </w:tc>
        <w:tc>
          <w:tcPr>
            <w:tcW w:w="729" w:type="dxa"/>
            <w:tcBorders>
              <w:top w:val="nil"/>
              <w:left w:val="nil"/>
              <w:bottom w:val="single" w:sz="4" w:space="0" w:color="auto"/>
              <w:right w:val="single" w:sz="4" w:space="0" w:color="auto"/>
            </w:tcBorders>
            <w:shd w:val="clear" w:color="auto" w:fill="auto"/>
            <w:noWrap/>
            <w:vAlign w:val="center"/>
            <w:hideMark/>
          </w:tcPr>
          <w:p w14:paraId="148389A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54449B9"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20</w:t>
            </w:r>
          </w:p>
        </w:tc>
        <w:tc>
          <w:tcPr>
            <w:tcW w:w="918" w:type="dxa"/>
            <w:tcBorders>
              <w:top w:val="nil"/>
              <w:left w:val="nil"/>
              <w:bottom w:val="single" w:sz="4" w:space="0" w:color="auto"/>
              <w:right w:val="single" w:sz="4" w:space="0" w:color="auto"/>
            </w:tcBorders>
            <w:shd w:val="clear" w:color="auto" w:fill="auto"/>
            <w:noWrap/>
            <w:vAlign w:val="center"/>
            <w:hideMark/>
          </w:tcPr>
          <w:p w14:paraId="77CCFC52"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R$ 17,27</w:t>
            </w:r>
          </w:p>
        </w:tc>
      </w:tr>
      <w:tr w:rsidR="005B62C0" w:rsidRPr="00CB6588" w14:paraId="6D86ECD7"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BCC3EC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13</w:t>
            </w:r>
          </w:p>
        </w:tc>
        <w:tc>
          <w:tcPr>
            <w:tcW w:w="6646" w:type="dxa"/>
            <w:tcBorders>
              <w:top w:val="nil"/>
              <w:left w:val="nil"/>
              <w:bottom w:val="single" w:sz="4" w:space="0" w:color="auto"/>
              <w:right w:val="single" w:sz="4" w:space="0" w:color="auto"/>
            </w:tcBorders>
            <w:shd w:val="clear" w:color="auto" w:fill="auto"/>
            <w:noWrap/>
            <w:vAlign w:val="center"/>
            <w:hideMark/>
          </w:tcPr>
          <w:p w14:paraId="059028D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FONE DE OUVIDO Headset P2</w:t>
            </w:r>
            <w:r w:rsidRPr="005B62C0">
              <w:rPr>
                <w:rFonts w:ascii="Gadugi" w:eastAsia="Times New Roman" w:hAnsi="Gadugi" w:cs="Calibri"/>
                <w:color w:val="000000"/>
                <w:sz w:val="14"/>
                <w:szCs w:val="14"/>
              </w:rPr>
              <w:br/>
              <w:t>Conectores: 2 conectores.</w:t>
            </w:r>
            <w:r w:rsidRPr="005B62C0">
              <w:rPr>
                <w:rFonts w:ascii="Gadugi" w:eastAsia="Times New Roman" w:hAnsi="Gadugi" w:cs="Calibri"/>
                <w:color w:val="000000"/>
                <w:sz w:val="14"/>
                <w:szCs w:val="14"/>
              </w:rPr>
              <w:br/>
              <w:t>Conector de áudio stereo: P2  3,5 mm.</w:t>
            </w:r>
            <w:r w:rsidRPr="005B62C0">
              <w:rPr>
                <w:rFonts w:ascii="Gadugi" w:eastAsia="Times New Roman" w:hAnsi="Gadugi" w:cs="Calibri"/>
                <w:color w:val="000000"/>
                <w:sz w:val="14"/>
                <w:szCs w:val="14"/>
              </w:rPr>
              <w:br/>
              <w:t>Conector de microfone: P2  3,5 mm.</w:t>
            </w:r>
            <w:r w:rsidRPr="005B62C0">
              <w:rPr>
                <w:rFonts w:ascii="Gadugi" w:eastAsia="Times New Roman" w:hAnsi="Gadugi" w:cs="Calibri"/>
                <w:color w:val="000000"/>
                <w:sz w:val="14"/>
                <w:szCs w:val="14"/>
              </w:rPr>
              <w:br/>
              <w:t>Alto-falantes: Dois alto-falantes.</w:t>
            </w:r>
            <w:r w:rsidRPr="005B62C0">
              <w:rPr>
                <w:rFonts w:ascii="Gadugi" w:eastAsia="Times New Roman" w:hAnsi="Gadugi" w:cs="Calibri"/>
                <w:color w:val="000000"/>
                <w:sz w:val="14"/>
                <w:szCs w:val="14"/>
              </w:rPr>
              <w:br/>
              <w:t>Microfone: Altura regulável.</w:t>
            </w:r>
            <w:r w:rsidRPr="005B62C0">
              <w:rPr>
                <w:rFonts w:ascii="Gadugi" w:eastAsia="Times New Roman" w:hAnsi="Gadugi" w:cs="Calibri"/>
                <w:color w:val="000000"/>
                <w:sz w:val="14"/>
                <w:szCs w:val="14"/>
              </w:rPr>
              <w:br/>
              <w:t>Frequência de resposta inicial do microfone: 20 Hz (ou inferior).</w:t>
            </w:r>
            <w:r w:rsidRPr="005B62C0">
              <w:rPr>
                <w:rFonts w:ascii="Gadugi" w:eastAsia="Times New Roman" w:hAnsi="Gadugi" w:cs="Calibri"/>
                <w:color w:val="000000"/>
                <w:sz w:val="14"/>
                <w:szCs w:val="14"/>
              </w:rPr>
              <w:br/>
              <w:t>Frequência de resposta final do microfone: 20.000 Hz (ou superior).</w:t>
            </w:r>
            <w:r w:rsidRPr="005B62C0">
              <w:rPr>
                <w:rFonts w:ascii="Gadugi" w:eastAsia="Times New Roman" w:hAnsi="Gadugi" w:cs="Calibri"/>
                <w:color w:val="000000"/>
                <w:sz w:val="14"/>
                <w:szCs w:val="14"/>
              </w:rPr>
              <w:br/>
              <w:t>Alto falantes - Sensibilidade: 94 dB (ou superior).</w:t>
            </w:r>
            <w:r w:rsidRPr="005B62C0">
              <w:rPr>
                <w:rFonts w:ascii="Gadugi" w:eastAsia="Times New Roman" w:hAnsi="Gadugi" w:cs="Calibri"/>
                <w:color w:val="000000"/>
                <w:sz w:val="14"/>
                <w:szCs w:val="14"/>
              </w:rPr>
              <w:br/>
              <w:t>Comprimento do cabo: 1,40 m (no mínimo).</w:t>
            </w:r>
          </w:p>
        </w:tc>
        <w:tc>
          <w:tcPr>
            <w:tcW w:w="729" w:type="dxa"/>
            <w:tcBorders>
              <w:top w:val="nil"/>
              <w:left w:val="nil"/>
              <w:bottom w:val="single" w:sz="4" w:space="0" w:color="auto"/>
              <w:right w:val="single" w:sz="4" w:space="0" w:color="auto"/>
            </w:tcBorders>
            <w:shd w:val="clear" w:color="auto" w:fill="auto"/>
            <w:noWrap/>
            <w:vAlign w:val="center"/>
            <w:hideMark/>
          </w:tcPr>
          <w:p w14:paraId="067A7DF8"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PAR</w:t>
            </w:r>
          </w:p>
        </w:tc>
        <w:tc>
          <w:tcPr>
            <w:tcW w:w="852" w:type="dxa"/>
            <w:tcBorders>
              <w:top w:val="nil"/>
              <w:left w:val="nil"/>
              <w:bottom w:val="single" w:sz="4" w:space="0" w:color="auto"/>
              <w:right w:val="single" w:sz="4" w:space="0" w:color="auto"/>
            </w:tcBorders>
            <w:shd w:val="clear" w:color="auto" w:fill="auto"/>
            <w:noWrap/>
            <w:vAlign w:val="center"/>
            <w:hideMark/>
          </w:tcPr>
          <w:p w14:paraId="243F54B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918" w:type="dxa"/>
            <w:tcBorders>
              <w:top w:val="nil"/>
              <w:left w:val="nil"/>
              <w:bottom w:val="single" w:sz="4" w:space="0" w:color="auto"/>
              <w:right w:val="single" w:sz="4" w:space="0" w:color="auto"/>
            </w:tcBorders>
            <w:shd w:val="clear" w:color="auto" w:fill="auto"/>
            <w:noWrap/>
            <w:vAlign w:val="center"/>
            <w:hideMark/>
          </w:tcPr>
          <w:p w14:paraId="2CA2684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R$ 106,10</w:t>
            </w:r>
          </w:p>
        </w:tc>
      </w:tr>
      <w:tr w:rsidR="005B62C0" w:rsidRPr="00CB6588" w14:paraId="5AA625AE"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C38E2C6"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14</w:t>
            </w:r>
          </w:p>
        </w:tc>
        <w:tc>
          <w:tcPr>
            <w:tcW w:w="6646" w:type="dxa"/>
            <w:tcBorders>
              <w:top w:val="nil"/>
              <w:left w:val="nil"/>
              <w:bottom w:val="single" w:sz="4" w:space="0" w:color="auto"/>
              <w:right w:val="single" w:sz="4" w:space="0" w:color="auto"/>
            </w:tcBorders>
            <w:shd w:val="clear" w:color="auto" w:fill="auto"/>
            <w:noWrap/>
            <w:vAlign w:val="center"/>
            <w:hideMark/>
          </w:tcPr>
          <w:p w14:paraId="5D60AAB5" w14:textId="62B55401" w:rsidR="005B62C0" w:rsidRPr="005B62C0" w:rsidRDefault="005B62C0" w:rsidP="0059583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FONTE DE ALIMENTAÇÃO Alimentação da placa-mãe - Principal: 24 (20+4) pinos.</w:t>
            </w:r>
            <w:r w:rsidRPr="005B62C0">
              <w:rPr>
                <w:rFonts w:ascii="Gadugi" w:eastAsia="Times New Roman" w:hAnsi="Gadugi" w:cs="Calibri"/>
                <w:color w:val="000000"/>
                <w:sz w:val="14"/>
                <w:szCs w:val="14"/>
              </w:rPr>
              <w:br/>
              <w:t>Alimentação da placa-mãe - ATX 12 V: 8 (4+4) pinos.</w:t>
            </w:r>
            <w:r w:rsidRPr="005B62C0">
              <w:rPr>
                <w:rFonts w:ascii="Gadugi" w:eastAsia="Times New Roman" w:hAnsi="Gadugi" w:cs="Calibri"/>
                <w:color w:val="000000"/>
                <w:sz w:val="14"/>
                <w:szCs w:val="14"/>
              </w:rPr>
              <w:br/>
              <w:t>Alimentação da placa de vídeo  PCIE: 8 (6+2) pinos (um conector PCIE, no mínimo).</w:t>
            </w:r>
            <w:r w:rsidRPr="005B62C0">
              <w:rPr>
                <w:rFonts w:ascii="Gadugi" w:eastAsia="Times New Roman" w:hAnsi="Gadugi" w:cs="Calibri"/>
                <w:color w:val="000000"/>
                <w:sz w:val="14"/>
                <w:szCs w:val="14"/>
              </w:rPr>
              <w:br/>
              <w:t>Alimentação para dispositivos SATA: 3 conectores (no mínimo).</w:t>
            </w:r>
            <w:r w:rsidRPr="005B62C0">
              <w:rPr>
                <w:rFonts w:ascii="Gadugi" w:eastAsia="Times New Roman" w:hAnsi="Gadugi" w:cs="Calibri"/>
                <w:color w:val="000000"/>
                <w:sz w:val="14"/>
                <w:szCs w:val="14"/>
              </w:rPr>
              <w:br/>
              <w:t>Resfriamento: Ativo, por ar (cooler).</w:t>
            </w:r>
            <w:r w:rsidRPr="005B62C0">
              <w:rPr>
                <w:rFonts w:ascii="Gadugi" w:eastAsia="Times New Roman" w:hAnsi="Gadugi" w:cs="Calibri"/>
                <w:color w:val="000000"/>
                <w:sz w:val="14"/>
                <w:szCs w:val="14"/>
              </w:rPr>
              <w:br/>
              <w:t>Potência de saída: 600 Watts (ou superior).</w:t>
            </w:r>
            <w:r w:rsidRPr="005B62C0">
              <w:rPr>
                <w:rFonts w:ascii="Gadugi" w:eastAsia="Times New Roman" w:hAnsi="Gadugi" w:cs="Calibri"/>
                <w:color w:val="000000"/>
                <w:sz w:val="14"/>
                <w:szCs w:val="14"/>
              </w:rPr>
              <w:br/>
              <w:t>Tipo: Compatível com computadores de mesa (desktop).</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Certificação: 80 Plus (White, Bronze, Silver, Gold, Platinum ou Titanium).</w:t>
            </w:r>
            <w:r w:rsidRPr="005B62C0">
              <w:rPr>
                <w:rFonts w:ascii="Gadugi" w:eastAsia="Times New Roman" w:hAnsi="Gadugi" w:cs="Calibri"/>
                <w:color w:val="000000"/>
                <w:sz w:val="14"/>
                <w:szCs w:val="14"/>
              </w:rPr>
              <w:br/>
              <w:t>Cabo de força: Plugue padrão ABNT NBR 14136 (incluso).</w:t>
            </w:r>
          </w:p>
        </w:tc>
        <w:tc>
          <w:tcPr>
            <w:tcW w:w="729" w:type="dxa"/>
            <w:tcBorders>
              <w:top w:val="nil"/>
              <w:left w:val="nil"/>
              <w:bottom w:val="single" w:sz="4" w:space="0" w:color="auto"/>
              <w:right w:val="single" w:sz="4" w:space="0" w:color="auto"/>
            </w:tcBorders>
            <w:shd w:val="clear" w:color="auto" w:fill="auto"/>
            <w:noWrap/>
            <w:vAlign w:val="center"/>
            <w:hideMark/>
          </w:tcPr>
          <w:p w14:paraId="6081C76E"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6DCCB37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918" w:type="dxa"/>
            <w:tcBorders>
              <w:top w:val="nil"/>
              <w:left w:val="nil"/>
              <w:bottom w:val="single" w:sz="4" w:space="0" w:color="auto"/>
              <w:right w:val="single" w:sz="4" w:space="0" w:color="auto"/>
            </w:tcBorders>
            <w:shd w:val="clear" w:color="auto" w:fill="auto"/>
            <w:noWrap/>
            <w:vAlign w:val="center"/>
            <w:hideMark/>
          </w:tcPr>
          <w:p w14:paraId="610D69F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R$ 284,90</w:t>
            </w:r>
          </w:p>
        </w:tc>
      </w:tr>
      <w:tr w:rsidR="005B62C0" w:rsidRPr="00CB6588" w14:paraId="0B1E212B"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30069F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15</w:t>
            </w:r>
          </w:p>
        </w:tc>
        <w:tc>
          <w:tcPr>
            <w:tcW w:w="6646" w:type="dxa"/>
            <w:tcBorders>
              <w:top w:val="nil"/>
              <w:left w:val="nil"/>
              <w:bottom w:val="single" w:sz="4" w:space="0" w:color="auto"/>
              <w:right w:val="single" w:sz="4" w:space="0" w:color="auto"/>
            </w:tcBorders>
            <w:shd w:val="clear" w:color="auto" w:fill="auto"/>
            <w:noWrap/>
            <w:vAlign w:val="center"/>
            <w:hideMark/>
          </w:tcPr>
          <w:p w14:paraId="31EDF5D5" w14:textId="4F0F02F5" w:rsidR="005B62C0" w:rsidRPr="005B62C0" w:rsidRDefault="005B62C0" w:rsidP="0059583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IMPRESSORA PLOTTER 24 polegadas</w:t>
            </w:r>
            <w:r w:rsidRPr="005B62C0">
              <w:rPr>
                <w:rFonts w:ascii="Gadugi" w:eastAsia="Times New Roman" w:hAnsi="Gadugi" w:cs="Calibri"/>
                <w:color w:val="000000"/>
                <w:sz w:val="14"/>
                <w:szCs w:val="14"/>
              </w:rPr>
              <w:br/>
              <w:t>Plotter com tecnologia jato de tinta policromática, com possibilidade de impressão de linhas e imagens;</w:t>
            </w:r>
            <w:r w:rsidRPr="005B62C0">
              <w:rPr>
                <w:rFonts w:ascii="Gadugi" w:eastAsia="Times New Roman" w:hAnsi="Gadugi" w:cs="Calibri"/>
                <w:color w:val="000000"/>
                <w:sz w:val="14"/>
                <w:szCs w:val="14"/>
              </w:rPr>
              <w:br/>
              <w:t>Resolução mínima de 2400 x 1200 DPI (pontos por polegadas) em preto e a cores;</w:t>
            </w:r>
            <w:r w:rsidRPr="005B62C0">
              <w:rPr>
                <w:rFonts w:ascii="Gadugi" w:eastAsia="Times New Roman" w:hAnsi="Gadugi" w:cs="Calibri"/>
                <w:color w:val="000000"/>
                <w:sz w:val="14"/>
                <w:szCs w:val="14"/>
              </w:rPr>
              <w:br/>
              <w:t>Espessura máxima de linha mais fina de 0,06 mm com precisão de +/- 0,1%;</w:t>
            </w:r>
            <w:r w:rsidRPr="005B62C0">
              <w:rPr>
                <w:rFonts w:ascii="Gadugi" w:eastAsia="Times New Roman" w:hAnsi="Gadugi" w:cs="Calibri"/>
                <w:color w:val="000000"/>
                <w:sz w:val="14"/>
                <w:szCs w:val="14"/>
              </w:rPr>
              <w:br/>
              <w:t>Cartuchos de tintas instalados simultaneamente, sendo um para cada cor (preto - 80ml e ciano, magenta e amarelo  29ml);</w:t>
            </w:r>
            <w:r w:rsidRPr="005B62C0">
              <w:rPr>
                <w:rFonts w:ascii="Gadugi" w:eastAsia="Times New Roman" w:hAnsi="Gadugi" w:cs="Calibri"/>
                <w:color w:val="000000"/>
                <w:sz w:val="14"/>
                <w:szCs w:val="14"/>
              </w:rPr>
              <w:br/>
              <w:t>Velocidade mínima de impressão em modo rápido de 45 segundos/página D/A1;</w:t>
            </w:r>
            <w:r w:rsidRPr="005B62C0">
              <w:rPr>
                <w:rFonts w:ascii="Gadugi" w:eastAsia="Times New Roman" w:hAnsi="Gadugi" w:cs="Calibri"/>
                <w:color w:val="000000"/>
                <w:sz w:val="14"/>
                <w:szCs w:val="14"/>
              </w:rPr>
              <w:br/>
              <w:t>Largura de impressão de no mínimo 610 mm, 24 polegadas;</w:t>
            </w:r>
            <w:r w:rsidRPr="005B62C0">
              <w:rPr>
                <w:rFonts w:ascii="Gadugi" w:eastAsia="Times New Roman" w:hAnsi="Gadugi" w:cs="Calibri"/>
                <w:color w:val="000000"/>
                <w:sz w:val="14"/>
                <w:szCs w:val="14"/>
              </w:rPr>
              <w:br/>
              <w:t>Alimentação por folha solta e rolo de papel com cortador;</w:t>
            </w:r>
            <w:r w:rsidRPr="005B62C0">
              <w:rPr>
                <w:rFonts w:ascii="Gadugi" w:eastAsia="Times New Roman" w:hAnsi="Gadugi" w:cs="Calibri"/>
                <w:color w:val="000000"/>
                <w:sz w:val="14"/>
                <w:szCs w:val="14"/>
              </w:rPr>
              <w:br/>
              <w:t>Interfaces Fast Ethernet 100/1000 Base-T ou superior e USB 2.0;</w:t>
            </w:r>
            <w:r w:rsidRPr="005B62C0">
              <w:rPr>
                <w:rFonts w:ascii="Gadugi" w:eastAsia="Times New Roman" w:hAnsi="Gadugi" w:cs="Calibri"/>
                <w:color w:val="000000"/>
                <w:sz w:val="14"/>
                <w:szCs w:val="14"/>
              </w:rPr>
              <w:br/>
              <w:t>Compatível com Microsoft Windows 7 ou superior, devendo acompanhar todos os drivers que se fizerem necessários para tal, fornecidos em CD/DVD;</w:t>
            </w:r>
            <w:r w:rsidRPr="005B62C0">
              <w:rPr>
                <w:rFonts w:ascii="Gadugi" w:eastAsia="Times New Roman" w:hAnsi="Gadugi" w:cs="Calibri"/>
                <w:color w:val="000000"/>
                <w:sz w:val="14"/>
                <w:szCs w:val="14"/>
              </w:rPr>
              <w:br/>
              <w:t>Drivers para software Autocad, versão 2008 em diante;</w:t>
            </w:r>
            <w:r w:rsidRPr="005B62C0">
              <w:rPr>
                <w:rFonts w:ascii="Gadugi" w:eastAsia="Times New Roman" w:hAnsi="Gadugi" w:cs="Calibri"/>
                <w:color w:val="000000"/>
                <w:sz w:val="14"/>
                <w:szCs w:val="14"/>
              </w:rPr>
              <w:br/>
              <w:t>Fonte de alimentação bivolt de 100 a 240V, com chaveamento automático;</w:t>
            </w:r>
            <w:r w:rsidRPr="005B62C0">
              <w:rPr>
                <w:rFonts w:ascii="Gadugi" w:eastAsia="Times New Roman" w:hAnsi="Gadugi" w:cs="Calibri"/>
                <w:color w:val="000000"/>
                <w:sz w:val="14"/>
                <w:szCs w:val="14"/>
              </w:rPr>
              <w:br/>
              <w:t>Deve vir acompanhado de cabos de alimentação e conexão com o microcomputador e dos respectivos manuais de instalação e operação escritos em Inglês ou Português do Brasil, em CD ou impressos em papel;</w:t>
            </w:r>
            <w:r w:rsidRPr="005B62C0">
              <w:rPr>
                <w:rFonts w:ascii="Gadugi" w:eastAsia="Times New Roman" w:hAnsi="Gadugi" w:cs="Calibri"/>
                <w:color w:val="000000"/>
                <w:sz w:val="14"/>
                <w:szCs w:val="14"/>
              </w:rPr>
              <w:br/>
              <w:t>Garantia de peças e mão de obra de 12 meses on-site a contar da data da entrega do equipamento;</w:t>
            </w:r>
            <w:r w:rsidRPr="005B62C0">
              <w:rPr>
                <w:rFonts w:ascii="Gadugi" w:eastAsia="Times New Roman" w:hAnsi="Gadugi" w:cs="Calibri"/>
                <w:color w:val="000000"/>
                <w:sz w:val="14"/>
                <w:szCs w:val="14"/>
              </w:rPr>
              <w:br/>
              <w:t>Deverão acompanhar 03 (três) kit refil (igualmente a quantidade de cada cor), idênticos aos que acompanham a impressora plotter, com validade mínima de 1 (um) ano, original e do mesmo fabricante da impressora plotter;</w:t>
            </w:r>
            <w:r w:rsidRPr="005B62C0">
              <w:rPr>
                <w:rFonts w:ascii="Gadugi" w:eastAsia="Times New Roman" w:hAnsi="Gadugi" w:cs="Calibri"/>
                <w:color w:val="000000"/>
                <w:sz w:val="14"/>
                <w:szCs w:val="14"/>
              </w:rPr>
              <w:br/>
              <w:t>Por kits adicionais entende-se cartuchos de tinta preto e colorido(s), entre outros, para o perfeito funcionamento da impressora, além do considerado Starter (de fábrica);</w:t>
            </w:r>
          </w:p>
        </w:tc>
        <w:tc>
          <w:tcPr>
            <w:tcW w:w="729" w:type="dxa"/>
            <w:tcBorders>
              <w:top w:val="nil"/>
              <w:left w:val="nil"/>
              <w:bottom w:val="single" w:sz="4" w:space="0" w:color="auto"/>
              <w:right w:val="single" w:sz="4" w:space="0" w:color="auto"/>
            </w:tcBorders>
            <w:shd w:val="clear" w:color="auto" w:fill="auto"/>
            <w:noWrap/>
            <w:vAlign w:val="center"/>
            <w:hideMark/>
          </w:tcPr>
          <w:p w14:paraId="10FCC2B3"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4BC60A18"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918" w:type="dxa"/>
            <w:tcBorders>
              <w:top w:val="nil"/>
              <w:left w:val="nil"/>
              <w:bottom w:val="single" w:sz="4" w:space="0" w:color="auto"/>
              <w:right w:val="single" w:sz="4" w:space="0" w:color="auto"/>
            </w:tcBorders>
            <w:shd w:val="clear" w:color="auto" w:fill="auto"/>
            <w:noWrap/>
            <w:vAlign w:val="center"/>
            <w:hideMark/>
          </w:tcPr>
          <w:p w14:paraId="077E15F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R$ 7.868,10</w:t>
            </w:r>
          </w:p>
        </w:tc>
      </w:tr>
      <w:tr w:rsidR="005B62C0" w:rsidRPr="00CB6588" w14:paraId="2049D3AD"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DEB201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16</w:t>
            </w:r>
          </w:p>
        </w:tc>
        <w:tc>
          <w:tcPr>
            <w:tcW w:w="6646" w:type="dxa"/>
            <w:tcBorders>
              <w:top w:val="nil"/>
              <w:left w:val="nil"/>
              <w:bottom w:val="single" w:sz="4" w:space="0" w:color="auto"/>
              <w:right w:val="single" w:sz="4" w:space="0" w:color="auto"/>
            </w:tcBorders>
            <w:shd w:val="clear" w:color="auto" w:fill="auto"/>
            <w:noWrap/>
            <w:vAlign w:val="center"/>
            <w:hideMark/>
          </w:tcPr>
          <w:p w14:paraId="603A4E3E" w14:textId="4C7F9082" w:rsidR="005B62C0" w:rsidRPr="005B62C0" w:rsidRDefault="005B62C0" w:rsidP="0059583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KIT DE CAIXAS DE SOM- COMPUTADOR Sistema de canais de som: Estéreo (com duas caixas de som).</w:t>
            </w:r>
            <w:r w:rsidRPr="005B62C0">
              <w:rPr>
                <w:rFonts w:ascii="Gadugi" w:eastAsia="Times New Roman" w:hAnsi="Gadugi" w:cs="Calibri"/>
                <w:color w:val="000000"/>
                <w:sz w:val="14"/>
                <w:szCs w:val="14"/>
              </w:rPr>
              <w:br/>
              <w:t>Potência total de saída: 4 W RMS (no mínimo).</w:t>
            </w:r>
            <w:r w:rsidRPr="005B62C0">
              <w:rPr>
                <w:rFonts w:ascii="Gadugi" w:eastAsia="Times New Roman" w:hAnsi="Gadugi" w:cs="Calibri"/>
                <w:color w:val="000000"/>
                <w:sz w:val="14"/>
                <w:szCs w:val="14"/>
              </w:rPr>
              <w:br/>
              <w:t>Conector de áudio: P2  3,5 mm (TRS).</w:t>
            </w:r>
            <w:r w:rsidRPr="005B62C0">
              <w:rPr>
                <w:rFonts w:ascii="Gadugi" w:eastAsia="Times New Roman" w:hAnsi="Gadugi" w:cs="Calibri"/>
                <w:color w:val="000000"/>
                <w:sz w:val="14"/>
                <w:szCs w:val="14"/>
              </w:rPr>
              <w:br/>
              <w:t>Botão: Regulador de volume.</w:t>
            </w:r>
            <w:r w:rsidRPr="005B62C0">
              <w:rPr>
                <w:rFonts w:ascii="Gadugi" w:eastAsia="Times New Roman" w:hAnsi="Gadugi" w:cs="Calibri"/>
                <w:color w:val="000000"/>
                <w:sz w:val="14"/>
                <w:szCs w:val="14"/>
              </w:rPr>
              <w:br/>
              <w:t>Conexão e alimentação: USB.</w:t>
            </w:r>
            <w:r w:rsidRPr="005B62C0">
              <w:rPr>
                <w:rFonts w:ascii="Gadugi" w:eastAsia="Times New Roman" w:hAnsi="Gadugi" w:cs="Calibri"/>
                <w:color w:val="000000"/>
                <w:sz w:val="14"/>
                <w:szCs w:val="14"/>
              </w:rPr>
              <w:br/>
              <w:t>Comprimento do cabo entre as caixas: 30 centrímetros (no mínimo).</w:t>
            </w:r>
            <w:r w:rsidRPr="005B62C0">
              <w:rPr>
                <w:rFonts w:ascii="Gadugi" w:eastAsia="Times New Roman" w:hAnsi="Gadugi" w:cs="Calibri"/>
                <w:color w:val="000000"/>
                <w:sz w:val="14"/>
                <w:szCs w:val="14"/>
              </w:rPr>
              <w:br/>
              <w:t>Comprimento do cabo USB: 60 centímetros (no mínimo).</w:t>
            </w:r>
            <w:r w:rsidRPr="005B62C0">
              <w:rPr>
                <w:rFonts w:ascii="Gadugi" w:eastAsia="Times New Roman" w:hAnsi="Gadugi" w:cs="Calibri"/>
                <w:color w:val="000000"/>
                <w:sz w:val="14"/>
                <w:szCs w:val="14"/>
              </w:rPr>
              <w:br/>
              <w:t>Comprimento do cabo P2: 60 centímetros (no mínimo).</w:t>
            </w:r>
          </w:p>
        </w:tc>
        <w:tc>
          <w:tcPr>
            <w:tcW w:w="729" w:type="dxa"/>
            <w:tcBorders>
              <w:top w:val="nil"/>
              <w:left w:val="nil"/>
              <w:bottom w:val="single" w:sz="4" w:space="0" w:color="auto"/>
              <w:right w:val="single" w:sz="4" w:space="0" w:color="auto"/>
            </w:tcBorders>
            <w:shd w:val="clear" w:color="auto" w:fill="auto"/>
            <w:noWrap/>
            <w:vAlign w:val="center"/>
            <w:hideMark/>
          </w:tcPr>
          <w:p w14:paraId="37D89C7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PAR</w:t>
            </w:r>
          </w:p>
        </w:tc>
        <w:tc>
          <w:tcPr>
            <w:tcW w:w="852" w:type="dxa"/>
            <w:tcBorders>
              <w:top w:val="nil"/>
              <w:left w:val="nil"/>
              <w:bottom w:val="single" w:sz="4" w:space="0" w:color="auto"/>
              <w:right w:val="single" w:sz="4" w:space="0" w:color="auto"/>
            </w:tcBorders>
            <w:shd w:val="clear" w:color="auto" w:fill="auto"/>
            <w:noWrap/>
            <w:vAlign w:val="center"/>
            <w:hideMark/>
          </w:tcPr>
          <w:p w14:paraId="0BF6F89E"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40</w:t>
            </w:r>
          </w:p>
        </w:tc>
        <w:tc>
          <w:tcPr>
            <w:tcW w:w="918" w:type="dxa"/>
            <w:tcBorders>
              <w:top w:val="nil"/>
              <w:left w:val="nil"/>
              <w:bottom w:val="single" w:sz="4" w:space="0" w:color="auto"/>
              <w:right w:val="single" w:sz="4" w:space="0" w:color="auto"/>
            </w:tcBorders>
            <w:shd w:val="clear" w:color="auto" w:fill="auto"/>
            <w:noWrap/>
            <w:vAlign w:val="center"/>
            <w:hideMark/>
          </w:tcPr>
          <w:p w14:paraId="1CAC7D26"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R$ 41,01</w:t>
            </w:r>
          </w:p>
        </w:tc>
      </w:tr>
      <w:tr w:rsidR="005B62C0" w:rsidRPr="00CB6588" w14:paraId="759E4459"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B4A688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17</w:t>
            </w:r>
          </w:p>
        </w:tc>
        <w:tc>
          <w:tcPr>
            <w:tcW w:w="6646" w:type="dxa"/>
            <w:tcBorders>
              <w:top w:val="nil"/>
              <w:left w:val="nil"/>
              <w:bottom w:val="single" w:sz="4" w:space="0" w:color="auto"/>
              <w:right w:val="single" w:sz="4" w:space="0" w:color="auto"/>
            </w:tcBorders>
            <w:shd w:val="clear" w:color="auto" w:fill="auto"/>
            <w:noWrap/>
            <w:vAlign w:val="center"/>
            <w:hideMark/>
          </w:tcPr>
          <w:p w14:paraId="00987389"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 xml:space="preserve">KIT TECLADO E MOUSE USB SEM FIO </w:t>
            </w:r>
          </w:p>
        </w:tc>
        <w:tc>
          <w:tcPr>
            <w:tcW w:w="729" w:type="dxa"/>
            <w:tcBorders>
              <w:top w:val="nil"/>
              <w:left w:val="nil"/>
              <w:bottom w:val="single" w:sz="4" w:space="0" w:color="auto"/>
              <w:right w:val="single" w:sz="4" w:space="0" w:color="auto"/>
            </w:tcBorders>
            <w:shd w:val="clear" w:color="auto" w:fill="auto"/>
            <w:noWrap/>
            <w:vAlign w:val="center"/>
            <w:hideMark/>
          </w:tcPr>
          <w:p w14:paraId="7395119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KIT</w:t>
            </w:r>
          </w:p>
        </w:tc>
        <w:tc>
          <w:tcPr>
            <w:tcW w:w="852" w:type="dxa"/>
            <w:tcBorders>
              <w:top w:val="nil"/>
              <w:left w:val="nil"/>
              <w:bottom w:val="single" w:sz="4" w:space="0" w:color="auto"/>
              <w:right w:val="single" w:sz="4" w:space="0" w:color="auto"/>
            </w:tcBorders>
            <w:shd w:val="clear" w:color="auto" w:fill="auto"/>
            <w:noWrap/>
            <w:vAlign w:val="center"/>
            <w:hideMark/>
          </w:tcPr>
          <w:p w14:paraId="38D1420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20</w:t>
            </w:r>
          </w:p>
        </w:tc>
        <w:tc>
          <w:tcPr>
            <w:tcW w:w="918" w:type="dxa"/>
            <w:tcBorders>
              <w:top w:val="nil"/>
              <w:left w:val="nil"/>
              <w:bottom w:val="single" w:sz="4" w:space="0" w:color="auto"/>
              <w:right w:val="single" w:sz="4" w:space="0" w:color="auto"/>
            </w:tcBorders>
            <w:shd w:val="clear" w:color="auto" w:fill="auto"/>
            <w:noWrap/>
            <w:vAlign w:val="center"/>
            <w:hideMark/>
          </w:tcPr>
          <w:p w14:paraId="4EDFAA8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R$ 196,97</w:t>
            </w:r>
          </w:p>
        </w:tc>
      </w:tr>
      <w:tr w:rsidR="005B62C0" w:rsidRPr="00CB6588" w14:paraId="164EFD38"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3B110D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18</w:t>
            </w:r>
          </w:p>
        </w:tc>
        <w:tc>
          <w:tcPr>
            <w:tcW w:w="6646" w:type="dxa"/>
            <w:tcBorders>
              <w:top w:val="nil"/>
              <w:left w:val="nil"/>
              <w:bottom w:val="single" w:sz="4" w:space="0" w:color="auto"/>
              <w:right w:val="single" w:sz="4" w:space="0" w:color="auto"/>
            </w:tcBorders>
            <w:shd w:val="clear" w:color="auto" w:fill="auto"/>
            <w:noWrap/>
            <w:vAlign w:val="center"/>
            <w:hideMark/>
          </w:tcPr>
          <w:p w14:paraId="4ADF70A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MONITOR Monitor grande</w:t>
            </w:r>
            <w:r w:rsidRPr="005B62C0">
              <w:rPr>
                <w:rFonts w:ascii="Gadugi" w:eastAsia="Times New Roman" w:hAnsi="Gadugi" w:cs="Calibri"/>
                <w:color w:val="000000"/>
                <w:sz w:val="14"/>
                <w:szCs w:val="14"/>
              </w:rPr>
              <w:br/>
              <w:t>Tamanho de tela: 23.8 polegadas (ou superior).</w:t>
            </w:r>
            <w:r w:rsidRPr="005B62C0">
              <w:rPr>
                <w:rFonts w:ascii="Gadugi" w:eastAsia="Times New Roman" w:hAnsi="Gadugi" w:cs="Calibri"/>
                <w:color w:val="000000"/>
                <w:sz w:val="14"/>
                <w:szCs w:val="14"/>
              </w:rPr>
              <w:br/>
              <w:t>Resolução máxima: 1920x1080 pixels - Full HD (ou superior).</w:t>
            </w:r>
            <w:r w:rsidRPr="005B62C0">
              <w:rPr>
                <w:rFonts w:ascii="Gadugi" w:eastAsia="Times New Roman" w:hAnsi="Gadugi" w:cs="Calibri"/>
                <w:color w:val="000000"/>
                <w:sz w:val="14"/>
                <w:szCs w:val="14"/>
              </w:rPr>
              <w:br/>
              <w:t>Taxa de atualização em resolução máxima: 100 Hz (ou superior).</w:t>
            </w:r>
            <w:r w:rsidRPr="005B62C0">
              <w:rPr>
                <w:rFonts w:ascii="Gadugi" w:eastAsia="Times New Roman" w:hAnsi="Gadugi" w:cs="Calibri"/>
                <w:color w:val="000000"/>
                <w:sz w:val="14"/>
                <w:szCs w:val="14"/>
              </w:rPr>
              <w:br/>
              <w:t>Tempo de resposta: 15 milissegundos (ou inferior).</w:t>
            </w:r>
            <w:r w:rsidRPr="005B62C0">
              <w:rPr>
                <w:rFonts w:ascii="Gadugi" w:eastAsia="Times New Roman" w:hAnsi="Gadugi" w:cs="Calibri"/>
                <w:color w:val="000000"/>
                <w:sz w:val="14"/>
                <w:szCs w:val="14"/>
              </w:rPr>
              <w:br/>
              <w:t>Tipo de tela: LED com recurso In-Plane Switching (IPS).</w:t>
            </w:r>
            <w:r w:rsidRPr="005B62C0">
              <w:rPr>
                <w:rFonts w:ascii="Gadugi" w:eastAsia="Times New Roman" w:hAnsi="Gadugi" w:cs="Calibri"/>
                <w:color w:val="000000"/>
                <w:sz w:val="14"/>
                <w:szCs w:val="14"/>
              </w:rPr>
              <w:br/>
              <w:t>Conexões de entrada de sinal: HDMI e DisplayPort.</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Fixação traseira: Padrão de furação VESA - 100x100mm.</w:t>
            </w:r>
            <w:r w:rsidRPr="005B62C0">
              <w:rPr>
                <w:rFonts w:ascii="Gadugi" w:eastAsia="Times New Roman" w:hAnsi="Gadugi" w:cs="Calibri"/>
                <w:color w:val="000000"/>
                <w:sz w:val="14"/>
                <w:szCs w:val="14"/>
              </w:rPr>
              <w:br/>
              <w:t>Fonte de alimentação: Inclusa (interna ou externa).</w:t>
            </w:r>
            <w:r w:rsidRPr="005B62C0">
              <w:rPr>
                <w:rFonts w:ascii="Gadugi" w:eastAsia="Times New Roman" w:hAnsi="Gadugi" w:cs="Calibri"/>
                <w:color w:val="000000"/>
                <w:sz w:val="14"/>
                <w:szCs w:val="14"/>
              </w:rPr>
              <w:br/>
              <w:t>Demais itens inclusos: Base para utilização em mesa de trabalho. Cabo de força com plugue padrão ABNT NBR 14136. Cabos de vídeos inclusos HDMI e DisplayPort.</w:t>
            </w:r>
          </w:p>
        </w:tc>
        <w:tc>
          <w:tcPr>
            <w:tcW w:w="729" w:type="dxa"/>
            <w:tcBorders>
              <w:top w:val="nil"/>
              <w:left w:val="nil"/>
              <w:bottom w:val="single" w:sz="4" w:space="0" w:color="auto"/>
              <w:right w:val="single" w:sz="4" w:space="0" w:color="auto"/>
            </w:tcBorders>
            <w:shd w:val="clear" w:color="auto" w:fill="auto"/>
            <w:noWrap/>
            <w:vAlign w:val="center"/>
            <w:hideMark/>
          </w:tcPr>
          <w:p w14:paraId="78F1962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67193332"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4</w:t>
            </w:r>
          </w:p>
        </w:tc>
        <w:tc>
          <w:tcPr>
            <w:tcW w:w="918" w:type="dxa"/>
            <w:tcBorders>
              <w:top w:val="nil"/>
              <w:left w:val="nil"/>
              <w:bottom w:val="single" w:sz="4" w:space="0" w:color="auto"/>
              <w:right w:val="single" w:sz="4" w:space="0" w:color="auto"/>
            </w:tcBorders>
            <w:shd w:val="clear" w:color="auto" w:fill="auto"/>
            <w:noWrap/>
            <w:vAlign w:val="center"/>
            <w:hideMark/>
          </w:tcPr>
          <w:p w14:paraId="4CCE02D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R$ 788,62</w:t>
            </w:r>
          </w:p>
        </w:tc>
      </w:tr>
      <w:tr w:rsidR="005B62C0" w:rsidRPr="00CB6588" w14:paraId="06026025"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F55196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19</w:t>
            </w:r>
          </w:p>
        </w:tc>
        <w:tc>
          <w:tcPr>
            <w:tcW w:w="6646" w:type="dxa"/>
            <w:tcBorders>
              <w:top w:val="nil"/>
              <w:left w:val="nil"/>
              <w:bottom w:val="single" w:sz="4" w:space="0" w:color="auto"/>
              <w:right w:val="single" w:sz="4" w:space="0" w:color="auto"/>
            </w:tcBorders>
            <w:shd w:val="clear" w:color="auto" w:fill="auto"/>
            <w:noWrap/>
            <w:vAlign w:val="center"/>
            <w:hideMark/>
          </w:tcPr>
          <w:p w14:paraId="2EBC1F8B" w14:textId="7B3BA613" w:rsidR="005B62C0" w:rsidRPr="005B62C0" w:rsidRDefault="005B62C0" w:rsidP="0059583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MONITOR 21,5" Tamanho de tela: 21,5 polegadas (ou superior).</w:t>
            </w:r>
            <w:r w:rsidRPr="005B62C0">
              <w:rPr>
                <w:rFonts w:ascii="Gadugi" w:eastAsia="Times New Roman" w:hAnsi="Gadugi" w:cs="Calibri"/>
                <w:color w:val="000000"/>
                <w:sz w:val="14"/>
                <w:szCs w:val="14"/>
              </w:rPr>
              <w:br/>
              <w:t>Resolução máxima: 1920x1080 pixels - Full HD (ou superior).</w:t>
            </w:r>
            <w:r w:rsidRPr="005B62C0">
              <w:rPr>
                <w:rFonts w:ascii="Gadugi" w:eastAsia="Times New Roman" w:hAnsi="Gadugi" w:cs="Calibri"/>
                <w:color w:val="000000"/>
                <w:sz w:val="14"/>
                <w:szCs w:val="14"/>
              </w:rPr>
              <w:br/>
              <w:t>Taxa de atualização em resolução máxima: 60 Hz (ou superior).</w:t>
            </w:r>
            <w:r w:rsidRPr="005B62C0">
              <w:rPr>
                <w:rFonts w:ascii="Gadugi" w:eastAsia="Times New Roman" w:hAnsi="Gadugi" w:cs="Calibri"/>
                <w:color w:val="000000"/>
                <w:sz w:val="14"/>
                <w:szCs w:val="14"/>
              </w:rPr>
              <w:br/>
              <w:t>Tempo de resposta: 15 milissegundos (ou inferior).</w:t>
            </w:r>
            <w:r w:rsidRPr="005B62C0">
              <w:rPr>
                <w:rFonts w:ascii="Gadugi" w:eastAsia="Times New Roman" w:hAnsi="Gadugi" w:cs="Calibri"/>
                <w:color w:val="000000"/>
                <w:sz w:val="14"/>
                <w:szCs w:val="14"/>
              </w:rPr>
              <w:br/>
              <w:t>Tipo de tela: LED com recurso In-Plane Switching (IPS).</w:t>
            </w:r>
            <w:r w:rsidRPr="005B62C0">
              <w:rPr>
                <w:rFonts w:ascii="Gadugi" w:eastAsia="Times New Roman" w:hAnsi="Gadugi" w:cs="Calibri"/>
                <w:color w:val="000000"/>
                <w:sz w:val="14"/>
                <w:szCs w:val="14"/>
              </w:rPr>
              <w:br/>
              <w:t>Conexões de entrada de sinal: VGA, HDMI.</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Fixação traseira: Padrão de furação VESA - 100x100mm.</w:t>
            </w:r>
            <w:r w:rsidRPr="005B62C0">
              <w:rPr>
                <w:rFonts w:ascii="Gadugi" w:eastAsia="Times New Roman" w:hAnsi="Gadugi" w:cs="Calibri"/>
                <w:color w:val="000000"/>
                <w:sz w:val="14"/>
                <w:szCs w:val="14"/>
              </w:rPr>
              <w:br/>
              <w:t>Fonte de alimentação: Inclusa (interna ou externa).</w:t>
            </w:r>
            <w:r w:rsidRPr="005B62C0">
              <w:rPr>
                <w:rFonts w:ascii="Gadugi" w:eastAsia="Times New Roman" w:hAnsi="Gadugi" w:cs="Calibri"/>
                <w:color w:val="000000"/>
                <w:sz w:val="14"/>
                <w:szCs w:val="14"/>
              </w:rPr>
              <w:br/>
              <w:t>Demais itens inclusos: Base para utilização em mesa de trabalho. Cabo de força com plugue padrão ABNT NBR 14136. Cabo de vídeo incluso (HDMI ou VGA).</w:t>
            </w:r>
          </w:p>
        </w:tc>
        <w:tc>
          <w:tcPr>
            <w:tcW w:w="729" w:type="dxa"/>
            <w:tcBorders>
              <w:top w:val="nil"/>
              <w:left w:val="nil"/>
              <w:bottom w:val="single" w:sz="4" w:space="0" w:color="auto"/>
              <w:right w:val="single" w:sz="4" w:space="0" w:color="auto"/>
            </w:tcBorders>
            <w:shd w:val="clear" w:color="auto" w:fill="auto"/>
            <w:noWrap/>
            <w:vAlign w:val="center"/>
            <w:hideMark/>
          </w:tcPr>
          <w:p w14:paraId="0212E80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2A5CD1F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30</w:t>
            </w:r>
          </w:p>
        </w:tc>
        <w:tc>
          <w:tcPr>
            <w:tcW w:w="918" w:type="dxa"/>
            <w:tcBorders>
              <w:top w:val="nil"/>
              <w:left w:val="nil"/>
              <w:bottom w:val="single" w:sz="4" w:space="0" w:color="auto"/>
              <w:right w:val="single" w:sz="4" w:space="0" w:color="auto"/>
            </w:tcBorders>
            <w:shd w:val="clear" w:color="auto" w:fill="auto"/>
            <w:noWrap/>
            <w:vAlign w:val="center"/>
            <w:hideMark/>
          </w:tcPr>
          <w:p w14:paraId="45EF3CF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R$ 578,66</w:t>
            </w:r>
          </w:p>
        </w:tc>
      </w:tr>
      <w:tr w:rsidR="005B62C0" w:rsidRPr="00CB6588" w14:paraId="3146A023"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242F167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20</w:t>
            </w:r>
          </w:p>
        </w:tc>
        <w:tc>
          <w:tcPr>
            <w:tcW w:w="6646" w:type="dxa"/>
            <w:tcBorders>
              <w:top w:val="nil"/>
              <w:left w:val="nil"/>
              <w:bottom w:val="single" w:sz="4" w:space="0" w:color="auto"/>
              <w:right w:val="single" w:sz="4" w:space="0" w:color="auto"/>
            </w:tcBorders>
            <w:shd w:val="clear" w:color="auto" w:fill="auto"/>
            <w:noWrap/>
            <w:vAlign w:val="center"/>
            <w:hideMark/>
          </w:tcPr>
          <w:p w14:paraId="3D7D1DA8"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MOUSE ÓTICO USB Tipo: Mouse com fio.</w:t>
            </w:r>
            <w:r w:rsidRPr="005B62C0">
              <w:rPr>
                <w:rFonts w:ascii="Gadugi" w:eastAsia="Times New Roman" w:hAnsi="Gadugi" w:cs="Calibri"/>
                <w:color w:val="000000"/>
                <w:sz w:val="14"/>
                <w:szCs w:val="14"/>
              </w:rPr>
              <w:br/>
              <w:t>Botões: Esquerdo, direito e central (botão central com rolagem e clique).</w:t>
            </w:r>
            <w:r w:rsidRPr="005B62C0">
              <w:rPr>
                <w:rFonts w:ascii="Gadugi" w:eastAsia="Times New Roman" w:hAnsi="Gadugi" w:cs="Calibri"/>
                <w:color w:val="000000"/>
                <w:sz w:val="14"/>
                <w:szCs w:val="14"/>
              </w:rPr>
              <w:br/>
              <w:t>Sensor: Sensor óptico.</w:t>
            </w:r>
            <w:r w:rsidRPr="005B62C0">
              <w:rPr>
                <w:rFonts w:ascii="Gadugi" w:eastAsia="Times New Roman" w:hAnsi="Gadugi" w:cs="Calibri"/>
                <w:color w:val="000000"/>
                <w:sz w:val="14"/>
                <w:szCs w:val="14"/>
              </w:rPr>
              <w:br/>
              <w:t>Resolução: Sensor com resolução de 1200 DPI (ou superior).</w:t>
            </w:r>
            <w:r w:rsidRPr="005B62C0">
              <w:rPr>
                <w:rFonts w:ascii="Gadugi" w:eastAsia="Times New Roman" w:hAnsi="Gadugi" w:cs="Calibri"/>
                <w:color w:val="000000"/>
                <w:sz w:val="14"/>
                <w:szCs w:val="14"/>
              </w:rPr>
              <w:br/>
              <w:t>Conexão: USB.</w:t>
            </w:r>
            <w:r w:rsidRPr="005B62C0">
              <w:rPr>
                <w:rFonts w:ascii="Gadugi" w:eastAsia="Times New Roman" w:hAnsi="Gadugi" w:cs="Calibri"/>
                <w:color w:val="000000"/>
                <w:sz w:val="14"/>
                <w:szCs w:val="14"/>
              </w:rPr>
              <w:br/>
              <w:t>Comprimento do cabo USB: 1,50 metros (no mínimo).</w:t>
            </w:r>
          </w:p>
        </w:tc>
        <w:tc>
          <w:tcPr>
            <w:tcW w:w="729" w:type="dxa"/>
            <w:tcBorders>
              <w:top w:val="nil"/>
              <w:left w:val="nil"/>
              <w:bottom w:val="single" w:sz="4" w:space="0" w:color="auto"/>
              <w:right w:val="single" w:sz="4" w:space="0" w:color="auto"/>
            </w:tcBorders>
            <w:shd w:val="clear" w:color="auto" w:fill="auto"/>
            <w:noWrap/>
            <w:vAlign w:val="center"/>
            <w:hideMark/>
          </w:tcPr>
          <w:p w14:paraId="03E794B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66420746"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60</w:t>
            </w:r>
          </w:p>
        </w:tc>
        <w:tc>
          <w:tcPr>
            <w:tcW w:w="918" w:type="dxa"/>
            <w:tcBorders>
              <w:top w:val="nil"/>
              <w:left w:val="nil"/>
              <w:bottom w:val="single" w:sz="4" w:space="0" w:color="auto"/>
              <w:right w:val="single" w:sz="4" w:space="0" w:color="auto"/>
            </w:tcBorders>
            <w:shd w:val="clear" w:color="auto" w:fill="auto"/>
            <w:noWrap/>
            <w:vAlign w:val="center"/>
            <w:hideMark/>
          </w:tcPr>
          <w:p w14:paraId="0E1E08D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R$ 27,91</w:t>
            </w:r>
          </w:p>
        </w:tc>
      </w:tr>
      <w:tr w:rsidR="005B62C0" w:rsidRPr="00CB6588" w14:paraId="6E8C37AA"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D7A2BBD"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21</w:t>
            </w:r>
          </w:p>
        </w:tc>
        <w:tc>
          <w:tcPr>
            <w:tcW w:w="6646" w:type="dxa"/>
            <w:tcBorders>
              <w:top w:val="nil"/>
              <w:left w:val="nil"/>
              <w:bottom w:val="single" w:sz="4" w:space="0" w:color="auto"/>
              <w:right w:val="single" w:sz="4" w:space="0" w:color="auto"/>
            </w:tcBorders>
            <w:shd w:val="clear" w:color="auto" w:fill="auto"/>
            <w:noWrap/>
            <w:vAlign w:val="center"/>
            <w:hideMark/>
          </w:tcPr>
          <w:p w14:paraId="52ECE75F" w14:textId="723D521F" w:rsidR="005B62C0" w:rsidRPr="005B62C0" w:rsidRDefault="005B62C0" w:rsidP="0059583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NO BREAK Potência: 3000 VA (ou superior).</w:t>
            </w:r>
            <w:r w:rsidRPr="005B62C0">
              <w:rPr>
                <w:rFonts w:ascii="Gadugi" w:eastAsia="Times New Roman" w:hAnsi="Gadugi" w:cs="Calibri"/>
                <w:color w:val="000000"/>
                <w:sz w:val="14"/>
                <w:szCs w:val="14"/>
              </w:rPr>
              <w:br/>
              <w:t>Tomadas: 8 tomadas (no mínimo) padrão ABNT NBR 14236.</w:t>
            </w:r>
            <w:r w:rsidRPr="005B62C0">
              <w:rPr>
                <w:rFonts w:ascii="Gadugi" w:eastAsia="Times New Roman" w:hAnsi="Gadugi" w:cs="Calibri"/>
                <w:color w:val="000000"/>
                <w:sz w:val="14"/>
                <w:szCs w:val="14"/>
              </w:rPr>
              <w:br/>
              <w:t>Proteções: Sobrecarga (proteção contra potência excedida na saída), subtensão, sobretensão, TrueRMS (análise correta de tensão e corrente da rede elétrica).</w:t>
            </w:r>
            <w:r w:rsidRPr="005B62C0">
              <w:rPr>
                <w:rFonts w:ascii="Gadugi" w:eastAsia="Times New Roman" w:hAnsi="Gadugi" w:cs="Calibri"/>
                <w:color w:val="000000"/>
                <w:sz w:val="14"/>
                <w:szCs w:val="14"/>
              </w:rPr>
              <w:br/>
              <w:t>Baterias - Disposição: 2 (no mínimo) baterias substituíveis.</w:t>
            </w:r>
            <w:r w:rsidRPr="005B62C0">
              <w:rPr>
                <w:rFonts w:ascii="Gadugi" w:eastAsia="Times New Roman" w:hAnsi="Gadugi" w:cs="Calibri"/>
                <w:color w:val="000000"/>
                <w:sz w:val="14"/>
                <w:szCs w:val="14"/>
              </w:rPr>
              <w:br/>
              <w:t>Baterias  Tensão: 12 V (no mínimo) por bateria.</w:t>
            </w:r>
            <w:r w:rsidRPr="005B62C0">
              <w:rPr>
                <w:rFonts w:ascii="Gadugi" w:eastAsia="Times New Roman" w:hAnsi="Gadugi" w:cs="Calibri"/>
                <w:color w:val="000000"/>
                <w:sz w:val="14"/>
                <w:szCs w:val="14"/>
              </w:rPr>
              <w:br/>
              <w:t>Formato de onda do inversor: Senoidal pura.</w:t>
            </w:r>
            <w:r w:rsidRPr="005B62C0">
              <w:rPr>
                <w:rFonts w:ascii="Gadugi" w:eastAsia="Times New Roman" w:hAnsi="Gadugi" w:cs="Calibri"/>
                <w:color w:val="000000"/>
                <w:sz w:val="14"/>
                <w:szCs w:val="14"/>
              </w:rPr>
              <w:br/>
              <w:t>Tensão de entrada: Bivolt automático.</w:t>
            </w:r>
            <w:r w:rsidRPr="005B62C0">
              <w:rPr>
                <w:rFonts w:ascii="Gadugi" w:eastAsia="Times New Roman" w:hAnsi="Gadugi" w:cs="Calibri"/>
                <w:color w:val="000000"/>
                <w:sz w:val="14"/>
                <w:szCs w:val="14"/>
              </w:rPr>
              <w:br/>
              <w:t>Tensão de saída: Bivolt.</w:t>
            </w:r>
            <w:r w:rsidRPr="005B62C0">
              <w:rPr>
                <w:rFonts w:ascii="Gadugi" w:eastAsia="Times New Roman" w:hAnsi="Gadugi" w:cs="Calibri"/>
                <w:color w:val="000000"/>
                <w:sz w:val="14"/>
                <w:szCs w:val="14"/>
              </w:rPr>
              <w:br/>
              <w:t>Cabo de força: Plugue padrão ABNT NBR 14136.</w:t>
            </w:r>
          </w:p>
        </w:tc>
        <w:tc>
          <w:tcPr>
            <w:tcW w:w="729" w:type="dxa"/>
            <w:tcBorders>
              <w:top w:val="nil"/>
              <w:left w:val="nil"/>
              <w:bottom w:val="single" w:sz="4" w:space="0" w:color="auto"/>
              <w:right w:val="single" w:sz="4" w:space="0" w:color="auto"/>
            </w:tcBorders>
            <w:shd w:val="clear" w:color="auto" w:fill="auto"/>
            <w:noWrap/>
            <w:vAlign w:val="center"/>
            <w:hideMark/>
          </w:tcPr>
          <w:p w14:paraId="65750F23"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56D29392"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12</w:t>
            </w:r>
          </w:p>
        </w:tc>
        <w:tc>
          <w:tcPr>
            <w:tcW w:w="918" w:type="dxa"/>
            <w:tcBorders>
              <w:top w:val="nil"/>
              <w:left w:val="nil"/>
              <w:bottom w:val="single" w:sz="4" w:space="0" w:color="auto"/>
              <w:right w:val="single" w:sz="4" w:space="0" w:color="auto"/>
            </w:tcBorders>
            <w:shd w:val="clear" w:color="auto" w:fill="auto"/>
            <w:noWrap/>
            <w:vAlign w:val="center"/>
            <w:hideMark/>
          </w:tcPr>
          <w:p w14:paraId="67742A6B"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R$ 4.463,00</w:t>
            </w:r>
          </w:p>
        </w:tc>
      </w:tr>
      <w:tr w:rsidR="005B62C0" w:rsidRPr="00CB6588" w14:paraId="1A073C78"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4406B13"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22</w:t>
            </w:r>
          </w:p>
        </w:tc>
        <w:tc>
          <w:tcPr>
            <w:tcW w:w="6646" w:type="dxa"/>
            <w:tcBorders>
              <w:top w:val="nil"/>
              <w:left w:val="nil"/>
              <w:bottom w:val="single" w:sz="4" w:space="0" w:color="auto"/>
              <w:right w:val="single" w:sz="4" w:space="0" w:color="auto"/>
            </w:tcBorders>
            <w:shd w:val="clear" w:color="auto" w:fill="auto"/>
            <w:noWrap/>
            <w:vAlign w:val="center"/>
            <w:hideMark/>
          </w:tcPr>
          <w:p w14:paraId="0658643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NOTEBOOK Notebook - 15.6 polegadas com SSD</w:t>
            </w:r>
            <w:r w:rsidRPr="005B62C0">
              <w:rPr>
                <w:rFonts w:ascii="Gadugi" w:eastAsia="Times New Roman" w:hAnsi="Gadugi" w:cs="Calibri"/>
                <w:color w:val="000000"/>
                <w:sz w:val="14"/>
                <w:szCs w:val="14"/>
              </w:rPr>
              <w:br/>
              <w:t>Processador - Arquitetura: X86-64.</w:t>
            </w:r>
            <w:r w:rsidRPr="005B62C0">
              <w:rPr>
                <w:rFonts w:ascii="Gadugi" w:eastAsia="Times New Roman" w:hAnsi="Gadugi" w:cs="Calibri"/>
                <w:color w:val="000000"/>
                <w:sz w:val="14"/>
                <w:szCs w:val="14"/>
              </w:rPr>
              <w:br/>
              <w:t>Processador - Frequência base: 1,8 GHz (no mínimo, sem necessidade de overclock via software, overclock via hardware, Thermal Velocity Boost, Turbo Max Core Speed, Max Turbo, Turbo Boost, Precision Boost para alcançar tal frequência).</w:t>
            </w:r>
            <w:r w:rsidRPr="005B62C0">
              <w:rPr>
                <w:rFonts w:ascii="Gadugi" w:eastAsia="Times New Roman" w:hAnsi="Gadugi" w:cs="Calibri"/>
                <w:color w:val="000000"/>
                <w:sz w:val="14"/>
                <w:szCs w:val="14"/>
              </w:rPr>
              <w:br/>
              <w:t>Processador - Frequência turbo: 4,3 GHz (ou superior).</w:t>
            </w:r>
            <w:r w:rsidRPr="005B62C0">
              <w:rPr>
                <w:rFonts w:ascii="Gadugi" w:eastAsia="Times New Roman" w:hAnsi="Gadugi" w:cs="Calibri"/>
                <w:color w:val="000000"/>
                <w:sz w:val="14"/>
                <w:szCs w:val="14"/>
              </w:rPr>
              <w:br/>
              <w:t>Processador - Núcleos físicos: 8 cores (no mínimo).</w:t>
            </w:r>
            <w:r w:rsidRPr="005B62C0">
              <w:rPr>
                <w:rFonts w:ascii="Gadugi" w:eastAsia="Times New Roman" w:hAnsi="Gadugi" w:cs="Calibri"/>
                <w:color w:val="000000"/>
                <w:sz w:val="14"/>
                <w:szCs w:val="14"/>
              </w:rPr>
              <w:br/>
              <w:t>Processador - Núcleos lógicos: 12 threads (no mínimo).</w:t>
            </w:r>
            <w:r w:rsidRPr="005B62C0">
              <w:rPr>
                <w:rFonts w:ascii="Gadugi" w:eastAsia="Times New Roman" w:hAnsi="Gadugi" w:cs="Calibri"/>
                <w:color w:val="000000"/>
                <w:sz w:val="14"/>
                <w:szCs w:val="14"/>
              </w:rPr>
              <w:br/>
              <w:t>Processador - Memória cache: 8 MB (no mínimo).</w:t>
            </w:r>
            <w:r w:rsidRPr="005B62C0">
              <w:rPr>
                <w:rFonts w:ascii="Gadugi" w:eastAsia="Times New Roman" w:hAnsi="Gadugi" w:cs="Calibri"/>
                <w:color w:val="000000"/>
                <w:sz w:val="14"/>
                <w:szCs w:val="14"/>
              </w:rPr>
              <w:br/>
              <w:t>Memória RAM - Instalada: 8 GB (no mínimo).</w:t>
            </w:r>
            <w:r w:rsidRPr="005B62C0">
              <w:rPr>
                <w:rFonts w:ascii="Gadugi" w:eastAsia="Times New Roman" w:hAnsi="Gadugi" w:cs="Calibri"/>
                <w:color w:val="000000"/>
                <w:sz w:val="14"/>
                <w:szCs w:val="14"/>
              </w:rPr>
              <w:br/>
              <w:t>Memória RAM - Padrão: DDR4.</w:t>
            </w:r>
            <w:r w:rsidRPr="005B62C0">
              <w:rPr>
                <w:rFonts w:ascii="Gadugi" w:eastAsia="Times New Roman" w:hAnsi="Gadugi" w:cs="Calibri"/>
                <w:color w:val="000000"/>
                <w:sz w:val="14"/>
                <w:szCs w:val="14"/>
              </w:rPr>
              <w:br/>
              <w:t>Armazenamento  Capacidade: 256 GB (ou superior).</w:t>
            </w:r>
            <w:r w:rsidRPr="005B62C0">
              <w:rPr>
                <w:rFonts w:ascii="Gadugi" w:eastAsia="Times New Roman" w:hAnsi="Gadugi" w:cs="Calibri"/>
                <w:color w:val="000000"/>
                <w:sz w:val="14"/>
                <w:szCs w:val="14"/>
              </w:rPr>
              <w:br/>
              <w:t>Armazenamento  Interface: SSD M.2 NVMe.</w:t>
            </w:r>
            <w:r w:rsidRPr="005B62C0">
              <w:rPr>
                <w:rFonts w:ascii="Gadugi" w:eastAsia="Times New Roman" w:hAnsi="Gadugi" w:cs="Calibri"/>
                <w:color w:val="000000"/>
                <w:sz w:val="14"/>
                <w:szCs w:val="14"/>
              </w:rPr>
              <w:br/>
              <w:t>Tela - Tamanho: 15,6 polegadas (ou superior).</w:t>
            </w:r>
            <w:r w:rsidRPr="005B62C0">
              <w:rPr>
                <w:rFonts w:ascii="Gadugi" w:eastAsia="Times New Roman" w:hAnsi="Gadugi" w:cs="Calibri"/>
                <w:color w:val="000000"/>
                <w:sz w:val="14"/>
                <w:szCs w:val="14"/>
              </w:rPr>
              <w:br/>
              <w:t>Tela  Recursos: Tela antirreflexiva (sem uso de adesivos antirreflexivos).</w:t>
            </w:r>
            <w:r w:rsidRPr="005B62C0">
              <w:rPr>
                <w:rFonts w:ascii="Gadugi" w:eastAsia="Times New Roman" w:hAnsi="Gadugi" w:cs="Calibri"/>
                <w:color w:val="000000"/>
                <w:sz w:val="14"/>
                <w:szCs w:val="14"/>
              </w:rPr>
              <w:br/>
              <w:t>Tela - Resolução máxima: 1920X1080 (ou superior).</w:t>
            </w:r>
            <w:r w:rsidRPr="005B62C0">
              <w:rPr>
                <w:rFonts w:ascii="Gadugi" w:eastAsia="Times New Roman" w:hAnsi="Gadugi" w:cs="Calibri"/>
                <w:color w:val="000000"/>
                <w:sz w:val="14"/>
                <w:szCs w:val="14"/>
              </w:rPr>
              <w:br/>
              <w:t>Tela - Taxa de atualização em resolução máxima: 60 Hz (ou superior).</w:t>
            </w:r>
            <w:r w:rsidRPr="005B62C0">
              <w:rPr>
                <w:rFonts w:ascii="Gadugi" w:eastAsia="Times New Roman" w:hAnsi="Gadugi" w:cs="Calibri"/>
                <w:color w:val="000000"/>
                <w:sz w:val="14"/>
                <w:szCs w:val="14"/>
              </w:rPr>
              <w:br/>
              <w:t>Multimídia - Placa de som: Placa de som integrada  placa-mãe com dois alto-falantes embutidos.</w:t>
            </w:r>
            <w:r w:rsidRPr="005B62C0">
              <w:rPr>
                <w:rFonts w:ascii="Gadugi" w:eastAsia="Times New Roman" w:hAnsi="Gadugi" w:cs="Calibri"/>
                <w:color w:val="000000"/>
                <w:sz w:val="14"/>
                <w:szCs w:val="14"/>
              </w:rPr>
              <w:br/>
              <w:t>Multimídia - Microfone: Microfone embutido.</w:t>
            </w:r>
            <w:r w:rsidRPr="005B62C0">
              <w:rPr>
                <w:rFonts w:ascii="Gadugi" w:eastAsia="Times New Roman" w:hAnsi="Gadugi" w:cs="Calibri"/>
                <w:color w:val="000000"/>
                <w:sz w:val="14"/>
                <w:szCs w:val="14"/>
              </w:rPr>
              <w:br/>
              <w:t>Teclado integrado ao aparelho - Teclado central: Alfanumérico.</w:t>
            </w:r>
            <w:r w:rsidRPr="005B62C0">
              <w:rPr>
                <w:rFonts w:ascii="Gadugi" w:eastAsia="Times New Roman" w:hAnsi="Gadugi" w:cs="Calibri"/>
                <w:color w:val="000000"/>
                <w:sz w:val="14"/>
                <w:szCs w:val="14"/>
              </w:rPr>
              <w:br/>
              <w:t>Teclado integrado ao aparelho - Teclado direito: Numérico.</w:t>
            </w:r>
            <w:r w:rsidRPr="005B62C0">
              <w:rPr>
                <w:rFonts w:ascii="Gadugi" w:eastAsia="Times New Roman" w:hAnsi="Gadugi" w:cs="Calibri"/>
                <w:color w:val="000000"/>
                <w:sz w:val="14"/>
                <w:szCs w:val="14"/>
              </w:rPr>
              <w:br/>
              <w:t>Mouse integrado ao aparelho  Tipo: Touchpad.</w:t>
            </w:r>
            <w:r w:rsidRPr="005B62C0">
              <w:rPr>
                <w:rFonts w:ascii="Gadugi" w:eastAsia="Times New Roman" w:hAnsi="Gadugi" w:cs="Calibri"/>
                <w:color w:val="000000"/>
                <w:sz w:val="14"/>
                <w:szCs w:val="14"/>
              </w:rPr>
              <w:br/>
              <w:t>Mouse integrado ao aparelho  Botões: 2 botões integrados (no mínimo).</w:t>
            </w:r>
            <w:r w:rsidRPr="005B62C0">
              <w:rPr>
                <w:rFonts w:ascii="Gadugi" w:eastAsia="Times New Roman" w:hAnsi="Gadugi" w:cs="Calibri"/>
                <w:color w:val="000000"/>
                <w:sz w:val="14"/>
                <w:szCs w:val="14"/>
              </w:rPr>
              <w:br/>
              <w:t>Rede WLAN  Frequências: Dual band (5 GHz e 2.4 GHz).</w:t>
            </w:r>
            <w:r w:rsidRPr="005B62C0">
              <w:rPr>
                <w:rFonts w:ascii="Gadugi" w:eastAsia="Times New Roman" w:hAnsi="Gadugi" w:cs="Calibri"/>
                <w:color w:val="000000"/>
                <w:sz w:val="14"/>
                <w:szCs w:val="14"/>
              </w:rPr>
              <w:br/>
              <w:t>Rede WLAN  Arquiteturas 2.4 GHz: IEEE 802.11b, IEEE 802.11g, IEEE 802.11n.</w:t>
            </w:r>
            <w:r w:rsidRPr="005B62C0">
              <w:rPr>
                <w:rFonts w:ascii="Gadugi" w:eastAsia="Times New Roman" w:hAnsi="Gadugi" w:cs="Calibri"/>
                <w:color w:val="000000"/>
                <w:sz w:val="14"/>
                <w:szCs w:val="14"/>
              </w:rPr>
              <w:br/>
              <w:t>Rede WLAN - Arquiteturas: IEEE 802.11ac ou IEEE 802.11ax.</w:t>
            </w:r>
            <w:r w:rsidRPr="005B62C0">
              <w:rPr>
                <w:rFonts w:ascii="Gadugi" w:eastAsia="Times New Roman" w:hAnsi="Gadugi" w:cs="Calibri"/>
                <w:color w:val="000000"/>
                <w:sz w:val="14"/>
                <w:szCs w:val="14"/>
              </w:rPr>
              <w:br/>
              <w:t>Rede LAN - Transferência de dados: 10/100/1000 Mbps.</w:t>
            </w:r>
            <w:r w:rsidRPr="005B62C0">
              <w:rPr>
                <w:rFonts w:ascii="Gadugi" w:eastAsia="Times New Roman" w:hAnsi="Gadugi" w:cs="Calibri"/>
                <w:color w:val="000000"/>
                <w:sz w:val="14"/>
                <w:szCs w:val="14"/>
              </w:rPr>
              <w:br/>
              <w:t>Conexões externas integradas ao chassi do aparelho: Duas portas (no mínimo) USB (sendo, no mínimo, uma destas USB 3). Uma porta (no mínimo) HDMI (para ligação em um monitor extra). Uma porta (no mínimo) RJ45 Gigabit. Uma entrada (no mínimo) para cartão MicroSD.</w:t>
            </w:r>
            <w:r w:rsidRPr="005B62C0">
              <w:rPr>
                <w:rFonts w:ascii="Gadugi" w:eastAsia="Times New Roman" w:hAnsi="Gadugi" w:cs="Calibri"/>
                <w:color w:val="000000"/>
                <w:sz w:val="14"/>
                <w:szCs w:val="14"/>
              </w:rPr>
              <w:br/>
              <w:t>Fonte de alimentação - Tipo: Externa.</w:t>
            </w:r>
            <w:r w:rsidRPr="005B62C0">
              <w:rPr>
                <w:rFonts w:ascii="Gadugi" w:eastAsia="Times New Roman" w:hAnsi="Gadugi" w:cs="Calibri"/>
                <w:color w:val="000000"/>
                <w:sz w:val="14"/>
                <w:szCs w:val="14"/>
              </w:rPr>
              <w:br/>
              <w:t>Fonte de alimentação - Tensão de entrada: Bivolt automático.</w:t>
            </w:r>
            <w:r w:rsidRPr="005B62C0">
              <w:rPr>
                <w:rFonts w:ascii="Gadugi" w:eastAsia="Times New Roman" w:hAnsi="Gadugi" w:cs="Calibri"/>
                <w:color w:val="000000"/>
                <w:sz w:val="14"/>
                <w:szCs w:val="14"/>
              </w:rPr>
              <w:br/>
              <w:t>Fonte de alimentação - Cabo de força: Plugue padrão ABNT NBR 14136.</w:t>
            </w:r>
            <w:r w:rsidRPr="005B62C0">
              <w:rPr>
                <w:rFonts w:ascii="Gadugi" w:eastAsia="Times New Roman" w:hAnsi="Gadugi" w:cs="Calibri"/>
                <w:color w:val="000000"/>
                <w:sz w:val="14"/>
                <w:szCs w:val="14"/>
              </w:rPr>
              <w:br/>
              <w:t>Bateria  Tipo: Interna.</w:t>
            </w:r>
            <w:r w:rsidRPr="005B62C0">
              <w:rPr>
                <w:rFonts w:ascii="Gadugi" w:eastAsia="Times New Roman" w:hAnsi="Gadugi" w:cs="Calibri"/>
                <w:color w:val="000000"/>
                <w:sz w:val="14"/>
                <w:szCs w:val="14"/>
              </w:rPr>
              <w:br/>
              <w:t>Bateria  Especificação Watt-hora: 42 Wh (no mínimo).</w:t>
            </w:r>
            <w:r w:rsidRPr="005B62C0">
              <w:rPr>
                <w:rFonts w:ascii="Gadugi" w:eastAsia="Times New Roman" w:hAnsi="Gadugi" w:cs="Calibri"/>
                <w:color w:val="000000"/>
                <w:sz w:val="14"/>
                <w:szCs w:val="14"/>
              </w:rPr>
              <w:br/>
              <w:t>Sistema operacional: Windows 11 (64-bits) original (com chave de ativação ou licença digital). Não pode ser pré-instalado.</w:t>
            </w:r>
          </w:p>
        </w:tc>
        <w:tc>
          <w:tcPr>
            <w:tcW w:w="729" w:type="dxa"/>
            <w:tcBorders>
              <w:top w:val="nil"/>
              <w:left w:val="nil"/>
              <w:bottom w:val="single" w:sz="4" w:space="0" w:color="auto"/>
              <w:right w:val="single" w:sz="4" w:space="0" w:color="auto"/>
            </w:tcBorders>
            <w:shd w:val="clear" w:color="auto" w:fill="auto"/>
            <w:noWrap/>
            <w:vAlign w:val="center"/>
            <w:hideMark/>
          </w:tcPr>
          <w:p w14:paraId="0808465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407EC388"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15</w:t>
            </w:r>
          </w:p>
        </w:tc>
        <w:tc>
          <w:tcPr>
            <w:tcW w:w="918" w:type="dxa"/>
            <w:tcBorders>
              <w:top w:val="nil"/>
              <w:left w:val="nil"/>
              <w:bottom w:val="single" w:sz="4" w:space="0" w:color="auto"/>
              <w:right w:val="single" w:sz="4" w:space="0" w:color="auto"/>
            </w:tcBorders>
            <w:shd w:val="clear" w:color="auto" w:fill="auto"/>
            <w:noWrap/>
            <w:vAlign w:val="center"/>
            <w:hideMark/>
          </w:tcPr>
          <w:p w14:paraId="5A20090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R$ 4.805,09</w:t>
            </w:r>
          </w:p>
        </w:tc>
      </w:tr>
      <w:tr w:rsidR="005B62C0" w:rsidRPr="00CB6588" w14:paraId="4A2B082F"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22A782CA"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23</w:t>
            </w:r>
          </w:p>
        </w:tc>
        <w:tc>
          <w:tcPr>
            <w:tcW w:w="6646" w:type="dxa"/>
            <w:tcBorders>
              <w:top w:val="nil"/>
              <w:left w:val="nil"/>
              <w:bottom w:val="single" w:sz="4" w:space="0" w:color="auto"/>
              <w:right w:val="single" w:sz="4" w:space="0" w:color="auto"/>
            </w:tcBorders>
            <w:shd w:val="clear" w:color="auto" w:fill="auto"/>
            <w:noWrap/>
            <w:vAlign w:val="center"/>
            <w:hideMark/>
          </w:tcPr>
          <w:p w14:paraId="0F5145E5" w14:textId="4F71119E" w:rsidR="005B62C0" w:rsidRPr="005B62C0" w:rsidRDefault="005B62C0" w:rsidP="0059583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PEN DRIVE 32 GB Capacidade: 32 GB.</w:t>
            </w:r>
            <w:r w:rsidRPr="005B62C0">
              <w:rPr>
                <w:rFonts w:ascii="Gadugi" w:eastAsia="Times New Roman" w:hAnsi="Gadugi" w:cs="Calibri"/>
                <w:color w:val="000000"/>
                <w:sz w:val="14"/>
                <w:szCs w:val="14"/>
              </w:rPr>
              <w:br/>
              <w:t>Conexão: USB 3.0 (ou superior).</w:t>
            </w:r>
            <w:r w:rsidRPr="005B62C0">
              <w:rPr>
                <w:rFonts w:ascii="Gadugi" w:eastAsia="Times New Roman" w:hAnsi="Gadugi" w:cs="Calibri"/>
                <w:color w:val="000000"/>
                <w:sz w:val="14"/>
                <w:szCs w:val="14"/>
              </w:rPr>
              <w:br/>
              <w:t>Velocidade de leitura: 100 MBps (no mínimo).</w:t>
            </w:r>
            <w:r w:rsidRPr="005B62C0">
              <w:rPr>
                <w:rFonts w:ascii="Gadugi" w:eastAsia="Times New Roman" w:hAnsi="Gadugi" w:cs="Calibri"/>
                <w:color w:val="000000"/>
                <w:sz w:val="14"/>
                <w:szCs w:val="14"/>
              </w:rPr>
              <w:br/>
              <w:t>Transferência de dados: Via conexão USB.</w:t>
            </w:r>
          </w:p>
        </w:tc>
        <w:tc>
          <w:tcPr>
            <w:tcW w:w="729" w:type="dxa"/>
            <w:tcBorders>
              <w:top w:val="nil"/>
              <w:left w:val="nil"/>
              <w:bottom w:val="single" w:sz="4" w:space="0" w:color="auto"/>
              <w:right w:val="single" w:sz="4" w:space="0" w:color="auto"/>
            </w:tcBorders>
            <w:shd w:val="clear" w:color="auto" w:fill="auto"/>
            <w:noWrap/>
            <w:vAlign w:val="center"/>
            <w:hideMark/>
          </w:tcPr>
          <w:p w14:paraId="3BF312B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7722F7D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20</w:t>
            </w:r>
          </w:p>
        </w:tc>
        <w:tc>
          <w:tcPr>
            <w:tcW w:w="918" w:type="dxa"/>
            <w:tcBorders>
              <w:top w:val="nil"/>
              <w:left w:val="nil"/>
              <w:bottom w:val="single" w:sz="4" w:space="0" w:color="auto"/>
              <w:right w:val="single" w:sz="4" w:space="0" w:color="auto"/>
            </w:tcBorders>
            <w:shd w:val="clear" w:color="auto" w:fill="auto"/>
            <w:noWrap/>
            <w:vAlign w:val="center"/>
            <w:hideMark/>
          </w:tcPr>
          <w:p w14:paraId="138AAD6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R$ 58,16</w:t>
            </w:r>
          </w:p>
        </w:tc>
      </w:tr>
      <w:tr w:rsidR="005B62C0" w:rsidRPr="00CB6588" w14:paraId="0D401B25"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FE5BCA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24</w:t>
            </w:r>
          </w:p>
        </w:tc>
        <w:tc>
          <w:tcPr>
            <w:tcW w:w="6646" w:type="dxa"/>
            <w:tcBorders>
              <w:top w:val="nil"/>
              <w:left w:val="nil"/>
              <w:bottom w:val="single" w:sz="4" w:space="0" w:color="auto"/>
              <w:right w:val="single" w:sz="4" w:space="0" w:color="auto"/>
            </w:tcBorders>
            <w:shd w:val="clear" w:color="auto" w:fill="auto"/>
            <w:noWrap/>
            <w:vAlign w:val="center"/>
            <w:hideMark/>
          </w:tcPr>
          <w:p w14:paraId="5B833ABE" w14:textId="0CFA50F5" w:rsidR="005B62C0" w:rsidRPr="005B62C0" w:rsidRDefault="005B62C0" w:rsidP="0059583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PENDRIVE 128 GB Conexão: USB 3.0 (ou superior);</w:t>
            </w:r>
            <w:r w:rsidRPr="005B62C0">
              <w:rPr>
                <w:rFonts w:ascii="Gadugi" w:eastAsia="Times New Roman" w:hAnsi="Gadugi" w:cs="Calibri"/>
                <w:color w:val="000000"/>
                <w:sz w:val="14"/>
                <w:szCs w:val="14"/>
              </w:rPr>
              <w:br/>
              <w:t>Velocidade de leitura: 100MBps (no mínimo);</w:t>
            </w:r>
            <w:r w:rsidRPr="005B62C0">
              <w:rPr>
                <w:rFonts w:ascii="Gadugi" w:eastAsia="Times New Roman" w:hAnsi="Gadugi" w:cs="Calibri"/>
                <w:color w:val="000000"/>
                <w:sz w:val="14"/>
                <w:szCs w:val="14"/>
              </w:rPr>
              <w:br/>
              <w:t>Transferência de dados: Via conexão USB.</w:t>
            </w:r>
          </w:p>
        </w:tc>
        <w:tc>
          <w:tcPr>
            <w:tcW w:w="729" w:type="dxa"/>
            <w:tcBorders>
              <w:top w:val="nil"/>
              <w:left w:val="nil"/>
              <w:bottom w:val="single" w:sz="4" w:space="0" w:color="auto"/>
              <w:right w:val="single" w:sz="4" w:space="0" w:color="auto"/>
            </w:tcBorders>
            <w:shd w:val="clear" w:color="auto" w:fill="auto"/>
            <w:noWrap/>
            <w:vAlign w:val="center"/>
            <w:hideMark/>
          </w:tcPr>
          <w:p w14:paraId="5471706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EF1F00B"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15</w:t>
            </w:r>
          </w:p>
        </w:tc>
        <w:tc>
          <w:tcPr>
            <w:tcW w:w="918" w:type="dxa"/>
            <w:tcBorders>
              <w:top w:val="nil"/>
              <w:left w:val="nil"/>
              <w:bottom w:val="single" w:sz="4" w:space="0" w:color="auto"/>
              <w:right w:val="single" w:sz="4" w:space="0" w:color="auto"/>
            </w:tcBorders>
            <w:shd w:val="clear" w:color="auto" w:fill="auto"/>
            <w:noWrap/>
            <w:vAlign w:val="center"/>
            <w:hideMark/>
          </w:tcPr>
          <w:p w14:paraId="42929A8E"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R$ 73,37</w:t>
            </w:r>
          </w:p>
        </w:tc>
      </w:tr>
      <w:tr w:rsidR="005B62C0" w:rsidRPr="00CB6588" w14:paraId="7FD7CDCC"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F5E20F2"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25</w:t>
            </w:r>
          </w:p>
        </w:tc>
        <w:tc>
          <w:tcPr>
            <w:tcW w:w="6646" w:type="dxa"/>
            <w:tcBorders>
              <w:top w:val="nil"/>
              <w:left w:val="nil"/>
              <w:bottom w:val="single" w:sz="4" w:space="0" w:color="auto"/>
              <w:right w:val="single" w:sz="4" w:space="0" w:color="auto"/>
            </w:tcBorders>
            <w:shd w:val="clear" w:color="auto" w:fill="auto"/>
            <w:noWrap/>
            <w:vAlign w:val="center"/>
            <w:hideMark/>
          </w:tcPr>
          <w:p w14:paraId="0922E133" w14:textId="527BD06C" w:rsidR="005B62C0" w:rsidRPr="005B62C0" w:rsidRDefault="005B62C0" w:rsidP="006E2A11">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PENTE DE MEMORIA DDR4 8 GB Tensão de alimentação: 1,2 volts;</w:t>
            </w:r>
            <w:r w:rsidRPr="005B62C0">
              <w:rPr>
                <w:rFonts w:ascii="Gadugi" w:eastAsia="Times New Roman" w:hAnsi="Gadugi" w:cs="Calibri"/>
                <w:color w:val="000000"/>
                <w:sz w:val="14"/>
                <w:szCs w:val="14"/>
              </w:rPr>
              <w:br/>
              <w:t>Frequência de operação: 2133 MHZ (ou superior);</w:t>
            </w:r>
            <w:r w:rsidRPr="005B62C0">
              <w:rPr>
                <w:rFonts w:ascii="Gadugi" w:eastAsia="Times New Roman" w:hAnsi="Gadugi" w:cs="Calibri"/>
                <w:color w:val="000000"/>
                <w:sz w:val="14"/>
                <w:szCs w:val="14"/>
              </w:rPr>
              <w:br/>
              <w:t>Capacidade: 8 gigabytes (no mínimo).</w:t>
            </w:r>
          </w:p>
        </w:tc>
        <w:tc>
          <w:tcPr>
            <w:tcW w:w="729" w:type="dxa"/>
            <w:tcBorders>
              <w:top w:val="nil"/>
              <w:left w:val="nil"/>
              <w:bottom w:val="single" w:sz="4" w:space="0" w:color="auto"/>
              <w:right w:val="single" w:sz="4" w:space="0" w:color="auto"/>
            </w:tcBorders>
            <w:shd w:val="clear" w:color="auto" w:fill="auto"/>
            <w:noWrap/>
            <w:vAlign w:val="center"/>
            <w:hideMark/>
          </w:tcPr>
          <w:p w14:paraId="1A26099E"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404BACB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918" w:type="dxa"/>
            <w:tcBorders>
              <w:top w:val="nil"/>
              <w:left w:val="nil"/>
              <w:bottom w:val="single" w:sz="4" w:space="0" w:color="auto"/>
              <w:right w:val="single" w:sz="4" w:space="0" w:color="auto"/>
            </w:tcBorders>
            <w:shd w:val="clear" w:color="auto" w:fill="auto"/>
            <w:noWrap/>
            <w:vAlign w:val="center"/>
            <w:hideMark/>
          </w:tcPr>
          <w:p w14:paraId="322CE848"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R$ 269,95</w:t>
            </w:r>
          </w:p>
        </w:tc>
      </w:tr>
      <w:tr w:rsidR="005B62C0" w:rsidRPr="00CB6588" w14:paraId="2C199D46"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4FEFB6E"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26</w:t>
            </w:r>
          </w:p>
        </w:tc>
        <w:tc>
          <w:tcPr>
            <w:tcW w:w="6646" w:type="dxa"/>
            <w:tcBorders>
              <w:top w:val="nil"/>
              <w:left w:val="nil"/>
              <w:bottom w:val="single" w:sz="4" w:space="0" w:color="auto"/>
              <w:right w:val="single" w:sz="4" w:space="0" w:color="auto"/>
            </w:tcBorders>
            <w:shd w:val="clear" w:color="auto" w:fill="auto"/>
            <w:noWrap/>
            <w:vAlign w:val="center"/>
            <w:hideMark/>
          </w:tcPr>
          <w:p w14:paraId="1500693B" w14:textId="2CBEBA08"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PROJETOR MULTIMIDIA Entradas de vídeo: HDMI e VGA;</w:t>
            </w:r>
            <w:r w:rsidRPr="005B62C0">
              <w:rPr>
                <w:rFonts w:ascii="Gadugi" w:eastAsia="Times New Roman" w:hAnsi="Gadugi" w:cs="Calibri"/>
                <w:color w:val="000000"/>
                <w:sz w:val="14"/>
                <w:szCs w:val="14"/>
              </w:rPr>
              <w:br/>
              <w:t>Brilho: 3300 ANSI lumens (ou superior);</w:t>
            </w:r>
            <w:r w:rsidR="006E2A11"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Bivolt;</w:t>
            </w:r>
            <w:r w:rsidRPr="005B62C0">
              <w:rPr>
                <w:rFonts w:ascii="Gadugi" w:eastAsia="Times New Roman" w:hAnsi="Gadugi" w:cs="Calibri"/>
                <w:color w:val="000000"/>
                <w:sz w:val="14"/>
                <w:szCs w:val="14"/>
              </w:rPr>
              <w:br/>
              <w:t>Demais itens inclusos: Controle remoto, manual de instruções, cabo de força com plugue ABNT NBR 14136.</w:t>
            </w:r>
          </w:p>
        </w:tc>
        <w:tc>
          <w:tcPr>
            <w:tcW w:w="729" w:type="dxa"/>
            <w:tcBorders>
              <w:top w:val="nil"/>
              <w:left w:val="nil"/>
              <w:bottom w:val="single" w:sz="4" w:space="0" w:color="auto"/>
              <w:right w:val="single" w:sz="4" w:space="0" w:color="auto"/>
            </w:tcBorders>
            <w:shd w:val="clear" w:color="auto" w:fill="auto"/>
            <w:noWrap/>
            <w:vAlign w:val="center"/>
            <w:hideMark/>
          </w:tcPr>
          <w:p w14:paraId="4BD1ADB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4602F31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918" w:type="dxa"/>
            <w:tcBorders>
              <w:top w:val="nil"/>
              <w:left w:val="nil"/>
              <w:bottom w:val="single" w:sz="4" w:space="0" w:color="auto"/>
              <w:right w:val="single" w:sz="4" w:space="0" w:color="auto"/>
            </w:tcBorders>
            <w:shd w:val="clear" w:color="auto" w:fill="auto"/>
            <w:noWrap/>
            <w:vAlign w:val="center"/>
            <w:hideMark/>
          </w:tcPr>
          <w:p w14:paraId="7A33B0F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R$ 5.663,17</w:t>
            </w:r>
          </w:p>
        </w:tc>
      </w:tr>
      <w:tr w:rsidR="005B62C0" w:rsidRPr="00CB6588" w14:paraId="51D50AB6"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DB3454B"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27</w:t>
            </w:r>
          </w:p>
        </w:tc>
        <w:tc>
          <w:tcPr>
            <w:tcW w:w="6646" w:type="dxa"/>
            <w:tcBorders>
              <w:top w:val="nil"/>
              <w:left w:val="nil"/>
              <w:bottom w:val="single" w:sz="4" w:space="0" w:color="auto"/>
              <w:right w:val="single" w:sz="4" w:space="0" w:color="auto"/>
            </w:tcBorders>
            <w:shd w:val="clear" w:color="auto" w:fill="auto"/>
            <w:noWrap/>
            <w:vAlign w:val="center"/>
            <w:hideMark/>
          </w:tcPr>
          <w:p w14:paraId="1176374C" w14:textId="094F9FC0"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SSDS Capacidade de armazenamento: 1 TB (ou superior);</w:t>
            </w:r>
            <w:r w:rsidRPr="005B62C0">
              <w:rPr>
                <w:rFonts w:ascii="Gadugi" w:eastAsia="Times New Roman" w:hAnsi="Gadugi" w:cs="Calibri"/>
                <w:color w:val="000000"/>
                <w:sz w:val="14"/>
                <w:szCs w:val="14"/>
              </w:rPr>
              <w:br/>
              <w:t>Especificação: Unidade de estado sólido (SSD) M. 2 NVMe;</w:t>
            </w:r>
            <w:r w:rsidRPr="005B62C0">
              <w:rPr>
                <w:rFonts w:ascii="Gadugi" w:eastAsia="Times New Roman" w:hAnsi="Gadugi" w:cs="Calibri"/>
                <w:color w:val="000000"/>
                <w:sz w:val="14"/>
                <w:szCs w:val="14"/>
              </w:rPr>
              <w:br/>
              <w:t>Interface: PCIe Gen 3 (ou superior);</w:t>
            </w:r>
            <w:r w:rsidRPr="005B62C0">
              <w:rPr>
                <w:rFonts w:ascii="Gadugi" w:eastAsia="Times New Roman" w:hAnsi="Gadugi" w:cs="Calibri"/>
                <w:color w:val="000000"/>
                <w:sz w:val="14"/>
                <w:szCs w:val="14"/>
              </w:rPr>
              <w:br/>
              <w:t>Tamanho: Padrão M.2.2280;</w:t>
            </w:r>
            <w:r w:rsidRPr="005B62C0">
              <w:rPr>
                <w:rFonts w:ascii="Gadugi" w:eastAsia="Times New Roman" w:hAnsi="Gadugi" w:cs="Calibri"/>
                <w:color w:val="000000"/>
                <w:sz w:val="14"/>
                <w:szCs w:val="14"/>
              </w:rPr>
              <w:br/>
              <w:t>Velocidade de leitura de dados: 5000 MB/s (ou superior);</w:t>
            </w:r>
            <w:r w:rsidRPr="005B62C0">
              <w:rPr>
                <w:rFonts w:ascii="Gadugi" w:eastAsia="Times New Roman" w:hAnsi="Gadugi" w:cs="Calibri"/>
                <w:color w:val="000000"/>
                <w:sz w:val="14"/>
                <w:szCs w:val="14"/>
              </w:rPr>
              <w:br/>
              <w:t>Velocidade de gravação de dados: 4500 MB/s (ou superior).</w:t>
            </w:r>
          </w:p>
        </w:tc>
        <w:tc>
          <w:tcPr>
            <w:tcW w:w="729" w:type="dxa"/>
            <w:tcBorders>
              <w:top w:val="nil"/>
              <w:left w:val="nil"/>
              <w:bottom w:val="single" w:sz="4" w:space="0" w:color="auto"/>
              <w:right w:val="single" w:sz="4" w:space="0" w:color="auto"/>
            </w:tcBorders>
            <w:shd w:val="clear" w:color="auto" w:fill="auto"/>
            <w:noWrap/>
            <w:vAlign w:val="center"/>
            <w:hideMark/>
          </w:tcPr>
          <w:p w14:paraId="7F342B8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0F77FBB2"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6</w:t>
            </w:r>
          </w:p>
        </w:tc>
        <w:tc>
          <w:tcPr>
            <w:tcW w:w="918" w:type="dxa"/>
            <w:tcBorders>
              <w:top w:val="nil"/>
              <w:left w:val="nil"/>
              <w:bottom w:val="single" w:sz="4" w:space="0" w:color="auto"/>
              <w:right w:val="single" w:sz="4" w:space="0" w:color="auto"/>
            </w:tcBorders>
            <w:shd w:val="clear" w:color="auto" w:fill="auto"/>
            <w:noWrap/>
            <w:vAlign w:val="center"/>
            <w:hideMark/>
          </w:tcPr>
          <w:p w14:paraId="08FFA12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R$ 453,33</w:t>
            </w:r>
          </w:p>
        </w:tc>
      </w:tr>
      <w:tr w:rsidR="005B62C0" w:rsidRPr="00CB6588" w14:paraId="170B8ECC"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508C9E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28</w:t>
            </w:r>
          </w:p>
        </w:tc>
        <w:tc>
          <w:tcPr>
            <w:tcW w:w="6646" w:type="dxa"/>
            <w:tcBorders>
              <w:top w:val="nil"/>
              <w:left w:val="nil"/>
              <w:bottom w:val="single" w:sz="4" w:space="0" w:color="auto"/>
              <w:right w:val="single" w:sz="4" w:space="0" w:color="auto"/>
            </w:tcBorders>
            <w:shd w:val="clear" w:color="auto" w:fill="auto"/>
            <w:noWrap/>
            <w:vAlign w:val="center"/>
            <w:hideMark/>
          </w:tcPr>
          <w:p w14:paraId="6D3657F7" w14:textId="6490189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SUPORTE PROJETOR DE TETO PAREDE DATASHOW UNIVERSAL ATÉ 25 KILOS Suporte para projetores com 4 pontos de fixação;</w:t>
            </w:r>
            <w:r w:rsidRPr="005B62C0">
              <w:rPr>
                <w:rFonts w:ascii="Gadugi" w:eastAsia="Times New Roman" w:hAnsi="Gadugi" w:cs="Calibri"/>
                <w:color w:val="000000"/>
                <w:sz w:val="14"/>
                <w:szCs w:val="14"/>
              </w:rPr>
              <w:br/>
              <w:t>Permite a rotação de até 360;</w:t>
            </w:r>
            <w:r w:rsidRPr="005B62C0">
              <w:rPr>
                <w:rFonts w:ascii="Gadugi" w:eastAsia="Times New Roman" w:hAnsi="Gadugi" w:cs="Calibri"/>
                <w:color w:val="000000"/>
                <w:sz w:val="14"/>
                <w:szCs w:val="14"/>
              </w:rPr>
              <w:br/>
              <w:t>Ângulo de aproximadamente 20o;</w:t>
            </w:r>
            <w:r w:rsidRPr="005B62C0">
              <w:rPr>
                <w:rFonts w:ascii="Gadugi" w:eastAsia="Times New Roman" w:hAnsi="Gadugi" w:cs="Calibri"/>
                <w:color w:val="000000"/>
                <w:sz w:val="14"/>
                <w:szCs w:val="14"/>
              </w:rPr>
              <w:br/>
              <w:t>Manopla para fácil ajuste de inclinação;</w:t>
            </w:r>
            <w:r w:rsidRPr="005B62C0">
              <w:rPr>
                <w:rFonts w:ascii="Gadugi" w:eastAsia="Times New Roman" w:hAnsi="Gadugi" w:cs="Calibri"/>
                <w:color w:val="000000"/>
                <w:sz w:val="14"/>
                <w:szCs w:val="14"/>
              </w:rPr>
              <w:br/>
              <w:t>Tubo extensor de 430mm até 650mm;</w:t>
            </w:r>
            <w:r w:rsidRPr="005B62C0">
              <w:rPr>
                <w:rFonts w:ascii="Gadugi" w:eastAsia="Times New Roman" w:hAnsi="Gadugi" w:cs="Calibri"/>
                <w:color w:val="000000"/>
                <w:sz w:val="14"/>
                <w:szCs w:val="14"/>
              </w:rPr>
              <w:br/>
              <w:t>Diâmetro de fixação aproximadamente 350mm.</w:t>
            </w:r>
          </w:p>
        </w:tc>
        <w:tc>
          <w:tcPr>
            <w:tcW w:w="729" w:type="dxa"/>
            <w:tcBorders>
              <w:top w:val="nil"/>
              <w:left w:val="nil"/>
              <w:bottom w:val="single" w:sz="4" w:space="0" w:color="auto"/>
              <w:right w:val="single" w:sz="4" w:space="0" w:color="auto"/>
            </w:tcBorders>
            <w:shd w:val="clear" w:color="auto" w:fill="auto"/>
            <w:noWrap/>
            <w:vAlign w:val="center"/>
            <w:hideMark/>
          </w:tcPr>
          <w:p w14:paraId="58D98FA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2D68A2F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918" w:type="dxa"/>
            <w:tcBorders>
              <w:top w:val="nil"/>
              <w:left w:val="nil"/>
              <w:bottom w:val="single" w:sz="4" w:space="0" w:color="auto"/>
              <w:right w:val="single" w:sz="4" w:space="0" w:color="auto"/>
            </w:tcBorders>
            <w:shd w:val="clear" w:color="auto" w:fill="auto"/>
            <w:noWrap/>
            <w:vAlign w:val="center"/>
            <w:hideMark/>
          </w:tcPr>
          <w:p w14:paraId="224047B4"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R$ 173,13</w:t>
            </w:r>
          </w:p>
        </w:tc>
      </w:tr>
      <w:tr w:rsidR="005B62C0" w:rsidRPr="00CB6588" w14:paraId="67069FF8"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171E9B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29</w:t>
            </w:r>
          </w:p>
        </w:tc>
        <w:tc>
          <w:tcPr>
            <w:tcW w:w="6646" w:type="dxa"/>
            <w:tcBorders>
              <w:top w:val="nil"/>
              <w:left w:val="nil"/>
              <w:bottom w:val="single" w:sz="4" w:space="0" w:color="auto"/>
              <w:right w:val="single" w:sz="4" w:space="0" w:color="auto"/>
            </w:tcBorders>
            <w:shd w:val="clear" w:color="auto" w:fill="auto"/>
            <w:noWrap/>
            <w:vAlign w:val="center"/>
            <w:hideMark/>
          </w:tcPr>
          <w:p w14:paraId="7A2122B8" w14:textId="48798C21"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SWITCH 4 PORTAS Portas RJ45:04 portas;</w:t>
            </w:r>
            <w:r w:rsidRPr="005B62C0">
              <w:rPr>
                <w:rFonts w:ascii="Gadugi" w:eastAsia="Times New Roman" w:hAnsi="Gadugi" w:cs="Calibri"/>
                <w:color w:val="000000"/>
                <w:sz w:val="14"/>
                <w:szCs w:val="14"/>
              </w:rPr>
              <w:br/>
              <w:t>Transferência de dados: 10/100 Mbps (ou superior);</w:t>
            </w:r>
            <w:r w:rsidRPr="005B62C0">
              <w:rPr>
                <w:rFonts w:ascii="Gadugi" w:eastAsia="Times New Roman" w:hAnsi="Gadugi" w:cs="Calibri"/>
                <w:color w:val="000000"/>
                <w:sz w:val="14"/>
                <w:szCs w:val="14"/>
              </w:rPr>
              <w:br/>
              <w:t>LEDs indicadores: Um por porta (no mínimo). Led ligado;</w:t>
            </w:r>
            <w:r w:rsidRPr="005B62C0">
              <w:rPr>
                <w:rFonts w:ascii="Gadugi" w:eastAsia="Times New Roman" w:hAnsi="Gadugi" w:cs="Calibri"/>
                <w:color w:val="000000"/>
                <w:sz w:val="14"/>
                <w:szCs w:val="14"/>
              </w:rPr>
              <w:br/>
              <w:t>Fonte de alimentação: externa;</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Demais itens inclusos: Fonte de alimentação com plugue padrão ABNT NBR 14136.</w:t>
            </w:r>
          </w:p>
        </w:tc>
        <w:tc>
          <w:tcPr>
            <w:tcW w:w="729" w:type="dxa"/>
            <w:tcBorders>
              <w:top w:val="nil"/>
              <w:left w:val="nil"/>
              <w:bottom w:val="single" w:sz="4" w:space="0" w:color="auto"/>
              <w:right w:val="single" w:sz="4" w:space="0" w:color="auto"/>
            </w:tcBorders>
            <w:shd w:val="clear" w:color="auto" w:fill="auto"/>
            <w:noWrap/>
            <w:vAlign w:val="center"/>
            <w:hideMark/>
          </w:tcPr>
          <w:p w14:paraId="643DE0FB"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34ECEC01"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4</w:t>
            </w:r>
          </w:p>
        </w:tc>
        <w:tc>
          <w:tcPr>
            <w:tcW w:w="918" w:type="dxa"/>
            <w:tcBorders>
              <w:top w:val="nil"/>
              <w:left w:val="nil"/>
              <w:bottom w:val="single" w:sz="4" w:space="0" w:color="auto"/>
              <w:right w:val="single" w:sz="4" w:space="0" w:color="auto"/>
            </w:tcBorders>
            <w:shd w:val="clear" w:color="auto" w:fill="auto"/>
            <w:noWrap/>
            <w:vAlign w:val="center"/>
            <w:hideMark/>
          </w:tcPr>
          <w:p w14:paraId="0026AEA5"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R$ 325,77</w:t>
            </w:r>
          </w:p>
        </w:tc>
      </w:tr>
      <w:tr w:rsidR="005B62C0" w:rsidRPr="00CB6588" w14:paraId="25BDED70"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433D77F"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30</w:t>
            </w:r>
          </w:p>
        </w:tc>
        <w:tc>
          <w:tcPr>
            <w:tcW w:w="6646" w:type="dxa"/>
            <w:tcBorders>
              <w:top w:val="nil"/>
              <w:left w:val="nil"/>
              <w:bottom w:val="single" w:sz="4" w:space="0" w:color="auto"/>
              <w:right w:val="single" w:sz="4" w:space="0" w:color="auto"/>
            </w:tcBorders>
            <w:shd w:val="clear" w:color="auto" w:fill="auto"/>
            <w:noWrap/>
            <w:vAlign w:val="center"/>
            <w:hideMark/>
          </w:tcPr>
          <w:p w14:paraId="53DEE24D" w14:textId="3775F74F"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TECLADO USB (COMPUTADOR) Tipo: Teclado com fio.</w:t>
            </w:r>
            <w:r w:rsidRPr="005B62C0">
              <w:rPr>
                <w:rFonts w:ascii="Gadugi" w:eastAsia="Times New Roman" w:hAnsi="Gadugi" w:cs="Calibri"/>
                <w:color w:val="000000"/>
                <w:sz w:val="14"/>
                <w:szCs w:val="14"/>
              </w:rPr>
              <w:br/>
              <w:t>Teclados: Teclado central (alfanumérico) e teclado direito (numérico).</w:t>
            </w:r>
            <w:r w:rsidRPr="005B62C0">
              <w:rPr>
                <w:rFonts w:ascii="Gadugi" w:eastAsia="Times New Roman" w:hAnsi="Gadugi" w:cs="Calibri"/>
                <w:color w:val="000000"/>
                <w:sz w:val="14"/>
                <w:szCs w:val="14"/>
              </w:rPr>
              <w:br/>
              <w:t>Teclado alfanumérico: Padrão ABNT2 (com cedilha).</w:t>
            </w:r>
            <w:r w:rsidRPr="005B62C0">
              <w:rPr>
                <w:rFonts w:ascii="Gadugi" w:eastAsia="Times New Roman" w:hAnsi="Gadugi" w:cs="Calibri"/>
                <w:color w:val="000000"/>
                <w:sz w:val="14"/>
                <w:szCs w:val="14"/>
              </w:rPr>
              <w:br/>
              <w:t>Teclado numérico: Com teclas de zero  nove, vírgula, ponto, divisão, multiplicação, soma, subtração e Enter, Num Lock.</w:t>
            </w:r>
            <w:r w:rsidRPr="005B62C0">
              <w:rPr>
                <w:rFonts w:ascii="Gadugi" w:eastAsia="Times New Roman" w:hAnsi="Gadugi" w:cs="Calibri"/>
                <w:color w:val="000000"/>
                <w:sz w:val="14"/>
                <w:szCs w:val="14"/>
              </w:rPr>
              <w:br/>
              <w:t>Teclas extras: Esc, 12 teclas de funções (F1  F12), Print Screen (PrtScr), Cap Lock, Scroll Lock, Page Up, Page Down e teclas direcionais (cima, baixo, esquerda e direita), Home, End, Insert e Delete.</w:t>
            </w:r>
            <w:r w:rsidRPr="005B62C0">
              <w:rPr>
                <w:rFonts w:ascii="Gadugi" w:eastAsia="Times New Roman" w:hAnsi="Gadugi" w:cs="Calibri"/>
                <w:color w:val="000000"/>
                <w:sz w:val="14"/>
                <w:szCs w:val="14"/>
              </w:rPr>
              <w:br/>
              <w:t>Indicadores luminosos: Caps Lock, Num Lock e Scroll Lock.</w:t>
            </w:r>
            <w:r w:rsidRPr="005B62C0">
              <w:rPr>
                <w:rFonts w:ascii="Gadugi" w:eastAsia="Times New Roman" w:hAnsi="Gadugi" w:cs="Calibri"/>
                <w:color w:val="000000"/>
                <w:sz w:val="14"/>
                <w:szCs w:val="14"/>
              </w:rPr>
              <w:br/>
              <w:t>Apoio: Pés de apoio para elevação do teclado.</w:t>
            </w:r>
            <w:r w:rsidRPr="005B62C0">
              <w:rPr>
                <w:rFonts w:ascii="Gadugi" w:eastAsia="Times New Roman" w:hAnsi="Gadugi" w:cs="Calibri"/>
                <w:color w:val="000000"/>
                <w:sz w:val="14"/>
                <w:szCs w:val="14"/>
              </w:rPr>
              <w:br/>
              <w:t>Conexão: USB.</w:t>
            </w:r>
            <w:r w:rsidRPr="005B62C0">
              <w:rPr>
                <w:rFonts w:ascii="Gadugi" w:eastAsia="Times New Roman" w:hAnsi="Gadugi" w:cs="Calibri"/>
                <w:color w:val="000000"/>
                <w:sz w:val="14"/>
                <w:szCs w:val="14"/>
              </w:rPr>
              <w:br/>
              <w:t>Comprimento do cabo USB: 1,30 metros (no mínimo).</w:t>
            </w:r>
          </w:p>
        </w:tc>
        <w:tc>
          <w:tcPr>
            <w:tcW w:w="729" w:type="dxa"/>
            <w:tcBorders>
              <w:top w:val="nil"/>
              <w:left w:val="nil"/>
              <w:bottom w:val="single" w:sz="4" w:space="0" w:color="auto"/>
              <w:right w:val="single" w:sz="4" w:space="0" w:color="auto"/>
            </w:tcBorders>
            <w:shd w:val="clear" w:color="auto" w:fill="auto"/>
            <w:noWrap/>
            <w:vAlign w:val="center"/>
            <w:hideMark/>
          </w:tcPr>
          <w:p w14:paraId="289C8289"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7487E17"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60</w:t>
            </w:r>
          </w:p>
        </w:tc>
        <w:tc>
          <w:tcPr>
            <w:tcW w:w="918" w:type="dxa"/>
            <w:tcBorders>
              <w:top w:val="nil"/>
              <w:left w:val="nil"/>
              <w:bottom w:val="single" w:sz="4" w:space="0" w:color="auto"/>
              <w:right w:val="single" w:sz="4" w:space="0" w:color="auto"/>
            </w:tcBorders>
            <w:shd w:val="clear" w:color="auto" w:fill="auto"/>
            <w:noWrap/>
            <w:vAlign w:val="center"/>
            <w:hideMark/>
          </w:tcPr>
          <w:p w14:paraId="5319F44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R$ 80,10</w:t>
            </w:r>
          </w:p>
        </w:tc>
      </w:tr>
      <w:tr w:rsidR="005B62C0" w:rsidRPr="00CB6588" w14:paraId="04EB2060" w14:textId="77777777" w:rsidTr="005B62C0">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24AB5C3"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31</w:t>
            </w:r>
          </w:p>
        </w:tc>
        <w:tc>
          <w:tcPr>
            <w:tcW w:w="6646" w:type="dxa"/>
            <w:tcBorders>
              <w:top w:val="nil"/>
              <w:left w:val="nil"/>
              <w:bottom w:val="single" w:sz="4" w:space="0" w:color="auto"/>
              <w:right w:val="single" w:sz="4" w:space="0" w:color="auto"/>
            </w:tcBorders>
            <w:shd w:val="clear" w:color="auto" w:fill="auto"/>
            <w:noWrap/>
            <w:vAlign w:val="center"/>
            <w:hideMark/>
          </w:tcPr>
          <w:p w14:paraId="4D03B68C" w14:textId="77777777" w:rsidR="00E96505" w:rsidRPr="00CB6588"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 xml:space="preserve">TELEVISOR </w:t>
            </w:r>
            <w:r w:rsidRPr="005B62C0">
              <w:rPr>
                <w:rFonts w:ascii="Gadugi" w:eastAsia="Times New Roman" w:hAnsi="Gadugi" w:cs="Calibri"/>
                <w:color w:val="000000"/>
                <w:sz w:val="14"/>
                <w:szCs w:val="14"/>
              </w:rPr>
              <w:br/>
              <w:t>50"</w:t>
            </w:r>
            <w:r w:rsidRPr="005B62C0">
              <w:rPr>
                <w:rFonts w:ascii="Gadugi" w:eastAsia="Times New Roman" w:hAnsi="Gadugi" w:cs="Calibri"/>
                <w:color w:val="000000"/>
                <w:sz w:val="14"/>
                <w:szCs w:val="14"/>
              </w:rPr>
              <w:br/>
              <w:t>Resolução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4K UHD</w:t>
            </w:r>
            <w:r w:rsidRPr="005B62C0">
              <w:rPr>
                <w:rFonts w:ascii="Gadugi" w:eastAsia="Times New Roman" w:hAnsi="Gadugi" w:cs="Calibri"/>
                <w:color w:val="000000"/>
                <w:sz w:val="14"/>
                <w:szCs w:val="14"/>
              </w:rPr>
              <w:br/>
              <w:t>Tipo de Display</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LED</w:t>
            </w:r>
            <w:r w:rsidRPr="005B62C0">
              <w:rPr>
                <w:rFonts w:ascii="Gadugi" w:eastAsia="Times New Roman" w:hAnsi="Gadugi" w:cs="Calibri"/>
                <w:color w:val="000000"/>
                <w:sz w:val="14"/>
                <w:szCs w:val="14"/>
              </w:rPr>
              <w:br/>
              <w:t>Tipo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Smart</w:t>
            </w:r>
            <w:r w:rsidRPr="005B62C0">
              <w:rPr>
                <w:rFonts w:ascii="Gadugi" w:eastAsia="Times New Roman" w:hAnsi="Gadugi" w:cs="Calibri"/>
                <w:color w:val="000000"/>
                <w:sz w:val="14"/>
                <w:szCs w:val="14"/>
              </w:rPr>
              <w:br/>
              <w:t>Taxa de Atualização da Tela</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60Hz</w:t>
            </w:r>
            <w:r w:rsidRPr="005B62C0">
              <w:rPr>
                <w:rFonts w:ascii="Gadugi" w:eastAsia="Times New Roman" w:hAnsi="Gadugi" w:cs="Calibri"/>
                <w:color w:val="000000"/>
                <w:sz w:val="14"/>
                <w:szCs w:val="14"/>
              </w:rPr>
              <w:br/>
              <w:t>Conectividade</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Wi-Fi</w:t>
            </w:r>
            <w:r w:rsidRPr="005B62C0">
              <w:rPr>
                <w:rFonts w:ascii="Gadugi" w:eastAsia="Times New Roman" w:hAnsi="Gadugi" w:cs="Calibri"/>
                <w:color w:val="000000"/>
                <w:sz w:val="14"/>
                <w:szCs w:val="14"/>
              </w:rPr>
              <w:br/>
              <w:t>Conexões</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3 HDMI, 1 USB 2.0, 1 Entrada RF (Antena), 1 SPDIF (Áudio Óptica), 1 Saída Fone de Ouvido, 1 Ethernet RJ-45</w:t>
            </w:r>
            <w:r w:rsidRPr="005B62C0">
              <w:rPr>
                <w:rFonts w:ascii="Gadugi" w:eastAsia="Times New Roman" w:hAnsi="Gadugi" w:cs="Calibri"/>
                <w:color w:val="000000"/>
                <w:sz w:val="14"/>
                <w:szCs w:val="14"/>
              </w:rPr>
              <w:br/>
              <w:t>Processador</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Quad Core</w:t>
            </w:r>
            <w:r w:rsidRPr="005B62C0">
              <w:rPr>
                <w:rFonts w:ascii="Gadugi" w:eastAsia="Times New Roman" w:hAnsi="Gadugi" w:cs="Calibri"/>
                <w:color w:val="000000"/>
                <w:sz w:val="14"/>
                <w:szCs w:val="14"/>
              </w:rPr>
              <w:br/>
              <w:t>Assistente Virtual</w:t>
            </w:r>
            <w:r w:rsidRPr="005B62C0">
              <w:rPr>
                <w:rFonts w:ascii="Gadugi" w:eastAsia="Times New Roman" w:hAnsi="Gadugi" w:cs="Calibri"/>
                <w:color w:val="000000"/>
                <w:sz w:val="14"/>
                <w:szCs w:val="14"/>
              </w:rPr>
              <w:br/>
              <w:t>Works with Alexa, Works with Apple Homekit</w:t>
            </w:r>
            <w:r w:rsidRPr="005B62C0">
              <w:rPr>
                <w:rFonts w:ascii="Gadugi" w:eastAsia="Times New Roman" w:hAnsi="Gadugi" w:cs="Calibri"/>
                <w:color w:val="000000"/>
                <w:sz w:val="14"/>
                <w:szCs w:val="14"/>
              </w:rPr>
              <w:br/>
              <w:t>Formato da Tela</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16:09</w:t>
            </w:r>
            <w:r w:rsidRPr="005B62C0">
              <w:rPr>
                <w:rFonts w:ascii="Gadugi" w:eastAsia="Times New Roman" w:hAnsi="Gadugi" w:cs="Calibri"/>
                <w:color w:val="000000"/>
                <w:sz w:val="14"/>
                <w:szCs w:val="14"/>
              </w:rPr>
              <w:br/>
              <w:t>Ângulo de Visão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178</w:t>
            </w:r>
            <w:r w:rsidRPr="005B62C0">
              <w:rPr>
                <w:rFonts w:ascii="Gadugi" w:eastAsia="Times New Roman" w:hAnsi="Gadugi" w:cs="Calibri"/>
                <w:color w:val="000000"/>
                <w:sz w:val="14"/>
                <w:szCs w:val="14"/>
              </w:rPr>
              <w:br/>
              <w:t>Sistema de Cor</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NTSC/PAL-M</w:t>
            </w:r>
            <w:r w:rsidRPr="005B62C0">
              <w:rPr>
                <w:rFonts w:ascii="Gadugi" w:eastAsia="Times New Roman" w:hAnsi="Gadugi" w:cs="Calibri"/>
                <w:color w:val="000000"/>
                <w:sz w:val="14"/>
                <w:szCs w:val="14"/>
              </w:rPr>
              <w:br/>
              <w:t>Ambiente</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Interno</w:t>
            </w:r>
            <w:r w:rsidRPr="005B62C0">
              <w:rPr>
                <w:rFonts w:ascii="Gadugi" w:eastAsia="Times New Roman" w:hAnsi="Gadugi" w:cs="Calibri"/>
                <w:color w:val="000000"/>
                <w:sz w:val="14"/>
                <w:szCs w:val="14"/>
              </w:rPr>
              <w:br/>
              <w:t>Distância Recomendada de Visualização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2m</w:t>
            </w:r>
            <w:r w:rsidRPr="005B62C0">
              <w:rPr>
                <w:rFonts w:ascii="Gadugi" w:eastAsia="Times New Roman" w:hAnsi="Gadugi" w:cs="Calibri"/>
                <w:color w:val="000000"/>
                <w:sz w:val="14"/>
                <w:szCs w:val="14"/>
              </w:rPr>
              <w:br/>
              <w:t>Aplicativos Pré-instalados</w:t>
            </w:r>
            <w:r w:rsidRPr="005B62C0">
              <w:rPr>
                <w:rFonts w:ascii="Gadugi" w:eastAsia="Times New Roman" w:hAnsi="Gadugi" w:cs="Calibri"/>
                <w:color w:val="000000"/>
                <w:sz w:val="14"/>
                <w:szCs w:val="14"/>
              </w:rPr>
              <w:br/>
              <w:t>Netflix, Youtube, Prime Video, Disney+, Star+, HBO Max, Apple TV, Spotify e outros milhares disponíveis na Roku Store (Os aplicativos são passíveis de alteração pelo fornecedor sem aviso prévio)</w:t>
            </w:r>
            <w:r w:rsidRPr="005B62C0">
              <w:rPr>
                <w:rFonts w:ascii="Gadugi" w:eastAsia="Times New Roman" w:hAnsi="Gadugi" w:cs="Calibri"/>
                <w:color w:val="000000"/>
                <w:sz w:val="14"/>
                <w:szCs w:val="14"/>
              </w:rPr>
              <w:br/>
              <w:t>Voltagem</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Bivolt</w:t>
            </w:r>
          </w:p>
          <w:p w14:paraId="072BA5AD" w14:textId="3AF15086"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Aviso Importante</w:t>
            </w:r>
            <w:r w:rsidRPr="005B62C0">
              <w:rPr>
                <w:rFonts w:ascii="Gadugi" w:eastAsia="Times New Roman" w:hAnsi="Gadugi" w:cs="Calibri"/>
                <w:color w:val="000000"/>
                <w:sz w:val="14"/>
                <w:szCs w:val="14"/>
              </w:rPr>
              <w:br/>
              <w:t>A exposição ao ruído na potência acima de 85 decibéis pode causar danos ao sistema auditivo</w:t>
            </w:r>
            <w:r w:rsidRPr="005B62C0">
              <w:rPr>
                <w:rFonts w:ascii="Gadugi" w:eastAsia="Times New Roman" w:hAnsi="Gadugi" w:cs="Calibri"/>
                <w:color w:val="000000"/>
                <w:sz w:val="14"/>
                <w:szCs w:val="14"/>
              </w:rPr>
              <w:br/>
              <w:t>Cor da Base</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Preto</w:t>
            </w:r>
            <w:r w:rsidRPr="005B62C0">
              <w:rPr>
                <w:rFonts w:ascii="Gadugi" w:eastAsia="Times New Roman" w:hAnsi="Gadugi" w:cs="Calibri"/>
                <w:color w:val="000000"/>
                <w:sz w:val="14"/>
                <w:szCs w:val="14"/>
              </w:rPr>
              <w:br/>
              <w:t>Cor da Borda</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Preto</w:t>
            </w:r>
            <w:r w:rsidRPr="005B62C0">
              <w:rPr>
                <w:rFonts w:ascii="Gadugi" w:eastAsia="Times New Roman" w:hAnsi="Gadugi" w:cs="Calibri"/>
                <w:color w:val="000000"/>
                <w:sz w:val="14"/>
                <w:szCs w:val="14"/>
              </w:rPr>
              <w:br/>
              <w:t>Padrão de Furação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300x300mm</w:t>
            </w:r>
            <w:r w:rsidRPr="005B62C0">
              <w:rPr>
                <w:rFonts w:ascii="Gadugi" w:eastAsia="Times New Roman" w:hAnsi="Gadugi" w:cs="Calibri"/>
                <w:color w:val="000000"/>
                <w:sz w:val="14"/>
                <w:szCs w:val="14"/>
              </w:rPr>
              <w:br/>
              <w:t>Ano de Lançamento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2025</w:t>
            </w:r>
            <w:r w:rsidRPr="005B62C0">
              <w:rPr>
                <w:rFonts w:ascii="Gadugi" w:eastAsia="Times New Roman" w:hAnsi="Gadugi" w:cs="Calibri"/>
                <w:color w:val="000000"/>
                <w:sz w:val="14"/>
                <w:szCs w:val="14"/>
              </w:rPr>
              <w:br/>
              <w:t>Certificado Homologado pela Anatel Número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16591-21-06714</w:t>
            </w:r>
            <w:r w:rsidRPr="005B62C0">
              <w:rPr>
                <w:rFonts w:ascii="Gadugi" w:eastAsia="Times New Roman" w:hAnsi="Gadugi" w:cs="Calibri"/>
                <w:color w:val="000000"/>
                <w:sz w:val="14"/>
                <w:szCs w:val="14"/>
              </w:rPr>
              <w:br/>
              <w:t>Certificado Homologado pelo Inmetro Número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005 486/2017</w:t>
            </w:r>
            <w:r w:rsidRPr="005B62C0">
              <w:rPr>
                <w:rFonts w:ascii="Gadugi" w:eastAsia="Times New Roman" w:hAnsi="Gadugi" w:cs="Calibri"/>
                <w:color w:val="000000"/>
                <w:sz w:val="14"/>
                <w:szCs w:val="14"/>
              </w:rPr>
              <w:br/>
              <w:t>Peso do Produto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9,3kg</w:t>
            </w:r>
            <w:r w:rsidRPr="005B62C0">
              <w:rPr>
                <w:rFonts w:ascii="Gadugi" w:eastAsia="Times New Roman" w:hAnsi="Gadugi" w:cs="Calibri"/>
                <w:color w:val="000000"/>
                <w:sz w:val="14"/>
                <w:szCs w:val="14"/>
              </w:rPr>
              <w:br/>
              <w:t>Peso do Produto com Embalagem</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11,5kg</w:t>
            </w:r>
            <w:r w:rsidRPr="005B62C0">
              <w:rPr>
                <w:rFonts w:ascii="Gadugi" w:eastAsia="Times New Roman" w:hAnsi="Gadugi" w:cs="Calibri"/>
                <w:color w:val="000000"/>
                <w:sz w:val="14"/>
                <w:szCs w:val="14"/>
              </w:rPr>
              <w:br/>
              <w:t>Dimensões do Produto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Sem base: Largura 111cm Altura 64,3cm Profundidade 8,9cm. Com base: Largura 111cm Altura 69,7cm Profundidade 27,8cm</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Dimensões do Produto com Embalagem</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Largura 121,3cm Altura 75,4cm Profundidade 12,6cm</w:t>
            </w:r>
            <w:r w:rsidRPr="005B62C0">
              <w:rPr>
                <w:rFonts w:ascii="Gadugi" w:eastAsia="Times New Roman" w:hAnsi="Gadugi" w:cs="Calibri"/>
                <w:color w:val="000000"/>
                <w:sz w:val="14"/>
                <w:szCs w:val="14"/>
              </w:rPr>
              <w:br/>
              <w:t>Prazo de Garantia</w:t>
            </w:r>
            <w:r w:rsidR="00E96505" w:rsidRPr="00CB6588">
              <w:rPr>
                <w:rFonts w:ascii="Gadugi" w:eastAsia="Times New Roman" w:hAnsi="Gadugi" w:cs="Calibri"/>
                <w:color w:val="000000"/>
                <w:sz w:val="14"/>
                <w:szCs w:val="14"/>
              </w:rPr>
              <w:t xml:space="preserve"> mínima: </w:t>
            </w:r>
            <w:r w:rsidRPr="005B62C0">
              <w:rPr>
                <w:rFonts w:ascii="Gadugi" w:eastAsia="Times New Roman" w:hAnsi="Gadugi" w:cs="Calibri"/>
                <w:color w:val="000000"/>
                <w:sz w:val="14"/>
                <w:szCs w:val="14"/>
              </w:rPr>
              <w:t>01 ano (3 meses de garantia legal e mais 9 meses de garantia especial concedida pelo fabricante)</w:t>
            </w:r>
            <w:r w:rsidRPr="005B62C0">
              <w:rPr>
                <w:rFonts w:ascii="Gadugi" w:eastAsia="Times New Roman" w:hAnsi="Gadugi" w:cs="Calibri"/>
                <w:color w:val="000000"/>
                <w:sz w:val="14"/>
                <w:szCs w:val="14"/>
              </w:rPr>
              <w:br/>
              <w:t>Conteúdo da Embalagem</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 Smart TV, Base e 4 parafusos de fixação de base, 1 Controle remoto e 2 pilhas</w:t>
            </w:r>
            <w:r w:rsidRPr="005B62C0">
              <w:rPr>
                <w:rFonts w:ascii="Gadugi" w:eastAsia="Times New Roman" w:hAnsi="Gadugi" w:cs="Calibri"/>
                <w:color w:val="000000"/>
                <w:sz w:val="14"/>
                <w:szCs w:val="14"/>
              </w:rPr>
              <w:br/>
              <w:t>Recursos de Áudio</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5 modos (Baixa energia, cinema, normal, esportes, vívido)</w:t>
            </w:r>
            <w:r w:rsidRPr="005B62C0">
              <w:rPr>
                <w:rFonts w:ascii="Gadugi" w:eastAsia="Times New Roman" w:hAnsi="Gadugi" w:cs="Calibri"/>
                <w:color w:val="000000"/>
                <w:sz w:val="14"/>
                <w:szCs w:val="14"/>
              </w:rPr>
              <w:br/>
              <w:t>Potência dos Alto-falantes</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16W RMS</w:t>
            </w:r>
            <w:r w:rsidRPr="005B62C0">
              <w:rPr>
                <w:rFonts w:ascii="Gadugi" w:eastAsia="Times New Roman" w:hAnsi="Gadugi" w:cs="Calibri"/>
                <w:color w:val="000000"/>
                <w:sz w:val="14"/>
                <w:szCs w:val="14"/>
              </w:rPr>
              <w:br/>
              <w:t>Sistema de Som</w:t>
            </w:r>
            <w:r w:rsidR="00E96505" w:rsidRPr="00CB6588">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Dolby Digital</w:t>
            </w:r>
            <w:r w:rsidRPr="005B62C0">
              <w:rPr>
                <w:rFonts w:ascii="Gadugi" w:eastAsia="Times New Roman" w:hAnsi="Gadugi" w:cs="Calibri"/>
                <w:color w:val="000000"/>
                <w:sz w:val="14"/>
                <w:szCs w:val="14"/>
              </w:rPr>
              <w:br/>
            </w:r>
            <w:r w:rsidRPr="005B62C0">
              <w:rPr>
                <w:rFonts w:ascii="Gadugi" w:eastAsia="Times New Roman" w:hAnsi="Gadugi" w:cs="Calibri"/>
                <w:b/>
                <w:bCs/>
                <w:i/>
                <w:iCs/>
                <w:color w:val="000000"/>
                <w:sz w:val="14"/>
                <w:szCs w:val="14"/>
              </w:rPr>
              <w:t xml:space="preserve">Especificações </w:t>
            </w:r>
            <w:r w:rsidR="00E96505" w:rsidRPr="00CB6588">
              <w:rPr>
                <w:rFonts w:ascii="Gadugi" w:eastAsia="Times New Roman" w:hAnsi="Gadugi" w:cs="Calibri"/>
                <w:b/>
                <w:bCs/>
                <w:i/>
                <w:iCs/>
                <w:color w:val="000000"/>
                <w:sz w:val="14"/>
                <w:szCs w:val="14"/>
              </w:rPr>
              <w:t>mínimas</w:t>
            </w:r>
            <w:r w:rsidRPr="005B62C0">
              <w:rPr>
                <w:rFonts w:ascii="Gadugi" w:eastAsia="Times New Roman" w:hAnsi="Gadugi" w:cs="Calibri"/>
                <w:b/>
                <w:bCs/>
                <w:i/>
                <w:iCs/>
                <w:color w:val="000000"/>
                <w:sz w:val="14"/>
                <w:szCs w:val="14"/>
              </w:rPr>
              <w:t>.</w:t>
            </w:r>
          </w:p>
        </w:tc>
        <w:tc>
          <w:tcPr>
            <w:tcW w:w="729" w:type="dxa"/>
            <w:tcBorders>
              <w:top w:val="nil"/>
              <w:left w:val="nil"/>
              <w:bottom w:val="single" w:sz="4" w:space="0" w:color="auto"/>
              <w:right w:val="single" w:sz="4" w:space="0" w:color="auto"/>
            </w:tcBorders>
            <w:shd w:val="clear" w:color="auto" w:fill="auto"/>
            <w:noWrap/>
            <w:vAlign w:val="center"/>
            <w:hideMark/>
          </w:tcPr>
          <w:p w14:paraId="307F9B4B"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2A75549E"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w:t>
            </w:r>
          </w:p>
        </w:tc>
        <w:tc>
          <w:tcPr>
            <w:tcW w:w="918" w:type="dxa"/>
            <w:tcBorders>
              <w:top w:val="nil"/>
              <w:left w:val="nil"/>
              <w:bottom w:val="single" w:sz="4" w:space="0" w:color="auto"/>
              <w:right w:val="single" w:sz="4" w:space="0" w:color="auto"/>
            </w:tcBorders>
            <w:shd w:val="clear" w:color="auto" w:fill="auto"/>
            <w:noWrap/>
            <w:vAlign w:val="center"/>
            <w:hideMark/>
          </w:tcPr>
          <w:p w14:paraId="723C0DD2"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R$ 1.827,08</w:t>
            </w:r>
          </w:p>
        </w:tc>
      </w:tr>
      <w:tr w:rsidR="005B62C0" w:rsidRPr="00CB6588" w14:paraId="6E0B1E9D" w14:textId="77777777" w:rsidTr="00E96505">
        <w:trPr>
          <w:trHeight w:val="151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B45AE1C"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32</w:t>
            </w:r>
          </w:p>
        </w:tc>
        <w:tc>
          <w:tcPr>
            <w:tcW w:w="6646" w:type="dxa"/>
            <w:tcBorders>
              <w:top w:val="nil"/>
              <w:left w:val="nil"/>
              <w:bottom w:val="single" w:sz="4" w:space="0" w:color="auto"/>
              <w:right w:val="single" w:sz="4" w:space="0" w:color="auto"/>
            </w:tcBorders>
            <w:shd w:val="clear" w:color="auto" w:fill="auto"/>
            <w:vAlign w:val="center"/>
            <w:hideMark/>
          </w:tcPr>
          <w:p w14:paraId="4B353A98" w14:textId="355D8004" w:rsidR="005B62C0" w:rsidRPr="005B62C0" w:rsidRDefault="005B62C0" w:rsidP="00E96505">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WEBCAM 720 DPI Webcam - USB&lt;!-- Conferido: 17/07/2024</w:t>
            </w:r>
            <w:r w:rsidRPr="005B62C0">
              <w:rPr>
                <w:rFonts w:ascii="Gadugi" w:eastAsia="Times New Roman" w:hAnsi="Gadugi" w:cs="Calibri"/>
                <w:color w:val="000000"/>
                <w:sz w:val="14"/>
                <w:szCs w:val="14"/>
              </w:rPr>
              <w:br/>
              <w:t>Logitech C270 HD720p Mic Pto</w:t>
            </w:r>
            <w:r w:rsidRPr="005B62C0">
              <w:rPr>
                <w:rFonts w:ascii="Gadugi" w:eastAsia="Times New Roman" w:hAnsi="Gadugi" w:cs="Calibri"/>
                <w:color w:val="000000"/>
                <w:sz w:val="14"/>
                <w:szCs w:val="14"/>
              </w:rPr>
              <w:br/>
              <w:t>Dahua UC320 --&gt;</w:t>
            </w:r>
            <w:r w:rsidRPr="005B62C0">
              <w:rPr>
                <w:rFonts w:ascii="Gadugi" w:eastAsia="Times New Roman" w:hAnsi="Gadugi" w:cs="Calibri"/>
                <w:color w:val="000000"/>
                <w:sz w:val="14"/>
                <w:szCs w:val="14"/>
              </w:rPr>
              <w:br/>
              <w:t>Resolução máxima de gravação: 1280 x 720 pixels (ou superior).</w:t>
            </w:r>
            <w:r w:rsidRPr="005B62C0">
              <w:rPr>
                <w:rFonts w:ascii="Gadugi" w:eastAsia="Times New Roman" w:hAnsi="Gadugi" w:cs="Calibri"/>
                <w:color w:val="000000"/>
                <w:sz w:val="14"/>
                <w:szCs w:val="14"/>
              </w:rPr>
              <w:br/>
              <w:t>Quadros de gravação em resolução máxima: 23 FPS (ou superior).</w:t>
            </w:r>
            <w:r w:rsidRPr="005B62C0">
              <w:rPr>
                <w:rFonts w:ascii="Gadugi" w:eastAsia="Times New Roman" w:hAnsi="Gadugi" w:cs="Calibri"/>
                <w:color w:val="000000"/>
                <w:sz w:val="14"/>
                <w:szCs w:val="14"/>
              </w:rPr>
              <w:br/>
              <w:t>Microfone: Microfone embutido.</w:t>
            </w:r>
            <w:r w:rsidRPr="005B62C0">
              <w:rPr>
                <w:rFonts w:ascii="Gadugi" w:eastAsia="Times New Roman" w:hAnsi="Gadugi" w:cs="Calibri"/>
                <w:color w:val="000000"/>
                <w:sz w:val="14"/>
                <w:szCs w:val="14"/>
              </w:rPr>
              <w:br/>
              <w:t>Conexão: USB 2.0 (ou superior).</w:t>
            </w:r>
            <w:r w:rsidRPr="005B62C0">
              <w:rPr>
                <w:rFonts w:ascii="Gadugi" w:eastAsia="Times New Roman" w:hAnsi="Gadugi" w:cs="Calibri"/>
                <w:color w:val="000000"/>
                <w:sz w:val="14"/>
                <w:szCs w:val="14"/>
              </w:rPr>
              <w:br/>
              <w:t>Comprimento do cabo USB: 1 metro (no mínimo).</w:t>
            </w:r>
            <w:r w:rsidRPr="005B62C0">
              <w:rPr>
                <w:rFonts w:ascii="Gadugi" w:eastAsia="Times New Roman" w:hAnsi="Gadugi" w:cs="Calibri"/>
                <w:color w:val="000000"/>
                <w:sz w:val="14"/>
                <w:szCs w:val="14"/>
              </w:rPr>
              <w:br/>
              <w:t>Demais itens inclusos: Clipe para fixação em telas LED/LCD. Drivers necessários compatíveis com sistemas operacionais Windows 10 (64 bits) e Windows 11 (64 bits).</w:t>
            </w:r>
          </w:p>
        </w:tc>
        <w:tc>
          <w:tcPr>
            <w:tcW w:w="729" w:type="dxa"/>
            <w:tcBorders>
              <w:top w:val="nil"/>
              <w:left w:val="nil"/>
              <w:bottom w:val="single" w:sz="4" w:space="0" w:color="auto"/>
              <w:right w:val="single" w:sz="4" w:space="0" w:color="auto"/>
            </w:tcBorders>
            <w:shd w:val="clear" w:color="auto" w:fill="auto"/>
            <w:noWrap/>
            <w:vAlign w:val="center"/>
            <w:hideMark/>
          </w:tcPr>
          <w:p w14:paraId="5415AB90"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5E63A50D"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918" w:type="dxa"/>
            <w:tcBorders>
              <w:top w:val="nil"/>
              <w:left w:val="nil"/>
              <w:bottom w:val="single" w:sz="4" w:space="0" w:color="auto"/>
              <w:right w:val="single" w:sz="4" w:space="0" w:color="auto"/>
            </w:tcBorders>
            <w:shd w:val="clear" w:color="auto" w:fill="auto"/>
            <w:noWrap/>
            <w:vAlign w:val="center"/>
            <w:hideMark/>
          </w:tcPr>
          <w:p w14:paraId="2FBFD996" w14:textId="77777777" w:rsidR="005B62C0" w:rsidRPr="005B62C0" w:rsidRDefault="005B62C0" w:rsidP="005B62C0">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R$ 202,92</w:t>
            </w:r>
          </w:p>
        </w:tc>
      </w:tr>
    </w:tbl>
    <w:p w14:paraId="3A98D665" w14:textId="77777777" w:rsidR="005C00F9" w:rsidRDefault="005C00F9">
      <w:pPr>
        <w:pStyle w:val="Cabealho"/>
        <w:rPr>
          <w:rFonts w:ascii="Gadugi" w:hAnsi="Gadugi" w:cs="Gadugi"/>
          <w:sz w:val="18"/>
          <w:szCs w:val="18"/>
        </w:rPr>
      </w:pPr>
    </w:p>
    <w:p w14:paraId="0FAB011B" w14:textId="77777777" w:rsidR="005C00F9" w:rsidRDefault="005C00F9">
      <w:pPr>
        <w:pStyle w:val="Cabealho"/>
        <w:rPr>
          <w:rFonts w:ascii="Gadugi" w:hAnsi="Gadugi" w:cs="Gadugi"/>
          <w:sz w:val="18"/>
          <w:szCs w:val="18"/>
        </w:rPr>
      </w:pPr>
    </w:p>
    <w:p w14:paraId="57C2BC60"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 – O objeto desta contratação não se enquadra como sendo de bem de luxo, conforme Decreto Municipal nº 5.452, de 05 de setembro de 2024.</w:t>
      </w:r>
    </w:p>
    <w:p w14:paraId="64C1A3FC"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1.3 – Os bens objeto desta contratação são caracterizados como comuns, nos termos do art. 6º, inciso XIII, da Lei nº 14.133/2021.</w:t>
      </w:r>
    </w:p>
    <w:p w14:paraId="73BCF713" w14:textId="77777777" w:rsidR="005B203D" w:rsidRDefault="00E60DC2">
      <w:pPr>
        <w:pStyle w:val="Nivel2"/>
        <w:numPr>
          <w:ilvl w:val="0"/>
          <w:numId w:val="0"/>
        </w:numPr>
        <w:spacing w:before="0" w:after="0" w:line="240" w:lineRule="auto"/>
        <w:rPr>
          <w:rFonts w:ascii="Gadugi" w:hAnsi="Gadugi" w:cs="Gadugi"/>
          <w:b/>
          <w:color w:val="auto"/>
          <w:sz w:val="18"/>
          <w:szCs w:val="18"/>
        </w:rPr>
      </w:pPr>
      <w:r>
        <w:rPr>
          <w:rFonts w:ascii="Gadugi" w:hAnsi="Gadugi" w:cs="Gadugi"/>
          <w:b/>
          <w:color w:val="auto"/>
          <w:sz w:val="18"/>
          <w:szCs w:val="18"/>
        </w:rPr>
        <w:t>2 – PRAZO DE VIGÊNCIA</w:t>
      </w:r>
    </w:p>
    <w:p w14:paraId="335F8FC3"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2.1 – O prazo de vigência da Ata é de 12 (doze) meses contados da data de sua assinatura, podendo ser prorrogada, nos termos da Lei nº 14.133/2021.</w:t>
      </w:r>
    </w:p>
    <w:p w14:paraId="741AE90E" w14:textId="77777777" w:rsidR="005B203D" w:rsidRDefault="00E60DC2">
      <w:pPr>
        <w:pStyle w:val="Nvel2-Red"/>
        <w:numPr>
          <w:ilvl w:val="0"/>
          <w:numId w:val="0"/>
        </w:numPr>
        <w:shd w:val="clear" w:color="FFFFFF" w:themeColor="background1" w:fill="FFFFFF" w:themeFill="background1"/>
        <w:spacing w:before="0" w:after="0" w:line="240" w:lineRule="auto"/>
        <w:rPr>
          <w:rFonts w:ascii="Gadugi" w:hAnsi="Gadugi" w:cs="Gadugi"/>
          <w:iCs w:val="0"/>
          <w:color w:val="auto"/>
          <w:sz w:val="18"/>
          <w:szCs w:val="18"/>
        </w:rPr>
      </w:pPr>
      <w:r>
        <w:rPr>
          <w:rFonts w:ascii="Gadugi" w:hAnsi="Gadugi" w:cs="Gadugi"/>
          <w:i w:val="0"/>
          <w:iCs w:val="0"/>
          <w:color w:val="auto"/>
          <w:sz w:val="18"/>
          <w:szCs w:val="18"/>
        </w:rPr>
        <w:t xml:space="preserve">2.2 – </w:t>
      </w:r>
      <w:r>
        <w:rPr>
          <w:rFonts w:ascii="Gadugi" w:hAnsi="Gadugi" w:cs="Gadugi"/>
          <w:i w:val="0"/>
          <w:iCs w:val="0"/>
          <w:color w:val="auto"/>
          <w:sz w:val="18"/>
          <w:szCs w:val="18"/>
          <w:highlight w:val="white"/>
        </w:rPr>
        <w:t>O prazo de vigência dos contratos originados através da Ata de Registro de Preços até 31/12/2025, para o exercício de 2025, na forma do artigo 105 da Lei n° 14.133, de 2021.</w:t>
      </w:r>
    </w:p>
    <w:p w14:paraId="476BA749" w14:textId="77777777" w:rsidR="005B203D" w:rsidRDefault="00E60DC2">
      <w:pPr>
        <w:pStyle w:val="Nivel01"/>
        <w:numPr>
          <w:ilvl w:val="0"/>
          <w:numId w:val="0"/>
        </w:numPr>
        <w:tabs>
          <w:tab w:val="clear" w:pos="567"/>
          <w:tab w:val="left" w:pos="426"/>
        </w:tabs>
        <w:spacing w:before="0" w:after="0" w:line="240" w:lineRule="auto"/>
        <w:rPr>
          <w:rFonts w:ascii="Gadugi" w:hAnsi="Gadugi" w:cs="Gadugi"/>
          <w:color w:val="auto"/>
          <w:sz w:val="18"/>
          <w:szCs w:val="18"/>
        </w:rPr>
      </w:pPr>
      <w:r>
        <w:rPr>
          <w:rFonts w:ascii="Gadugi" w:hAnsi="Gadugi" w:cs="Gadugi"/>
          <w:color w:val="auto"/>
          <w:sz w:val="18"/>
          <w:szCs w:val="18"/>
        </w:rPr>
        <w:t>3 – FUNDAMENTAÇÃO E DESCRIÇÃO DA NECESSIDADE DA CONTRATAÇÃO</w:t>
      </w:r>
    </w:p>
    <w:p w14:paraId="07FD7643" w14:textId="77777777" w:rsidR="005B203D" w:rsidRDefault="00E60DC2">
      <w:pPr>
        <w:pStyle w:val="Nivel2"/>
        <w:numPr>
          <w:ilvl w:val="0"/>
          <w:numId w:val="0"/>
        </w:numPr>
        <w:tabs>
          <w:tab w:val="left" w:pos="426"/>
        </w:tabs>
        <w:spacing w:before="0" w:after="0" w:line="240" w:lineRule="auto"/>
        <w:rPr>
          <w:rFonts w:ascii="Gadugi" w:hAnsi="Gadugi" w:cs="Gadugi"/>
          <w:color w:val="auto"/>
          <w:sz w:val="18"/>
          <w:szCs w:val="18"/>
        </w:rPr>
      </w:pPr>
      <w:r>
        <w:rPr>
          <w:rFonts w:ascii="Gadugi" w:hAnsi="Gadugi" w:cs="Gadugi"/>
          <w:color w:val="auto"/>
          <w:sz w:val="18"/>
          <w:szCs w:val="18"/>
        </w:rPr>
        <w:t>3.1 – A Fundamentação da Contratação e de seus quantitativos encontra-se pormenorizada em Tópico específico do ETP – Estudo Técnico Preliminar, anexo a esse edital</w:t>
      </w:r>
    </w:p>
    <w:p w14:paraId="21AE9A8B"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4 – DESCRIÇÃO DA SOLUÇÃO COMO UM TODO CONSIDERADO O CICLO DE VIDA DO OBJETO E ESPECIFICAÇÃO DO PRODUTO</w:t>
      </w:r>
    </w:p>
    <w:p w14:paraId="426B94CC" w14:textId="77777777" w:rsidR="005B203D" w:rsidRDefault="00E60DC2">
      <w:pPr>
        <w:pStyle w:val="Nivel01"/>
        <w:numPr>
          <w:ilvl w:val="0"/>
          <w:numId w:val="0"/>
        </w:numPr>
        <w:spacing w:before="0" w:after="0" w:line="240" w:lineRule="auto"/>
        <w:rPr>
          <w:rFonts w:ascii="Gadugi" w:hAnsi="Gadugi" w:cs="Gadugi"/>
          <w:b w:val="0"/>
          <w:bCs w:val="0"/>
          <w:color w:val="auto"/>
          <w:sz w:val="18"/>
          <w:szCs w:val="18"/>
        </w:rPr>
      </w:pPr>
      <w:r>
        <w:rPr>
          <w:rFonts w:ascii="Gadugi" w:hAnsi="Gadugi" w:cs="Gadugi"/>
          <w:b w:val="0"/>
          <w:bCs w:val="0"/>
          <w:color w:val="auto"/>
          <w:sz w:val="18"/>
          <w:szCs w:val="18"/>
        </w:rPr>
        <w:t>4.1 – A descrição da solução como um todo se encontra pormenorizada em tópico específico do ETP – Estudo Técnico Preliminar, anexo a esse edital.</w:t>
      </w:r>
    </w:p>
    <w:p w14:paraId="343828D5"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5 – REQUISITOS DA CONTRATAÇÃO</w:t>
      </w:r>
    </w:p>
    <w:p w14:paraId="69833B3C" w14:textId="77777777" w:rsidR="005B203D" w:rsidRDefault="00E60DC2">
      <w:pPr>
        <w:tabs>
          <w:tab w:val="left" w:pos="284"/>
          <w:tab w:val="left" w:pos="426"/>
          <w:tab w:val="left" w:pos="567"/>
          <w:tab w:val="left" w:pos="851"/>
        </w:tabs>
        <w:jc w:val="both"/>
        <w:rPr>
          <w:rFonts w:ascii="Gadugi" w:hAnsi="Gadugi" w:cs="Gadugi"/>
          <w:iCs/>
          <w:sz w:val="18"/>
          <w:szCs w:val="18"/>
        </w:rPr>
      </w:pPr>
      <w:r>
        <w:rPr>
          <w:rFonts w:ascii="Gadugi" w:hAnsi="Gadugi" w:cs="Gadugi"/>
          <w:sz w:val="18"/>
          <w:szCs w:val="18"/>
        </w:rPr>
        <w:t>5.1 – A contratação deverá observar os requisitos constantes no ETP</w:t>
      </w:r>
    </w:p>
    <w:p w14:paraId="6A844E0D" w14:textId="77777777" w:rsidR="005B203D" w:rsidRDefault="00E60DC2">
      <w:pPr>
        <w:pStyle w:val="Nvel1-SemNum"/>
        <w:spacing w:before="0" w:after="0" w:line="240" w:lineRule="auto"/>
        <w:ind w:left="0"/>
        <w:rPr>
          <w:rFonts w:ascii="Gadugi" w:hAnsi="Gadugi" w:cs="Gadugi"/>
          <w:b w:val="0"/>
          <w:color w:val="auto"/>
          <w:sz w:val="18"/>
          <w:szCs w:val="18"/>
        </w:rPr>
      </w:pPr>
      <w:r>
        <w:rPr>
          <w:rFonts w:ascii="Gadugi" w:hAnsi="Gadugi" w:cs="Gadugi"/>
          <w:b w:val="0"/>
          <w:color w:val="auto"/>
          <w:sz w:val="18"/>
          <w:szCs w:val="18"/>
        </w:rPr>
        <w:t>5.1.2 – SUBCONTRATAÇÃO</w:t>
      </w:r>
    </w:p>
    <w:p w14:paraId="70B34015"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5.1.2.1 – Não é admitida a subcontratação do objeto contratual.</w:t>
      </w:r>
    </w:p>
    <w:p w14:paraId="27AE4D08" w14:textId="77777777" w:rsidR="005B203D" w:rsidRDefault="00E60DC2">
      <w:pPr>
        <w:pStyle w:val="Nvel1-SemNum"/>
        <w:spacing w:before="0" w:after="0" w:line="240" w:lineRule="auto"/>
        <w:ind w:left="0"/>
        <w:rPr>
          <w:rFonts w:ascii="Gadugi" w:hAnsi="Gadugi" w:cs="Gadugi"/>
          <w:b w:val="0"/>
          <w:color w:val="auto"/>
          <w:sz w:val="18"/>
          <w:szCs w:val="18"/>
        </w:rPr>
      </w:pPr>
      <w:r>
        <w:rPr>
          <w:rFonts w:ascii="Gadugi" w:hAnsi="Gadugi" w:cs="Gadugi"/>
          <w:b w:val="0"/>
          <w:color w:val="auto"/>
          <w:sz w:val="18"/>
          <w:szCs w:val="18"/>
        </w:rPr>
        <w:t>5.1.3 – GARANTIA DA CONTRATAÇÃO</w:t>
      </w:r>
    </w:p>
    <w:p w14:paraId="64CDF8DB" w14:textId="77777777" w:rsidR="005B203D" w:rsidRDefault="00E60DC2">
      <w:pPr>
        <w:pStyle w:val="Nvel2-Red"/>
        <w:numPr>
          <w:ilvl w:val="0"/>
          <w:numId w:val="0"/>
        </w:numPr>
        <w:spacing w:before="0" w:after="0" w:line="240" w:lineRule="auto"/>
        <w:ind w:left="708"/>
        <w:rPr>
          <w:rFonts w:ascii="Gadugi" w:hAnsi="Gadugi" w:cs="Gadugi"/>
          <w:iCs w:val="0"/>
          <w:color w:val="auto"/>
          <w:sz w:val="18"/>
          <w:szCs w:val="18"/>
        </w:rPr>
      </w:pPr>
      <w:r>
        <w:rPr>
          <w:rFonts w:ascii="Gadugi" w:hAnsi="Gadugi" w:cs="Gadugi"/>
          <w:i w:val="0"/>
          <w:iCs w:val="0"/>
          <w:color w:val="auto"/>
          <w:sz w:val="18"/>
          <w:szCs w:val="18"/>
        </w:rPr>
        <w:t>5.1.3.1 – Garantia mínima dos serviços deverá observar os requisitos constantes no ETP.</w:t>
      </w:r>
    </w:p>
    <w:p w14:paraId="4CD0D84D"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6 – </w:t>
      </w:r>
      <w:r>
        <w:rPr>
          <w:rFonts w:ascii="Gadugi" w:eastAsia="Calibri" w:hAnsi="Gadugi" w:cs="Gadugi"/>
          <w:color w:val="auto"/>
          <w:sz w:val="18"/>
          <w:szCs w:val="18"/>
        </w:rPr>
        <w:t>MODELO DE EXECUÇÃO DO OBJETO</w:t>
      </w:r>
    </w:p>
    <w:p w14:paraId="0306EDA6" w14:textId="77777777" w:rsidR="005B203D" w:rsidRDefault="00E60DC2">
      <w:pPr>
        <w:pStyle w:val="PargrafodaLista"/>
        <w:numPr>
          <w:ilvl w:val="0"/>
          <w:numId w:val="5"/>
        </w:numPr>
        <w:spacing w:after="240"/>
        <w:rPr>
          <w:rFonts w:ascii="Gadugi" w:hAnsi="Gadugi" w:cs="Gadugi"/>
          <w:sz w:val="18"/>
          <w:szCs w:val="18"/>
        </w:rPr>
      </w:pPr>
      <w:r>
        <w:rPr>
          <w:rFonts w:ascii="Gadugi" w:hAnsi="Gadugi" w:cs="Gadugi"/>
          <w:sz w:val="18"/>
          <w:szCs w:val="18"/>
        </w:rPr>
        <w:t>Os serviços objeto deste Termo de Referência serão prestados de forma indireta.</w:t>
      </w:r>
    </w:p>
    <w:p w14:paraId="3BD7AD75" w14:textId="77777777" w:rsidR="005B203D" w:rsidRDefault="00E60DC2">
      <w:pPr>
        <w:pStyle w:val="PargrafodaLista"/>
        <w:numPr>
          <w:ilvl w:val="0"/>
          <w:numId w:val="5"/>
        </w:numPr>
        <w:spacing w:before="240" w:after="240"/>
        <w:rPr>
          <w:rFonts w:ascii="Gadugi" w:hAnsi="Gadugi" w:cs="Gadugi"/>
          <w:sz w:val="18"/>
          <w:szCs w:val="18"/>
        </w:rPr>
      </w:pPr>
      <w:r>
        <w:rPr>
          <w:rFonts w:ascii="Gadugi" w:hAnsi="Gadugi" w:cs="Gadugi"/>
          <w:sz w:val="18"/>
          <w:szCs w:val="18"/>
        </w:rPr>
        <w:t xml:space="preserve"> Os serviços deverão ser executados no prazo de vigência do contrato, que será de (X) meses, contados a partir da assinatura do contrato com a efetiva prestação dos serviços nos locais a serem definidos pela Administração, de forma parcelada, a partir das ordens de serviços.</w:t>
      </w:r>
    </w:p>
    <w:p w14:paraId="5C26252A" w14:textId="77777777" w:rsidR="005B203D" w:rsidRDefault="00E60DC2">
      <w:pPr>
        <w:pStyle w:val="PargrafodaLista"/>
        <w:numPr>
          <w:ilvl w:val="0"/>
          <w:numId w:val="5"/>
        </w:numPr>
        <w:spacing w:before="240" w:after="240"/>
        <w:rPr>
          <w:rFonts w:ascii="Gadugi" w:hAnsi="Gadugi" w:cs="Gadugi"/>
          <w:sz w:val="18"/>
          <w:szCs w:val="18"/>
        </w:rPr>
      </w:pPr>
      <w:r>
        <w:rPr>
          <w:rFonts w:ascii="Gadugi" w:hAnsi="Gadugi" w:cs="Gadugi"/>
          <w:sz w:val="18"/>
          <w:szCs w:val="18"/>
        </w:rPr>
        <w:t xml:space="preserve"> O Serviço prestado deve ser analisado e avalizado pelo fiscal do contrato, emitida autorização e devidamente assinada pela Autoridade Competente da CONTRATANTE.</w:t>
      </w:r>
    </w:p>
    <w:p w14:paraId="3E6CADED" w14:textId="77777777" w:rsidR="005B203D" w:rsidRDefault="00E60DC2">
      <w:pPr>
        <w:pStyle w:val="PargrafodaLista"/>
        <w:numPr>
          <w:ilvl w:val="0"/>
          <w:numId w:val="5"/>
        </w:numPr>
        <w:spacing w:before="240" w:after="240"/>
        <w:rPr>
          <w:rFonts w:ascii="Gadugi" w:hAnsi="Gadugi" w:cs="Gadugi"/>
          <w:sz w:val="18"/>
          <w:szCs w:val="18"/>
        </w:rPr>
      </w:pPr>
      <w:r>
        <w:rPr>
          <w:rFonts w:ascii="Gadugi" w:hAnsi="Gadugi" w:cs="Gadugi"/>
          <w:sz w:val="18"/>
          <w:szCs w:val="18"/>
        </w:rPr>
        <w:t xml:space="preserve"> A empresa vencedora obrigar-se-á a fornecer o objeto deste edital em conformidade com as especificações descritas, sendo de sua inteira responsabilidades substituições parciais ou totais.</w:t>
      </w:r>
    </w:p>
    <w:p w14:paraId="6A5925A0" w14:textId="77777777" w:rsidR="005B203D" w:rsidRDefault="00E60DC2">
      <w:pPr>
        <w:pStyle w:val="PargrafodaLista"/>
        <w:numPr>
          <w:ilvl w:val="0"/>
          <w:numId w:val="5"/>
        </w:numPr>
        <w:spacing w:before="240" w:after="240"/>
        <w:rPr>
          <w:rFonts w:ascii="Gadugi" w:hAnsi="Gadugi" w:cs="Gadugi"/>
          <w:sz w:val="18"/>
          <w:szCs w:val="18"/>
        </w:rPr>
      </w:pPr>
      <w:r>
        <w:rPr>
          <w:rFonts w:ascii="Gadugi" w:hAnsi="Gadugi" w:cs="Gadugi"/>
          <w:sz w:val="18"/>
          <w:szCs w:val="18"/>
        </w:rPr>
        <w:t xml:space="preserve"> Caso o serviço não esteja de acordo com as especificações exigidas, a ADMINISTRAÇÃO não o aceitará e lavrará termo circunstanciado do fato, que deverá ser encaminhado à autoridade superior, sob pena de responsabilidade.</w:t>
      </w:r>
    </w:p>
    <w:p w14:paraId="790564BB" w14:textId="77777777" w:rsidR="005B203D" w:rsidRDefault="00E60DC2">
      <w:pPr>
        <w:pStyle w:val="PargrafodaLista"/>
        <w:numPr>
          <w:ilvl w:val="0"/>
          <w:numId w:val="5"/>
        </w:numPr>
        <w:spacing w:before="240"/>
        <w:rPr>
          <w:rFonts w:ascii="Gadugi" w:hAnsi="Gadugi" w:cs="Gadugi"/>
          <w:sz w:val="18"/>
          <w:szCs w:val="18"/>
        </w:rPr>
      </w:pPr>
      <w:r>
        <w:rPr>
          <w:rFonts w:ascii="Gadugi" w:hAnsi="Gadugi" w:cs="Gadugi"/>
          <w:sz w:val="18"/>
          <w:szCs w:val="18"/>
        </w:rPr>
        <w:t xml:space="preserve"> Para fins dos presentes autos, com base no Art. 20 da portaria nº 75 de 25 de abril de 2023, que regulamenta a lei 14.133 no âmbito desta Prefeitura municipal, informamos que a baixa complexidade do objeto, enseja a prescindibilidade o estudo técnico preliminar e  riscos, sendo análise de riscos, sendo suficiente os elementos já trazidos nos autos, pois provem a segurança transacional suficiente para o atingimento do interesse público.</w:t>
      </w:r>
    </w:p>
    <w:p w14:paraId="5EF65291" w14:textId="77777777" w:rsidR="005B203D" w:rsidRDefault="00E60DC2">
      <w:pPr>
        <w:widowControl w:val="0"/>
        <w:jc w:val="both"/>
        <w:rPr>
          <w:rFonts w:ascii="Gadugi" w:hAnsi="Gadugi" w:cs="Gadugi"/>
          <w:b/>
          <w:sz w:val="18"/>
          <w:szCs w:val="18"/>
          <w:u w:val="single"/>
        </w:rPr>
      </w:pPr>
      <w:r>
        <w:rPr>
          <w:rFonts w:ascii="Gadugi" w:eastAsia="Calibri" w:hAnsi="Gadugi" w:cs="Gadugi"/>
          <w:b/>
          <w:sz w:val="18"/>
          <w:szCs w:val="18"/>
          <w:u w:val="single"/>
        </w:rPr>
        <w:t>6.1 – PRAZO DE ENTREGA</w:t>
      </w:r>
    </w:p>
    <w:p w14:paraId="2ACA6F9A" w14:textId="77777777" w:rsidR="005B203D" w:rsidRDefault="00E60DC2">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 xml:space="preserve">6.1.1 – Conforme ETP, anexo ao edital. </w:t>
      </w:r>
    </w:p>
    <w:p w14:paraId="33282224" w14:textId="77777777" w:rsidR="005B203D" w:rsidRDefault="00E60DC2">
      <w:pPr>
        <w:widowControl w:val="0"/>
        <w:tabs>
          <w:tab w:val="left" w:pos="851"/>
        </w:tabs>
        <w:jc w:val="both"/>
        <w:rPr>
          <w:rFonts w:ascii="Gadugi" w:hAnsi="Gadugi" w:cs="Gadugi"/>
          <w:b/>
          <w:bCs/>
          <w:sz w:val="18"/>
          <w:szCs w:val="18"/>
          <w:u w:val="single"/>
        </w:rPr>
      </w:pPr>
      <w:r>
        <w:rPr>
          <w:rFonts w:ascii="Gadugi" w:eastAsia="Calibri" w:hAnsi="Gadugi" w:cs="Gadugi"/>
          <w:b/>
          <w:bCs/>
          <w:sz w:val="18"/>
          <w:szCs w:val="18"/>
          <w:u w:val="single"/>
        </w:rPr>
        <w:t>6.2 – LOCAL DE ENTREGA</w:t>
      </w:r>
    </w:p>
    <w:p w14:paraId="25B28596" w14:textId="77777777" w:rsidR="005B203D" w:rsidRDefault="00E60DC2">
      <w:pPr>
        <w:pStyle w:val="Nvel2-Red"/>
        <w:numPr>
          <w:ilvl w:val="0"/>
          <w:numId w:val="0"/>
        </w:numPr>
        <w:spacing w:before="0" w:after="0" w:line="240" w:lineRule="auto"/>
        <w:rPr>
          <w:rFonts w:ascii="Gadugi" w:eastAsia="Calibri" w:hAnsi="Gadugi" w:cs="Gadugi"/>
          <w:i w:val="0"/>
          <w:color w:val="auto"/>
          <w:sz w:val="18"/>
          <w:szCs w:val="18"/>
        </w:rPr>
      </w:pPr>
      <w:r>
        <w:rPr>
          <w:rFonts w:ascii="Gadugi" w:hAnsi="Gadugi" w:cs="Gadugi"/>
          <w:i w:val="0"/>
          <w:color w:val="auto"/>
          <w:sz w:val="18"/>
          <w:szCs w:val="18"/>
        </w:rPr>
        <w:t>6.2.1 – C</w:t>
      </w:r>
      <w:r>
        <w:rPr>
          <w:rFonts w:ascii="Gadugi" w:eastAsia="Calibri" w:hAnsi="Gadugi" w:cs="Gadugi"/>
          <w:i w:val="0"/>
          <w:color w:val="auto"/>
          <w:sz w:val="18"/>
          <w:szCs w:val="18"/>
        </w:rPr>
        <w:t xml:space="preserve">onforme ETP, </w:t>
      </w:r>
      <w:r>
        <w:rPr>
          <w:rFonts w:ascii="Gadugi" w:eastAsia="Calibri" w:hAnsi="Gadugi" w:cs="Gadugi"/>
          <w:i w:val="0"/>
          <w:iCs w:val="0"/>
          <w:color w:val="auto"/>
          <w:sz w:val="18"/>
          <w:szCs w:val="18"/>
        </w:rPr>
        <w:t>anexo ao edital.</w:t>
      </w:r>
      <w:r>
        <w:rPr>
          <w:rFonts w:ascii="Gadugi" w:eastAsia="Calibri" w:hAnsi="Gadugi" w:cs="Gadugi"/>
          <w:i w:val="0"/>
          <w:color w:val="auto"/>
          <w:sz w:val="18"/>
          <w:szCs w:val="18"/>
        </w:rPr>
        <w:t xml:space="preserve">. </w:t>
      </w:r>
    </w:p>
    <w:p w14:paraId="4CBBA269" w14:textId="77777777" w:rsidR="005B203D" w:rsidRDefault="00E60DC2">
      <w:pPr>
        <w:pStyle w:val="Nvel2-Red"/>
        <w:numPr>
          <w:ilvl w:val="0"/>
          <w:numId w:val="0"/>
        </w:numPr>
        <w:spacing w:before="0" w:after="0" w:line="240" w:lineRule="auto"/>
        <w:rPr>
          <w:rFonts w:ascii="Gadugi" w:hAnsi="Gadugi" w:cs="Gadugi"/>
          <w:b/>
          <w:bCs/>
          <w:i w:val="0"/>
          <w:iCs w:val="0"/>
          <w:color w:val="auto"/>
          <w:sz w:val="18"/>
          <w:szCs w:val="18"/>
          <w:u w:val="single"/>
        </w:rPr>
      </w:pPr>
      <w:r>
        <w:rPr>
          <w:rFonts w:ascii="Gadugi" w:eastAsia="Calibri" w:hAnsi="Gadugi" w:cs="Gadugi"/>
          <w:b/>
          <w:bCs/>
          <w:i w:val="0"/>
          <w:iCs w:val="0"/>
          <w:color w:val="auto"/>
          <w:sz w:val="18"/>
          <w:szCs w:val="18"/>
          <w:u w:val="single"/>
        </w:rPr>
        <w:t>6.3 – DO RECEBIMENTO</w:t>
      </w:r>
    </w:p>
    <w:p w14:paraId="55526498" w14:textId="77777777" w:rsidR="005B203D" w:rsidRDefault="00E60DC2">
      <w:pPr>
        <w:pStyle w:val="Nivel2"/>
        <w:numPr>
          <w:ilvl w:val="0"/>
          <w:numId w:val="0"/>
        </w:numPr>
        <w:tabs>
          <w:tab w:val="left" w:pos="284"/>
          <w:tab w:val="left" w:pos="426"/>
          <w:tab w:val="left" w:pos="567"/>
          <w:tab w:val="left" w:pos="851"/>
        </w:tabs>
        <w:spacing w:before="0" w:after="0" w:line="240" w:lineRule="auto"/>
        <w:rPr>
          <w:rFonts w:ascii="Gadugi" w:hAnsi="Gadugi" w:cs="Gadugi"/>
          <w:bCs/>
          <w:color w:val="auto"/>
          <w:sz w:val="18"/>
          <w:szCs w:val="18"/>
        </w:rPr>
      </w:pPr>
      <w:r>
        <w:rPr>
          <w:rFonts w:ascii="Gadugi" w:hAnsi="Gadugi" w:cs="Gadugi"/>
          <w:bCs/>
          <w:color w:val="auto"/>
          <w:sz w:val="18"/>
          <w:szCs w:val="18"/>
        </w:rPr>
        <w:t xml:space="preserve">6.3.1 – Conforme ETP, anexo ao edital. </w:t>
      </w:r>
    </w:p>
    <w:p w14:paraId="54E9FBE0"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7 – OBRIGAÇÕES DO CONTRATANTE (art. 92, incisos X, XI e XIV, da Lei nº 14.133/2021).</w:t>
      </w:r>
    </w:p>
    <w:p w14:paraId="2F70A65B" w14:textId="77777777" w:rsidR="005B203D" w:rsidRDefault="00E60DC2">
      <w:pPr>
        <w:pStyle w:val="Nivel2"/>
        <w:numPr>
          <w:ilvl w:val="0"/>
          <w:numId w:val="0"/>
        </w:numPr>
        <w:spacing w:before="0" w:after="0" w:line="240" w:lineRule="auto"/>
        <w:rPr>
          <w:rFonts w:ascii="Gadugi" w:hAnsi="Gadugi" w:cs="Gadugi"/>
          <w:b/>
          <w:bCs/>
          <w:color w:val="auto"/>
          <w:sz w:val="18"/>
          <w:szCs w:val="18"/>
        </w:rPr>
      </w:pPr>
      <w:r>
        <w:rPr>
          <w:rFonts w:ascii="Gadugi" w:hAnsi="Gadugi" w:cs="Gadugi"/>
          <w:color w:val="auto"/>
          <w:sz w:val="18"/>
          <w:szCs w:val="18"/>
        </w:rPr>
        <w:t>7.1 São obrigações do Contratante:</w:t>
      </w:r>
    </w:p>
    <w:p w14:paraId="0FAAACB4"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 – Exigir o cumprimento de todas as obrigações assumidas pelo Contratado, de acordo com o contrato e seus anexos;</w:t>
      </w:r>
    </w:p>
    <w:p w14:paraId="21B03F59"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7.1.2 – Receber o objeto no prazo e condições estabelecidas no TR – Termo de Referência;</w:t>
      </w:r>
    </w:p>
    <w:p w14:paraId="017AF787"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7.1.3 – Notificar o Contratado, por escrito, sobre vícios, defeitos ou incorreções verificadas no objeto fornecido, para que seja por ele substituído, reparado ou corrigido, no total ou em parte, às suas expensas;</w:t>
      </w:r>
    </w:p>
    <w:p w14:paraId="6576A060"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7.1.4 – Acompanhar e fiscalizar a execução do contrato e o cumprimento das obrigações pelo Contratado;</w:t>
      </w:r>
    </w:p>
    <w:p w14:paraId="12F374C5" w14:textId="77777777" w:rsidR="005B203D" w:rsidRDefault="00E60DC2">
      <w:pPr>
        <w:pStyle w:val="Nivel2"/>
        <w:numPr>
          <w:ilvl w:val="0"/>
          <w:numId w:val="0"/>
        </w:numPr>
        <w:spacing w:before="0" w:after="0" w:line="240" w:lineRule="auto"/>
        <w:ind w:left="708"/>
        <w:rPr>
          <w:rFonts w:ascii="Gadugi" w:hAnsi="Gadugi" w:cs="Gadugi"/>
          <w:bCs/>
          <w:color w:val="auto"/>
          <w:sz w:val="18"/>
          <w:szCs w:val="18"/>
        </w:rPr>
      </w:pPr>
      <w:r>
        <w:rPr>
          <w:rFonts w:ascii="Gadugi" w:hAnsi="Gadugi" w:cs="Gadugi"/>
          <w:color w:val="auto"/>
          <w:sz w:val="18"/>
          <w:szCs w:val="18"/>
        </w:rPr>
        <w:t xml:space="preserve">7.1.5 – Comunicar a empresa para </w:t>
      </w:r>
      <w:r>
        <w:rPr>
          <w:rFonts w:ascii="Gadugi" w:hAnsi="Gadugi" w:cs="Gadugi"/>
          <w:bCs/>
          <w:color w:val="auto"/>
          <w:sz w:val="18"/>
          <w:szCs w:val="18"/>
        </w:rPr>
        <w:t>emissão de NF – Nota Fiscal no que pertinente à parcela incontroversa da execução do objeto, para efeito de liquidação e pagamento, quando houver controvérsia sobre a execução do objeto, quanto à dimensão, qualidade e quantidade, conforme o art. 143 da Lei nº 14.133, de 2021;</w:t>
      </w:r>
    </w:p>
    <w:p w14:paraId="20D36C1B"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7.1.6 – Efetuar o pagamento ao Contratado do valor correspondente ao fornecimento do objeto, no prazo, forma e condições estabelecidos no Contrato;</w:t>
      </w:r>
    </w:p>
    <w:p w14:paraId="69E706AC"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7.1.7 – Aplicar ao Contratado as sanções previstas na lei e no Contrato; </w:t>
      </w:r>
    </w:p>
    <w:p w14:paraId="5EF7DD88"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7.1.8 – Cientificar o órgão de representação judicial da Prefeitura Municipal de Santa Bárbara do Sul/RS, para adoção das medidas cabíveis quando do descumprimento de obrigações pelo Contratado, quando esgotadas as vias administrativas.</w:t>
      </w:r>
    </w:p>
    <w:p w14:paraId="65FA9D92"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7.1.9 –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A7BCAD8"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7.1.10 – Responder eventuais pedidos de restabelecimento do equilíbrio econômico-financeiro feitos pelo contratado.</w:t>
      </w:r>
    </w:p>
    <w:p w14:paraId="5A21B462"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7.1.11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11ED5D"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8 – OBRIGAÇÕES DO CONTRATADO (art. 92, incisos XIV, XVI e XVII, da Lei nº 14.133/2021).</w:t>
      </w:r>
    </w:p>
    <w:p w14:paraId="7CCBF9D9"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8.1 – O Contratado deve cumprir todas as obrigações constantes do Contrato e em seus anexos, assumindo como exclusivamente seus os riscos e as despesas decorrentes da boa e perfeita execução do objeto, observando, ainda, as obrigações a seguir dispostas:</w:t>
      </w:r>
    </w:p>
    <w:p w14:paraId="383CFDB5"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 – Responsabilizar-se pelos vícios e danos decorrentes do objeto, de acordo com o Código de Defesa do Consumidor (Lei nº 8.078, de 1990);</w:t>
      </w:r>
    </w:p>
    <w:p w14:paraId="16DDD69B"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8.1.2 – Comunicar ao contratante, no prazo máximo de 24 (vinte e quatro) horas que antecede a data da entrega, os motivos que impossibilitem o cumprimento do prazo previsto, com a devida comprovação;</w:t>
      </w:r>
    </w:p>
    <w:p w14:paraId="577EC795"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8.1.3 – Atender às determinações regulares emitidas pelo fiscal ou gestor do contrato ou autoridade superior (art. 137, II, da Lei n.º 14.133, de 2021) e prestar todo esclarecimento ou informação por eles solicitados;</w:t>
      </w:r>
    </w:p>
    <w:p w14:paraId="35BB7FB6"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8.1.4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51F4820"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8.1.5 – O contratado deverá entregar ao setor responsável pela fiscalização do contrato, junto com a NF - Nota Fiscal para fins de pagamento, todos os documentos que comprovem a regularidade fiscal e trabalhista da empresa.</w:t>
      </w:r>
    </w:p>
    <w:p w14:paraId="4C1ED9C0"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8.1.6 –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6948AC4"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8.1.7 – Comunicar ao Fiscal do contrato, no prazo de 24 (vinte e quatro) horas, qualquer ocorrência anormal ou acidente que se verifique no local da execução do objeto contratual.</w:t>
      </w:r>
    </w:p>
    <w:p w14:paraId="1B9C7040"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8.1.8 – Paralisar, por determinação do contratante, qualquer atividade que não esteja sendo executada de acordo com a boa técnica ou que ponha em risco a segurança de pessoas ou bens de terceiros.</w:t>
      </w:r>
    </w:p>
    <w:p w14:paraId="5B8B0211"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8.1.9 – Manter durante toda a vigência do contrato, em compatibilidade com as obrigações assumidas, todas as condições exigidas para habilitação na licitação; </w:t>
      </w:r>
    </w:p>
    <w:p w14:paraId="7EDB3691"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8.1.10 – Guardar sigilo sobre todas as informações obtidas em decorrência do cumprimento do contrato; </w:t>
      </w:r>
    </w:p>
    <w:p w14:paraId="3AC94433"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8.1.11 -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inciso II, alínea ‘d’, da Lei nº 14.133, de 2021.</w:t>
      </w:r>
    </w:p>
    <w:p w14:paraId="564A252E" w14:textId="77777777" w:rsidR="005B203D" w:rsidRDefault="00E60DC2">
      <w:pPr>
        <w:pStyle w:val="Nivel2"/>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8.1.12 – Cumprir, além dos postulados legais vigentes de âmbito federal, estadual ou municipal, as normas de segurança do contratante;</w:t>
      </w:r>
    </w:p>
    <w:p w14:paraId="75812894" w14:textId="77777777" w:rsidR="005B203D" w:rsidRDefault="00E60DC2">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8.1.13 – Orientar e treinar seus empregados sobre os deveres previstos na Lei nº 13.709, de 14 de agosto de 2018, adotando medidas eficazes para proteção de dados pessoais a que tenha acesso por força da execução deste contrato;</w:t>
      </w:r>
    </w:p>
    <w:p w14:paraId="76FEB1EB" w14:textId="77777777" w:rsidR="005B203D" w:rsidRDefault="00E60DC2">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8.1.14 – Conduzir os trabalhos com estrita observância às normas da legislação pertinente, cumprindo as determinações dos Poderes Públicos, mantendo sempre limpo o local d</w:t>
      </w:r>
      <w:r>
        <w:rPr>
          <w:rFonts w:ascii="Gadugi" w:hAnsi="Gadugi" w:cs="Gadugi"/>
          <w:i w:val="0"/>
          <w:iCs w:val="0"/>
          <w:color w:val="auto"/>
          <w:sz w:val="18"/>
          <w:szCs w:val="18"/>
          <w:lang w:eastAsia="en-US"/>
        </w:rPr>
        <w:t>e execução do objeto</w:t>
      </w:r>
      <w:r>
        <w:rPr>
          <w:rFonts w:ascii="Gadugi" w:hAnsi="Gadugi" w:cs="Gadugi"/>
          <w:i w:val="0"/>
          <w:iCs w:val="0"/>
          <w:color w:val="auto"/>
          <w:sz w:val="18"/>
          <w:szCs w:val="18"/>
        </w:rPr>
        <w:t xml:space="preserve"> e nas melhores condições de segurança, higiene e disciplina.</w:t>
      </w:r>
    </w:p>
    <w:p w14:paraId="23FC83D3" w14:textId="77777777" w:rsidR="005B203D" w:rsidRDefault="00E60DC2">
      <w:pPr>
        <w:pStyle w:val="Nvel2-Red"/>
        <w:numPr>
          <w:ilvl w:val="0"/>
          <w:numId w:val="0"/>
        </w:numPr>
        <w:spacing w:before="0" w:after="0" w:line="240" w:lineRule="auto"/>
        <w:ind w:left="708"/>
        <w:rPr>
          <w:rFonts w:ascii="Gadugi" w:hAnsi="Gadugi" w:cs="Gadugi"/>
          <w:i w:val="0"/>
          <w:iCs w:val="0"/>
          <w:color w:val="auto"/>
          <w:sz w:val="18"/>
          <w:szCs w:val="18"/>
        </w:rPr>
      </w:pPr>
      <w:r>
        <w:rPr>
          <w:rFonts w:ascii="Gadugi" w:hAnsi="Gadugi" w:cs="Gadugi"/>
          <w:i w:val="0"/>
          <w:iCs w:val="0"/>
          <w:color w:val="auto"/>
          <w:sz w:val="18"/>
          <w:szCs w:val="18"/>
        </w:rPr>
        <w:t>8.1.15 – Submeter previamente, por escrito, ao contratante, para análise e aprovação, quaisquer mudanças nos métodos executivos que fujam às especificações do memorial descritivo ou instrumento congênere.</w:t>
      </w:r>
    </w:p>
    <w:p w14:paraId="295A0E72" w14:textId="77777777" w:rsidR="005B203D" w:rsidRDefault="00E60DC2">
      <w:pPr>
        <w:pStyle w:val="Nvel2-Red"/>
        <w:numPr>
          <w:ilvl w:val="0"/>
          <w:numId w:val="0"/>
        </w:numPr>
        <w:spacing w:before="0" w:after="0" w:line="240" w:lineRule="auto"/>
        <w:ind w:left="708"/>
        <w:rPr>
          <w:rFonts w:ascii="Gadugi" w:hAnsi="Gadugi" w:cs="Gadugi"/>
          <w:iCs w:val="0"/>
          <w:color w:val="auto"/>
          <w:sz w:val="18"/>
          <w:szCs w:val="18"/>
        </w:rPr>
      </w:pPr>
      <w:bookmarkStart w:id="37" w:name="_Ref118293030"/>
      <w:r>
        <w:rPr>
          <w:rFonts w:ascii="Gadugi" w:hAnsi="Gadugi" w:cs="Gadugi"/>
          <w:i w:val="0"/>
          <w:iCs w:val="0"/>
          <w:color w:val="auto"/>
          <w:sz w:val="18"/>
          <w:szCs w:val="18"/>
        </w:rPr>
        <w:t>8.1.16 – Não permitir a utilização de qualquer trabalho do menor de 16 (dezesseis) anos, exceto na condição de aprendiz para os maiores de 14 (quatorze) anos, nem permitir a utilização do trabalho do menor de 18 (dezoito) anos em trabalho noturno, perigoso ou insalubre.</w:t>
      </w:r>
      <w:bookmarkEnd w:id="37"/>
    </w:p>
    <w:p w14:paraId="7EE8E841" w14:textId="77777777" w:rsidR="005B203D" w:rsidRDefault="00E60DC2">
      <w:pPr>
        <w:pStyle w:val="Nvel2-Red"/>
        <w:numPr>
          <w:ilvl w:val="0"/>
          <w:numId w:val="0"/>
        </w:numPr>
        <w:tabs>
          <w:tab w:val="left" w:pos="5936"/>
        </w:tabs>
        <w:spacing w:before="0" w:after="0" w:line="240" w:lineRule="auto"/>
        <w:ind w:left="708"/>
        <w:rPr>
          <w:rFonts w:ascii="Gadugi" w:hAnsi="Gadugi" w:cs="Gadugi"/>
          <w:i w:val="0"/>
          <w:color w:val="auto"/>
          <w:sz w:val="18"/>
          <w:szCs w:val="18"/>
        </w:rPr>
      </w:pPr>
      <w:r>
        <w:rPr>
          <w:rFonts w:ascii="Gadugi" w:hAnsi="Gadugi" w:cs="Gadugi"/>
          <w:i w:val="0"/>
          <w:iCs w:val="0"/>
          <w:color w:val="auto"/>
          <w:sz w:val="18"/>
          <w:szCs w:val="18"/>
        </w:rPr>
        <w:t>8.1.17 – Permitir a fiscalização a qualquer tempo, pela contratante,</w:t>
      </w:r>
      <w:r>
        <w:rPr>
          <w:rFonts w:ascii="Gadugi" w:hAnsi="Gadugi" w:cs="Gadugi"/>
          <w:i w:val="0"/>
          <w:color w:val="auto"/>
          <w:sz w:val="18"/>
          <w:szCs w:val="18"/>
        </w:rPr>
        <w:tab/>
      </w:r>
    </w:p>
    <w:p w14:paraId="4822F256" w14:textId="77777777" w:rsidR="005B203D" w:rsidRDefault="00E60DC2">
      <w:pPr>
        <w:pStyle w:val="Nvel2-Red"/>
        <w:numPr>
          <w:ilvl w:val="0"/>
          <w:numId w:val="0"/>
        </w:numPr>
        <w:tabs>
          <w:tab w:val="left" w:pos="5936"/>
        </w:tabs>
        <w:spacing w:before="0" w:after="0" w:line="240" w:lineRule="auto"/>
        <w:ind w:left="708"/>
        <w:rPr>
          <w:rFonts w:ascii="Gadugi" w:hAnsi="Gadugi" w:cs="Gadugi"/>
          <w:i w:val="0"/>
          <w:color w:val="auto"/>
          <w:sz w:val="18"/>
          <w:szCs w:val="18"/>
        </w:rPr>
      </w:pPr>
      <w:r>
        <w:rPr>
          <w:rFonts w:ascii="Gadugi" w:hAnsi="Gadugi" w:cs="Gadugi"/>
          <w:i w:val="0"/>
          <w:iCs w:val="0"/>
          <w:color w:val="auto"/>
          <w:sz w:val="18"/>
          <w:szCs w:val="18"/>
        </w:rPr>
        <w:t>8.1.18 – Apresentar, por escrito, quando solicitado pela Contratante, relatório técnico dos serviços realizados</w:t>
      </w:r>
      <w:r>
        <w:rPr>
          <w:rFonts w:ascii="Gadugi" w:hAnsi="Gadugi" w:cs="Gadugi"/>
          <w:i w:val="0"/>
          <w:color w:val="auto"/>
          <w:sz w:val="18"/>
          <w:szCs w:val="18"/>
        </w:rPr>
        <w:t>;</w:t>
      </w:r>
    </w:p>
    <w:p w14:paraId="7FB7964B"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9 – MODELO DE GESTÃO E FISCALIZAÇÃO DA ATA DE REGISTRO DE PREÇOS OU CONTRATO</w:t>
      </w:r>
    </w:p>
    <w:p w14:paraId="410DBF45"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9.1 – A gestão da Ata de Registro de Preços será de responsabilidade do Setor de Compras.</w:t>
      </w:r>
    </w:p>
    <w:p w14:paraId="476F9601"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9.2 – </w:t>
      </w:r>
      <w:r>
        <w:rPr>
          <w:rFonts w:ascii="Gadugi" w:eastAsia="Calibri" w:hAnsi="Gadugi" w:cs="Gadugi"/>
          <w:color w:val="auto"/>
          <w:sz w:val="18"/>
          <w:szCs w:val="18"/>
          <w:lang w:eastAsia="en-US"/>
        </w:rPr>
        <w:t>A gestão dos contratos oriundos da Ata de Registro de Preços será de responsabilidade dos Secretários Municipais, os quais terão seus fiscais designados no ato da assinatura do contrato.</w:t>
      </w:r>
    </w:p>
    <w:p w14:paraId="1EDA7956"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9.3 – O contrato deverá ser executado fielmente pelas partes, de acordo com as cláusulas avençadas e as normas da Lei nº 14.133, de 2021, e cada parte responderá pelas consequências de sua inexecução total ou parcial.</w:t>
      </w:r>
    </w:p>
    <w:p w14:paraId="3E6D8AF8"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9.4 – Em caso de impedimento, ordem de paralisação ou suspensão do contrato, o cronograma de execução será prorrogado automaticamente pelo tempo correspondente, anotadas tais circunstâncias mediante simples apostila.</w:t>
      </w:r>
    </w:p>
    <w:p w14:paraId="0B7924D0"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9.5 – As comunicações entre o órgão ou entidade e a contratada devem ser realizadas por escrito sempre que o ato exigir tal formalidade, admitindo-se o uso de mensagem eletrônica para esse fim.</w:t>
      </w:r>
    </w:p>
    <w:p w14:paraId="4185F570"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9.6 – O órgão ou entidade poderá convocar representante da empresa para adoção de providências que devam ser cumpridas de imediato.</w:t>
      </w:r>
    </w:p>
    <w:p w14:paraId="4B25942A" w14:textId="77777777" w:rsidR="005B203D" w:rsidRDefault="00E60DC2">
      <w:pPr>
        <w:pStyle w:val="Nvel2-Red"/>
        <w:numPr>
          <w:ilvl w:val="0"/>
          <w:numId w:val="0"/>
        </w:numPr>
        <w:spacing w:before="0" w:after="0" w:line="240" w:lineRule="auto"/>
        <w:rPr>
          <w:rFonts w:ascii="Gadugi" w:hAnsi="Gadugi" w:cs="Gadugi"/>
          <w:i w:val="0"/>
          <w:iCs w:val="0"/>
          <w:color w:val="auto"/>
          <w:sz w:val="18"/>
          <w:szCs w:val="18"/>
        </w:rPr>
      </w:pPr>
      <w:r>
        <w:rPr>
          <w:rFonts w:ascii="Gadugi" w:hAnsi="Gadugi" w:cs="Gadugi"/>
          <w:i w:val="0"/>
          <w:iCs w:val="0"/>
          <w:color w:val="auto"/>
          <w:sz w:val="18"/>
          <w:szCs w:val="18"/>
        </w:rPr>
        <w:t>9.7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BB1FE39" w14:textId="77777777" w:rsidR="005B203D" w:rsidRDefault="00E60DC2">
      <w:pPr>
        <w:pStyle w:val="Nivel01Titulo"/>
        <w:numPr>
          <w:ilvl w:val="0"/>
          <w:numId w:val="0"/>
        </w:numPr>
        <w:tabs>
          <w:tab w:val="clear" w:pos="567"/>
          <w:tab w:val="left" w:pos="284"/>
        </w:tabs>
        <w:spacing w:before="0" w:after="0" w:line="240" w:lineRule="auto"/>
        <w:rPr>
          <w:rFonts w:ascii="Gadugi" w:hAnsi="Gadugi" w:cs="Gadugi"/>
          <w:color w:val="auto"/>
          <w:sz w:val="18"/>
          <w:szCs w:val="18"/>
        </w:rPr>
      </w:pPr>
      <w:r>
        <w:rPr>
          <w:rFonts w:ascii="Gadugi" w:hAnsi="Gadugi" w:cs="Gadugi"/>
          <w:color w:val="auto"/>
          <w:sz w:val="18"/>
          <w:szCs w:val="18"/>
        </w:rPr>
        <w:t>10 – CRITÉRIOS DE MEDIÇÃO E PAGAMENTO (art. 92, incisos V e VI, da Lei nº 14.133/2021).</w:t>
      </w:r>
    </w:p>
    <w:p w14:paraId="7672D148" w14:textId="77777777" w:rsidR="005B203D" w:rsidRDefault="00E60DC2">
      <w:pPr>
        <w:jc w:val="both"/>
        <w:rPr>
          <w:rFonts w:ascii="Gadugi" w:hAnsi="Gadugi" w:cs="Gadugi"/>
          <w:b/>
          <w:bCs/>
          <w:sz w:val="18"/>
          <w:szCs w:val="18"/>
          <w:u w:val="single"/>
        </w:rPr>
      </w:pPr>
      <w:r>
        <w:rPr>
          <w:rFonts w:ascii="Gadugi" w:hAnsi="Gadugi" w:cs="Gadugi"/>
          <w:b/>
          <w:bCs/>
          <w:sz w:val="18"/>
          <w:szCs w:val="18"/>
          <w:u w:val="single"/>
        </w:rPr>
        <w:t>10.1 – FORMA DE PAGAMENTO</w:t>
      </w:r>
    </w:p>
    <w:p w14:paraId="2DD3ABAC" w14:textId="77777777" w:rsidR="005B203D" w:rsidRDefault="00E60DC2">
      <w:pPr>
        <w:ind w:left="708"/>
        <w:jc w:val="both"/>
        <w:rPr>
          <w:rFonts w:ascii="Gadugi" w:hAnsi="Gadugi" w:cs="Gadugi"/>
          <w:sz w:val="18"/>
          <w:szCs w:val="18"/>
        </w:rPr>
      </w:pPr>
      <w:r>
        <w:rPr>
          <w:rFonts w:ascii="Gadugi" w:hAnsi="Gadugi" w:cs="Gadugi"/>
          <w:sz w:val="18"/>
          <w:szCs w:val="18"/>
        </w:rPr>
        <w:t>10.1.1 – O pagamento será realizado através de ordem bancária, para crédito em banco, agência e conta-corrente, a serem devidamente indicados pelo contratado.</w:t>
      </w:r>
    </w:p>
    <w:p w14:paraId="2C6DAA58" w14:textId="77777777" w:rsidR="005B203D" w:rsidRDefault="00E60DC2">
      <w:pPr>
        <w:ind w:left="708"/>
        <w:jc w:val="both"/>
        <w:rPr>
          <w:rFonts w:ascii="Gadugi" w:hAnsi="Gadugi" w:cs="Gadugi"/>
          <w:sz w:val="18"/>
          <w:szCs w:val="18"/>
        </w:rPr>
      </w:pPr>
      <w:r>
        <w:rPr>
          <w:rFonts w:ascii="Gadugi" w:hAnsi="Gadugi" w:cs="Gadugi"/>
          <w:sz w:val="18"/>
          <w:szCs w:val="18"/>
        </w:rPr>
        <w:t>10.1.2 – Será considerada data do pagamento o dia em que constar como emitida a ordem bancária para pagamento.</w:t>
      </w:r>
    </w:p>
    <w:p w14:paraId="062CC90A" w14:textId="77777777" w:rsidR="005B203D" w:rsidRDefault="00E60DC2">
      <w:pPr>
        <w:jc w:val="both"/>
        <w:rPr>
          <w:rFonts w:ascii="Gadugi" w:hAnsi="Gadugi" w:cs="Gadugi"/>
          <w:b/>
          <w:bCs/>
          <w:sz w:val="18"/>
          <w:szCs w:val="18"/>
          <w:u w:val="single"/>
        </w:rPr>
      </w:pPr>
      <w:r>
        <w:rPr>
          <w:rFonts w:ascii="Gadugi" w:hAnsi="Gadugi" w:cs="Gadugi"/>
          <w:b/>
          <w:bCs/>
          <w:sz w:val="18"/>
          <w:szCs w:val="18"/>
          <w:u w:val="single"/>
        </w:rPr>
        <w:t>10.2 – PRAZO DE PAGAMENTO</w:t>
      </w:r>
    </w:p>
    <w:p w14:paraId="7F293AA7" w14:textId="77777777" w:rsidR="005B203D" w:rsidRDefault="00E60DC2">
      <w:pPr>
        <w:ind w:left="708"/>
        <w:jc w:val="both"/>
        <w:rPr>
          <w:rFonts w:ascii="Gadugi" w:hAnsi="Gadugi" w:cs="Gadugi"/>
          <w:sz w:val="18"/>
          <w:szCs w:val="18"/>
        </w:rPr>
      </w:pPr>
      <w:r>
        <w:rPr>
          <w:rFonts w:ascii="Gadugi" w:hAnsi="Gadugi" w:cs="Gadugi"/>
          <w:sz w:val="18"/>
          <w:szCs w:val="18"/>
        </w:rPr>
        <w:t>10.2.1 – O pagamento será efetuado no prazo máximo de</w:t>
      </w:r>
      <w:r>
        <w:rPr>
          <w:rFonts w:ascii="Gadugi" w:eastAsia="Arial" w:hAnsi="Gadugi" w:cs="Gadugi"/>
          <w:sz w:val="18"/>
          <w:szCs w:val="18"/>
        </w:rPr>
        <w:t xml:space="preserve"> até 30 (trinta) </w:t>
      </w:r>
      <w:r>
        <w:rPr>
          <w:rFonts w:ascii="Gadugi" w:hAnsi="Gadugi" w:cs="Gadugi"/>
          <w:sz w:val="18"/>
          <w:szCs w:val="18"/>
        </w:rPr>
        <w:t>dias, contados do recebimento definitivo da NF – Nota Fiscal/Fatura.</w:t>
      </w:r>
    </w:p>
    <w:p w14:paraId="6BBC1772" w14:textId="77777777" w:rsidR="005B203D" w:rsidRDefault="00E60DC2">
      <w:pPr>
        <w:ind w:left="708"/>
        <w:jc w:val="both"/>
        <w:rPr>
          <w:rFonts w:ascii="Gadugi" w:hAnsi="Gadugi" w:cs="Gadugi"/>
          <w:sz w:val="18"/>
          <w:szCs w:val="18"/>
        </w:rPr>
      </w:pPr>
      <w:r>
        <w:rPr>
          <w:rFonts w:ascii="Gadugi" w:hAnsi="Gadugi" w:cs="Gadugi"/>
          <w:sz w:val="18"/>
          <w:szCs w:val="18"/>
        </w:rPr>
        <w:t>10.2.2 – Considera-se ocorrido o recebimento da nota fiscal ou fatura quando o órgão contratante atestar a execução do objeto do contrato.</w:t>
      </w:r>
    </w:p>
    <w:p w14:paraId="29DC5724" w14:textId="77777777" w:rsidR="005B203D" w:rsidRDefault="00E60DC2">
      <w:pPr>
        <w:ind w:left="708"/>
        <w:jc w:val="both"/>
        <w:rPr>
          <w:rFonts w:ascii="Gadugi" w:hAnsi="Gadugi" w:cs="Gadugi"/>
          <w:sz w:val="18"/>
          <w:szCs w:val="18"/>
        </w:rPr>
      </w:pPr>
      <w:r>
        <w:rPr>
          <w:rFonts w:ascii="Gadugi" w:hAnsi="Gadugi" w:cs="Gadugi"/>
          <w:sz w:val="18"/>
          <w:szCs w:val="18"/>
        </w:rPr>
        <w:t>10.2.3 – No caso de atraso pelo Contratante, os valores devidos ao contratado serão atualizados monetariamente entre o termo final do prazo de pagamento até a data de sua efetiva realização, mediante aplicação do Índice Nacional de Preços ao Consumidor Amplo – IPCA/IBGE de correção monetária.</w:t>
      </w:r>
    </w:p>
    <w:p w14:paraId="0507DB1F" w14:textId="77777777" w:rsidR="005B203D" w:rsidRDefault="00E60DC2">
      <w:pPr>
        <w:ind w:left="1416"/>
        <w:jc w:val="both"/>
        <w:rPr>
          <w:rFonts w:ascii="Gadugi" w:hAnsi="Gadugi" w:cs="Gadugi"/>
          <w:sz w:val="18"/>
          <w:szCs w:val="18"/>
        </w:rPr>
      </w:pPr>
      <w:r>
        <w:rPr>
          <w:rFonts w:ascii="Gadugi" w:hAnsi="Gadugi" w:cs="Gadugi"/>
          <w:sz w:val="18"/>
          <w:szCs w:val="18"/>
        </w:rPr>
        <w:t xml:space="preserve">10.2.3.1 – </w:t>
      </w:r>
      <w:r>
        <w:rPr>
          <w:rFonts w:ascii="Gadugi" w:hAnsi="Gadugi" w:cs="Gadugi"/>
          <w:iCs/>
          <w:sz w:val="18"/>
          <w:szCs w:val="18"/>
        </w:rPr>
        <w:t>A compensação financeira prevista nesta condição será incluída, a requerimento do interessado, na fatura do mês seguinte ao da ocorrência.</w:t>
      </w:r>
    </w:p>
    <w:p w14:paraId="196DDBFA" w14:textId="77777777" w:rsidR="005B203D" w:rsidRDefault="00E60DC2">
      <w:pPr>
        <w:jc w:val="both"/>
        <w:rPr>
          <w:rFonts w:ascii="Gadugi" w:hAnsi="Gadugi" w:cs="Gadugi"/>
          <w:b/>
          <w:bCs/>
          <w:sz w:val="18"/>
          <w:szCs w:val="18"/>
          <w:u w:val="single"/>
        </w:rPr>
      </w:pPr>
      <w:r>
        <w:rPr>
          <w:rFonts w:ascii="Gadugi" w:hAnsi="Gadugi" w:cs="Gadugi"/>
          <w:b/>
          <w:bCs/>
          <w:sz w:val="18"/>
          <w:szCs w:val="18"/>
          <w:u w:val="single"/>
        </w:rPr>
        <w:t>10.3 - A NF - Nota Fiscal/Fatura deve conter todos os elementos exigidos em lei, tais como:</w:t>
      </w:r>
    </w:p>
    <w:p w14:paraId="269CC3A3" w14:textId="77777777" w:rsidR="005B203D" w:rsidRDefault="00E60DC2">
      <w:pPr>
        <w:ind w:left="708"/>
        <w:jc w:val="both"/>
        <w:rPr>
          <w:rFonts w:ascii="Gadugi" w:hAnsi="Gadugi" w:cs="Gadugi"/>
          <w:sz w:val="18"/>
          <w:szCs w:val="18"/>
        </w:rPr>
      </w:pPr>
      <w:r>
        <w:rPr>
          <w:rFonts w:ascii="Gadugi" w:hAnsi="Gadugi" w:cs="Gadugi"/>
          <w:sz w:val="18"/>
          <w:szCs w:val="18"/>
        </w:rPr>
        <w:t>10.3.1 – Identificação completa da Contratada: CNPJ (o mesmo constante da documentação fiscal, exceto se for emitida por filial/matriz que contenha o mesmo CNPJ base, com sequencial específico da filial/matriz) da contratada, endereço, inscrição estadual ou municipal, etc.;</w:t>
      </w:r>
    </w:p>
    <w:p w14:paraId="670A186F" w14:textId="77777777" w:rsidR="005B203D" w:rsidRDefault="00E60DC2">
      <w:pPr>
        <w:ind w:left="708"/>
        <w:jc w:val="both"/>
        <w:rPr>
          <w:rFonts w:ascii="Gadugi" w:hAnsi="Gadugi" w:cs="Gadugi"/>
          <w:sz w:val="18"/>
          <w:szCs w:val="18"/>
        </w:rPr>
      </w:pPr>
      <w:r>
        <w:rPr>
          <w:rFonts w:ascii="Gadugi" w:hAnsi="Gadugi" w:cs="Gadugi"/>
          <w:sz w:val="18"/>
          <w:szCs w:val="18"/>
        </w:rPr>
        <w:t>10.3.2 – Prazo de validade;</w:t>
      </w:r>
    </w:p>
    <w:p w14:paraId="09583A76" w14:textId="77777777" w:rsidR="005B203D" w:rsidRDefault="00E60DC2">
      <w:pPr>
        <w:ind w:left="708"/>
        <w:jc w:val="both"/>
        <w:rPr>
          <w:rFonts w:ascii="Gadugi" w:hAnsi="Gadugi" w:cs="Gadugi"/>
          <w:sz w:val="18"/>
          <w:szCs w:val="18"/>
        </w:rPr>
      </w:pPr>
      <w:r>
        <w:rPr>
          <w:rFonts w:ascii="Gadugi" w:hAnsi="Gadugi" w:cs="Gadugi"/>
          <w:sz w:val="18"/>
          <w:szCs w:val="18"/>
        </w:rPr>
        <w:t>10.3.3 – Data da emissão;</w:t>
      </w:r>
    </w:p>
    <w:p w14:paraId="18C77612" w14:textId="77777777" w:rsidR="005B203D" w:rsidRDefault="00E60DC2">
      <w:pPr>
        <w:ind w:left="708"/>
        <w:jc w:val="both"/>
        <w:rPr>
          <w:rFonts w:ascii="Gadugi" w:hAnsi="Gadugi" w:cs="Gadugi"/>
          <w:sz w:val="18"/>
          <w:szCs w:val="18"/>
        </w:rPr>
      </w:pPr>
      <w:r>
        <w:rPr>
          <w:rFonts w:ascii="Gadugi" w:hAnsi="Gadugi" w:cs="Gadugi"/>
          <w:sz w:val="18"/>
          <w:szCs w:val="18"/>
        </w:rPr>
        <w:t>10.3.4 – Dados do contrato e do órgão contratante;</w:t>
      </w:r>
    </w:p>
    <w:p w14:paraId="370942AB" w14:textId="77777777" w:rsidR="005B203D" w:rsidRDefault="00E60DC2">
      <w:pPr>
        <w:ind w:left="708"/>
        <w:jc w:val="both"/>
        <w:rPr>
          <w:rFonts w:ascii="Gadugi" w:hAnsi="Gadugi" w:cs="Gadugi"/>
          <w:sz w:val="18"/>
          <w:szCs w:val="18"/>
        </w:rPr>
      </w:pPr>
      <w:r>
        <w:rPr>
          <w:rFonts w:ascii="Gadugi" w:hAnsi="Gadugi" w:cs="Gadugi"/>
          <w:sz w:val="18"/>
          <w:szCs w:val="18"/>
        </w:rPr>
        <w:t>10.3.5 – Descrição de forma clara do objeto executado;</w:t>
      </w:r>
    </w:p>
    <w:p w14:paraId="794F6173" w14:textId="77777777" w:rsidR="005B203D" w:rsidRDefault="00E60DC2">
      <w:pPr>
        <w:ind w:left="708"/>
        <w:jc w:val="both"/>
        <w:rPr>
          <w:rFonts w:ascii="Gadugi" w:hAnsi="Gadugi" w:cs="Gadugi"/>
          <w:sz w:val="18"/>
          <w:szCs w:val="18"/>
        </w:rPr>
      </w:pPr>
      <w:r>
        <w:rPr>
          <w:rFonts w:ascii="Gadugi" w:hAnsi="Gadugi" w:cs="Gadugi"/>
          <w:sz w:val="18"/>
          <w:szCs w:val="18"/>
        </w:rPr>
        <w:t>10.3.6 – Valores unitários e totais e período com as informações referentes aos itens do objeto efetivamente entregues;</w:t>
      </w:r>
    </w:p>
    <w:p w14:paraId="755A75FB" w14:textId="77777777" w:rsidR="005B203D" w:rsidRDefault="00E60DC2">
      <w:pPr>
        <w:ind w:left="708"/>
        <w:jc w:val="both"/>
        <w:rPr>
          <w:rFonts w:ascii="Gadugi" w:hAnsi="Gadugi" w:cs="Gadugi"/>
          <w:sz w:val="18"/>
          <w:szCs w:val="18"/>
        </w:rPr>
      </w:pPr>
      <w:r>
        <w:rPr>
          <w:rFonts w:ascii="Gadugi" w:hAnsi="Gadugi" w:cs="Gadugi"/>
          <w:sz w:val="18"/>
          <w:szCs w:val="18"/>
        </w:rPr>
        <w:t>10.3.7 – Número do processo que originou a contratação, bem como o número do empenho.</w:t>
      </w:r>
    </w:p>
    <w:p w14:paraId="2A6D0C1B" w14:textId="77777777" w:rsidR="005B203D" w:rsidRDefault="00E60DC2">
      <w:pPr>
        <w:ind w:left="708"/>
        <w:jc w:val="both"/>
        <w:rPr>
          <w:rFonts w:ascii="Gadugi" w:hAnsi="Gadugi" w:cs="Gadugi"/>
          <w:sz w:val="18"/>
          <w:szCs w:val="18"/>
        </w:rPr>
      </w:pPr>
      <w:r>
        <w:rPr>
          <w:rFonts w:ascii="Gadugi" w:hAnsi="Gadugi" w:cs="Gadugi"/>
          <w:sz w:val="18"/>
          <w:szCs w:val="18"/>
        </w:rPr>
        <w:t>10.3.8 – Informações bancárias para pagamento.</w:t>
      </w:r>
    </w:p>
    <w:p w14:paraId="34762D45" w14:textId="77777777" w:rsidR="005B203D" w:rsidRDefault="00E60DC2">
      <w:pPr>
        <w:ind w:left="708"/>
        <w:jc w:val="both"/>
        <w:rPr>
          <w:rFonts w:ascii="Gadugi" w:hAnsi="Gadugi" w:cs="Gadugi"/>
          <w:sz w:val="18"/>
          <w:szCs w:val="18"/>
        </w:rPr>
      </w:pPr>
      <w:r>
        <w:rPr>
          <w:rFonts w:ascii="Gadugi" w:hAnsi="Gadugi" w:cs="Gadugi"/>
          <w:sz w:val="18"/>
          <w:szCs w:val="18"/>
        </w:rPr>
        <w:t>10.3.9 – Eventual destaque do valor de retenções tributárias cabíveis.</w:t>
      </w:r>
    </w:p>
    <w:p w14:paraId="34B37227" w14:textId="77777777" w:rsidR="005B203D" w:rsidRDefault="00E60DC2">
      <w:pPr>
        <w:tabs>
          <w:tab w:val="left" w:pos="426"/>
        </w:tabs>
        <w:jc w:val="both"/>
        <w:rPr>
          <w:rFonts w:ascii="Gadugi" w:hAnsi="Gadugi" w:cs="Gadugi"/>
          <w:iCs/>
          <w:sz w:val="18"/>
          <w:szCs w:val="18"/>
        </w:rPr>
      </w:pPr>
      <w:r>
        <w:rPr>
          <w:rFonts w:ascii="Gadugi" w:hAnsi="Gadugi" w:cs="Gadugi"/>
          <w:iCs/>
          <w:sz w:val="18"/>
          <w:szCs w:val="18"/>
        </w:rPr>
        <w:t xml:space="preserve">10.4 - Havendo erro </w:t>
      </w:r>
      <w:r>
        <w:rPr>
          <w:rFonts w:ascii="Gadugi" w:hAnsi="Gadugi" w:cs="Gadugi"/>
          <w:sz w:val="18"/>
          <w:szCs w:val="18"/>
        </w:rPr>
        <w:t>na</w:t>
      </w:r>
      <w:r>
        <w:rPr>
          <w:rFonts w:ascii="Gadugi" w:hAnsi="Gadugi" w:cs="Gadugi"/>
          <w:iCs/>
          <w:sz w:val="18"/>
          <w:szCs w:val="18"/>
        </w:rPr>
        <w:t xml:space="preserve"> apresentação da NF - Nota Fiscal/Fatura, ou circunstância que impeça a liquidação da </w:t>
      </w:r>
      <w:r>
        <w:rPr>
          <w:rFonts w:ascii="Gadugi" w:hAnsi="Gadugi" w:cs="Gadugi"/>
          <w:sz w:val="18"/>
          <w:szCs w:val="18"/>
        </w:rPr>
        <w:t>despesa</w:t>
      </w:r>
      <w:r>
        <w:rPr>
          <w:rFonts w:ascii="Gadugi" w:hAnsi="Gadugi" w:cs="Gadugi"/>
          <w:iCs/>
          <w:sz w:val="18"/>
          <w:szCs w:val="18"/>
        </w:rPr>
        <w:t>, o pagamento ficará sobrestado até que o contratado providencie as medidas saneadoras. Nessa hipótese, o prazo para pagamento iniciar-se-á após a comprovação da regularização da situação, não acarretando qualquer ônus para o contratante;</w:t>
      </w:r>
    </w:p>
    <w:p w14:paraId="632F23F3" w14:textId="77777777" w:rsidR="005B203D" w:rsidRDefault="00E60DC2">
      <w:pPr>
        <w:tabs>
          <w:tab w:val="left" w:pos="426"/>
        </w:tabs>
        <w:jc w:val="both"/>
        <w:rPr>
          <w:rFonts w:ascii="Gadugi" w:hAnsi="Gadugi" w:cs="Gadugi"/>
          <w:iCs/>
          <w:sz w:val="18"/>
          <w:szCs w:val="18"/>
        </w:rPr>
      </w:pPr>
      <w:r>
        <w:rPr>
          <w:rFonts w:ascii="Gadugi" w:hAnsi="Gadugi" w:cs="Gadugi"/>
          <w:iCs/>
          <w:sz w:val="18"/>
          <w:szCs w:val="18"/>
        </w:rPr>
        <w:t>10.5 – Os pagamentos serão condicionados à apresentação da NF – Nota Fiscal dos produtos/serviços contratados e entregues/executados devidamente atestados pelo setor competente.</w:t>
      </w:r>
    </w:p>
    <w:p w14:paraId="2282FCB1" w14:textId="77777777" w:rsidR="005B203D" w:rsidRDefault="00E60DC2">
      <w:pPr>
        <w:tabs>
          <w:tab w:val="left" w:pos="426"/>
        </w:tabs>
        <w:jc w:val="both"/>
        <w:rPr>
          <w:rFonts w:ascii="Gadugi" w:hAnsi="Gadugi" w:cs="Gadugi"/>
          <w:iCs/>
          <w:sz w:val="18"/>
          <w:szCs w:val="18"/>
        </w:rPr>
      </w:pPr>
      <w:r>
        <w:rPr>
          <w:rFonts w:ascii="Gadugi" w:hAnsi="Gadugi" w:cs="Gadugi"/>
          <w:iCs/>
          <w:sz w:val="18"/>
          <w:szCs w:val="18"/>
        </w:rPr>
        <w:t xml:space="preserve">10.6 – Deverá a contratada apresentar ainda as provas de regularidade fiscal e trabalhista com prazo de validade vigente. </w:t>
      </w:r>
    </w:p>
    <w:p w14:paraId="1624DCDB" w14:textId="77777777" w:rsidR="005B203D" w:rsidRDefault="00E60DC2">
      <w:pPr>
        <w:tabs>
          <w:tab w:val="left" w:pos="426"/>
        </w:tabs>
        <w:jc w:val="both"/>
        <w:rPr>
          <w:rFonts w:ascii="Gadugi" w:hAnsi="Gadugi" w:cs="Gadugi"/>
          <w:iCs/>
          <w:sz w:val="18"/>
          <w:szCs w:val="18"/>
        </w:rPr>
      </w:pPr>
      <w:r>
        <w:rPr>
          <w:rFonts w:ascii="Gadugi" w:hAnsi="Gadugi" w:cs="Gadugi"/>
          <w:iCs/>
          <w:sz w:val="18"/>
          <w:szCs w:val="18"/>
        </w:rPr>
        <w:t>10.7 – O atraso superior a 60 (sessenta) dias dos pagamentos devidos pela Administração, decorrentes dos serviços já prestados, salvo em caso de calamidade pública, grave perturbação da ordem interna ou guerra, assegura à Contratada o direito de optar pela suspensão do cumprimento de suas obrigações até que seja normalizada a situação e a pronta quitação das parcelas em aberto.</w:t>
      </w:r>
    </w:p>
    <w:p w14:paraId="1F398D23" w14:textId="77777777" w:rsidR="005B203D" w:rsidRDefault="00E60DC2">
      <w:pPr>
        <w:tabs>
          <w:tab w:val="left" w:pos="426"/>
        </w:tabs>
        <w:jc w:val="both"/>
        <w:rPr>
          <w:rFonts w:ascii="Gadugi" w:hAnsi="Gadugi" w:cs="Gadugi"/>
          <w:iCs/>
          <w:sz w:val="18"/>
          <w:szCs w:val="18"/>
          <w:highlight w:val="white"/>
        </w:rPr>
      </w:pPr>
      <w:r>
        <w:rPr>
          <w:rFonts w:ascii="Gadugi" w:hAnsi="Gadugi" w:cs="Gadugi"/>
          <w:iCs/>
          <w:sz w:val="18"/>
          <w:szCs w:val="18"/>
        </w:rPr>
        <w:t>10.8</w:t>
      </w:r>
      <w:r>
        <w:rPr>
          <w:rFonts w:ascii="Gadugi" w:hAnsi="Gadugi" w:cs="Gadugi"/>
          <w:iCs/>
          <w:sz w:val="18"/>
          <w:szCs w:val="18"/>
          <w:highlight w:val="white"/>
        </w:rPr>
        <w:t xml:space="preserve"> – </w:t>
      </w:r>
      <w:r>
        <w:rPr>
          <w:rFonts w:ascii="Gadugi" w:hAnsi="Gadugi" w:cs="Gadugi"/>
          <w:sz w:val="18"/>
          <w:szCs w:val="18"/>
          <w:highlight w:val="whit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Gadugi" w:hAnsi="Gadugi" w:cs="Gadugi"/>
          <w:iCs/>
          <w:sz w:val="18"/>
          <w:szCs w:val="18"/>
          <w:highlight w:val="white"/>
        </w:rPr>
        <w:t>.</w:t>
      </w:r>
    </w:p>
    <w:p w14:paraId="7DE82771" w14:textId="77777777" w:rsidR="005B203D" w:rsidRDefault="00E60DC2">
      <w:pPr>
        <w:tabs>
          <w:tab w:val="left" w:pos="426"/>
        </w:tabs>
        <w:jc w:val="both"/>
        <w:rPr>
          <w:rFonts w:ascii="Gadugi" w:hAnsi="Gadugi" w:cs="Gadugi"/>
          <w:iCs/>
          <w:sz w:val="18"/>
          <w:szCs w:val="18"/>
        </w:rPr>
      </w:pPr>
      <w:r>
        <w:rPr>
          <w:rFonts w:ascii="Gadugi" w:hAnsi="Gadugi" w:cs="Gadugi"/>
          <w:iCs/>
          <w:sz w:val="18"/>
          <w:szCs w:val="18"/>
        </w:rPr>
        <w:t>10.9 – Dados para emissão da Nota Fiscal:</w:t>
      </w:r>
    </w:p>
    <w:p w14:paraId="4E3E0EF0" w14:textId="77777777" w:rsidR="005B203D" w:rsidRDefault="00E60DC2">
      <w:pPr>
        <w:widowControl w:val="0"/>
        <w:jc w:val="both"/>
        <w:rPr>
          <w:rFonts w:ascii="Gadugi" w:hAnsi="Gadugi" w:cs="Gadugi"/>
          <w:bCs/>
          <w:i/>
          <w:sz w:val="18"/>
          <w:szCs w:val="18"/>
        </w:rPr>
      </w:pPr>
      <w:r>
        <w:rPr>
          <w:rFonts w:ascii="Gadugi" w:hAnsi="Gadugi" w:cs="Gadugi"/>
          <w:i/>
          <w:iCs/>
          <w:sz w:val="18"/>
          <w:szCs w:val="18"/>
        </w:rPr>
        <w:t>PREFEITURA MUNICIPAL DE SANTA BÁRBARA DO SUL/RS</w:t>
      </w:r>
    </w:p>
    <w:p w14:paraId="3DCFF4D0" w14:textId="77777777" w:rsidR="005B203D" w:rsidRDefault="00E60DC2">
      <w:pPr>
        <w:widowControl w:val="0"/>
        <w:jc w:val="both"/>
        <w:rPr>
          <w:rFonts w:ascii="Gadugi" w:hAnsi="Gadugi" w:cs="Gadugi"/>
          <w:bCs/>
          <w:i/>
          <w:sz w:val="18"/>
          <w:szCs w:val="18"/>
        </w:rPr>
      </w:pPr>
      <w:r>
        <w:rPr>
          <w:rFonts w:ascii="Gadugi" w:hAnsi="Gadugi" w:cs="Gadugi"/>
          <w:i/>
          <w:iCs/>
          <w:sz w:val="18"/>
          <w:szCs w:val="18"/>
        </w:rPr>
        <w:t>CNPJ nº: 88.496.468/0001-60</w:t>
      </w:r>
    </w:p>
    <w:p w14:paraId="6DEFB16B" w14:textId="77777777" w:rsidR="005B203D" w:rsidRDefault="00E60DC2">
      <w:pPr>
        <w:widowControl w:val="0"/>
        <w:jc w:val="both"/>
        <w:rPr>
          <w:rFonts w:ascii="Gadugi" w:hAnsi="Gadugi" w:cs="Gadugi"/>
          <w:bCs/>
          <w:i/>
          <w:sz w:val="18"/>
          <w:szCs w:val="18"/>
        </w:rPr>
      </w:pPr>
      <w:r>
        <w:rPr>
          <w:rFonts w:ascii="Gadugi" w:hAnsi="Gadugi" w:cs="Gadugi"/>
          <w:i/>
          <w:iCs/>
          <w:sz w:val="18"/>
          <w:szCs w:val="18"/>
        </w:rPr>
        <w:t>ENDEREÇO: Avenida Eduardo de Britto, nº 101, Bairro Cerutti.</w:t>
      </w:r>
    </w:p>
    <w:p w14:paraId="1F763841" w14:textId="77777777" w:rsidR="005B203D" w:rsidRDefault="00E60DC2">
      <w:pPr>
        <w:widowControl w:val="0"/>
        <w:jc w:val="both"/>
        <w:rPr>
          <w:rFonts w:ascii="Gadugi" w:hAnsi="Gadugi" w:cs="Gadugi"/>
          <w:i/>
          <w:iCs/>
          <w:sz w:val="18"/>
          <w:szCs w:val="18"/>
        </w:rPr>
      </w:pPr>
      <w:r>
        <w:rPr>
          <w:rFonts w:ascii="Gadugi" w:hAnsi="Gadugi" w:cs="Gadugi"/>
          <w:i/>
          <w:iCs/>
          <w:sz w:val="18"/>
          <w:szCs w:val="18"/>
        </w:rPr>
        <w:t>CEP: 98.240-000</w:t>
      </w:r>
    </w:p>
    <w:p w14:paraId="1558DC20"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 – REAJUSTE (art. 92, inciso V, da Lei nº 14.133/2021).</w:t>
      </w:r>
    </w:p>
    <w:p w14:paraId="0D01682F"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11.1 – Os preços inicialmente contratados são fixos e irreajustáveis no prazo de um ano contado da data do orçamento estimado.</w:t>
      </w:r>
    </w:p>
    <w:p w14:paraId="0A067B2A"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11.2 – Após o interregno de 01 (um) ano, e independentemente de pedido do contratado, os preços iniciais serão reajustados, mediante a aplicação, pelo contratante, do Índice Nacional de Preços ao Consumidor Amplo - IPCA/IBGE</w:t>
      </w:r>
      <w:r>
        <w:rPr>
          <w:rFonts w:ascii="Gadugi" w:hAnsi="Gadugi" w:cs="Gadugi"/>
          <w:i/>
          <w:iCs/>
          <w:color w:val="auto"/>
          <w:sz w:val="18"/>
          <w:szCs w:val="18"/>
        </w:rPr>
        <w:t>,</w:t>
      </w:r>
      <w:r>
        <w:rPr>
          <w:rFonts w:ascii="Gadugi" w:hAnsi="Gadugi" w:cs="Gadugi"/>
          <w:color w:val="auto"/>
          <w:sz w:val="18"/>
          <w:szCs w:val="18"/>
        </w:rPr>
        <w:t xml:space="preserve"> exclusivamente para as obrigações iniciadas e concluídas após a ocorrência da anualidade.</w:t>
      </w:r>
    </w:p>
    <w:p w14:paraId="35AFB48E"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11.3 – Nos reajustes subsequentes ao primeiro, o interregno mínimo de 01 (um) ano será contado a partir dos efeitos financeiros do último reajuste.</w:t>
      </w:r>
    </w:p>
    <w:p w14:paraId="30AE6B34"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11.4 – No caso de atraso ou não divulgação do(s) índice (s) de reajustamento, o contratante pagará ao contratado a importância calculada pela última variação conhecida, liquidando a diferença correspondente tão logo seja(m) divulgado(s) o(s) índice(s) definitivo(s). </w:t>
      </w:r>
    </w:p>
    <w:p w14:paraId="2E536589"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11.5 – Nas aferições finais, o(s) índice(s) utilizado(s) para reajuste será(ão), obrigatoriamente, o(s) definitivo(s).</w:t>
      </w:r>
    </w:p>
    <w:p w14:paraId="506B02B9"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11.6 – Caso o(s) índice(s) estabelecido(s) para reajustamento venha(m) a ser extinto(s) ou de qualquer forma não possa(m) mais ser utilizado(s), será(ão) adotado(s), em substituição, o(s) que vier(em) a ser determinado(s) pela legislação então em vigor.</w:t>
      </w:r>
    </w:p>
    <w:p w14:paraId="345457C3"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11.7 – Na ausência de previsão legal quanto ao índice substituto, as partes elegerão novo índice oficial, para reajustamento do preço do valor remanescente, por meio de termo aditivo. </w:t>
      </w:r>
    </w:p>
    <w:p w14:paraId="22B7A48A"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11.8 – O reajuste será realizado por apostilamento.</w:t>
      </w:r>
    </w:p>
    <w:p w14:paraId="7A300DA8" w14:textId="77777777" w:rsidR="005B203D" w:rsidRDefault="00E60DC2">
      <w:pPr>
        <w:pStyle w:val="Nivel01"/>
        <w:numPr>
          <w:ilvl w:val="0"/>
          <w:numId w:val="0"/>
        </w:numPr>
        <w:tabs>
          <w:tab w:val="left" w:pos="284"/>
        </w:tabs>
        <w:spacing w:before="0" w:after="0" w:line="240" w:lineRule="auto"/>
        <w:rPr>
          <w:rFonts w:ascii="Gadugi" w:hAnsi="Gadugi" w:cs="Gadugi"/>
          <w:color w:val="auto"/>
          <w:sz w:val="18"/>
          <w:szCs w:val="18"/>
        </w:rPr>
      </w:pPr>
      <w:r>
        <w:rPr>
          <w:rFonts w:ascii="Gadugi" w:hAnsi="Gadugi" w:cs="Gadugi"/>
          <w:color w:val="auto"/>
          <w:sz w:val="18"/>
          <w:szCs w:val="18"/>
        </w:rPr>
        <w:t>12 – INFRAÇÕES E SANÇÕES ADMINISTRATIVAS (art. 92, inciso XIV, da Lei nº 14.133/2021).</w:t>
      </w:r>
    </w:p>
    <w:p w14:paraId="2088E9D5" w14:textId="77777777" w:rsidR="005B203D" w:rsidRDefault="00E60DC2">
      <w:pPr>
        <w:pStyle w:val="Nivel2"/>
        <w:numPr>
          <w:ilvl w:val="0"/>
          <w:numId w:val="0"/>
        </w:numPr>
        <w:tabs>
          <w:tab w:val="left" w:pos="284"/>
        </w:tabs>
        <w:spacing w:before="0" w:after="0" w:line="240" w:lineRule="auto"/>
        <w:rPr>
          <w:rFonts w:ascii="Gadugi" w:hAnsi="Gadugi" w:cs="Gadugi"/>
          <w:color w:val="auto"/>
          <w:sz w:val="18"/>
          <w:szCs w:val="18"/>
        </w:rPr>
      </w:pPr>
      <w:r>
        <w:rPr>
          <w:rFonts w:ascii="Gadugi" w:hAnsi="Gadugi" w:cs="Gadugi"/>
          <w:color w:val="auto"/>
          <w:sz w:val="18"/>
          <w:szCs w:val="18"/>
        </w:rPr>
        <w:t>12.1 – Comete infração administrativa, nos termos da Lei nº 14.133, de 2021, o contratado que:</w:t>
      </w:r>
    </w:p>
    <w:p w14:paraId="3F7F5756"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a) der causa à inexecução parcial do contrato;</w:t>
      </w:r>
    </w:p>
    <w:p w14:paraId="1346589C"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b) der causa à inexecução parcial do contrato que cause grave dano à Administração ou ao funcionamento dos serviços públicos ou ao interesse coletivo;</w:t>
      </w:r>
    </w:p>
    <w:p w14:paraId="0CC20E66"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c) der causa à inexecução total do contrato;</w:t>
      </w:r>
    </w:p>
    <w:p w14:paraId="0BAF1B9A"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d) ensejar o retardamento da execução ou da entrega do objeto da contratação sem motivo justificado;</w:t>
      </w:r>
    </w:p>
    <w:p w14:paraId="57C28D6E"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e) apresentar documentação falsa ou prestar declaração falsa durante a execução do contrato;</w:t>
      </w:r>
    </w:p>
    <w:p w14:paraId="5DB88E6D"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f) praticar ato fraudulento na execução do contrato;</w:t>
      </w:r>
    </w:p>
    <w:p w14:paraId="0C3CC0CB"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g) comportar-se de modo inidôneo ou cometer fraude de qualquer natureza;</w:t>
      </w:r>
    </w:p>
    <w:p w14:paraId="11BCF361"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h) praticar ato lesivo previsto no art. 5º da Lei nº 12.846, de 1º de agosto de 2013.</w:t>
      </w:r>
    </w:p>
    <w:p w14:paraId="18D19C98"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12.2 – Serão aplicadas ao contratado que incorrer nas infrações acima descritas as seguintes sanções:</w:t>
      </w:r>
    </w:p>
    <w:p w14:paraId="3C712A37" w14:textId="77777777" w:rsidR="005B203D" w:rsidRDefault="00E60DC2">
      <w:pPr>
        <w:tabs>
          <w:tab w:val="left" w:pos="284"/>
        </w:tabs>
        <w:ind w:left="708"/>
        <w:jc w:val="both"/>
        <w:rPr>
          <w:rFonts w:ascii="Gadugi" w:hAnsi="Gadugi" w:cs="Gadugi"/>
          <w:sz w:val="18"/>
          <w:szCs w:val="18"/>
        </w:rPr>
      </w:pPr>
      <w:r>
        <w:rPr>
          <w:rFonts w:ascii="Gadugi" w:eastAsia="Arial" w:hAnsi="Gadugi" w:cs="Gadugi"/>
          <w:bCs/>
          <w:sz w:val="18"/>
          <w:szCs w:val="18"/>
        </w:rPr>
        <w:t>I) Advertência</w:t>
      </w:r>
      <w:r>
        <w:rPr>
          <w:rFonts w:ascii="Gadugi" w:eastAsia="Arial" w:hAnsi="Gadugi" w:cs="Gadugi"/>
          <w:sz w:val="18"/>
          <w:szCs w:val="18"/>
        </w:rPr>
        <w:t xml:space="preserve">, quando o contratado der causa à inexecução parcial do contrato, sempre que não se justificar a imposição de penalidade mais grave (art. 156, §2º, da </w:t>
      </w:r>
      <w:bookmarkStart w:id="38" w:name="_Hlk114504069"/>
      <w:r>
        <w:rPr>
          <w:rFonts w:ascii="Gadugi" w:eastAsia="Arial" w:hAnsi="Gadugi" w:cs="Gadugi"/>
          <w:sz w:val="18"/>
          <w:szCs w:val="18"/>
        </w:rPr>
        <w:t>Lei nº 14.133, de 2021</w:t>
      </w:r>
      <w:bookmarkEnd w:id="38"/>
      <w:r>
        <w:rPr>
          <w:rFonts w:ascii="Gadugi" w:eastAsia="Arial" w:hAnsi="Gadugi" w:cs="Gadugi"/>
          <w:sz w:val="18"/>
          <w:szCs w:val="18"/>
        </w:rPr>
        <w:t>);</w:t>
      </w:r>
    </w:p>
    <w:p w14:paraId="5C6D6642" w14:textId="77777777" w:rsidR="005B203D" w:rsidRDefault="00E60DC2">
      <w:pPr>
        <w:tabs>
          <w:tab w:val="left" w:pos="284"/>
        </w:tabs>
        <w:ind w:left="708"/>
        <w:jc w:val="both"/>
        <w:rPr>
          <w:rFonts w:ascii="Gadugi" w:hAnsi="Gadugi" w:cs="Gadugi"/>
          <w:sz w:val="18"/>
          <w:szCs w:val="18"/>
        </w:rPr>
      </w:pPr>
      <w:r>
        <w:rPr>
          <w:rFonts w:ascii="Gadugi" w:eastAsia="Arial" w:hAnsi="Gadugi" w:cs="Gadugi"/>
          <w:bCs/>
          <w:sz w:val="18"/>
          <w:szCs w:val="18"/>
        </w:rPr>
        <w:t>II) Impedimento de licitar e contratar</w:t>
      </w:r>
      <w:r>
        <w:rPr>
          <w:rFonts w:ascii="Gadugi" w:eastAsia="Arial" w:hAnsi="Gadugi" w:cs="Gadugi"/>
          <w:sz w:val="18"/>
          <w:szCs w:val="18"/>
        </w:rPr>
        <w:t>, quando praticadas as condutas descritas nas alíneas “b”, “c” e “d” do subitem acima deste Contrato, sempre que não se justificar a imposição de penalidade mais grave (art. 156, § 4º, da Lei nº 14.133, de 2021);</w:t>
      </w:r>
    </w:p>
    <w:p w14:paraId="6BF8C97E" w14:textId="77777777" w:rsidR="005B203D" w:rsidRDefault="00E60DC2">
      <w:pPr>
        <w:tabs>
          <w:tab w:val="left" w:pos="284"/>
        </w:tabs>
        <w:ind w:left="708"/>
        <w:jc w:val="both"/>
        <w:rPr>
          <w:rFonts w:ascii="Gadugi" w:hAnsi="Gadugi" w:cs="Gadugi"/>
          <w:sz w:val="18"/>
          <w:szCs w:val="18"/>
        </w:rPr>
      </w:pPr>
      <w:r>
        <w:rPr>
          <w:rFonts w:ascii="Gadugi" w:eastAsia="Arial" w:hAnsi="Gadugi" w:cs="Gadugi"/>
          <w:bCs/>
          <w:sz w:val="18"/>
          <w:szCs w:val="18"/>
        </w:rPr>
        <w:t>III) Declaração de inidoneidade para licitar e contratar</w:t>
      </w:r>
      <w:r>
        <w:rPr>
          <w:rFonts w:ascii="Gadugi" w:eastAsia="Arial" w:hAnsi="Gadugi" w:cs="Gadugi"/>
          <w:sz w:val="18"/>
          <w:szCs w:val="18"/>
        </w:rPr>
        <w:t>, quando praticadas as condutas descritas nas alíneas “e”, “f”, “g” e “h” do subitem acima deste Contrato, bem como nas alíneas “b”, “c” e “d”, que justifiquem a imposição de penalidade mais grave (art. 156, §5º, da Lei nº 14.133, de 2021).</w:t>
      </w:r>
    </w:p>
    <w:p w14:paraId="4256C69B" w14:textId="77777777" w:rsidR="005B203D" w:rsidRDefault="00E60DC2">
      <w:pPr>
        <w:tabs>
          <w:tab w:val="left" w:pos="284"/>
        </w:tabs>
        <w:jc w:val="both"/>
        <w:rPr>
          <w:rFonts w:ascii="Gadugi" w:hAnsi="Gadugi" w:cs="Gadugi"/>
          <w:sz w:val="18"/>
          <w:szCs w:val="18"/>
        </w:rPr>
      </w:pPr>
      <w:r>
        <w:rPr>
          <w:rFonts w:ascii="Gadugi" w:eastAsia="Arial" w:hAnsi="Gadugi" w:cs="Gadugi"/>
          <w:bCs/>
          <w:sz w:val="18"/>
          <w:szCs w:val="18"/>
        </w:rPr>
        <w:t>I – Multa:</w:t>
      </w:r>
    </w:p>
    <w:p w14:paraId="160E0E70"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1 – moratória de 1% (um por cento) por dia de atraso injustificado sobre o valor da parcela inadimplida, até o limite de 30 (trinta) dias;</w:t>
      </w:r>
    </w:p>
    <w:p w14:paraId="344CA845" w14:textId="77777777" w:rsidR="005B203D" w:rsidRDefault="00E60DC2">
      <w:pPr>
        <w:tabs>
          <w:tab w:val="left" w:pos="284"/>
        </w:tabs>
        <w:ind w:left="708"/>
        <w:jc w:val="both"/>
        <w:rPr>
          <w:rFonts w:ascii="Gadugi" w:hAnsi="Gadugi" w:cs="Gadugi"/>
          <w:sz w:val="18"/>
          <w:szCs w:val="18"/>
        </w:rPr>
      </w:pPr>
      <w:r>
        <w:rPr>
          <w:rFonts w:ascii="Gadugi" w:eastAsia="Arial" w:hAnsi="Gadugi" w:cs="Gadugi"/>
          <w:iCs/>
          <w:sz w:val="18"/>
          <w:szCs w:val="18"/>
        </w:rPr>
        <w:t>2 – moratória de 1% (um por cento) por dia de atraso injustificado sobre o valor total do contrato, até o máximo de 50% (cinquenta por cento), pela inobservância do prazo fixado para apresentação, suplementação ou reposição da garantia.</w:t>
      </w:r>
    </w:p>
    <w:p w14:paraId="7BE020C6" w14:textId="77777777" w:rsidR="005B203D" w:rsidRDefault="00E60DC2">
      <w:pPr>
        <w:tabs>
          <w:tab w:val="left" w:pos="284"/>
        </w:tabs>
        <w:jc w:val="both"/>
        <w:rPr>
          <w:rFonts w:ascii="Gadugi" w:hAnsi="Gadugi" w:cs="Gadugi"/>
          <w:sz w:val="18"/>
          <w:szCs w:val="18"/>
        </w:rPr>
      </w:pPr>
      <w:r>
        <w:rPr>
          <w:rFonts w:ascii="Gadugi" w:eastAsia="Arial" w:hAnsi="Gadugi" w:cs="Gadugi"/>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p>
    <w:p w14:paraId="60565798" w14:textId="77777777" w:rsidR="005B203D" w:rsidRDefault="00E60DC2">
      <w:pPr>
        <w:tabs>
          <w:tab w:val="left" w:pos="284"/>
        </w:tabs>
        <w:ind w:left="708"/>
        <w:jc w:val="both"/>
        <w:rPr>
          <w:rFonts w:ascii="Gadugi" w:hAnsi="Gadugi" w:cs="Gadugi"/>
          <w:sz w:val="18"/>
          <w:szCs w:val="18"/>
        </w:rPr>
      </w:pPr>
      <w:r>
        <w:rPr>
          <w:rFonts w:ascii="Gadugi" w:eastAsia="Arial" w:hAnsi="Gadugi" w:cs="Gadugi"/>
          <w:sz w:val="18"/>
          <w:szCs w:val="18"/>
        </w:rPr>
        <w:t>1 – compensatória de 30% (trinta por cento) sobre o valor total do contrato, no caso de inexecução total do objeto.</w:t>
      </w:r>
    </w:p>
    <w:p w14:paraId="6B6B523C"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12.3 – A aplicação das sanções previstas neste Contrato não exclui, em hipótese alguma, a obrigação de reparação integral do dano causado ao Contratante (art. 156, §9º, da Lei nº 14.133, de 2021)</w:t>
      </w:r>
    </w:p>
    <w:p w14:paraId="0F3EB6D8"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12.4 – Todas as sanções previstas neste Contrato poderão ser aplicadas cumulativamente com a multa (art. 156, §7º, da Lei nº 14.133, de 2021).</w:t>
      </w:r>
    </w:p>
    <w:p w14:paraId="73F9376F" w14:textId="77777777" w:rsidR="005B203D" w:rsidRDefault="00E60DC2">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12.4.1 – Antes da aplicação da multa será facultada a defesa do interessado no prazo de 15 (quinze) dias úteis, contado da data de sua intimação (art. 157, da Lei nº 14.133, de 2021)</w:t>
      </w:r>
    </w:p>
    <w:p w14:paraId="3AD09BA7" w14:textId="77777777" w:rsidR="005B203D" w:rsidRDefault="00E60DC2">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12.4.2 –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FF03918" w14:textId="77777777" w:rsidR="005B203D" w:rsidRDefault="00E60DC2">
      <w:pPr>
        <w:pStyle w:val="Nivel3"/>
        <w:numPr>
          <w:ilvl w:val="0"/>
          <w:numId w:val="0"/>
        </w:numPr>
        <w:spacing w:before="0" w:after="0" w:line="240" w:lineRule="auto"/>
        <w:ind w:left="708"/>
        <w:rPr>
          <w:rFonts w:ascii="Gadugi" w:hAnsi="Gadugi" w:cs="Gadugi"/>
          <w:color w:val="auto"/>
          <w:sz w:val="18"/>
          <w:szCs w:val="18"/>
        </w:rPr>
      </w:pPr>
      <w:r>
        <w:rPr>
          <w:rFonts w:ascii="Gadugi" w:hAnsi="Gadugi" w:cs="Gadugi"/>
          <w:color w:val="auto"/>
          <w:sz w:val="18"/>
          <w:szCs w:val="18"/>
        </w:rPr>
        <w:t xml:space="preserve">12.4.3 – Previamente ao encaminhamento à cobrança judicial, a multa poderá ser recolhida administrativamente no prazo máximo de </w:t>
      </w:r>
      <w:r>
        <w:rPr>
          <w:rFonts w:ascii="Gadugi" w:hAnsi="Gadugi" w:cs="Gadugi"/>
          <w:iCs/>
          <w:color w:val="auto"/>
          <w:sz w:val="18"/>
          <w:szCs w:val="18"/>
        </w:rPr>
        <w:t xml:space="preserve">15 (quinze) </w:t>
      </w:r>
      <w:r>
        <w:rPr>
          <w:rFonts w:ascii="Gadugi" w:hAnsi="Gadugi" w:cs="Gadugi"/>
          <w:color w:val="auto"/>
          <w:sz w:val="18"/>
          <w:szCs w:val="18"/>
        </w:rPr>
        <w:t>dias, a contar da data do recebimento da comunicação enviada pela autoridade competente.</w:t>
      </w:r>
      <w:bookmarkStart w:id="39" w:name="_Hlk78351618"/>
      <w:bookmarkEnd w:id="39"/>
    </w:p>
    <w:p w14:paraId="6DCB4F58"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12.5 – A aplicação das sanções realizar-se-á em processo administrativo que assegure o contraditório e a ampla defesa ao Contratado, observando-se o procedimento previsto no </w:t>
      </w:r>
      <w:r>
        <w:rPr>
          <w:rFonts w:ascii="Gadugi" w:hAnsi="Gadugi" w:cs="Gadugi"/>
          <w:b/>
          <w:bCs/>
          <w:color w:val="auto"/>
          <w:sz w:val="18"/>
          <w:szCs w:val="18"/>
        </w:rPr>
        <w:t xml:space="preserve">caput </w:t>
      </w:r>
      <w:r>
        <w:rPr>
          <w:rFonts w:ascii="Gadugi" w:hAnsi="Gadugi" w:cs="Gadugi"/>
          <w:color w:val="auto"/>
          <w:sz w:val="18"/>
          <w:szCs w:val="18"/>
        </w:rPr>
        <w:t>e parágrafos do art. 158 da Lei nº 14.133, de 2021, para as penalidades de impedimento de licitar e contratar e de declaração de inidoneidade para licitar ou contratar.</w:t>
      </w:r>
    </w:p>
    <w:p w14:paraId="2BAFC61A" w14:textId="77777777" w:rsidR="005B203D" w:rsidRDefault="00E60DC2">
      <w:pPr>
        <w:pStyle w:val="Nivel2"/>
        <w:numPr>
          <w:ilvl w:val="0"/>
          <w:numId w:val="0"/>
        </w:numPr>
        <w:tabs>
          <w:tab w:val="left" w:pos="284"/>
        </w:tabs>
        <w:spacing w:before="0" w:after="0" w:line="240" w:lineRule="auto"/>
        <w:rPr>
          <w:rFonts w:ascii="Gadugi" w:hAnsi="Gadugi" w:cs="Gadugi"/>
          <w:color w:val="auto"/>
          <w:sz w:val="18"/>
          <w:szCs w:val="18"/>
        </w:rPr>
      </w:pPr>
      <w:r>
        <w:rPr>
          <w:rFonts w:ascii="Gadugi" w:hAnsi="Gadugi" w:cs="Gadugi"/>
          <w:color w:val="auto"/>
          <w:sz w:val="18"/>
          <w:szCs w:val="18"/>
        </w:rPr>
        <w:t>12.6 – Na aplicação das sanções serão considerados (art. 156, §1º, da Lei nº 14.133, de 2021):</w:t>
      </w:r>
    </w:p>
    <w:p w14:paraId="114F92EA" w14:textId="77777777" w:rsidR="005B203D" w:rsidRDefault="00E60DC2">
      <w:pPr>
        <w:tabs>
          <w:tab w:val="left" w:pos="284"/>
        </w:tabs>
        <w:ind w:left="708"/>
        <w:contextualSpacing/>
        <w:jc w:val="both"/>
        <w:rPr>
          <w:rFonts w:ascii="Gadugi" w:hAnsi="Gadugi" w:cs="Gadugi"/>
          <w:sz w:val="18"/>
          <w:szCs w:val="18"/>
        </w:rPr>
      </w:pPr>
      <w:r>
        <w:rPr>
          <w:rFonts w:ascii="Gadugi" w:eastAsia="Arial" w:hAnsi="Gadugi" w:cs="Gadugi"/>
          <w:sz w:val="18"/>
          <w:szCs w:val="18"/>
        </w:rPr>
        <w:t>a) a natureza e a gravidade da infração cometida;</w:t>
      </w:r>
    </w:p>
    <w:p w14:paraId="34C3C8B7" w14:textId="77777777" w:rsidR="005B203D" w:rsidRDefault="00E60DC2">
      <w:pPr>
        <w:tabs>
          <w:tab w:val="left" w:pos="284"/>
        </w:tabs>
        <w:ind w:left="708"/>
        <w:contextualSpacing/>
        <w:jc w:val="both"/>
        <w:rPr>
          <w:rFonts w:ascii="Gadugi" w:hAnsi="Gadugi" w:cs="Gadugi"/>
          <w:sz w:val="18"/>
          <w:szCs w:val="18"/>
        </w:rPr>
      </w:pPr>
      <w:r>
        <w:rPr>
          <w:rFonts w:ascii="Gadugi" w:eastAsia="Arial" w:hAnsi="Gadugi" w:cs="Gadugi"/>
          <w:sz w:val="18"/>
          <w:szCs w:val="18"/>
        </w:rPr>
        <w:t>b) as peculiaridades do caso concreto;</w:t>
      </w:r>
    </w:p>
    <w:p w14:paraId="55F7E6AD" w14:textId="77777777" w:rsidR="005B203D" w:rsidRDefault="00E60DC2">
      <w:pPr>
        <w:tabs>
          <w:tab w:val="left" w:pos="284"/>
        </w:tabs>
        <w:ind w:left="708"/>
        <w:contextualSpacing/>
        <w:jc w:val="both"/>
        <w:rPr>
          <w:rFonts w:ascii="Gadugi" w:hAnsi="Gadugi" w:cs="Gadugi"/>
          <w:sz w:val="18"/>
          <w:szCs w:val="18"/>
        </w:rPr>
      </w:pPr>
      <w:r>
        <w:rPr>
          <w:rFonts w:ascii="Gadugi" w:eastAsia="Arial" w:hAnsi="Gadugi" w:cs="Gadugi"/>
          <w:sz w:val="18"/>
          <w:szCs w:val="18"/>
        </w:rPr>
        <w:t>c) as circunstâncias agravantes ou atenuantes;</w:t>
      </w:r>
    </w:p>
    <w:p w14:paraId="22595EA7" w14:textId="77777777" w:rsidR="005B203D" w:rsidRDefault="00E60DC2">
      <w:pPr>
        <w:tabs>
          <w:tab w:val="left" w:pos="284"/>
        </w:tabs>
        <w:ind w:left="708"/>
        <w:contextualSpacing/>
        <w:jc w:val="both"/>
        <w:rPr>
          <w:rFonts w:ascii="Gadugi" w:hAnsi="Gadugi" w:cs="Gadugi"/>
          <w:sz w:val="18"/>
          <w:szCs w:val="18"/>
        </w:rPr>
      </w:pPr>
      <w:r>
        <w:rPr>
          <w:rFonts w:ascii="Gadugi" w:eastAsia="Arial" w:hAnsi="Gadugi" w:cs="Gadugi"/>
          <w:sz w:val="18"/>
          <w:szCs w:val="18"/>
        </w:rPr>
        <w:t>d) os danos que dela provierem para o Contratante;</w:t>
      </w:r>
    </w:p>
    <w:p w14:paraId="59910468" w14:textId="77777777" w:rsidR="005B203D" w:rsidRDefault="00E60DC2">
      <w:pPr>
        <w:tabs>
          <w:tab w:val="left" w:pos="284"/>
        </w:tabs>
        <w:ind w:left="708"/>
        <w:contextualSpacing/>
        <w:jc w:val="both"/>
        <w:rPr>
          <w:rFonts w:ascii="Gadugi" w:hAnsi="Gadugi" w:cs="Gadugi"/>
          <w:sz w:val="18"/>
          <w:szCs w:val="18"/>
        </w:rPr>
      </w:pPr>
      <w:r>
        <w:rPr>
          <w:rFonts w:ascii="Gadugi" w:eastAsia="Arial" w:hAnsi="Gadugi" w:cs="Gadugi"/>
          <w:sz w:val="18"/>
          <w:szCs w:val="18"/>
        </w:rPr>
        <w:t>e) a implantação ou o aperfeiçoamento de programa de integridade, conforme normas e orientações dos órgãos de controle.</w:t>
      </w:r>
    </w:p>
    <w:p w14:paraId="2B62FE85"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12.7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FCB0E02" w14:textId="77777777" w:rsidR="005B203D" w:rsidRDefault="00E60DC2">
      <w:pPr>
        <w:pStyle w:val="Nivel2"/>
        <w:numPr>
          <w:ilvl w:val="0"/>
          <w:numId w:val="0"/>
        </w:numPr>
        <w:spacing w:before="0" w:after="0" w:line="240" w:lineRule="auto"/>
        <w:rPr>
          <w:rFonts w:ascii="Gadugi" w:hAnsi="Gadugi" w:cs="Gadugi"/>
          <w:i/>
          <w:iCs/>
          <w:color w:val="auto"/>
          <w:sz w:val="18"/>
          <w:szCs w:val="18"/>
        </w:rPr>
      </w:pPr>
      <w:r>
        <w:rPr>
          <w:rFonts w:ascii="Gadugi" w:hAnsi="Gadugi" w:cs="Gadugi"/>
          <w:color w:val="auto"/>
          <w:sz w:val="18"/>
          <w:szCs w:val="18"/>
        </w:rPr>
        <w:t>12.8 -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BE52675" w14:textId="77777777" w:rsidR="005B203D" w:rsidRDefault="00E60DC2">
      <w:pPr>
        <w:pStyle w:val="Nivel2"/>
        <w:numPr>
          <w:ilvl w:val="0"/>
          <w:numId w:val="0"/>
        </w:numPr>
        <w:spacing w:before="0" w:after="0" w:line="240" w:lineRule="auto"/>
        <w:rPr>
          <w:rFonts w:ascii="Gadugi" w:hAnsi="Gadugi" w:cs="Gadugi"/>
          <w:i/>
          <w:iCs/>
          <w:color w:val="auto"/>
          <w:sz w:val="18"/>
          <w:szCs w:val="18"/>
        </w:rPr>
      </w:pPr>
      <w:r>
        <w:rPr>
          <w:rFonts w:ascii="Gadugi" w:hAnsi="Gadugi" w:cs="Gadugi"/>
          <w:color w:val="auto"/>
          <w:sz w:val="18"/>
          <w:szCs w:val="18"/>
        </w:rPr>
        <w:t>12.9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21015E80" w14:textId="77777777" w:rsidR="005B203D" w:rsidRDefault="00E60DC2">
      <w:pPr>
        <w:pStyle w:val="Nivel2"/>
        <w:numPr>
          <w:ilvl w:val="0"/>
          <w:numId w:val="0"/>
        </w:numPr>
        <w:spacing w:before="0" w:after="0" w:line="240" w:lineRule="auto"/>
        <w:rPr>
          <w:rFonts w:ascii="Gadugi" w:hAnsi="Gadugi" w:cs="Gadugi"/>
          <w:i/>
          <w:iCs/>
          <w:color w:val="auto"/>
          <w:sz w:val="18"/>
          <w:szCs w:val="18"/>
        </w:rPr>
      </w:pPr>
      <w:r>
        <w:rPr>
          <w:rFonts w:ascii="Gadugi" w:hAnsi="Gadugi" w:cs="Gadugi"/>
          <w:color w:val="auto"/>
          <w:sz w:val="18"/>
          <w:szCs w:val="18"/>
        </w:rPr>
        <w:t>12.10 – As sanções de impedimento de licitar e contratar e declaração de inidoneidade para licitar ou contratar são passíveis de reabilitação na forma do art. 163 da Lei nº 14.133/21.</w:t>
      </w:r>
    </w:p>
    <w:p w14:paraId="4C93220D"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12.11 –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438E267D" w14:textId="77777777" w:rsidR="005B203D" w:rsidRDefault="00E60DC2">
      <w:pPr>
        <w:pStyle w:val="PargrafodaLista"/>
        <w:widowControl w:val="0"/>
        <w:tabs>
          <w:tab w:val="left" w:pos="909"/>
        </w:tabs>
        <w:ind w:left="0"/>
        <w:contextualSpacing w:val="0"/>
        <w:jc w:val="both"/>
        <w:rPr>
          <w:rFonts w:ascii="Gadugi" w:hAnsi="Gadugi" w:cs="Gadugi"/>
          <w:sz w:val="18"/>
          <w:szCs w:val="18"/>
        </w:rPr>
      </w:pPr>
      <w:r>
        <w:rPr>
          <w:rFonts w:ascii="Gadugi" w:hAnsi="Gadugi" w:cs="Gadugi"/>
          <w:sz w:val="18"/>
          <w:szCs w:val="18"/>
        </w:rPr>
        <w:t xml:space="preserve">12.12 – </w:t>
      </w:r>
      <w:r>
        <w:rPr>
          <w:rFonts w:ascii="Gadugi" w:eastAsia="Times New Roman" w:hAnsi="Gadugi" w:cs="Gadugi"/>
          <w:sz w:val="18"/>
          <w:szCs w:val="18"/>
        </w:rPr>
        <w:t>Aquele que convocado para assinatura da ata ou contrato não o fizer dentro do prazo estabelecido pela Administração, deixar de entregar documentação exigida, apresentar documentação falsa, ensejar o retardamento da execução de seu objeto, não mantiver a proposta, falhar ou fraudar na execução do contrato, comportar-se de modo inidôneo, fizer declaração falsa ou cometer fraude fiscal, sendo-lhe garantido o direito à ampla defesa, serão aplicadas as sanções de multa de 10% (dez por cento) sobre o valor estabelecido em sua proposta e a penalidade de impedimento do direito de licitar e contratar com a Administração Pública Municipal ou a declaração de inidoneidade para licitar e contratar com a Administração Pública, sem prejuízo das demais cominações legais, incluindo as sanções previstas na Lei nº 14.133/2021 e, suas alterações.</w:t>
      </w:r>
    </w:p>
    <w:p w14:paraId="3F67541D"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13 – FORMA E CRITÉRIOS DE SELEÇÃO DO FORNECEDOR</w:t>
      </w:r>
    </w:p>
    <w:p w14:paraId="7A12BA0B" w14:textId="77777777" w:rsidR="005B203D" w:rsidRDefault="00E60DC2">
      <w:pPr>
        <w:pStyle w:val="Nvel1-SemNum"/>
        <w:spacing w:before="0" w:after="0" w:line="240" w:lineRule="auto"/>
        <w:ind w:left="0"/>
        <w:rPr>
          <w:rFonts w:ascii="Gadugi" w:hAnsi="Gadugi" w:cs="Gadugi"/>
          <w:color w:val="auto"/>
          <w:sz w:val="18"/>
          <w:szCs w:val="18"/>
          <w:highlight w:val="yellow"/>
        </w:rPr>
      </w:pPr>
      <w:r>
        <w:rPr>
          <w:rFonts w:ascii="Gadugi" w:hAnsi="Gadugi" w:cs="Gadugi"/>
          <w:color w:val="auto"/>
          <w:sz w:val="18"/>
          <w:szCs w:val="18"/>
          <w:lang w:eastAsia="en-US"/>
        </w:rPr>
        <w:t>Forma de seleção e critério de julgamento da proposta</w:t>
      </w:r>
    </w:p>
    <w:p w14:paraId="3B782C36" w14:textId="06F78877" w:rsidR="005B203D" w:rsidRDefault="00E60DC2">
      <w:pPr>
        <w:pStyle w:val="Nivel2"/>
        <w:numPr>
          <w:ilvl w:val="0"/>
          <w:numId w:val="0"/>
        </w:numPr>
        <w:spacing w:before="0" w:after="0" w:line="240" w:lineRule="auto"/>
        <w:rPr>
          <w:rFonts w:ascii="Gadugi" w:hAnsi="Gadugi" w:cs="Gadugi"/>
          <w:b/>
          <w:color w:val="auto"/>
          <w:sz w:val="18"/>
          <w:szCs w:val="18"/>
        </w:rPr>
      </w:pPr>
      <w:r>
        <w:rPr>
          <w:rFonts w:ascii="Gadugi" w:eastAsia="Arial" w:hAnsi="Gadugi" w:cs="Gadugi"/>
          <w:color w:val="auto"/>
          <w:sz w:val="18"/>
          <w:szCs w:val="18"/>
        </w:rPr>
        <w:t xml:space="preserve">13.1 – O fornecedor será selecionado por meio da realização de procedimento de LICITAÇÃO, na modalidade PREGÃO, sob a forma ELETRÔNICA, com adoção do critério de julgamento pelo </w:t>
      </w:r>
      <w:r>
        <w:rPr>
          <w:rFonts w:ascii="Gadugi" w:eastAsia="Arial" w:hAnsi="Gadugi" w:cs="Gadugi"/>
          <w:b/>
          <w:color w:val="auto"/>
          <w:sz w:val="18"/>
          <w:szCs w:val="18"/>
        </w:rPr>
        <w:t xml:space="preserve">MENOR PREÇO </w:t>
      </w:r>
      <w:r w:rsidR="0036372D">
        <w:rPr>
          <w:rFonts w:ascii="Gadugi" w:eastAsia="Arial" w:hAnsi="Gadugi" w:cs="Gadugi"/>
          <w:b/>
          <w:color w:val="auto"/>
          <w:sz w:val="18"/>
          <w:szCs w:val="18"/>
        </w:rPr>
        <w:t xml:space="preserve">POR </w:t>
      </w:r>
      <w:r w:rsidR="0062644A">
        <w:rPr>
          <w:rFonts w:ascii="Gadugi" w:eastAsia="Arial" w:hAnsi="Gadugi" w:cs="Gadugi"/>
          <w:b/>
          <w:color w:val="auto"/>
          <w:sz w:val="18"/>
          <w:szCs w:val="18"/>
        </w:rPr>
        <w:t>ITEM</w:t>
      </w:r>
      <w:r>
        <w:rPr>
          <w:rFonts w:ascii="Gadugi" w:eastAsia="Arial" w:hAnsi="Gadugi" w:cs="Gadugi"/>
          <w:b/>
          <w:color w:val="auto"/>
          <w:sz w:val="18"/>
          <w:szCs w:val="18"/>
        </w:rPr>
        <w:t>.</w:t>
      </w:r>
    </w:p>
    <w:p w14:paraId="0C44E2F8" w14:textId="77777777" w:rsidR="005B203D" w:rsidRDefault="00E60DC2">
      <w:pPr>
        <w:pStyle w:val="Nvel1-SemNum"/>
        <w:spacing w:before="0" w:after="0" w:line="240" w:lineRule="auto"/>
        <w:ind w:left="0"/>
        <w:rPr>
          <w:rFonts w:ascii="Gadugi" w:hAnsi="Gadugi" w:cs="Gadugi"/>
          <w:color w:val="auto"/>
          <w:sz w:val="18"/>
          <w:szCs w:val="18"/>
        </w:rPr>
      </w:pPr>
      <w:r>
        <w:rPr>
          <w:rFonts w:ascii="Gadugi" w:hAnsi="Gadugi" w:cs="Gadugi"/>
          <w:color w:val="auto"/>
          <w:sz w:val="18"/>
          <w:szCs w:val="18"/>
          <w:lang w:eastAsia="en-US"/>
        </w:rPr>
        <w:t>Exigências de habilitação</w:t>
      </w:r>
    </w:p>
    <w:p w14:paraId="49C40548" w14:textId="77777777" w:rsidR="005B203D" w:rsidRDefault="00E60DC2">
      <w:pPr>
        <w:widowControl w:val="0"/>
        <w:ind w:firstLine="567"/>
        <w:jc w:val="both"/>
        <w:rPr>
          <w:rFonts w:ascii="Gadugi" w:eastAsia="Times New Roman" w:hAnsi="Gadugi" w:cs="Times New Roman"/>
          <w:sz w:val="18"/>
          <w:szCs w:val="18"/>
        </w:rPr>
      </w:pPr>
      <w:r>
        <w:rPr>
          <w:rFonts w:ascii="Gadugi" w:eastAsia="Times New Roman" w:hAnsi="Gadugi" w:cs="Calibri"/>
          <w:b/>
          <w:sz w:val="18"/>
          <w:szCs w:val="18"/>
        </w:rPr>
        <w:t xml:space="preserve">13.1.1. </w:t>
      </w:r>
      <w:r>
        <w:rPr>
          <w:rFonts w:ascii="Gadugi" w:eastAsia="Times New Roman" w:hAnsi="Gadugi" w:cs="Calibri"/>
          <w:b/>
          <w:bCs/>
          <w:sz w:val="18"/>
          <w:szCs w:val="18"/>
        </w:rPr>
        <w:t>Documentos relativos à habilitação jurídica</w:t>
      </w:r>
      <w:r>
        <w:rPr>
          <w:rFonts w:ascii="Gadugi" w:eastAsia="Times New Roman" w:hAnsi="Gadugi" w:cs="Calibri"/>
          <w:b/>
          <w:sz w:val="18"/>
          <w:szCs w:val="18"/>
        </w:rPr>
        <w:t>:</w:t>
      </w:r>
    </w:p>
    <w:p w14:paraId="000B760C" w14:textId="77777777" w:rsidR="005B203D" w:rsidRDefault="00E60DC2">
      <w:pPr>
        <w:ind w:left="1418" w:hanging="284"/>
        <w:jc w:val="both"/>
        <w:rPr>
          <w:rFonts w:ascii="Gadugi" w:eastAsia="Times New Roman" w:hAnsi="Gadugi" w:cs="Times New Roman"/>
          <w:sz w:val="18"/>
          <w:szCs w:val="18"/>
        </w:rPr>
      </w:pPr>
      <w:r>
        <w:rPr>
          <w:rFonts w:ascii="Gadugi" w:eastAsia="Times New Roman" w:hAnsi="Gadugi" w:cs="Calibri"/>
          <w:sz w:val="18"/>
          <w:szCs w:val="18"/>
        </w:rPr>
        <w:t xml:space="preserve">13.1.1.1 Registro comercial, em vigor, no caso de empresa individual; </w:t>
      </w:r>
    </w:p>
    <w:p w14:paraId="52BC6A7F" w14:textId="77777777" w:rsidR="005B203D" w:rsidRDefault="00E60DC2">
      <w:pPr>
        <w:ind w:left="1134"/>
        <w:jc w:val="both"/>
        <w:rPr>
          <w:rFonts w:ascii="Gadugi" w:eastAsia="Times New Roman" w:hAnsi="Gadugi" w:cs="Calibri"/>
          <w:sz w:val="18"/>
          <w:szCs w:val="18"/>
        </w:rPr>
      </w:pPr>
      <w:r>
        <w:rPr>
          <w:rFonts w:ascii="Gadugi" w:eastAsia="Times New Roman" w:hAnsi="Gadugi" w:cs="Calibri"/>
          <w:sz w:val="18"/>
          <w:szCs w:val="18"/>
        </w:rPr>
        <w:t>13.1.1.2. Ato constitutivo, estatuto ou contrato social em vigor, devidamente registrado, em se tratando de sociedades comerciais, e, no caso de sociedades por ações, acompanhado de documentos de eleição de seus administradores.</w:t>
      </w:r>
    </w:p>
    <w:p w14:paraId="214E7690" w14:textId="77777777" w:rsidR="005B203D" w:rsidRDefault="00E60DC2">
      <w:pPr>
        <w:ind w:left="1134"/>
        <w:jc w:val="both"/>
        <w:rPr>
          <w:rFonts w:ascii="Gadugi" w:eastAsia="Times New Roman" w:hAnsi="Gadugi" w:cs="Times New Roman"/>
          <w:sz w:val="18"/>
          <w:szCs w:val="18"/>
        </w:rPr>
      </w:pPr>
      <w:r>
        <w:rPr>
          <w:rFonts w:ascii="Gadugi" w:eastAsia="Times New Roman" w:hAnsi="Gadugi" w:cs="Calibri"/>
          <w:sz w:val="18"/>
          <w:szCs w:val="18"/>
        </w:rPr>
        <w:t>13.1.1.3. Alvará de Funcionamento, compatível com os serviços contratados</w:t>
      </w:r>
    </w:p>
    <w:p w14:paraId="5A272D0E" w14:textId="77777777" w:rsidR="005B203D" w:rsidRDefault="00E60DC2">
      <w:pPr>
        <w:widowControl w:val="0"/>
        <w:ind w:firstLine="567"/>
        <w:jc w:val="both"/>
        <w:rPr>
          <w:rFonts w:ascii="Gadugi" w:eastAsia="Times New Roman" w:hAnsi="Gadugi" w:cs="Times New Roman"/>
          <w:sz w:val="18"/>
          <w:szCs w:val="18"/>
        </w:rPr>
      </w:pPr>
      <w:r>
        <w:rPr>
          <w:rFonts w:ascii="Gadugi" w:eastAsia="Times New Roman" w:hAnsi="Gadugi" w:cs="Calibri"/>
          <w:b/>
          <w:sz w:val="18"/>
          <w:szCs w:val="18"/>
        </w:rPr>
        <w:t xml:space="preserve">13.1.2. </w:t>
      </w:r>
      <w:r>
        <w:rPr>
          <w:rFonts w:ascii="Gadugi" w:eastAsia="Times New Roman" w:hAnsi="Gadugi" w:cs="Calibri"/>
          <w:b/>
          <w:bCs/>
          <w:sz w:val="18"/>
          <w:szCs w:val="18"/>
        </w:rPr>
        <w:t xml:space="preserve">Documentos relativos à </w:t>
      </w:r>
      <w:r>
        <w:rPr>
          <w:rFonts w:ascii="Gadugi" w:eastAsia="Times New Roman" w:hAnsi="Gadugi" w:cs="Calibri"/>
          <w:b/>
          <w:sz w:val="18"/>
          <w:szCs w:val="18"/>
        </w:rPr>
        <w:t>regularidade fiscal e trabalhista:</w:t>
      </w:r>
    </w:p>
    <w:p w14:paraId="2BF85B83" w14:textId="77777777" w:rsidR="005B203D" w:rsidRDefault="00E60DC2">
      <w:pPr>
        <w:widowControl w:val="0"/>
        <w:ind w:left="1134"/>
        <w:jc w:val="both"/>
        <w:rPr>
          <w:rFonts w:ascii="Gadugi" w:eastAsia="Times New Roman" w:hAnsi="Gadugi" w:cs="Times New Roman"/>
          <w:sz w:val="18"/>
          <w:szCs w:val="18"/>
        </w:rPr>
      </w:pPr>
      <w:r>
        <w:rPr>
          <w:rFonts w:ascii="Gadugi" w:eastAsia="Times New Roman" w:hAnsi="Gadugi" w:cs="Calibri"/>
          <w:sz w:val="18"/>
          <w:szCs w:val="18"/>
        </w:rPr>
        <w:t>13.1.2.1. Certidão Conjunta Negativa de Débitos de Tributos e Contribuições Federais à Dívida Ativa da União, expedida pela Secretaria da Receita Federal, acompanhado da Prova de regularidade junto a Seguridade Social – CND INSS;</w:t>
      </w:r>
    </w:p>
    <w:p w14:paraId="71DB79DE" w14:textId="77777777" w:rsidR="005B203D" w:rsidRDefault="00E60DC2">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13.1.2.2. Prova de regularidade junto a Fazenda Estadual relativo ao domicílio ou sede do licitante;</w:t>
      </w:r>
    </w:p>
    <w:p w14:paraId="0BDF2C38" w14:textId="77777777" w:rsidR="005B203D" w:rsidRDefault="00E60DC2">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13.1.2.3. Prova de regularidade junto a Fazenda Municipal, relativo ao domicílio ou sede do licitante;</w:t>
      </w:r>
    </w:p>
    <w:p w14:paraId="0BB0097C" w14:textId="77777777" w:rsidR="005B203D" w:rsidRDefault="00E60DC2">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13.1.2.4. Certificado de Regularidade de Situação – CRS, perante o FGTS, expedido pela Caixa Econômica Federal;</w:t>
      </w:r>
    </w:p>
    <w:p w14:paraId="7B6882CE" w14:textId="77777777" w:rsidR="005B203D" w:rsidRDefault="00E60DC2">
      <w:pPr>
        <w:widowControl w:val="0"/>
        <w:ind w:left="1418" w:hanging="284"/>
        <w:jc w:val="both"/>
        <w:rPr>
          <w:rFonts w:ascii="Gadugi" w:eastAsia="Times New Roman" w:hAnsi="Gadugi" w:cs="Calibri"/>
          <w:sz w:val="18"/>
          <w:szCs w:val="18"/>
        </w:rPr>
      </w:pPr>
      <w:r>
        <w:rPr>
          <w:rFonts w:ascii="Gadugi" w:eastAsia="Times New Roman" w:hAnsi="Gadugi" w:cs="Calibri"/>
          <w:sz w:val="18"/>
          <w:szCs w:val="18"/>
        </w:rPr>
        <w:t>13.1.2.5. Certidão Negativa de Débitos Trabalhistas – CNDT.</w:t>
      </w:r>
    </w:p>
    <w:p w14:paraId="736F11D8" w14:textId="77777777" w:rsidR="005B203D" w:rsidRDefault="00E60DC2">
      <w:pPr>
        <w:widowControl w:val="0"/>
        <w:ind w:left="1418" w:hanging="284"/>
        <w:jc w:val="both"/>
        <w:rPr>
          <w:rFonts w:ascii="Gadugi" w:eastAsia="Times New Roman" w:hAnsi="Gadugi" w:cs="Times New Roman"/>
          <w:sz w:val="18"/>
          <w:szCs w:val="18"/>
        </w:rPr>
      </w:pPr>
      <w:r>
        <w:rPr>
          <w:rFonts w:ascii="Gadugi" w:eastAsia="Times New Roman" w:hAnsi="Gadugi" w:cs="Calibri"/>
          <w:sz w:val="18"/>
          <w:szCs w:val="18"/>
        </w:rPr>
        <w:t>13.1.2.6. Prova de inscrição no Cadastro Nacional de Pessoas Jurídicas – Cartão CNPJ</w:t>
      </w:r>
    </w:p>
    <w:p w14:paraId="070C72CC" w14:textId="77777777" w:rsidR="005B203D" w:rsidRDefault="00E60DC2">
      <w:pPr>
        <w:widowControl w:val="0"/>
        <w:ind w:left="567"/>
        <w:jc w:val="both"/>
        <w:rPr>
          <w:rFonts w:ascii="Gadugi" w:eastAsia="Times New Roman" w:hAnsi="Gadugi" w:cs="Times New Roman"/>
          <w:sz w:val="18"/>
          <w:szCs w:val="18"/>
        </w:rPr>
      </w:pPr>
      <w:r>
        <w:rPr>
          <w:rFonts w:ascii="Gadugi" w:eastAsia="Times New Roman" w:hAnsi="Gadugi" w:cs="Calibri"/>
          <w:b/>
          <w:sz w:val="18"/>
          <w:szCs w:val="18"/>
        </w:rPr>
        <w:t>13.1.3. Documentos referente a qualificação econômico financeira:</w:t>
      </w:r>
    </w:p>
    <w:p w14:paraId="039CC22C" w14:textId="77777777" w:rsidR="005B203D" w:rsidRDefault="00E60DC2">
      <w:pPr>
        <w:widowControl w:val="0"/>
        <w:ind w:left="1134"/>
        <w:jc w:val="both"/>
        <w:rPr>
          <w:rFonts w:ascii="Gadugi" w:eastAsia="Times New Roman" w:hAnsi="Gadugi" w:cs="Times New Roman"/>
          <w:sz w:val="18"/>
          <w:szCs w:val="18"/>
        </w:rPr>
      </w:pPr>
      <w:r>
        <w:rPr>
          <w:rFonts w:ascii="Gadugi" w:eastAsia="Times New Roman" w:hAnsi="Gadugi" w:cs="Calibri"/>
          <w:sz w:val="18"/>
          <w:szCs w:val="18"/>
        </w:rPr>
        <w:t>13.1.3.1. Certidão negativa de falência ou concordata expedida pelo distribuidor da sede da pessoa jurídica, ou de execução patrimonial, expedida no domicílio da pessoa física;</w:t>
      </w:r>
    </w:p>
    <w:p w14:paraId="2FD1BF18" w14:textId="77777777" w:rsidR="005B203D" w:rsidRDefault="00E60DC2">
      <w:pPr>
        <w:ind w:firstLine="567"/>
        <w:jc w:val="both"/>
        <w:rPr>
          <w:rFonts w:ascii="Gadugi" w:eastAsia="Times New Roman" w:hAnsi="Gadugi" w:cs="Times New Roman"/>
          <w:sz w:val="18"/>
          <w:szCs w:val="18"/>
        </w:rPr>
      </w:pPr>
      <w:r>
        <w:rPr>
          <w:rFonts w:ascii="Gadugi" w:eastAsia="Times New Roman" w:hAnsi="Gadugi" w:cs="Calibri"/>
          <w:b/>
          <w:sz w:val="18"/>
          <w:szCs w:val="18"/>
        </w:rPr>
        <w:t>13.1.4. Declaração de atendimento à norma do inciso XXXIII do art. 7º da Constituição Federal</w:t>
      </w:r>
      <w:r>
        <w:rPr>
          <w:rFonts w:ascii="Gadugi" w:eastAsia="Times New Roman" w:hAnsi="Gadugi" w:cs="Calibri"/>
          <w:sz w:val="18"/>
          <w:szCs w:val="18"/>
        </w:rPr>
        <w:t xml:space="preserve">, com redação dada pela emenda constitucional nº 20/98, que proíbe trabalho noturno, perigoso ou insalubre aos menores de 18 anos e de que qualquer trabalho a menores de 16 anos, salvo na condição de aprendiz a partir de 14 anos conforme </w:t>
      </w:r>
      <w:r>
        <w:rPr>
          <w:rFonts w:ascii="Gadugi" w:eastAsia="Times New Roman" w:hAnsi="Gadugi" w:cs="Calibri"/>
          <w:b/>
          <w:sz w:val="18"/>
          <w:szCs w:val="18"/>
        </w:rPr>
        <w:t>Anexo IV</w:t>
      </w:r>
      <w:r>
        <w:rPr>
          <w:rFonts w:ascii="Gadugi" w:eastAsia="Times New Roman" w:hAnsi="Gadugi" w:cs="Calibri"/>
          <w:sz w:val="18"/>
          <w:szCs w:val="18"/>
        </w:rPr>
        <w:t>, deste Edital;</w:t>
      </w:r>
    </w:p>
    <w:p w14:paraId="1C9CBC89" w14:textId="77777777" w:rsidR="005B203D" w:rsidRDefault="00E60DC2">
      <w:pPr>
        <w:widowControl w:val="0"/>
        <w:ind w:firstLine="567"/>
        <w:jc w:val="both"/>
        <w:rPr>
          <w:rFonts w:ascii="Gadugi" w:eastAsia="Times New Roman" w:hAnsi="Gadugi" w:cs="Calibri"/>
          <w:sz w:val="18"/>
          <w:szCs w:val="18"/>
        </w:rPr>
      </w:pPr>
      <w:r>
        <w:rPr>
          <w:rFonts w:ascii="Gadugi" w:eastAsia="Times New Roman" w:hAnsi="Gadugi" w:cs="Calibri"/>
          <w:b/>
          <w:sz w:val="18"/>
          <w:szCs w:val="18"/>
        </w:rPr>
        <w:t>13.1.5. Certidão simplificada expedida pela Junta Comercial,</w:t>
      </w:r>
      <w:r>
        <w:rPr>
          <w:rFonts w:ascii="Gadugi" w:eastAsia="Times New Roman" w:hAnsi="Gadugi" w:cs="Calibri"/>
          <w:sz w:val="18"/>
          <w:szCs w:val="18"/>
        </w:rPr>
        <w:t xml:space="preserve"> conforme art. 8º da Instrução Normativa nº 103/2007 do Departamento Nacional do Registro do Comércio – DNRC, com data de emissão não inferior a</w:t>
      </w:r>
      <w:r>
        <w:rPr>
          <w:rFonts w:ascii="Gadugi" w:eastAsia="Times New Roman" w:hAnsi="Gadugi" w:cs="Calibri"/>
          <w:b/>
          <w:sz w:val="18"/>
          <w:szCs w:val="18"/>
        </w:rPr>
        <w:t xml:space="preserve"> 01 de janeiro de 2025</w:t>
      </w:r>
      <w:r>
        <w:rPr>
          <w:rFonts w:ascii="Gadugi" w:eastAsia="Times New Roman" w:hAnsi="Gadugi" w:cs="Calibri"/>
          <w:sz w:val="18"/>
          <w:szCs w:val="18"/>
        </w:rPr>
        <w:t>, para os licitantes que usufruírem dos benefícios previstos na LC 123/2006;</w:t>
      </w:r>
    </w:p>
    <w:p w14:paraId="43F98BD1" w14:textId="77777777" w:rsidR="005B203D" w:rsidRDefault="00E60DC2">
      <w:pPr>
        <w:widowControl w:val="0"/>
        <w:jc w:val="both"/>
        <w:rPr>
          <w:rFonts w:ascii="Gadugi" w:eastAsia="Times New Roman" w:hAnsi="Gadugi" w:cs="Times New Roman"/>
          <w:sz w:val="18"/>
          <w:szCs w:val="18"/>
        </w:rPr>
      </w:pPr>
      <w:r>
        <w:rPr>
          <w:rFonts w:ascii="Gadugi" w:eastAsia="Times New Roman" w:hAnsi="Gadugi" w:cs="Calibri"/>
          <w:sz w:val="18"/>
          <w:szCs w:val="18"/>
        </w:rPr>
        <w:t>13.2. Não tendo, a empresa melhor classificada no certame apresentado a documentação exigida, no todo ou em parte, será esta inabilitada, podendo a ela ser aplicada as penalidades previstas na legislação que rege o procedimento, e será convocada então a empresa seguinte na ordem de classificação, observada as mesmas condições propostas pela vencedora;</w:t>
      </w:r>
    </w:p>
    <w:p w14:paraId="5775A5AB" w14:textId="77777777" w:rsidR="005B203D" w:rsidRDefault="00E60DC2">
      <w:pPr>
        <w:jc w:val="both"/>
        <w:rPr>
          <w:rFonts w:ascii="Gadugi" w:eastAsia="Times New Roman" w:hAnsi="Gadugi" w:cs="Times New Roman"/>
          <w:sz w:val="18"/>
          <w:szCs w:val="18"/>
        </w:rPr>
      </w:pPr>
      <w:r>
        <w:rPr>
          <w:rFonts w:ascii="Gadugi" w:eastAsia="Times New Roman" w:hAnsi="Gadugi" w:cs="Calibri"/>
          <w:sz w:val="18"/>
          <w:szCs w:val="18"/>
        </w:rPr>
        <w:t>13.3. A documentação, na fase pertinente, será rubricada pelo Pregoeiro e pela Equipe de Apoio e após examinada será anexada ao processo desta licitação, sendo INABILITADOS aqueles proponentes cuja documentação apresente irregularidades;</w:t>
      </w:r>
    </w:p>
    <w:p w14:paraId="57617BAB" w14:textId="77777777" w:rsidR="005B203D" w:rsidRDefault="00E60DC2">
      <w:pPr>
        <w:jc w:val="both"/>
        <w:rPr>
          <w:rFonts w:ascii="Gadugi" w:eastAsia="Times New Roman" w:hAnsi="Gadugi" w:cs="Times New Roman"/>
          <w:sz w:val="18"/>
          <w:szCs w:val="18"/>
        </w:rPr>
      </w:pPr>
      <w:r>
        <w:rPr>
          <w:rFonts w:ascii="Gadugi" w:eastAsia="Times New Roman" w:hAnsi="Gadugi" w:cs="Calibri"/>
          <w:sz w:val="18"/>
          <w:szCs w:val="18"/>
        </w:rPr>
        <w:t>13.4. As microempresas ou empresas de pequeno porte deverão apresentar os documentos, mesmo que estes apresentem alguma restrição, nos termos da legislação pertinente;</w:t>
      </w:r>
    </w:p>
    <w:p w14:paraId="51D23433" w14:textId="77777777" w:rsidR="005B203D" w:rsidRDefault="00E60DC2">
      <w:pPr>
        <w:jc w:val="both"/>
        <w:rPr>
          <w:rFonts w:ascii="Gadugi" w:eastAsia="Times New Roman" w:hAnsi="Gadugi" w:cs="Calibri"/>
          <w:sz w:val="18"/>
          <w:szCs w:val="18"/>
        </w:rPr>
      </w:pPr>
      <w:r>
        <w:rPr>
          <w:rFonts w:ascii="Gadugi" w:eastAsia="Times New Roman" w:hAnsi="Gadugi" w:cs="Calibri"/>
          <w:sz w:val="18"/>
          <w:szCs w:val="18"/>
        </w:rPr>
        <w:t>13.5. Havendo alguma restrição na comprovação da regularidade fiscal da microempresa ou da empresa de pequeno porte, esta não será inabilitada, caso atenda as disposições da legislação pertinente.</w:t>
      </w:r>
    </w:p>
    <w:p w14:paraId="082963A5" w14:textId="77777777" w:rsidR="005B203D" w:rsidRDefault="00E60DC2">
      <w:pPr>
        <w:pStyle w:val="Nivel01"/>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14 – ESTIMATIVAS DO VALOR DA CONTRATAÇÃO</w:t>
      </w:r>
    </w:p>
    <w:p w14:paraId="36E05F9F" w14:textId="44B877C6" w:rsidR="005B203D" w:rsidRDefault="00E60DC2">
      <w:pPr>
        <w:jc w:val="both"/>
        <w:rPr>
          <w:rFonts w:ascii="Gadugi" w:hAnsi="Gadugi" w:cs="Gadugi"/>
          <w:bCs/>
          <w:i/>
          <w:sz w:val="18"/>
          <w:szCs w:val="18"/>
        </w:rPr>
      </w:pPr>
      <w:r>
        <w:rPr>
          <w:rFonts w:ascii="Gadugi" w:hAnsi="Gadugi" w:cs="Gadugi"/>
          <w:i/>
          <w:iCs/>
          <w:sz w:val="18"/>
          <w:szCs w:val="18"/>
        </w:rPr>
        <w:t xml:space="preserve">14.1 – O orçamento </w:t>
      </w:r>
      <w:r w:rsidR="0036372D">
        <w:rPr>
          <w:rFonts w:ascii="Gadugi" w:hAnsi="Gadugi" w:cs="Gadugi"/>
          <w:i/>
          <w:iCs/>
          <w:sz w:val="18"/>
          <w:szCs w:val="18"/>
        </w:rPr>
        <w:t xml:space="preserve">R$ </w:t>
      </w:r>
      <w:r w:rsidR="00CB6588">
        <w:rPr>
          <w:rFonts w:ascii="Gadugi" w:hAnsi="Gadugi" w:cs="Gadugi"/>
          <w:i/>
          <w:iCs/>
          <w:sz w:val="18"/>
          <w:szCs w:val="18"/>
        </w:rPr>
        <w:t>523.402,79</w:t>
      </w:r>
    </w:p>
    <w:p w14:paraId="58C136D2" w14:textId="77777777" w:rsidR="005B203D" w:rsidRDefault="00E60DC2">
      <w:pPr>
        <w:pStyle w:val="Nivel1"/>
        <w:tabs>
          <w:tab w:val="left" w:pos="284"/>
          <w:tab w:val="left" w:pos="426"/>
          <w:tab w:val="left" w:pos="567"/>
          <w:tab w:val="left" w:pos="851"/>
        </w:tabs>
        <w:spacing w:before="0" w:line="240" w:lineRule="auto"/>
        <w:ind w:left="0" w:firstLine="0"/>
        <w:rPr>
          <w:rFonts w:ascii="Gadugi" w:hAnsi="Gadugi" w:cs="Gadugi"/>
          <w:color w:val="auto"/>
          <w:sz w:val="18"/>
          <w:szCs w:val="18"/>
        </w:rPr>
      </w:pPr>
      <w:r>
        <w:rPr>
          <w:rFonts w:ascii="Gadugi" w:hAnsi="Gadugi" w:cs="Gadugi"/>
          <w:color w:val="auto"/>
          <w:sz w:val="18"/>
          <w:szCs w:val="18"/>
        </w:rPr>
        <w:t xml:space="preserve">15 – DOTAÇÃO ORÇAMENTÁRIA </w:t>
      </w:r>
    </w:p>
    <w:p w14:paraId="0774F3C1" w14:textId="2B522EA6" w:rsidR="00A074FC" w:rsidRDefault="00E60DC2">
      <w:pPr>
        <w:tabs>
          <w:tab w:val="left" w:pos="426"/>
        </w:tabs>
        <w:jc w:val="both"/>
        <w:rPr>
          <w:rFonts w:ascii="Gadugi" w:eastAsia="Calibri" w:hAnsi="Gadugi" w:cs="Gadugi"/>
          <w:sz w:val="18"/>
          <w:szCs w:val="18"/>
          <w:lang w:eastAsia="en-US"/>
        </w:rPr>
      </w:pPr>
      <w:r>
        <w:rPr>
          <w:rFonts w:ascii="Gadugi" w:hAnsi="Gadugi" w:cs="Gadugi"/>
          <w:sz w:val="18"/>
          <w:szCs w:val="18"/>
        </w:rPr>
        <w:t xml:space="preserve">15.1 – </w:t>
      </w:r>
      <w:r>
        <w:rPr>
          <w:rFonts w:ascii="Gadugi" w:eastAsia="Calibri" w:hAnsi="Gadugi" w:cs="Gadugi"/>
          <w:sz w:val="18"/>
          <w:szCs w:val="18"/>
          <w:lang w:eastAsia="en-US"/>
        </w:rPr>
        <w:t>As classificações orçamentárias para suportar a presente despesa constam da programação orçamentária das  Secretarias Municipais solicitantes que serão devidamente identificadas no momento da efetiva contratação.</w:t>
      </w:r>
    </w:p>
    <w:p w14:paraId="397ADB2D" w14:textId="77777777" w:rsidR="00CB6588" w:rsidRDefault="00CB6588">
      <w:pPr>
        <w:tabs>
          <w:tab w:val="left" w:pos="426"/>
        </w:tabs>
        <w:jc w:val="both"/>
        <w:rPr>
          <w:rFonts w:ascii="Gadugi" w:eastAsia="Calibri" w:hAnsi="Gadugi" w:cs="Gadugi"/>
          <w:sz w:val="18"/>
          <w:szCs w:val="18"/>
          <w:lang w:eastAsia="en-US"/>
        </w:rPr>
      </w:pPr>
    </w:p>
    <w:p w14:paraId="120FC352" w14:textId="77777777" w:rsidR="00CB6588" w:rsidRDefault="00CB6588">
      <w:pPr>
        <w:tabs>
          <w:tab w:val="left" w:pos="426"/>
        </w:tabs>
        <w:jc w:val="both"/>
        <w:rPr>
          <w:rFonts w:ascii="Gadugi" w:eastAsia="Calibri" w:hAnsi="Gadugi" w:cs="Gadugi"/>
          <w:sz w:val="18"/>
          <w:szCs w:val="18"/>
          <w:lang w:eastAsia="en-US"/>
        </w:rPr>
      </w:pPr>
    </w:p>
    <w:p w14:paraId="2643FE76" w14:textId="77777777" w:rsidR="00A074FC" w:rsidRDefault="00A074FC">
      <w:pPr>
        <w:tabs>
          <w:tab w:val="left" w:pos="426"/>
        </w:tabs>
        <w:jc w:val="both"/>
        <w:rPr>
          <w:rFonts w:ascii="Gadugi" w:eastAsia="Calibri" w:hAnsi="Gadugi" w:cs="Gadugi"/>
          <w:sz w:val="18"/>
          <w:szCs w:val="18"/>
          <w:lang w:eastAsia="en-US"/>
        </w:rPr>
      </w:pPr>
    </w:p>
    <w:p w14:paraId="2C1FBCB7" w14:textId="77777777" w:rsidR="005B203D" w:rsidRDefault="005B203D" w:rsidP="008524DD">
      <w:pPr>
        <w:tabs>
          <w:tab w:val="left" w:pos="284"/>
          <w:tab w:val="left" w:pos="426"/>
          <w:tab w:val="left" w:pos="567"/>
          <w:tab w:val="left" w:pos="851"/>
        </w:tabs>
        <w:rPr>
          <w:rFonts w:ascii="Gadugi" w:hAnsi="Gadugi" w:cs="Gadugi"/>
          <w:iCs/>
          <w:sz w:val="18"/>
          <w:szCs w:val="18"/>
        </w:rPr>
      </w:pPr>
    </w:p>
    <w:p w14:paraId="4C184383" w14:textId="66E30B32" w:rsidR="005B203D" w:rsidRDefault="00E60DC2" w:rsidP="008524DD">
      <w:pPr>
        <w:tabs>
          <w:tab w:val="left" w:pos="284"/>
          <w:tab w:val="left" w:pos="426"/>
          <w:tab w:val="left" w:pos="567"/>
          <w:tab w:val="left" w:pos="851"/>
        </w:tabs>
        <w:jc w:val="right"/>
        <w:rPr>
          <w:rFonts w:ascii="Gadugi" w:hAnsi="Gadugi" w:cs="Gadugi"/>
          <w:iCs/>
          <w:sz w:val="18"/>
          <w:szCs w:val="18"/>
        </w:rPr>
      </w:pPr>
      <w:r>
        <w:rPr>
          <w:rFonts w:ascii="Gadugi" w:hAnsi="Gadugi" w:cs="Gadugi"/>
          <w:iCs/>
          <w:sz w:val="18"/>
          <w:szCs w:val="18"/>
        </w:rPr>
        <w:t xml:space="preserve">Santa Bárbara do Sul/RS, </w:t>
      </w:r>
      <w:r w:rsidR="00CB6588">
        <w:rPr>
          <w:rFonts w:ascii="Gadugi" w:hAnsi="Gadugi" w:cs="Gadugi"/>
          <w:iCs/>
          <w:sz w:val="18"/>
          <w:szCs w:val="18"/>
        </w:rPr>
        <w:t>11 de agosto</w:t>
      </w:r>
      <w:r>
        <w:rPr>
          <w:rFonts w:ascii="Gadugi" w:hAnsi="Gadugi" w:cs="Gadugi"/>
          <w:iCs/>
          <w:sz w:val="18"/>
          <w:szCs w:val="18"/>
        </w:rPr>
        <w:t xml:space="preserve"> de 202</w:t>
      </w:r>
      <w:r w:rsidR="00CB6588">
        <w:rPr>
          <w:rFonts w:ascii="Gadugi" w:hAnsi="Gadugi" w:cs="Gadugi"/>
          <w:iCs/>
          <w:sz w:val="18"/>
          <w:szCs w:val="18"/>
        </w:rPr>
        <w:t>5</w:t>
      </w:r>
    </w:p>
    <w:p w14:paraId="1533B866"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37584064"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FEBD365"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098B6622"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159AE1CE"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215E8A12"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2FCE7D24"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2DB4626"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C843ECD"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0BFC66BD"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D625156"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3183BF2E"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03FEBB05"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276A19EB"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091C1697"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029B5997"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5834BDA4"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39A3FABE"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719FD01C"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14F28EE"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18B3A49"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2455BF22"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FAD380D"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7CAD4843"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9C15E57"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3ADA3048"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0F1CD66D"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14FB9C6E"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D565C39"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60565BB4"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2B9F65D3"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58790A5D"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39BB8CCB"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251804C5"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1698BA6D"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0C1F17B2"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711E3018" w14:textId="77777777" w:rsidR="00CB6588" w:rsidRDefault="00CB6588" w:rsidP="008524DD">
      <w:pPr>
        <w:tabs>
          <w:tab w:val="left" w:pos="284"/>
          <w:tab w:val="left" w:pos="426"/>
          <w:tab w:val="left" w:pos="567"/>
          <w:tab w:val="left" w:pos="851"/>
        </w:tabs>
        <w:jc w:val="right"/>
        <w:rPr>
          <w:rFonts w:ascii="Gadugi" w:hAnsi="Gadugi" w:cs="Gadugi"/>
          <w:iCs/>
          <w:sz w:val="18"/>
          <w:szCs w:val="18"/>
        </w:rPr>
      </w:pPr>
    </w:p>
    <w:p w14:paraId="4E83F328" w14:textId="77777777" w:rsidR="00CB6588" w:rsidRPr="008524DD" w:rsidRDefault="00CB6588" w:rsidP="008524DD">
      <w:pPr>
        <w:tabs>
          <w:tab w:val="left" w:pos="284"/>
          <w:tab w:val="left" w:pos="426"/>
          <w:tab w:val="left" w:pos="567"/>
          <w:tab w:val="left" w:pos="851"/>
        </w:tabs>
        <w:jc w:val="right"/>
        <w:rPr>
          <w:rFonts w:ascii="Gadugi" w:hAnsi="Gadugi" w:cs="Gadugi"/>
          <w:iCs/>
          <w:sz w:val="18"/>
          <w:szCs w:val="18"/>
        </w:rPr>
      </w:pPr>
    </w:p>
    <w:p w14:paraId="59E2C4F1" w14:textId="77777777" w:rsidR="005B203D" w:rsidRDefault="005B203D">
      <w:pPr>
        <w:rPr>
          <w:rFonts w:ascii="Gadugi" w:hAnsi="Gadugi" w:cs="Gadugi"/>
          <w:b/>
          <w:bCs/>
          <w:sz w:val="18"/>
          <w:szCs w:val="18"/>
        </w:rPr>
      </w:pPr>
    </w:p>
    <w:p w14:paraId="6BAA2EE9" w14:textId="77777777" w:rsidR="005B203D" w:rsidRDefault="00E60DC2">
      <w:pPr>
        <w:jc w:val="center"/>
        <w:rPr>
          <w:rFonts w:ascii="Gadugi" w:hAnsi="Gadugi" w:cs="Gadugi"/>
          <w:b/>
          <w:bCs/>
          <w:sz w:val="18"/>
          <w:szCs w:val="18"/>
        </w:rPr>
      </w:pPr>
      <w:r>
        <w:rPr>
          <w:rFonts w:ascii="Gadugi" w:hAnsi="Gadugi" w:cs="Gadugi"/>
          <w:b/>
          <w:sz w:val="18"/>
          <w:szCs w:val="18"/>
        </w:rPr>
        <w:t>ANEXO II</w:t>
      </w:r>
    </w:p>
    <w:p w14:paraId="7AD686EB" w14:textId="77777777" w:rsidR="005B203D" w:rsidRDefault="00E60DC2">
      <w:pPr>
        <w:jc w:val="center"/>
        <w:rPr>
          <w:rFonts w:ascii="Gadugi" w:hAnsi="Gadugi" w:cs="Gadugi"/>
          <w:sz w:val="18"/>
          <w:szCs w:val="18"/>
        </w:rPr>
      </w:pPr>
      <w:r>
        <w:rPr>
          <w:rFonts w:ascii="Gadugi" w:hAnsi="Gadugi" w:cs="Gadugi"/>
          <w:b/>
          <w:sz w:val="18"/>
          <w:szCs w:val="18"/>
        </w:rPr>
        <w:t>PROPOSTA FINANCEIRA</w:t>
      </w:r>
    </w:p>
    <w:tbl>
      <w:tblPr>
        <w:tblW w:w="9982" w:type="dxa"/>
        <w:tblInd w:w="9" w:type="dxa"/>
        <w:tblLayout w:type="fixed"/>
        <w:tblCellMar>
          <w:left w:w="70" w:type="dxa"/>
          <w:right w:w="70" w:type="dxa"/>
        </w:tblCellMar>
        <w:tblLook w:val="04A0" w:firstRow="1" w:lastRow="0" w:firstColumn="1" w:lastColumn="0" w:noHBand="0" w:noVBand="1"/>
      </w:tblPr>
      <w:tblGrid>
        <w:gridCol w:w="4119"/>
        <w:gridCol w:w="2967"/>
        <w:gridCol w:w="2896"/>
      </w:tblGrid>
      <w:tr w:rsidR="005B203D" w14:paraId="70D7CE07"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1302E354" w14:textId="77777777" w:rsidR="005B203D" w:rsidRDefault="00E60DC2">
            <w:pPr>
              <w:widowControl w:val="0"/>
              <w:jc w:val="both"/>
              <w:rPr>
                <w:rFonts w:ascii="Gadugi" w:hAnsi="Gadugi" w:cs="Gadugi"/>
                <w:bCs/>
                <w:sz w:val="18"/>
                <w:szCs w:val="18"/>
              </w:rPr>
            </w:pPr>
            <w:r>
              <w:rPr>
                <w:rFonts w:ascii="Gadugi" w:hAnsi="Gadugi" w:cs="Gadugi"/>
                <w:b/>
                <w:sz w:val="18"/>
                <w:szCs w:val="18"/>
              </w:rPr>
              <w:t>Fornecedor:</w:t>
            </w:r>
          </w:p>
        </w:tc>
      </w:tr>
      <w:tr w:rsidR="005B203D" w14:paraId="20149348"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2207CB72" w14:textId="77777777" w:rsidR="005B203D" w:rsidRDefault="00E60DC2">
            <w:pPr>
              <w:widowControl w:val="0"/>
              <w:jc w:val="both"/>
              <w:rPr>
                <w:rFonts w:ascii="Gadugi" w:hAnsi="Gadugi" w:cs="Gadugi"/>
                <w:bCs/>
                <w:sz w:val="18"/>
                <w:szCs w:val="18"/>
              </w:rPr>
            </w:pPr>
            <w:r>
              <w:rPr>
                <w:rFonts w:ascii="Gadugi" w:hAnsi="Gadugi" w:cs="Gadugi"/>
                <w:b/>
                <w:sz w:val="18"/>
                <w:szCs w:val="18"/>
              </w:rPr>
              <w:t>Endereço:</w:t>
            </w:r>
          </w:p>
        </w:tc>
      </w:tr>
      <w:tr w:rsidR="005B203D" w14:paraId="26F9A1E0" w14:textId="77777777">
        <w:tc>
          <w:tcPr>
            <w:tcW w:w="7085" w:type="dxa"/>
            <w:gridSpan w:val="2"/>
            <w:tcBorders>
              <w:top w:val="single" w:sz="6" w:space="0" w:color="000000"/>
              <w:left w:val="single" w:sz="6" w:space="0" w:color="000000"/>
              <w:bottom w:val="single" w:sz="6" w:space="0" w:color="000000"/>
              <w:right w:val="single" w:sz="6" w:space="0" w:color="000000"/>
            </w:tcBorders>
          </w:tcPr>
          <w:p w14:paraId="5062F3D7" w14:textId="77777777" w:rsidR="005B203D" w:rsidRDefault="00E60DC2">
            <w:pPr>
              <w:widowControl w:val="0"/>
              <w:jc w:val="both"/>
              <w:rPr>
                <w:rFonts w:ascii="Gadugi" w:hAnsi="Gadugi" w:cs="Gadugi"/>
                <w:bCs/>
                <w:sz w:val="18"/>
                <w:szCs w:val="18"/>
              </w:rPr>
            </w:pPr>
            <w:r>
              <w:rPr>
                <w:rFonts w:ascii="Gadugi" w:hAnsi="Gadugi" w:cs="Gadugi"/>
                <w:b/>
                <w:sz w:val="18"/>
                <w:szCs w:val="18"/>
              </w:rPr>
              <w:t>Cidade:</w:t>
            </w:r>
          </w:p>
        </w:tc>
        <w:tc>
          <w:tcPr>
            <w:tcW w:w="2896" w:type="dxa"/>
            <w:tcBorders>
              <w:top w:val="single" w:sz="6" w:space="0" w:color="000000"/>
              <w:left w:val="single" w:sz="6" w:space="0" w:color="000000"/>
              <w:bottom w:val="single" w:sz="6" w:space="0" w:color="000000"/>
              <w:right w:val="single" w:sz="6" w:space="0" w:color="000000"/>
            </w:tcBorders>
          </w:tcPr>
          <w:p w14:paraId="7F317244" w14:textId="77777777" w:rsidR="005B203D" w:rsidRDefault="00E60DC2">
            <w:pPr>
              <w:widowControl w:val="0"/>
              <w:jc w:val="both"/>
              <w:rPr>
                <w:rFonts w:ascii="Gadugi" w:hAnsi="Gadugi" w:cs="Gadugi"/>
                <w:bCs/>
                <w:sz w:val="18"/>
                <w:szCs w:val="18"/>
              </w:rPr>
            </w:pPr>
            <w:r>
              <w:rPr>
                <w:rFonts w:ascii="Gadugi" w:hAnsi="Gadugi" w:cs="Gadugi"/>
                <w:b/>
                <w:sz w:val="18"/>
                <w:szCs w:val="18"/>
              </w:rPr>
              <w:t>Estado:</w:t>
            </w:r>
          </w:p>
        </w:tc>
      </w:tr>
      <w:tr w:rsidR="005B203D" w14:paraId="5A03A4FD" w14:textId="77777777">
        <w:tc>
          <w:tcPr>
            <w:tcW w:w="4118" w:type="dxa"/>
            <w:tcBorders>
              <w:top w:val="single" w:sz="6" w:space="0" w:color="000000"/>
              <w:left w:val="single" w:sz="6" w:space="0" w:color="000000"/>
              <w:bottom w:val="single" w:sz="6" w:space="0" w:color="000000"/>
              <w:right w:val="single" w:sz="6" w:space="0" w:color="000000"/>
            </w:tcBorders>
          </w:tcPr>
          <w:p w14:paraId="51C3DBED" w14:textId="77777777" w:rsidR="005B203D" w:rsidRDefault="00E60DC2">
            <w:pPr>
              <w:widowControl w:val="0"/>
              <w:jc w:val="both"/>
              <w:rPr>
                <w:rFonts w:ascii="Gadugi" w:hAnsi="Gadugi" w:cs="Gadugi"/>
                <w:bCs/>
                <w:sz w:val="18"/>
                <w:szCs w:val="18"/>
              </w:rPr>
            </w:pPr>
            <w:r>
              <w:rPr>
                <w:rFonts w:ascii="Gadugi" w:hAnsi="Gadugi" w:cs="Gadugi"/>
                <w:b/>
                <w:sz w:val="18"/>
                <w:szCs w:val="18"/>
              </w:rPr>
              <w:t>CNPJ:</w:t>
            </w:r>
          </w:p>
        </w:tc>
        <w:tc>
          <w:tcPr>
            <w:tcW w:w="5863" w:type="dxa"/>
            <w:gridSpan w:val="2"/>
            <w:tcBorders>
              <w:top w:val="single" w:sz="6" w:space="0" w:color="000000"/>
              <w:left w:val="single" w:sz="6" w:space="0" w:color="000000"/>
              <w:bottom w:val="single" w:sz="6" w:space="0" w:color="000000"/>
              <w:right w:val="single" w:sz="6" w:space="0" w:color="000000"/>
            </w:tcBorders>
          </w:tcPr>
          <w:p w14:paraId="61D8ECDC" w14:textId="77777777" w:rsidR="005B203D" w:rsidRDefault="00E60DC2">
            <w:pPr>
              <w:widowControl w:val="0"/>
              <w:jc w:val="both"/>
              <w:rPr>
                <w:rFonts w:ascii="Gadugi" w:hAnsi="Gadugi" w:cs="Gadugi"/>
                <w:bCs/>
                <w:sz w:val="18"/>
                <w:szCs w:val="18"/>
              </w:rPr>
            </w:pPr>
            <w:r>
              <w:rPr>
                <w:rFonts w:ascii="Gadugi" w:hAnsi="Gadugi" w:cs="Gadugi"/>
                <w:b/>
                <w:sz w:val="18"/>
                <w:szCs w:val="18"/>
              </w:rPr>
              <w:t>Inscrição Estadual:</w:t>
            </w:r>
          </w:p>
        </w:tc>
      </w:tr>
      <w:tr w:rsidR="005B203D" w14:paraId="59217744" w14:textId="77777777">
        <w:tc>
          <w:tcPr>
            <w:tcW w:w="4118" w:type="dxa"/>
            <w:tcBorders>
              <w:top w:val="single" w:sz="6" w:space="0" w:color="000000"/>
              <w:left w:val="single" w:sz="6" w:space="0" w:color="000000"/>
              <w:bottom w:val="single" w:sz="6" w:space="0" w:color="000000"/>
              <w:right w:val="single" w:sz="6" w:space="0" w:color="000000"/>
            </w:tcBorders>
          </w:tcPr>
          <w:p w14:paraId="58DD5B6B" w14:textId="77777777" w:rsidR="005B203D" w:rsidRDefault="00E60DC2">
            <w:pPr>
              <w:widowControl w:val="0"/>
              <w:jc w:val="both"/>
              <w:rPr>
                <w:rFonts w:ascii="Gadugi" w:hAnsi="Gadugi" w:cs="Gadugi"/>
                <w:bCs/>
                <w:sz w:val="18"/>
                <w:szCs w:val="18"/>
              </w:rPr>
            </w:pPr>
            <w:r>
              <w:rPr>
                <w:rFonts w:ascii="Gadugi" w:hAnsi="Gadugi" w:cs="Gadugi"/>
                <w:b/>
                <w:sz w:val="18"/>
                <w:szCs w:val="18"/>
              </w:rPr>
              <w:t>Banco:</w:t>
            </w:r>
          </w:p>
        </w:tc>
        <w:tc>
          <w:tcPr>
            <w:tcW w:w="5863" w:type="dxa"/>
            <w:gridSpan w:val="2"/>
            <w:tcBorders>
              <w:top w:val="single" w:sz="6" w:space="0" w:color="000000"/>
              <w:left w:val="single" w:sz="6" w:space="0" w:color="000000"/>
              <w:bottom w:val="single" w:sz="6" w:space="0" w:color="000000"/>
              <w:right w:val="single" w:sz="6" w:space="0" w:color="000000"/>
            </w:tcBorders>
          </w:tcPr>
          <w:p w14:paraId="3F090C16" w14:textId="77777777" w:rsidR="005B203D" w:rsidRDefault="00E60DC2">
            <w:pPr>
              <w:widowControl w:val="0"/>
              <w:jc w:val="both"/>
              <w:rPr>
                <w:rFonts w:ascii="Gadugi" w:hAnsi="Gadugi" w:cs="Gadugi"/>
                <w:bCs/>
                <w:sz w:val="18"/>
                <w:szCs w:val="18"/>
              </w:rPr>
            </w:pPr>
            <w:r>
              <w:rPr>
                <w:rFonts w:ascii="Gadugi" w:hAnsi="Gadugi" w:cs="Gadugi"/>
                <w:b/>
                <w:sz w:val="18"/>
                <w:szCs w:val="18"/>
              </w:rPr>
              <w:t>Agência:</w:t>
            </w:r>
          </w:p>
        </w:tc>
      </w:tr>
      <w:tr w:rsidR="005B203D" w14:paraId="58206B87" w14:textId="77777777">
        <w:tc>
          <w:tcPr>
            <w:tcW w:w="9981" w:type="dxa"/>
            <w:gridSpan w:val="3"/>
            <w:tcBorders>
              <w:top w:val="single" w:sz="6" w:space="0" w:color="000000"/>
              <w:left w:val="single" w:sz="6" w:space="0" w:color="000000"/>
              <w:bottom w:val="single" w:sz="6" w:space="0" w:color="000000"/>
              <w:right w:val="single" w:sz="6" w:space="0" w:color="000000"/>
            </w:tcBorders>
          </w:tcPr>
          <w:p w14:paraId="73E94C48" w14:textId="77777777" w:rsidR="005B203D" w:rsidRDefault="00E60DC2">
            <w:pPr>
              <w:widowControl w:val="0"/>
              <w:jc w:val="both"/>
              <w:rPr>
                <w:rFonts w:ascii="Gadugi" w:hAnsi="Gadugi" w:cs="Gadugi"/>
                <w:bCs/>
                <w:sz w:val="18"/>
                <w:szCs w:val="18"/>
              </w:rPr>
            </w:pPr>
            <w:r>
              <w:rPr>
                <w:rFonts w:ascii="Gadugi" w:hAnsi="Gadugi" w:cs="Gadugi"/>
                <w:b/>
                <w:sz w:val="18"/>
                <w:szCs w:val="18"/>
              </w:rPr>
              <w:t>C.C:</w:t>
            </w:r>
          </w:p>
        </w:tc>
      </w:tr>
    </w:tbl>
    <w:p w14:paraId="6ECA002B" w14:textId="77777777" w:rsidR="005B203D" w:rsidRDefault="005B203D">
      <w:pPr>
        <w:tabs>
          <w:tab w:val="left" w:pos="792"/>
        </w:tabs>
        <w:jc w:val="both"/>
        <w:rPr>
          <w:rFonts w:ascii="Gadugi" w:hAnsi="Gadugi" w:cs="Gadugi"/>
          <w:sz w:val="18"/>
          <w:szCs w:val="18"/>
        </w:rPr>
      </w:pPr>
    </w:p>
    <w:tbl>
      <w:tblPr>
        <w:tblW w:w="9991" w:type="dxa"/>
        <w:tblLayout w:type="fixed"/>
        <w:tblCellMar>
          <w:left w:w="70" w:type="dxa"/>
          <w:right w:w="70" w:type="dxa"/>
        </w:tblCellMar>
        <w:tblLook w:val="04A0" w:firstRow="1" w:lastRow="0" w:firstColumn="1" w:lastColumn="0" w:noHBand="0" w:noVBand="1"/>
      </w:tblPr>
      <w:tblGrid>
        <w:gridCol w:w="9991"/>
      </w:tblGrid>
      <w:tr w:rsidR="005B203D" w14:paraId="702CB989" w14:textId="77777777">
        <w:trPr>
          <w:trHeight w:val="394"/>
        </w:trPr>
        <w:tc>
          <w:tcPr>
            <w:tcW w:w="9991" w:type="dxa"/>
            <w:tcBorders>
              <w:top w:val="single" w:sz="6" w:space="0" w:color="000000"/>
              <w:left w:val="single" w:sz="6" w:space="0" w:color="000000"/>
              <w:bottom w:val="single" w:sz="6" w:space="0" w:color="000000"/>
              <w:right w:val="single" w:sz="6" w:space="0" w:color="000000"/>
            </w:tcBorders>
          </w:tcPr>
          <w:p w14:paraId="56756190" w14:textId="1EC34FDC" w:rsidR="005B203D" w:rsidRDefault="00E60DC2">
            <w:pPr>
              <w:pStyle w:val="Nivel01"/>
              <w:widowControl w:val="0"/>
              <w:numPr>
                <w:ilvl w:val="0"/>
                <w:numId w:val="0"/>
              </w:numPr>
              <w:spacing w:before="0" w:after="0" w:line="240" w:lineRule="auto"/>
              <w:rPr>
                <w:rFonts w:ascii="Gadugi" w:hAnsi="Gadugi" w:cs="Gadugi"/>
                <w:b w:val="0"/>
                <w:bCs w:val="0"/>
                <w:color w:val="auto"/>
                <w:sz w:val="18"/>
                <w:szCs w:val="18"/>
              </w:rPr>
            </w:pPr>
            <w:r>
              <w:rPr>
                <w:rFonts w:ascii="Gadugi" w:hAnsi="Gadugi" w:cs="Gadugi"/>
                <w:color w:val="auto"/>
                <w:sz w:val="18"/>
                <w:szCs w:val="18"/>
              </w:rPr>
              <w:t xml:space="preserve">REGISTRO DE PREÇO </w:t>
            </w:r>
            <w:r>
              <w:rPr>
                <w:rFonts w:ascii="Gadugi" w:hAnsi="Gadugi" w:cs="Gadugi"/>
                <w:b w:val="0"/>
                <w:bCs w:val="0"/>
                <w:color w:val="auto"/>
                <w:sz w:val="18"/>
                <w:szCs w:val="18"/>
              </w:rPr>
              <w:t xml:space="preserve">para eventual </w:t>
            </w:r>
            <w:r w:rsidR="00F96489">
              <w:rPr>
                <w:rFonts w:ascii="Gadugi" w:hAnsi="Gadugi" w:cs="Gadugi"/>
                <w:b w:val="0"/>
                <w:bCs w:val="0"/>
                <w:color w:val="auto"/>
                <w:sz w:val="18"/>
                <w:szCs w:val="18"/>
              </w:rPr>
              <w:t xml:space="preserve">AQUISIÇÃO DE </w:t>
            </w:r>
            <w:r w:rsidR="00F831C7">
              <w:rPr>
                <w:rFonts w:ascii="Gadugi" w:hAnsi="Gadugi" w:cs="Gadugi"/>
                <w:b w:val="0"/>
                <w:bCs w:val="0"/>
                <w:color w:val="auto"/>
                <w:sz w:val="18"/>
                <w:szCs w:val="18"/>
              </w:rPr>
              <w:t>EQUIPAMENTOS DE INFORMÁTICA</w:t>
            </w:r>
          </w:p>
        </w:tc>
      </w:tr>
    </w:tbl>
    <w:p w14:paraId="7ED6B001" w14:textId="77777777" w:rsidR="005B203D" w:rsidRDefault="005B203D">
      <w:pPr>
        <w:jc w:val="both"/>
        <w:rPr>
          <w:rFonts w:ascii="Gadugi" w:hAnsi="Gadugi" w:cs="Gadugi"/>
          <w:sz w:val="18"/>
          <w:szCs w:val="18"/>
        </w:rPr>
      </w:pPr>
    </w:p>
    <w:tbl>
      <w:tblPr>
        <w:tblW w:w="9703" w:type="dxa"/>
        <w:tblInd w:w="75" w:type="dxa"/>
        <w:tblCellMar>
          <w:left w:w="70" w:type="dxa"/>
          <w:right w:w="70" w:type="dxa"/>
        </w:tblCellMar>
        <w:tblLook w:val="04A0" w:firstRow="1" w:lastRow="0" w:firstColumn="1" w:lastColumn="0" w:noHBand="0" w:noVBand="1"/>
      </w:tblPr>
      <w:tblGrid>
        <w:gridCol w:w="558"/>
        <w:gridCol w:w="6646"/>
        <w:gridCol w:w="729"/>
        <w:gridCol w:w="852"/>
        <w:gridCol w:w="918"/>
      </w:tblGrid>
      <w:tr w:rsidR="00CB6588" w:rsidRPr="005B62C0" w14:paraId="7BF3EF5F" w14:textId="77777777" w:rsidTr="00616743">
        <w:trPr>
          <w:trHeight w:val="345"/>
        </w:trPr>
        <w:tc>
          <w:tcPr>
            <w:tcW w:w="558"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14:paraId="37142571" w14:textId="77777777" w:rsidR="00CB6588" w:rsidRPr="005B62C0" w:rsidRDefault="00CB6588" w:rsidP="00616743">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Item</w:t>
            </w:r>
          </w:p>
        </w:tc>
        <w:tc>
          <w:tcPr>
            <w:tcW w:w="6646" w:type="dxa"/>
            <w:tcBorders>
              <w:top w:val="single" w:sz="4" w:space="0" w:color="auto"/>
              <w:left w:val="nil"/>
              <w:bottom w:val="single" w:sz="4" w:space="0" w:color="auto"/>
              <w:right w:val="single" w:sz="4" w:space="0" w:color="auto"/>
            </w:tcBorders>
            <w:shd w:val="clear" w:color="000000" w:fill="F0FFFF"/>
            <w:noWrap/>
            <w:vAlign w:val="center"/>
            <w:hideMark/>
          </w:tcPr>
          <w:p w14:paraId="1AED26B6" w14:textId="77777777" w:rsidR="00CB6588" w:rsidRPr="005B62C0" w:rsidRDefault="00CB6588" w:rsidP="00616743">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Descrição</w:t>
            </w:r>
          </w:p>
        </w:tc>
        <w:tc>
          <w:tcPr>
            <w:tcW w:w="729" w:type="dxa"/>
            <w:tcBorders>
              <w:top w:val="single" w:sz="4" w:space="0" w:color="auto"/>
              <w:left w:val="nil"/>
              <w:bottom w:val="single" w:sz="4" w:space="0" w:color="auto"/>
              <w:right w:val="single" w:sz="4" w:space="0" w:color="auto"/>
            </w:tcBorders>
            <w:shd w:val="clear" w:color="000000" w:fill="F0FFFF"/>
            <w:noWrap/>
            <w:vAlign w:val="center"/>
            <w:hideMark/>
          </w:tcPr>
          <w:p w14:paraId="16F2D29C" w14:textId="77777777" w:rsidR="00CB6588" w:rsidRPr="005B62C0" w:rsidRDefault="00CB6588" w:rsidP="00616743">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Unidade</w:t>
            </w:r>
          </w:p>
        </w:tc>
        <w:tc>
          <w:tcPr>
            <w:tcW w:w="852" w:type="dxa"/>
            <w:tcBorders>
              <w:top w:val="single" w:sz="4" w:space="0" w:color="auto"/>
              <w:left w:val="nil"/>
              <w:bottom w:val="single" w:sz="4" w:space="0" w:color="auto"/>
              <w:right w:val="single" w:sz="4" w:space="0" w:color="auto"/>
            </w:tcBorders>
            <w:shd w:val="clear" w:color="000000" w:fill="F0FFFF"/>
            <w:noWrap/>
            <w:vAlign w:val="center"/>
            <w:hideMark/>
          </w:tcPr>
          <w:p w14:paraId="7C8670E0" w14:textId="77777777" w:rsidR="00CB6588" w:rsidRPr="005B62C0" w:rsidRDefault="00CB6588" w:rsidP="00616743">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 xml:space="preserve">Quant. </w:t>
            </w:r>
          </w:p>
        </w:tc>
        <w:tc>
          <w:tcPr>
            <w:tcW w:w="918" w:type="dxa"/>
            <w:tcBorders>
              <w:top w:val="single" w:sz="4" w:space="0" w:color="auto"/>
              <w:left w:val="nil"/>
              <w:bottom w:val="single" w:sz="4" w:space="0" w:color="auto"/>
              <w:right w:val="single" w:sz="4" w:space="0" w:color="auto"/>
            </w:tcBorders>
            <w:shd w:val="clear" w:color="000000" w:fill="F0FFFF"/>
            <w:noWrap/>
            <w:vAlign w:val="center"/>
            <w:hideMark/>
          </w:tcPr>
          <w:p w14:paraId="4CA54925" w14:textId="5EB0CDB5" w:rsidR="00CB6588" w:rsidRPr="005B62C0" w:rsidRDefault="00CB6588" w:rsidP="00616743">
            <w:pPr>
              <w:suppressAutoHyphens w:val="0"/>
              <w:jc w:val="center"/>
              <w:rPr>
                <w:rFonts w:ascii="Gadugi" w:eastAsia="Times New Roman" w:hAnsi="Gadugi" w:cs="Calibri"/>
                <w:b/>
                <w:bCs/>
                <w:color w:val="000000"/>
                <w:sz w:val="14"/>
                <w:szCs w:val="14"/>
              </w:rPr>
            </w:pPr>
            <w:r w:rsidRPr="005B62C0">
              <w:rPr>
                <w:rFonts w:ascii="Gadugi" w:eastAsia="Times New Roman" w:hAnsi="Gadugi" w:cs="Calibri"/>
                <w:b/>
                <w:bCs/>
                <w:color w:val="000000"/>
                <w:sz w:val="14"/>
                <w:szCs w:val="14"/>
              </w:rPr>
              <w:t xml:space="preserve">Preço Unit. </w:t>
            </w:r>
          </w:p>
        </w:tc>
      </w:tr>
      <w:tr w:rsidR="00CB6588" w:rsidRPr="005B62C0" w14:paraId="4B2C2284"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833150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6646" w:type="dxa"/>
            <w:tcBorders>
              <w:top w:val="nil"/>
              <w:left w:val="nil"/>
              <w:bottom w:val="single" w:sz="4" w:space="0" w:color="auto"/>
              <w:right w:val="single" w:sz="4" w:space="0" w:color="auto"/>
            </w:tcBorders>
            <w:shd w:val="clear" w:color="auto" w:fill="auto"/>
            <w:noWrap/>
            <w:vAlign w:val="center"/>
            <w:hideMark/>
          </w:tcPr>
          <w:p w14:paraId="3ABAC81F"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ADAPTADOR DE REDE GIGAETHERNET Transferência de dados: 10/100/1000 Mbps.</w:t>
            </w:r>
            <w:r w:rsidRPr="005B62C0">
              <w:rPr>
                <w:rFonts w:ascii="Gadugi" w:eastAsia="Times New Roman" w:hAnsi="Gadugi" w:cs="Calibri"/>
                <w:color w:val="000000"/>
                <w:sz w:val="14"/>
                <w:szCs w:val="14"/>
              </w:rPr>
              <w:br/>
              <w:t>Interface: PCI-Express x1.</w:t>
            </w:r>
            <w:r w:rsidRPr="005B62C0">
              <w:rPr>
                <w:rFonts w:ascii="Gadugi" w:eastAsia="Times New Roman" w:hAnsi="Gadugi" w:cs="Calibri"/>
                <w:color w:val="000000"/>
                <w:sz w:val="14"/>
                <w:szCs w:val="14"/>
              </w:rPr>
              <w:br/>
              <w:t>Chapas metálicas: Low Profile e Normal Profile.</w:t>
            </w:r>
            <w:r w:rsidRPr="005B62C0">
              <w:rPr>
                <w:rFonts w:ascii="Gadugi" w:eastAsia="Times New Roman" w:hAnsi="Gadugi" w:cs="Calibri"/>
                <w:color w:val="000000"/>
                <w:sz w:val="14"/>
                <w:szCs w:val="14"/>
              </w:rPr>
              <w:br/>
              <w:t>Porta RJ45: Uma porta gigabit (no mínimo).</w:t>
            </w:r>
            <w:r w:rsidRPr="005B62C0">
              <w:rPr>
                <w:rFonts w:ascii="Gadugi" w:eastAsia="Times New Roman" w:hAnsi="Gadugi" w:cs="Calibri"/>
                <w:color w:val="000000"/>
                <w:sz w:val="14"/>
                <w:szCs w:val="14"/>
              </w:rPr>
              <w:br/>
              <w:t>Demais itens inclusos: Drivers necessários compatíveis com sistemas operacionais Windows 10 (64 bits) e Windows 11 (64 bits).</w:t>
            </w:r>
          </w:p>
        </w:tc>
        <w:tc>
          <w:tcPr>
            <w:tcW w:w="729" w:type="dxa"/>
            <w:tcBorders>
              <w:top w:val="nil"/>
              <w:left w:val="nil"/>
              <w:bottom w:val="single" w:sz="4" w:space="0" w:color="auto"/>
              <w:right w:val="single" w:sz="4" w:space="0" w:color="auto"/>
            </w:tcBorders>
            <w:shd w:val="clear" w:color="auto" w:fill="auto"/>
            <w:noWrap/>
            <w:vAlign w:val="center"/>
            <w:hideMark/>
          </w:tcPr>
          <w:p w14:paraId="2A9C1C8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41FF945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918" w:type="dxa"/>
            <w:tcBorders>
              <w:top w:val="nil"/>
              <w:left w:val="nil"/>
              <w:bottom w:val="single" w:sz="4" w:space="0" w:color="auto"/>
              <w:right w:val="single" w:sz="4" w:space="0" w:color="auto"/>
            </w:tcBorders>
            <w:shd w:val="clear" w:color="auto" w:fill="auto"/>
            <w:noWrap/>
            <w:vAlign w:val="center"/>
          </w:tcPr>
          <w:p w14:paraId="04EB1FB5" w14:textId="3FD06E9F"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426F8D8B"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73511E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w:t>
            </w:r>
          </w:p>
        </w:tc>
        <w:tc>
          <w:tcPr>
            <w:tcW w:w="6646" w:type="dxa"/>
            <w:tcBorders>
              <w:top w:val="nil"/>
              <w:left w:val="nil"/>
              <w:bottom w:val="single" w:sz="4" w:space="0" w:color="auto"/>
              <w:right w:val="single" w:sz="4" w:space="0" w:color="auto"/>
            </w:tcBorders>
            <w:shd w:val="clear" w:color="auto" w:fill="auto"/>
            <w:noWrap/>
            <w:vAlign w:val="center"/>
            <w:hideMark/>
          </w:tcPr>
          <w:p w14:paraId="49FC664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BATERIA CMOS Tipo: Bateria de lítio.</w:t>
            </w:r>
            <w:r w:rsidRPr="005B62C0">
              <w:rPr>
                <w:rFonts w:ascii="Gadugi" w:eastAsia="Times New Roman" w:hAnsi="Gadugi" w:cs="Calibri"/>
                <w:color w:val="000000"/>
                <w:sz w:val="14"/>
                <w:szCs w:val="14"/>
              </w:rPr>
              <w:br/>
              <w:t>Tamanho: CR2032.</w:t>
            </w:r>
            <w:r w:rsidRPr="005B62C0">
              <w:rPr>
                <w:rFonts w:ascii="Gadugi" w:eastAsia="Times New Roman" w:hAnsi="Gadugi" w:cs="Calibri"/>
                <w:color w:val="000000"/>
                <w:sz w:val="14"/>
                <w:szCs w:val="14"/>
              </w:rPr>
              <w:br/>
              <w:t>Tensão: 3 V.</w:t>
            </w:r>
            <w:r w:rsidRPr="005B62C0">
              <w:rPr>
                <w:rFonts w:ascii="Gadugi" w:eastAsia="Times New Roman" w:hAnsi="Gadugi" w:cs="Calibri"/>
                <w:color w:val="000000"/>
                <w:sz w:val="14"/>
                <w:szCs w:val="14"/>
              </w:rPr>
              <w:br/>
              <w:t>Pacote com 20 unidades.</w:t>
            </w:r>
          </w:p>
        </w:tc>
        <w:tc>
          <w:tcPr>
            <w:tcW w:w="729" w:type="dxa"/>
            <w:tcBorders>
              <w:top w:val="nil"/>
              <w:left w:val="nil"/>
              <w:bottom w:val="single" w:sz="4" w:space="0" w:color="auto"/>
              <w:right w:val="single" w:sz="4" w:space="0" w:color="auto"/>
            </w:tcBorders>
            <w:shd w:val="clear" w:color="auto" w:fill="auto"/>
            <w:noWrap/>
            <w:vAlign w:val="center"/>
            <w:hideMark/>
          </w:tcPr>
          <w:p w14:paraId="72EC241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PAC</w:t>
            </w:r>
          </w:p>
        </w:tc>
        <w:tc>
          <w:tcPr>
            <w:tcW w:w="852" w:type="dxa"/>
            <w:tcBorders>
              <w:top w:val="nil"/>
              <w:left w:val="nil"/>
              <w:bottom w:val="single" w:sz="4" w:space="0" w:color="auto"/>
              <w:right w:val="single" w:sz="4" w:space="0" w:color="auto"/>
            </w:tcBorders>
            <w:shd w:val="clear" w:color="auto" w:fill="auto"/>
            <w:noWrap/>
            <w:vAlign w:val="center"/>
            <w:hideMark/>
          </w:tcPr>
          <w:p w14:paraId="68310A40"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w:t>
            </w:r>
          </w:p>
        </w:tc>
        <w:tc>
          <w:tcPr>
            <w:tcW w:w="918" w:type="dxa"/>
            <w:tcBorders>
              <w:top w:val="nil"/>
              <w:left w:val="nil"/>
              <w:bottom w:val="single" w:sz="4" w:space="0" w:color="auto"/>
              <w:right w:val="single" w:sz="4" w:space="0" w:color="auto"/>
            </w:tcBorders>
            <w:shd w:val="clear" w:color="auto" w:fill="auto"/>
            <w:noWrap/>
            <w:vAlign w:val="center"/>
          </w:tcPr>
          <w:p w14:paraId="3C63242C" w14:textId="3A30A9BF"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756AD9C2"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C95D401"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w:t>
            </w:r>
          </w:p>
        </w:tc>
        <w:tc>
          <w:tcPr>
            <w:tcW w:w="6646" w:type="dxa"/>
            <w:tcBorders>
              <w:top w:val="nil"/>
              <w:left w:val="nil"/>
              <w:bottom w:val="single" w:sz="4" w:space="0" w:color="auto"/>
              <w:right w:val="single" w:sz="4" w:space="0" w:color="auto"/>
            </w:tcBorders>
            <w:shd w:val="clear" w:color="auto" w:fill="auto"/>
            <w:noWrap/>
            <w:vAlign w:val="center"/>
            <w:hideMark/>
          </w:tcPr>
          <w:p w14:paraId="2AF3014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CÂMERA DE VIDEOCONFERÊNCIA CONFIGURAÇÃO MINIMA:</w:t>
            </w:r>
            <w:r w:rsidRPr="005B62C0">
              <w:rPr>
                <w:rFonts w:ascii="Gadugi" w:eastAsia="Times New Roman" w:hAnsi="Gadugi" w:cs="Calibri"/>
                <w:color w:val="000000"/>
                <w:sz w:val="14"/>
                <w:szCs w:val="14"/>
              </w:rPr>
              <w:br/>
              <w:t xml:space="preserve">   1080p 60 Fps, USB-C,</w:t>
            </w:r>
            <w:r w:rsidRPr="005B62C0">
              <w:rPr>
                <w:rFonts w:ascii="Gadugi" w:eastAsia="Times New Roman" w:hAnsi="Gadugi" w:cs="Calibri"/>
                <w:color w:val="000000"/>
                <w:sz w:val="14"/>
                <w:szCs w:val="14"/>
              </w:rPr>
              <w:br/>
              <w:t>Resolução máxima de vídeo: 2160p.</w:t>
            </w:r>
            <w:r w:rsidRPr="005B62C0">
              <w:rPr>
                <w:rFonts w:ascii="Gadugi" w:eastAsia="Times New Roman" w:hAnsi="Gadugi" w:cs="Calibri"/>
                <w:color w:val="000000"/>
                <w:sz w:val="14"/>
                <w:szCs w:val="14"/>
              </w:rPr>
              <w:br/>
              <w:t>Interface: USB 3.0.</w:t>
            </w:r>
            <w:r w:rsidRPr="005B62C0">
              <w:rPr>
                <w:rFonts w:ascii="Gadugi" w:eastAsia="Times New Roman" w:hAnsi="Gadugi" w:cs="Calibri"/>
                <w:color w:val="000000"/>
                <w:sz w:val="14"/>
                <w:szCs w:val="14"/>
              </w:rPr>
              <w:br/>
              <w:t>Adequado para notebook.</w:t>
            </w:r>
            <w:r w:rsidRPr="005B62C0">
              <w:rPr>
                <w:rFonts w:ascii="Gadugi" w:eastAsia="Times New Roman" w:hAnsi="Gadugi" w:cs="Calibri"/>
                <w:color w:val="000000"/>
                <w:sz w:val="14"/>
                <w:szCs w:val="14"/>
              </w:rPr>
              <w:br/>
              <w:t>Compatível com Zoom.</w:t>
            </w:r>
            <w:r w:rsidRPr="005B62C0">
              <w:rPr>
                <w:rFonts w:ascii="Gadugi" w:eastAsia="Times New Roman" w:hAnsi="Gadugi" w:cs="Calibri"/>
                <w:color w:val="000000"/>
                <w:sz w:val="14"/>
                <w:szCs w:val="14"/>
              </w:rPr>
              <w:br/>
              <w:t>Sensor de imagem CMOS.</w:t>
            </w:r>
            <w:r w:rsidRPr="005B62C0">
              <w:rPr>
                <w:rFonts w:ascii="Gadugi" w:eastAsia="Times New Roman" w:hAnsi="Gadugi" w:cs="Calibri"/>
                <w:color w:val="000000"/>
                <w:sz w:val="14"/>
                <w:szCs w:val="14"/>
              </w:rPr>
              <w:br/>
              <w:t>Tem um microfone embutido.</w:t>
            </w:r>
          </w:p>
        </w:tc>
        <w:tc>
          <w:tcPr>
            <w:tcW w:w="729" w:type="dxa"/>
            <w:tcBorders>
              <w:top w:val="nil"/>
              <w:left w:val="nil"/>
              <w:bottom w:val="single" w:sz="4" w:space="0" w:color="auto"/>
              <w:right w:val="single" w:sz="4" w:space="0" w:color="auto"/>
            </w:tcBorders>
            <w:shd w:val="clear" w:color="auto" w:fill="auto"/>
            <w:noWrap/>
            <w:vAlign w:val="center"/>
            <w:hideMark/>
          </w:tcPr>
          <w:p w14:paraId="4784F59B"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52CF1BF7"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918" w:type="dxa"/>
            <w:tcBorders>
              <w:top w:val="nil"/>
              <w:left w:val="nil"/>
              <w:bottom w:val="single" w:sz="4" w:space="0" w:color="auto"/>
              <w:right w:val="single" w:sz="4" w:space="0" w:color="auto"/>
            </w:tcBorders>
            <w:shd w:val="clear" w:color="auto" w:fill="auto"/>
            <w:noWrap/>
            <w:vAlign w:val="center"/>
          </w:tcPr>
          <w:p w14:paraId="6E70B8B5" w14:textId="77ECD202"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5FFBA84B"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F30D7CC"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4</w:t>
            </w:r>
          </w:p>
        </w:tc>
        <w:tc>
          <w:tcPr>
            <w:tcW w:w="6646" w:type="dxa"/>
            <w:tcBorders>
              <w:top w:val="nil"/>
              <w:left w:val="nil"/>
              <w:bottom w:val="single" w:sz="4" w:space="0" w:color="auto"/>
              <w:right w:val="single" w:sz="4" w:space="0" w:color="auto"/>
            </w:tcBorders>
            <w:shd w:val="clear" w:color="auto" w:fill="auto"/>
            <w:noWrap/>
            <w:vAlign w:val="center"/>
            <w:hideMark/>
          </w:tcPr>
          <w:p w14:paraId="2FD36B60"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 xml:space="preserve">CAMERA FOTOGRAFICA DIGITAL </w:t>
            </w:r>
            <w:r w:rsidRPr="005B62C0">
              <w:rPr>
                <w:rFonts w:ascii="Gadugi" w:eastAsia="Times New Roman" w:hAnsi="Gadugi" w:cs="Calibri"/>
                <w:color w:val="000000"/>
                <w:sz w:val="14"/>
                <w:szCs w:val="14"/>
              </w:rPr>
              <w:br/>
              <w:t>Resolução do Sensor:</w:t>
            </w:r>
            <w:r w:rsidRPr="005B62C0">
              <w:rPr>
                <w:rFonts w:ascii="Gadugi" w:eastAsia="Times New Roman" w:hAnsi="Gadugi" w:cs="Calibri"/>
                <w:color w:val="000000"/>
                <w:sz w:val="14"/>
                <w:szCs w:val="14"/>
              </w:rPr>
              <w:br/>
              <w:t>Real: 27.1 Megapixels</w:t>
            </w:r>
            <w:r w:rsidRPr="005B62C0">
              <w:rPr>
                <w:rFonts w:ascii="Gadugi" w:eastAsia="Times New Roman" w:hAnsi="Gadugi" w:cs="Calibri"/>
                <w:color w:val="000000"/>
                <w:sz w:val="14"/>
                <w:szCs w:val="14"/>
              </w:rPr>
              <w:br/>
              <w:t>Efetiva: 26.2 Megapixels (6240 x 4160)</w:t>
            </w:r>
            <w:r w:rsidRPr="005B62C0">
              <w:rPr>
                <w:rFonts w:ascii="Gadugi" w:eastAsia="Times New Roman" w:hAnsi="Gadugi" w:cs="Calibri"/>
                <w:color w:val="000000"/>
                <w:sz w:val="14"/>
                <w:szCs w:val="14"/>
              </w:rPr>
              <w:br/>
              <w:t>Tipo de Sensor de Imagem:CMOS Full-Frame (35.9 x 24 mm)</w:t>
            </w:r>
            <w:r w:rsidRPr="005B62C0">
              <w:rPr>
                <w:rFonts w:ascii="Gadugi" w:eastAsia="Times New Roman" w:hAnsi="Gadugi" w:cs="Calibri"/>
                <w:color w:val="000000"/>
                <w:sz w:val="14"/>
                <w:szCs w:val="14"/>
              </w:rPr>
              <w:br/>
              <w:t>Estabilização de Imagem:Digital, 5 eixos (apenas vídeo)</w:t>
            </w:r>
            <w:r w:rsidRPr="005B62C0">
              <w:rPr>
                <w:rFonts w:ascii="Gadugi" w:eastAsia="Times New Roman" w:hAnsi="Gadugi" w:cs="Calibri"/>
                <w:color w:val="000000"/>
                <w:sz w:val="14"/>
                <w:szCs w:val="14"/>
              </w:rPr>
              <w:br/>
              <w:t>Faixa de Sensibilidade ISO (Foto):100 a 40.000 (Estendida: 50 a 102.400)</w:t>
            </w:r>
            <w:r w:rsidRPr="005B62C0">
              <w:rPr>
                <w:rFonts w:ascii="Gadugi" w:eastAsia="Times New Roman" w:hAnsi="Gadugi" w:cs="Calibri"/>
                <w:color w:val="000000"/>
                <w:sz w:val="14"/>
                <w:szCs w:val="14"/>
              </w:rPr>
              <w:br/>
              <w:t>Faixa de Sensibilidade ISO (Vídeo):100 a 25.600 (Manual, Modo Automático; Estendida: 100 a 102.400)</w:t>
            </w:r>
            <w:r w:rsidRPr="005B62C0">
              <w:rPr>
                <w:rFonts w:ascii="Gadugi" w:eastAsia="Times New Roman" w:hAnsi="Gadugi" w:cs="Calibri"/>
                <w:color w:val="000000"/>
                <w:sz w:val="14"/>
                <w:szCs w:val="14"/>
              </w:rPr>
              <w:br/>
              <w:t>Modos de Gravação Interna:H.264/MP4, UHD 4K (3840 x 2160) a 23.98/25 fps, 1920 x 1080p a várias taxas de fps</w:t>
            </w:r>
            <w:r w:rsidRPr="005B62C0">
              <w:rPr>
                <w:rFonts w:ascii="Gadugi" w:eastAsia="Times New Roman" w:hAnsi="Gadugi" w:cs="Calibri"/>
                <w:color w:val="000000"/>
                <w:sz w:val="14"/>
                <w:szCs w:val="14"/>
              </w:rPr>
              <w:br/>
              <w:t>Slot para Cartão de Mídia/Memória:Slot único: SD/SDHC/SDXC (UHS-II)</w:t>
            </w:r>
            <w:r w:rsidRPr="005B62C0">
              <w:rPr>
                <w:rFonts w:ascii="Gadugi" w:eastAsia="Times New Roman" w:hAnsi="Gadugi" w:cs="Calibri"/>
                <w:color w:val="000000"/>
                <w:sz w:val="14"/>
                <w:szCs w:val="14"/>
              </w:rPr>
              <w:br/>
              <w:t>Saída de Vídeo:1x Mini-HDMI</w:t>
            </w:r>
            <w:r w:rsidRPr="005B62C0">
              <w:rPr>
                <w:rFonts w:ascii="Gadugi" w:eastAsia="Times New Roman" w:hAnsi="Gadugi" w:cs="Calibri"/>
                <w:color w:val="000000"/>
                <w:sz w:val="14"/>
                <w:szCs w:val="14"/>
              </w:rPr>
              <w:br/>
              <w:t>Saída de Áudio:1x 1/8" / 3.5 mm TRS para fones de ouvido, 1x 1/8" / 3.5 mm TRS para microfone</w:t>
            </w:r>
            <w:r w:rsidRPr="005B62C0">
              <w:rPr>
                <w:rFonts w:ascii="Gadugi" w:eastAsia="Times New Roman" w:hAnsi="Gadugi" w:cs="Calibri"/>
                <w:color w:val="000000"/>
                <w:sz w:val="14"/>
                <w:szCs w:val="14"/>
              </w:rPr>
              <w:br/>
              <w:t>Entrada/Saída de Energia:1x USB-C</w:t>
            </w:r>
            <w:r w:rsidRPr="005B62C0">
              <w:rPr>
                <w:rFonts w:ascii="Gadugi" w:eastAsia="Times New Roman" w:hAnsi="Gadugi" w:cs="Calibri"/>
                <w:color w:val="000000"/>
                <w:sz w:val="14"/>
                <w:szCs w:val="14"/>
              </w:rPr>
              <w:br/>
              <w:t>Conectividade Sem Fio:Wi-Fi 4 (802.11n), Bluetooth 4.1</w:t>
            </w:r>
            <w:r w:rsidRPr="005B62C0">
              <w:rPr>
                <w:rFonts w:ascii="Gadugi" w:eastAsia="Times New Roman" w:hAnsi="Gadugi" w:cs="Calibri"/>
                <w:color w:val="000000"/>
                <w:sz w:val="14"/>
                <w:szCs w:val="14"/>
              </w:rPr>
              <w:br/>
              <w:t>Tela:LCD touchscreen articulado de 3.0" com resolução de 1.040.000 pontos</w:t>
            </w:r>
            <w:r w:rsidRPr="005B62C0">
              <w:rPr>
                <w:rFonts w:ascii="Gadugi" w:eastAsia="Times New Roman" w:hAnsi="Gadugi" w:cs="Calibri"/>
                <w:color w:val="000000"/>
                <w:sz w:val="14"/>
                <w:szCs w:val="14"/>
              </w:rPr>
              <w:br/>
              <w:t>Bateria:1x LP-E17 recarregável, 7.2 VDC, 1040 mAh (inclusa)</w:t>
            </w:r>
            <w:r w:rsidRPr="005B62C0">
              <w:rPr>
                <w:rFonts w:ascii="Gadugi" w:eastAsia="Times New Roman" w:hAnsi="Gadugi" w:cs="Calibri"/>
                <w:color w:val="000000"/>
                <w:sz w:val="14"/>
                <w:szCs w:val="14"/>
              </w:rPr>
              <w:br/>
              <w:t>Dimensões (L x A x P):132.5 x 85 x 70 mm</w:t>
            </w:r>
            <w:r w:rsidRPr="005B62C0">
              <w:rPr>
                <w:rFonts w:ascii="Gadugi" w:eastAsia="Times New Roman" w:hAnsi="Gadugi" w:cs="Calibri"/>
                <w:color w:val="000000"/>
                <w:sz w:val="14"/>
                <w:szCs w:val="14"/>
              </w:rPr>
              <w:br/>
              <w:t>Peso:485 g (com bateria)</w:t>
            </w:r>
            <w:r w:rsidRPr="005B62C0">
              <w:rPr>
                <w:rFonts w:ascii="Gadugi" w:eastAsia="Times New Roman" w:hAnsi="Gadugi" w:cs="Calibri"/>
                <w:color w:val="000000"/>
                <w:sz w:val="14"/>
                <w:szCs w:val="14"/>
              </w:rPr>
              <w:br/>
              <w:t>Material de Construção:Alumínio, liga de magnésio, policarbonato</w:t>
            </w:r>
            <w:r w:rsidRPr="005B62C0">
              <w:rPr>
                <w:rFonts w:ascii="Gadugi" w:eastAsia="Times New Roman" w:hAnsi="Gadugi" w:cs="Calibri"/>
                <w:color w:val="000000"/>
                <w:sz w:val="14"/>
                <w:szCs w:val="14"/>
              </w:rPr>
              <w:br/>
              <w:t>Condições de Operação:0 a 40C, até 85% de umidade.</w:t>
            </w:r>
          </w:p>
        </w:tc>
        <w:tc>
          <w:tcPr>
            <w:tcW w:w="729" w:type="dxa"/>
            <w:tcBorders>
              <w:top w:val="nil"/>
              <w:left w:val="nil"/>
              <w:bottom w:val="single" w:sz="4" w:space="0" w:color="auto"/>
              <w:right w:val="single" w:sz="4" w:space="0" w:color="auto"/>
            </w:tcBorders>
            <w:shd w:val="clear" w:color="auto" w:fill="auto"/>
            <w:noWrap/>
            <w:vAlign w:val="center"/>
            <w:hideMark/>
          </w:tcPr>
          <w:p w14:paraId="5CCB198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769FB0E6"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918" w:type="dxa"/>
            <w:tcBorders>
              <w:top w:val="nil"/>
              <w:left w:val="nil"/>
              <w:bottom w:val="single" w:sz="4" w:space="0" w:color="auto"/>
              <w:right w:val="single" w:sz="4" w:space="0" w:color="auto"/>
            </w:tcBorders>
            <w:shd w:val="clear" w:color="auto" w:fill="auto"/>
            <w:noWrap/>
            <w:vAlign w:val="center"/>
          </w:tcPr>
          <w:p w14:paraId="67526BBA" w14:textId="53419DD2"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3EF65B3F"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54742A66"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6646" w:type="dxa"/>
            <w:tcBorders>
              <w:top w:val="nil"/>
              <w:left w:val="nil"/>
              <w:bottom w:val="single" w:sz="4" w:space="0" w:color="auto"/>
              <w:right w:val="single" w:sz="4" w:space="0" w:color="auto"/>
            </w:tcBorders>
            <w:shd w:val="clear" w:color="auto" w:fill="auto"/>
            <w:noWrap/>
            <w:vAlign w:val="center"/>
            <w:hideMark/>
          </w:tcPr>
          <w:p w14:paraId="078B6D2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CARREGADOR DE PILHAS Pilhas AA/AAA 2500mAh;</w:t>
            </w:r>
            <w:r w:rsidRPr="005B62C0">
              <w:rPr>
                <w:rFonts w:ascii="Gadugi" w:eastAsia="Times New Roman" w:hAnsi="Gadugi" w:cs="Calibri"/>
                <w:color w:val="000000"/>
                <w:sz w:val="14"/>
                <w:szCs w:val="14"/>
              </w:rPr>
              <w:br/>
              <w:t>Carrega até 4 pilhas simultaneamente: Funciona com pilhas AA e AAA;</w:t>
            </w:r>
            <w:r w:rsidRPr="005B62C0">
              <w:rPr>
                <w:rFonts w:ascii="Gadugi" w:eastAsia="Times New Roman" w:hAnsi="Gadugi" w:cs="Calibri"/>
                <w:color w:val="000000"/>
                <w:sz w:val="14"/>
                <w:szCs w:val="14"/>
              </w:rPr>
              <w:br/>
              <w:t>Tempo de recarga rápido: Aproximadamente 10 horas para pilhas AA 2500mAh e 4,5 horas para AAA 900mAh;</w:t>
            </w:r>
            <w:r w:rsidRPr="005B62C0">
              <w:rPr>
                <w:rFonts w:ascii="Gadugi" w:eastAsia="Times New Roman" w:hAnsi="Gadugi" w:cs="Calibri"/>
                <w:color w:val="000000"/>
                <w:sz w:val="14"/>
                <w:szCs w:val="14"/>
              </w:rPr>
              <w:br/>
              <w:t>Bivolt.</w:t>
            </w:r>
          </w:p>
        </w:tc>
        <w:tc>
          <w:tcPr>
            <w:tcW w:w="729" w:type="dxa"/>
            <w:tcBorders>
              <w:top w:val="nil"/>
              <w:left w:val="nil"/>
              <w:bottom w:val="single" w:sz="4" w:space="0" w:color="auto"/>
              <w:right w:val="single" w:sz="4" w:space="0" w:color="auto"/>
            </w:tcBorders>
            <w:shd w:val="clear" w:color="auto" w:fill="auto"/>
            <w:noWrap/>
            <w:vAlign w:val="center"/>
            <w:hideMark/>
          </w:tcPr>
          <w:p w14:paraId="0AE6A8A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CJ</w:t>
            </w:r>
          </w:p>
        </w:tc>
        <w:tc>
          <w:tcPr>
            <w:tcW w:w="852" w:type="dxa"/>
            <w:tcBorders>
              <w:top w:val="nil"/>
              <w:left w:val="nil"/>
              <w:bottom w:val="single" w:sz="4" w:space="0" w:color="auto"/>
              <w:right w:val="single" w:sz="4" w:space="0" w:color="auto"/>
            </w:tcBorders>
            <w:shd w:val="clear" w:color="auto" w:fill="auto"/>
            <w:noWrap/>
            <w:vAlign w:val="center"/>
            <w:hideMark/>
          </w:tcPr>
          <w:p w14:paraId="4DE055A6"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918" w:type="dxa"/>
            <w:tcBorders>
              <w:top w:val="nil"/>
              <w:left w:val="nil"/>
              <w:bottom w:val="single" w:sz="4" w:space="0" w:color="auto"/>
              <w:right w:val="single" w:sz="4" w:space="0" w:color="auto"/>
            </w:tcBorders>
            <w:shd w:val="clear" w:color="auto" w:fill="auto"/>
            <w:noWrap/>
            <w:vAlign w:val="center"/>
          </w:tcPr>
          <w:p w14:paraId="32429261" w14:textId="17506E50"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152A1E39"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C1748B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6</w:t>
            </w:r>
          </w:p>
        </w:tc>
        <w:tc>
          <w:tcPr>
            <w:tcW w:w="6646" w:type="dxa"/>
            <w:tcBorders>
              <w:top w:val="nil"/>
              <w:left w:val="nil"/>
              <w:bottom w:val="single" w:sz="4" w:space="0" w:color="auto"/>
              <w:right w:val="single" w:sz="4" w:space="0" w:color="auto"/>
            </w:tcBorders>
            <w:shd w:val="clear" w:color="auto" w:fill="auto"/>
            <w:noWrap/>
            <w:vAlign w:val="center"/>
            <w:hideMark/>
          </w:tcPr>
          <w:p w14:paraId="744D8399"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COMPUTADOR COMPLETO AVANÇADO Processador - Plataforma/Segmento: Desktop.</w:t>
            </w:r>
            <w:r w:rsidRPr="005B62C0">
              <w:rPr>
                <w:rFonts w:ascii="Gadugi" w:eastAsia="Times New Roman" w:hAnsi="Gadugi" w:cs="Calibri"/>
                <w:color w:val="000000"/>
                <w:sz w:val="14"/>
                <w:szCs w:val="14"/>
              </w:rPr>
              <w:br/>
              <w:t>Processador - Arquitetura: X86-64.</w:t>
            </w:r>
            <w:r w:rsidRPr="005B62C0">
              <w:rPr>
                <w:rFonts w:ascii="Gadugi" w:eastAsia="Times New Roman" w:hAnsi="Gadugi" w:cs="Calibri"/>
                <w:color w:val="000000"/>
                <w:sz w:val="14"/>
                <w:szCs w:val="14"/>
              </w:rPr>
              <w:br/>
              <w:t>Processador - Frequência base: 3 GHz (no mínimo, sem necessidade de overclock via software, overclock via hardware, Thermal Velocity Boost, Turbo Max Core Speed, Max Turbo, Turbo Boost, Precision Boost para alcançar tal frequência).</w:t>
            </w:r>
            <w:r w:rsidRPr="005B62C0">
              <w:rPr>
                <w:rFonts w:ascii="Gadugi" w:eastAsia="Times New Roman" w:hAnsi="Gadugi" w:cs="Calibri"/>
                <w:color w:val="000000"/>
                <w:sz w:val="14"/>
                <w:szCs w:val="14"/>
              </w:rPr>
              <w:br/>
              <w:t>Processador - Frequência turbo: 5 GHz (ou superior).</w:t>
            </w:r>
            <w:r w:rsidRPr="005B62C0">
              <w:rPr>
                <w:rFonts w:ascii="Gadugi" w:eastAsia="Times New Roman" w:hAnsi="Gadugi" w:cs="Calibri"/>
                <w:color w:val="000000"/>
                <w:sz w:val="14"/>
                <w:szCs w:val="14"/>
              </w:rPr>
              <w:br/>
              <w:t>Processador - Núcleos físicos: 16 cores (no mínimo).</w:t>
            </w:r>
            <w:r w:rsidRPr="005B62C0">
              <w:rPr>
                <w:rFonts w:ascii="Gadugi" w:eastAsia="Times New Roman" w:hAnsi="Gadugi" w:cs="Calibri"/>
                <w:color w:val="000000"/>
                <w:sz w:val="14"/>
                <w:szCs w:val="14"/>
              </w:rPr>
              <w:br/>
              <w:t>Processador - Núcleos lógicos: 32 threads (no mínimo).</w:t>
            </w:r>
            <w:r w:rsidRPr="005B62C0">
              <w:rPr>
                <w:rFonts w:ascii="Gadugi" w:eastAsia="Times New Roman" w:hAnsi="Gadugi" w:cs="Calibri"/>
                <w:color w:val="000000"/>
                <w:sz w:val="14"/>
                <w:szCs w:val="14"/>
              </w:rPr>
              <w:br/>
              <w:t>Processador - Memória cache: 36 MB (no mínimo).</w:t>
            </w:r>
            <w:r w:rsidRPr="005B62C0">
              <w:rPr>
                <w:rFonts w:ascii="Gadugi" w:eastAsia="Times New Roman" w:hAnsi="Gadugi" w:cs="Calibri"/>
                <w:color w:val="000000"/>
                <w:sz w:val="14"/>
                <w:szCs w:val="14"/>
              </w:rPr>
              <w:br/>
              <w:t>Placa-mãe - Compatibilidade: Totalmente compatível com o processador deste kit (comprovado através de lista de processadores suportados no site oficial da marca e modelo da placa-mãe).</w:t>
            </w:r>
            <w:r w:rsidRPr="005B62C0">
              <w:rPr>
                <w:rFonts w:ascii="Gadugi" w:eastAsia="Times New Roman" w:hAnsi="Gadugi" w:cs="Calibri"/>
                <w:color w:val="000000"/>
                <w:sz w:val="14"/>
                <w:szCs w:val="14"/>
              </w:rPr>
              <w:br/>
              <w:t>Placa-mãe - Tamanho: Padrão Micro ATX (mATX).</w:t>
            </w:r>
            <w:r w:rsidRPr="005B62C0">
              <w:rPr>
                <w:rFonts w:ascii="Gadugi" w:eastAsia="Times New Roman" w:hAnsi="Gadugi" w:cs="Calibri"/>
                <w:color w:val="000000"/>
                <w:sz w:val="14"/>
                <w:szCs w:val="14"/>
              </w:rPr>
              <w:br/>
              <w:t>Placa-mãe - LAN: Integrada.</w:t>
            </w:r>
            <w:r w:rsidRPr="005B62C0">
              <w:rPr>
                <w:rFonts w:ascii="Gadugi" w:eastAsia="Times New Roman" w:hAnsi="Gadugi" w:cs="Calibri"/>
                <w:color w:val="000000"/>
                <w:sz w:val="14"/>
                <w:szCs w:val="14"/>
              </w:rPr>
              <w:br/>
              <w:t>Placa-mãe - Som: Placa de som onboard integrada  placa-mãe.</w:t>
            </w:r>
            <w:r w:rsidRPr="005B62C0">
              <w:rPr>
                <w:rFonts w:ascii="Gadugi" w:eastAsia="Times New Roman" w:hAnsi="Gadugi" w:cs="Calibri"/>
                <w:color w:val="000000"/>
                <w:sz w:val="14"/>
                <w:szCs w:val="14"/>
              </w:rPr>
              <w:br/>
              <w:t>Placa-mãe - Memória RAM suportada: Padrão DDR5.</w:t>
            </w:r>
            <w:r w:rsidRPr="005B62C0">
              <w:rPr>
                <w:rFonts w:ascii="Gadugi" w:eastAsia="Times New Roman" w:hAnsi="Gadugi" w:cs="Calibri"/>
                <w:color w:val="000000"/>
                <w:sz w:val="14"/>
                <w:szCs w:val="14"/>
              </w:rPr>
              <w:br/>
              <w:t>Placa-mãe - Memória RAM capacidade total: 128 GB (ou superior).</w:t>
            </w:r>
            <w:r w:rsidRPr="005B62C0">
              <w:rPr>
                <w:rFonts w:ascii="Gadugi" w:eastAsia="Times New Roman" w:hAnsi="Gadugi" w:cs="Calibri"/>
                <w:color w:val="000000"/>
                <w:sz w:val="14"/>
                <w:szCs w:val="14"/>
              </w:rPr>
              <w:br/>
              <w:t>Placa-mãe - Memória RAM frequência suportada: 4800 MHz (ou superior).</w:t>
            </w:r>
            <w:r w:rsidRPr="005B62C0">
              <w:rPr>
                <w:rFonts w:ascii="Gadugi" w:eastAsia="Times New Roman" w:hAnsi="Gadugi" w:cs="Calibri"/>
                <w:color w:val="000000"/>
                <w:sz w:val="14"/>
                <w:szCs w:val="14"/>
              </w:rPr>
              <w:br/>
              <w:t>Placa-mãe - Memória RAM canais: Suporte para ligação de 2 (no mínimo) memórias RAM.</w:t>
            </w:r>
            <w:r w:rsidRPr="005B62C0">
              <w:rPr>
                <w:rFonts w:ascii="Gadugi" w:eastAsia="Times New Roman" w:hAnsi="Gadugi" w:cs="Calibri"/>
                <w:color w:val="000000"/>
                <w:sz w:val="14"/>
                <w:szCs w:val="14"/>
              </w:rPr>
              <w:br/>
              <w:t>Placa-mãe - Armazenamento: 2 conectores (no mínimo) interface SATA 3.</w:t>
            </w:r>
            <w:r w:rsidRPr="005B62C0">
              <w:rPr>
                <w:rFonts w:ascii="Gadugi" w:eastAsia="Times New Roman" w:hAnsi="Gadugi" w:cs="Calibri"/>
                <w:color w:val="000000"/>
                <w:sz w:val="14"/>
                <w:szCs w:val="14"/>
              </w:rPr>
              <w:br/>
              <w:t>Placa-mãe  Armazenamento: 1 conector (no mínimo) interface SSD M.2 2280 - PCIe 4.0 NVMe (ou superior).</w:t>
            </w:r>
            <w:r w:rsidRPr="005B62C0">
              <w:rPr>
                <w:rFonts w:ascii="Gadugi" w:eastAsia="Times New Roman" w:hAnsi="Gadugi" w:cs="Calibri"/>
                <w:color w:val="000000"/>
                <w:sz w:val="14"/>
                <w:szCs w:val="14"/>
              </w:rPr>
              <w:br/>
              <w:t>Placa-mãe - Expansão PCI-Express: Um slot (no mínimo) PCI-E x1. Um slot (no mínimo) PCI-E x16.</w:t>
            </w:r>
            <w:r w:rsidRPr="005B62C0">
              <w:rPr>
                <w:rFonts w:ascii="Gadugi" w:eastAsia="Times New Roman" w:hAnsi="Gadugi" w:cs="Calibri"/>
                <w:color w:val="000000"/>
                <w:sz w:val="14"/>
                <w:szCs w:val="14"/>
              </w:rPr>
              <w:br/>
              <w:t>Placa-mãe - Conexões externas presentes na placa-mãe: Uma porta (no mínimo) RJ45 1Gbps (ou superior). Quatro portas (no mínimo) USB (sendo, no mínimo, duas destas no padrão USB 3). Uma saída de áudio (no mínimo)  3,5 mm. Uma entrada (no mínimo) para microfone  3,5 mm.</w:t>
            </w:r>
            <w:r w:rsidRPr="005B62C0">
              <w:rPr>
                <w:rFonts w:ascii="Gadugi" w:eastAsia="Times New Roman" w:hAnsi="Gadugi" w:cs="Calibri"/>
                <w:color w:val="000000"/>
                <w:sz w:val="14"/>
                <w:szCs w:val="14"/>
              </w:rPr>
              <w:br/>
              <w:t>Memória RAM  Total instalada: 32 GB (no mínimo).</w:t>
            </w:r>
            <w:r w:rsidRPr="005B62C0">
              <w:rPr>
                <w:rFonts w:ascii="Gadugi" w:eastAsia="Times New Roman" w:hAnsi="Gadugi" w:cs="Calibri"/>
                <w:color w:val="000000"/>
                <w:sz w:val="14"/>
                <w:szCs w:val="14"/>
              </w:rPr>
              <w:br/>
              <w:t>Memória RAM - Padrão: DDR5.</w:t>
            </w:r>
            <w:r w:rsidRPr="005B62C0">
              <w:rPr>
                <w:rFonts w:ascii="Gadugi" w:eastAsia="Times New Roman" w:hAnsi="Gadugi" w:cs="Calibri"/>
                <w:color w:val="000000"/>
                <w:sz w:val="14"/>
                <w:szCs w:val="14"/>
              </w:rPr>
              <w:br/>
              <w:t>Memória RAM - Frequência: 4800 MHz (ou superior).</w:t>
            </w:r>
            <w:r w:rsidRPr="005B62C0">
              <w:rPr>
                <w:rFonts w:ascii="Gadugi" w:eastAsia="Times New Roman" w:hAnsi="Gadugi" w:cs="Calibri"/>
                <w:color w:val="000000"/>
                <w:sz w:val="14"/>
                <w:szCs w:val="14"/>
              </w:rPr>
              <w:br/>
              <w:t>Memória RAM - Compatibilidade: Memória RAM totalmente compatível com o processador e placa-mãe deste kit.</w:t>
            </w:r>
            <w:r w:rsidRPr="005B62C0">
              <w:rPr>
                <w:rFonts w:ascii="Gadugi" w:eastAsia="Times New Roman" w:hAnsi="Gadugi" w:cs="Calibri"/>
                <w:color w:val="000000"/>
                <w:sz w:val="14"/>
                <w:szCs w:val="14"/>
              </w:rPr>
              <w:br/>
              <w:t>Placa de vídeo - GPU  Frequência base: 1300 MHz (ou superior).</w:t>
            </w:r>
            <w:r w:rsidRPr="005B62C0">
              <w:rPr>
                <w:rFonts w:ascii="Gadugi" w:eastAsia="Times New Roman" w:hAnsi="Gadugi" w:cs="Calibri"/>
                <w:color w:val="000000"/>
                <w:sz w:val="14"/>
                <w:szCs w:val="14"/>
              </w:rPr>
              <w:br/>
              <w:t>Placa de vídeo - Memória  Tipo de memória gráfica: GDDR6.</w:t>
            </w:r>
            <w:r w:rsidRPr="005B62C0">
              <w:rPr>
                <w:rFonts w:ascii="Gadugi" w:eastAsia="Times New Roman" w:hAnsi="Gadugi" w:cs="Calibri"/>
                <w:color w:val="000000"/>
                <w:sz w:val="14"/>
                <w:szCs w:val="14"/>
              </w:rPr>
              <w:br/>
              <w:t>Placa de vídeo - Memória - Interface (barramento): 64 bits (ou superior).</w:t>
            </w:r>
            <w:r w:rsidRPr="005B62C0">
              <w:rPr>
                <w:rFonts w:ascii="Gadugi" w:eastAsia="Times New Roman" w:hAnsi="Gadugi" w:cs="Calibri"/>
                <w:color w:val="000000"/>
                <w:sz w:val="14"/>
                <w:szCs w:val="14"/>
              </w:rPr>
              <w:br/>
              <w:t>Placa de vídeo - Memória - Capacidade: 6 GB (ou superior).</w:t>
            </w:r>
            <w:r w:rsidRPr="005B62C0">
              <w:rPr>
                <w:rFonts w:ascii="Gadugi" w:eastAsia="Times New Roman" w:hAnsi="Gadugi" w:cs="Calibri"/>
                <w:color w:val="000000"/>
                <w:sz w:val="14"/>
                <w:szCs w:val="14"/>
              </w:rPr>
              <w:br/>
              <w:t>Placa de vídeo - Saídas de vídeo: 1 saída HDMI (no mínimo), 1 saída Display Port (no mínimo).</w:t>
            </w:r>
            <w:r w:rsidRPr="005B62C0">
              <w:rPr>
                <w:rFonts w:ascii="Gadugi" w:eastAsia="Times New Roman" w:hAnsi="Gadugi" w:cs="Calibri"/>
                <w:color w:val="000000"/>
                <w:sz w:val="14"/>
                <w:szCs w:val="14"/>
              </w:rPr>
              <w:br/>
              <w:t>Placa de vídeo - Interface: PCI-Express x16.</w:t>
            </w:r>
            <w:r w:rsidRPr="005B62C0">
              <w:rPr>
                <w:rFonts w:ascii="Gadugi" w:eastAsia="Times New Roman" w:hAnsi="Gadugi" w:cs="Calibri"/>
                <w:color w:val="000000"/>
                <w:sz w:val="14"/>
                <w:szCs w:val="14"/>
              </w:rPr>
              <w:br/>
              <w:t>Placa de vídeo - Resfriamento: Ativa, por ar (cooler).</w:t>
            </w:r>
            <w:r w:rsidRPr="005B62C0">
              <w:rPr>
                <w:rFonts w:ascii="Gadugi" w:eastAsia="Times New Roman" w:hAnsi="Gadugi" w:cs="Calibri"/>
                <w:color w:val="000000"/>
                <w:sz w:val="14"/>
                <w:szCs w:val="14"/>
              </w:rPr>
              <w:br/>
              <w:t>Armazenamento  Capacidade de armazenamento: 2 TB (ou superior).</w:t>
            </w:r>
            <w:r w:rsidRPr="005B62C0">
              <w:rPr>
                <w:rFonts w:ascii="Gadugi" w:eastAsia="Times New Roman" w:hAnsi="Gadugi" w:cs="Calibri"/>
                <w:color w:val="000000"/>
                <w:sz w:val="14"/>
                <w:szCs w:val="14"/>
              </w:rPr>
              <w:br/>
              <w:t>Armazenamento - Especificação: Unidade de estado sólido (SSD) M.2 2280 NVMe.</w:t>
            </w:r>
            <w:r w:rsidRPr="005B62C0">
              <w:rPr>
                <w:rFonts w:ascii="Gadugi" w:eastAsia="Times New Roman" w:hAnsi="Gadugi" w:cs="Calibri"/>
                <w:color w:val="000000"/>
                <w:sz w:val="14"/>
                <w:szCs w:val="14"/>
              </w:rPr>
              <w:br/>
              <w:t>Armazenamento  Interface: PCIe Gen 3 (ou superior).</w:t>
            </w:r>
            <w:r w:rsidRPr="005B62C0">
              <w:rPr>
                <w:rFonts w:ascii="Gadugi" w:eastAsia="Times New Roman" w:hAnsi="Gadugi" w:cs="Calibri"/>
                <w:color w:val="000000"/>
                <w:sz w:val="14"/>
                <w:szCs w:val="14"/>
              </w:rPr>
              <w:br/>
              <w:t>Armazenamento - Velocidade de leitura de dados: 6000 MB/s (ou superior).</w:t>
            </w:r>
            <w:r w:rsidRPr="005B62C0">
              <w:rPr>
                <w:rFonts w:ascii="Gadugi" w:eastAsia="Times New Roman" w:hAnsi="Gadugi" w:cs="Calibri"/>
                <w:color w:val="000000"/>
                <w:sz w:val="14"/>
                <w:szCs w:val="14"/>
              </w:rPr>
              <w:br/>
              <w:t>Armazenamento - Velocidade de gravação de dados: 5000 MB/s (ou superior).</w:t>
            </w:r>
            <w:r w:rsidRPr="005B62C0">
              <w:rPr>
                <w:rFonts w:ascii="Gadugi" w:eastAsia="Times New Roman" w:hAnsi="Gadugi" w:cs="Calibri"/>
                <w:color w:val="000000"/>
                <w:sz w:val="14"/>
                <w:szCs w:val="14"/>
              </w:rPr>
              <w:br/>
              <w:t>Armazenamento - Compatibilidade: SSD M.2 NVMe totalmente compatível com a placa-mãe deste kit.</w:t>
            </w:r>
            <w:r w:rsidRPr="005B62C0">
              <w:rPr>
                <w:rFonts w:ascii="Gadugi" w:eastAsia="Times New Roman" w:hAnsi="Gadugi" w:cs="Calibri"/>
                <w:color w:val="000000"/>
                <w:sz w:val="14"/>
                <w:szCs w:val="14"/>
              </w:rPr>
              <w:br/>
              <w:t>Fonte de alimentação - Alimentação da placa-mãe - Principal: 24 (20+4) pinos.</w:t>
            </w:r>
            <w:r w:rsidRPr="005B62C0">
              <w:rPr>
                <w:rFonts w:ascii="Gadugi" w:eastAsia="Times New Roman" w:hAnsi="Gadugi" w:cs="Calibri"/>
                <w:color w:val="000000"/>
                <w:sz w:val="14"/>
                <w:szCs w:val="14"/>
              </w:rPr>
              <w:br/>
              <w:t>Fonte de alimentação - Alimentação da placa-mãe - ATX 12 V: 8 (4+4) pinos.</w:t>
            </w:r>
            <w:r w:rsidRPr="005B62C0">
              <w:rPr>
                <w:rFonts w:ascii="Gadugi" w:eastAsia="Times New Roman" w:hAnsi="Gadugi" w:cs="Calibri"/>
                <w:color w:val="000000"/>
                <w:sz w:val="14"/>
                <w:szCs w:val="14"/>
              </w:rPr>
              <w:br/>
              <w:t>Fonte de alimentação - Alimentação da placa de vídeo  PCIE: 8 (6+2) pinos (um conector PCIE, no mínimo).</w:t>
            </w:r>
            <w:r w:rsidRPr="005B62C0">
              <w:rPr>
                <w:rFonts w:ascii="Gadugi" w:eastAsia="Times New Roman" w:hAnsi="Gadugi" w:cs="Calibri"/>
                <w:color w:val="000000"/>
                <w:sz w:val="14"/>
                <w:szCs w:val="14"/>
              </w:rPr>
              <w:br/>
              <w:t>Fonte de alimentação - Alimentação para dispositivos SATA: 3 conectores (no mínimo).</w:t>
            </w:r>
            <w:r w:rsidRPr="005B62C0">
              <w:rPr>
                <w:rFonts w:ascii="Gadugi" w:eastAsia="Times New Roman" w:hAnsi="Gadugi" w:cs="Calibri"/>
                <w:color w:val="000000"/>
                <w:sz w:val="14"/>
                <w:szCs w:val="14"/>
              </w:rPr>
              <w:br/>
              <w:t>Fonte de alimentação - Resfriamento: Ativo, por ar (cooler).</w:t>
            </w:r>
            <w:r w:rsidRPr="005B62C0">
              <w:rPr>
                <w:rFonts w:ascii="Gadugi" w:eastAsia="Times New Roman" w:hAnsi="Gadugi" w:cs="Calibri"/>
                <w:color w:val="000000"/>
                <w:sz w:val="14"/>
                <w:szCs w:val="14"/>
              </w:rPr>
              <w:br/>
              <w:t>Fonte de alimentação - Potência de saída: 850 Watts (ou superior).</w:t>
            </w:r>
            <w:r w:rsidRPr="005B62C0">
              <w:rPr>
                <w:rFonts w:ascii="Gadugi" w:eastAsia="Times New Roman" w:hAnsi="Gadugi" w:cs="Calibri"/>
                <w:color w:val="000000"/>
                <w:sz w:val="14"/>
                <w:szCs w:val="14"/>
              </w:rPr>
              <w:br/>
              <w:t>Fonte de alimentação - Tipo: Compatível com computadores de mesa (desktop).</w:t>
            </w:r>
            <w:r w:rsidRPr="005B62C0">
              <w:rPr>
                <w:rFonts w:ascii="Gadugi" w:eastAsia="Times New Roman" w:hAnsi="Gadugi" w:cs="Calibri"/>
                <w:color w:val="000000"/>
                <w:sz w:val="14"/>
                <w:szCs w:val="14"/>
              </w:rPr>
              <w:br/>
              <w:t>Fonte de alimentação - Tensão de entrada: Bivolt.</w:t>
            </w:r>
            <w:r w:rsidRPr="005B62C0">
              <w:rPr>
                <w:rFonts w:ascii="Gadugi" w:eastAsia="Times New Roman" w:hAnsi="Gadugi" w:cs="Calibri"/>
                <w:color w:val="000000"/>
                <w:sz w:val="14"/>
                <w:szCs w:val="14"/>
              </w:rPr>
              <w:br/>
              <w:t>Fonte de alimentação - Certificação: 80 Plus (Gold, Platinum ou Titanium).</w:t>
            </w:r>
            <w:r w:rsidRPr="005B62C0">
              <w:rPr>
                <w:rFonts w:ascii="Gadugi" w:eastAsia="Times New Roman" w:hAnsi="Gadugi" w:cs="Calibri"/>
                <w:color w:val="000000"/>
                <w:sz w:val="14"/>
                <w:szCs w:val="14"/>
              </w:rPr>
              <w:br/>
              <w:t>Fonte de alimentação - Cabo de força: Plugue padrão ABNT NBR 14136.</w:t>
            </w:r>
            <w:r w:rsidRPr="005B62C0">
              <w:rPr>
                <w:rFonts w:ascii="Gadugi" w:eastAsia="Times New Roman" w:hAnsi="Gadugi" w:cs="Calibri"/>
                <w:color w:val="000000"/>
                <w:sz w:val="14"/>
                <w:szCs w:val="14"/>
              </w:rPr>
              <w:br/>
              <w:t>Gabinete para computador - Espaço interno: Suporte para fixação de placas-mãe padrão ATX e padrão Micro ATX (mATX).</w:t>
            </w:r>
            <w:r w:rsidRPr="005B62C0">
              <w:rPr>
                <w:rFonts w:ascii="Gadugi" w:eastAsia="Times New Roman" w:hAnsi="Gadugi" w:cs="Calibri"/>
                <w:color w:val="000000"/>
                <w:sz w:val="14"/>
                <w:szCs w:val="14"/>
              </w:rPr>
              <w:br/>
              <w:t>Gabinete para computador - Espaço interno: Suporte para fixação de (no mínimo) 2 dispositivos de armazenamento padrão (form factory) 3,5 polegadas.</w:t>
            </w:r>
            <w:r w:rsidRPr="005B62C0">
              <w:rPr>
                <w:rFonts w:ascii="Gadugi" w:eastAsia="Times New Roman" w:hAnsi="Gadugi" w:cs="Calibri"/>
                <w:color w:val="000000"/>
                <w:sz w:val="14"/>
                <w:szCs w:val="14"/>
              </w:rPr>
              <w:br/>
              <w:t>Gabinete para computador - Espaço interno: Suporte para fixação de (no mínimo) 1 dispositivo de armazenamento padrão (form factory) 2,5 polegadas.</w:t>
            </w:r>
            <w:r w:rsidRPr="005B62C0">
              <w:rPr>
                <w:rFonts w:ascii="Gadugi" w:eastAsia="Times New Roman" w:hAnsi="Gadugi" w:cs="Calibri"/>
                <w:color w:val="000000"/>
                <w:sz w:val="14"/>
                <w:szCs w:val="14"/>
              </w:rPr>
              <w:br/>
              <w:t>Gabinete para computador - Espaço interno: Suporte para fixação de (no mínimo) 1 leitor/gravador de discos ópticos (com acesso  baia frontal).</w:t>
            </w:r>
            <w:r w:rsidRPr="005B62C0">
              <w:rPr>
                <w:rFonts w:ascii="Gadugi" w:eastAsia="Times New Roman" w:hAnsi="Gadugi" w:cs="Calibri"/>
                <w:color w:val="000000"/>
                <w:sz w:val="14"/>
                <w:szCs w:val="14"/>
              </w:rPr>
              <w:br/>
              <w:t>Gabinete para computador - Área traseira: Suporte para encaixe de (no mínimo) 3 dispositivos PCI ou PCI Express.</w:t>
            </w:r>
            <w:r w:rsidRPr="005B62C0">
              <w:rPr>
                <w:rFonts w:ascii="Gadugi" w:eastAsia="Times New Roman" w:hAnsi="Gadugi" w:cs="Calibri"/>
                <w:color w:val="000000"/>
                <w:sz w:val="14"/>
                <w:szCs w:val="14"/>
              </w:rPr>
              <w:br/>
              <w:t>Gabinete para computador - Área traseira: Suporte para encaixe de fonte de alimentação padrão ATX.</w:t>
            </w:r>
            <w:r w:rsidRPr="005B62C0">
              <w:rPr>
                <w:rFonts w:ascii="Gadugi" w:eastAsia="Times New Roman" w:hAnsi="Gadugi" w:cs="Calibri"/>
                <w:color w:val="000000"/>
                <w:sz w:val="14"/>
                <w:szCs w:val="14"/>
              </w:rPr>
              <w:br/>
              <w:t>Gabinete para computador - Área frontal: Botão liga/desliga, com fiação para conectar  placa-mãe (Power SW).</w:t>
            </w:r>
            <w:r w:rsidRPr="005B62C0">
              <w:rPr>
                <w:rFonts w:ascii="Gadugi" w:eastAsia="Times New Roman" w:hAnsi="Gadugi" w:cs="Calibri"/>
                <w:color w:val="000000"/>
                <w:sz w:val="14"/>
                <w:szCs w:val="14"/>
              </w:rPr>
              <w:br/>
              <w:t>Gabinete para computador - Área frontal: Botão reset, com fiação para conectar  placa-mãe (Reset SW).</w:t>
            </w:r>
            <w:r w:rsidRPr="005B62C0">
              <w:rPr>
                <w:rFonts w:ascii="Gadugi" w:eastAsia="Times New Roman" w:hAnsi="Gadugi" w:cs="Calibri"/>
                <w:color w:val="000000"/>
                <w:sz w:val="14"/>
                <w:szCs w:val="14"/>
              </w:rPr>
              <w:br/>
              <w:t>Gabinete para computador - Área frontal: Conector para microfone, conector para fone de ouvido e (no mínimo) 2 conectores USB, com fiação para conectarem-se  placa-mãe.</w:t>
            </w:r>
            <w:r w:rsidRPr="005B62C0">
              <w:rPr>
                <w:rFonts w:ascii="Gadugi" w:eastAsia="Times New Roman" w:hAnsi="Gadugi" w:cs="Calibri"/>
                <w:color w:val="000000"/>
                <w:sz w:val="14"/>
                <w:szCs w:val="14"/>
              </w:rPr>
              <w:br/>
              <w:t>Gabinete para computador - Área frontal: LED para indicar placa-mãe ligada (Power LED) e LED para indicar acesso aos dispositivos de armazenamento (HDD LED).</w:t>
            </w:r>
            <w:r w:rsidRPr="005B62C0">
              <w:rPr>
                <w:rFonts w:ascii="Gadugi" w:eastAsia="Times New Roman" w:hAnsi="Gadugi" w:cs="Calibri"/>
                <w:color w:val="000000"/>
                <w:sz w:val="14"/>
                <w:szCs w:val="14"/>
              </w:rPr>
              <w:br/>
              <w:t>Sistema operacional: Windows 11 Pro (64-bits) original (com chave de ativação ou licença digital). Não pode ser pré-instalado. Licença vitalícia.</w:t>
            </w:r>
            <w:r w:rsidRPr="005B62C0">
              <w:rPr>
                <w:rFonts w:ascii="Gadugi" w:eastAsia="Times New Roman" w:hAnsi="Gadugi" w:cs="Calibri"/>
                <w:color w:val="000000"/>
                <w:sz w:val="14"/>
                <w:szCs w:val="14"/>
              </w:rPr>
              <w:br/>
              <w:t>Demais itens inclusos: Espelho traseiro (do respectivo modelo da placa-mãe, para fixação no gabinete). Bateria CR2032. Cooler e dissipador térmico para o processador, totalmente compatíveis com o processador e a placa-mãe deste kit. Drivers da placa-mãe, compatíveis com sistemas operacionais Windows 11 (64 bits). Cabo de força (plugue padrão ABNT NBR 14136).</w:t>
            </w:r>
            <w:r w:rsidRPr="005B62C0">
              <w:rPr>
                <w:rFonts w:ascii="Gadugi" w:eastAsia="Times New Roman" w:hAnsi="Gadugi" w:cs="Calibri"/>
                <w:color w:val="000000"/>
                <w:sz w:val="14"/>
                <w:szCs w:val="14"/>
              </w:rPr>
              <w:br/>
              <w:t>Observações: Itens novos, perfeitamente funcionais. Todos os itens montados no gabinete. Computador completamente funcional. Itens com seus manuais de uso e suas respectivas caixas.</w:t>
            </w:r>
            <w:r w:rsidRPr="005B62C0">
              <w:rPr>
                <w:rFonts w:ascii="Gadugi" w:eastAsia="Times New Roman" w:hAnsi="Gadugi" w:cs="Calibri"/>
                <w:color w:val="000000"/>
                <w:sz w:val="14"/>
                <w:szCs w:val="14"/>
              </w:rPr>
              <w:br/>
              <w:t>--&gt;&gt; Algumas opções que atendem os requisitos:</w:t>
            </w:r>
            <w:r w:rsidRPr="005B62C0">
              <w:rPr>
                <w:rFonts w:ascii="Gadugi" w:eastAsia="Times New Roman" w:hAnsi="Gadugi" w:cs="Calibri"/>
                <w:color w:val="000000"/>
                <w:sz w:val="14"/>
                <w:szCs w:val="14"/>
              </w:rPr>
              <w:br/>
              <w:t>* Intel Core i9 14900KF (R$ 3.300,00) + Asus Prime Z790-A WIFI (R$ 2.000,00) ... ou ...</w:t>
            </w:r>
            <w:r w:rsidRPr="005B62C0">
              <w:rPr>
                <w:rFonts w:ascii="Gadugi" w:eastAsia="Times New Roman" w:hAnsi="Gadugi" w:cs="Calibri"/>
                <w:color w:val="000000"/>
                <w:sz w:val="14"/>
                <w:szCs w:val="14"/>
              </w:rPr>
              <w:br/>
              <w:t>* AMD Ryzen 9 7950X (R$ 4.000,00) + MSI MEG X670E ACE (R$ 2.500,00)</w:t>
            </w:r>
            <w:r w:rsidRPr="005B62C0">
              <w:rPr>
                <w:rFonts w:ascii="Gadugi" w:eastAsia="Times New Roman" w:hAnsi="Gadugi" w:cs="Calibri"/>
                <w:color w:val="000000"/>
                <w:sz w:val="14"/>
                <w:szCs w:val="14"/>
              </w:rPr>
              <w:br/>
              <w:t>* PCYes RTX 2060 Nvidia geForce GEF 6GB (R$ 2.000,00)</w:t>
            </w:r>
            <w:r w:rsidRPr="005B62C0">
              <w:rPr>
                <w:rFonts w:ascii="Gadugi" w:eastAsia="Times New Roman" w:hAnsi="Gadugi" w:cs="Calibri"/>
                <w:color w:val="000000"/>
                <w:sz w:val="14"/>
                <w:szCs w:val="14"/>
              </w:rPr>
              <w:br/>
              <w:t>* SSD Kingston Fury Renagade 2TB  M.2 2280 (7300MB/7000MB) (R$1.4500,00) ... ou ...</w:t>
            </w:r>
            <w:r w:rsidRPr="005B62C0">
              <w:rPr>
                <w:rFonts w:ascii="Gadugi" w:eastAsia="Times New Roman" w:hAnsi="Gadugi" w:cs="Calibri"/>
                <w:color w:val="000000"/>
                <w:sz w:val="14"/>
                <w:szCs w:val="14"/>
              </w:rPr>
              <w:br/>
              <w:t>* SSD Adata Legend 860 2TB  M.2 2280 (6000MB/5000MB) (R$ 1.000,00)</w:t>
            </w:r>
            <w:r w:rsidRPr="005B62C0">
              <w:rPr>
                <w:rFonts w:ascii="Gadugi" w:eastAsia="Times New Roman" w:hAnsi="Gadugi" w:cs="Calibri"/>
                <w:color w:val="000000"/>
                <w:sz w:val="14"/>
                <w:szCs w:val="14"/>
              </w:rPr>
              <w:br/>
              <w:t>* Memoria RAM DDR5  Kingston Fury CL40 (R$ 700,00)</w:t>
            </w:r>
            <w:r w:rsidRPr="005B62C0">
              <w:rPr>
                <w:rFonts w:ascii="Gadugi" w:eastAsia="Times New Roman" w:hAnsi="Gadugi" w:cs="Calibri"/>
                <w:color w:val="000000"/>
                <w:sz w:val="14"/>
                <w:szCs w:val="14"/>
              </w:rPr>
              <w:br/>
              <w:t>* Fonte Pichau Cluster 850W, PCIe 5.0, Full Modular, Cybenetics Gold, Preto, PG-CL850-BK01 (R$ 560,00)</w:t>
            </w:r>
            <w:r w:rsidRPr="005B62C0">
              <w:rPr>
                <w:rFonts w:ascii="Gadugi" w:eastAsia="Times New Roman" w:hAnsi="Gadugi" w:cs="Calibri"/>
                <w:color w:val="000000"/>
                <w:sz w:val="14"/>
                <w:szCs w:val="14"/>
              </w:rPr>
              <w:br/>
              <w:t>* Gabinete Gamer Rise Mode Galaxy Glass, Mid Tower  RM-GA-GG-FB (R$ 440,00)</w:t>
            </w:r>
            <w:r w:rsidRPr="005B62C0">
              <w:rPr>
                <w:rFonts w:ascii="Gadugi" w:eastAsia="Times New Roman" w:hAnsi="Gadugi" w:cs="Calibri"/>
                <w:color w:val="000000"/>
                <w:sz w:val="14"/>
                <w:szCs w:val="14"/>
              </w:rPr>
              <w:br/>
              <w:t>* Licença perpétua Windows 11 Pro.</w:t>
            </w:r>
          </w:p>
        </w:tc>
        <w:tc>
          <w:tcPr>
            <w:tcW w:w="729" w:type="dxa"/>
            <w:tcBorders>
              <w:top w:val="nil"/>
              <w:left w:val="nil"/>
              <w:bottom w:val="single" w:sz="4" w:space="0" w:color="auto"/>
              <w:right w:val="single" w:sz="4" w:space="0" w:color="auto"/>
            </w:tcBorders>
            <w:shd w:val="clear" w:color="auto" w:fill="auto"/>
            <w:noWrap/>
            <w:vAlign w:val="center"/>
            <w:hideMark/>
          </w:tcPr>
          <w:p w14:paraId="5CBE6CBB"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05E2E5C"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w:t>
            </w:r>
          </w:p>
        </w:tc>
        <w:tc>
          <w:tcPr>
            <w:tcW w:w="918" w:type="dxa"/>
            <w:tcBorders>
              <w:top w:val="nil"/>
              <w:left w:val="nil"/>
              <w:bottom w:val="single" w:sz="4" w:space="0" w:color="auto"/>
              <w:right w:val="single" w:sz="4" w:space="0" w:color="auto"/>
            </w:tcBorders>
            <w:shd w:val="clear" w:color="auto" w:fill="auto"/>
            <w:noWrap/>
            <w:vAlign w:val="center"/>
          </w:tcPr>
          <w:p w14:paraId="08252C88" w14:textId="03A4B18F"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5C7DE9CF" w14:textId="77777777" w:rsidTr="00616743">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BD628C2"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7</w:t>
            </w:r>
          </w:p>
        </w:tc>
        <w:tc>
          <w:tcPr>
            <w:tcW w:w="6646" w:type="dxa"/>
            <w:tcBorders>
              <w:top w:val="nil"/>
              <w:left w:val="nil"/>
              <w:bottom w:val="single" w:sz="4" w:space="0" w:color="auto"/>
              <w:right w:val="single" w:sz="4" w:space="0" w:color="auto"/>
            </w:tcBorders>
            <w:shd w:val="clear" w:color="auto" w:fill="auto"/>
            <w:noWrap/>
            <w:vAlign w:val="center"/>
            <w:hideMark/>
          </w:tcPr>
          <w:p w14:paraId="31E648DC"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COMPUTADOR COMPLETO BASICO Computador básico</w:t>
            </w:r>
            <w:r w:rsidRPr="005B62C0">
              <w:rPr>
                <w:rFonts w:ascii="Gadugi" w:eastAsia="Times New Roman" w:hAnsi="Gadugi" w:cs="Calibri"/>
                <w:color w:val="000000"/>
                <w:sz w:val="14"/>
                <w:szCs w:val="14"/>
              </w:rPr>
              <w:br/>
              <w:t>Processador - Plataforma/Segmento: Desktop.</w:t>
            </w:r>
            <w:r w:rsidRPr="005B62C0">
              <w:rPr>
                <w:rFonts w:ascii="Gadugi" w:eastAsia="Times New Roman" w:hAnsi="Gadugi" w:cs="Calibri"/>
                <w:color w:val="000000"/>
                <w:sz w:val="14"/>
                <w:szCs w:val="14"/>
              </w:rPr>
              <w:br/>
              <w:t>Processador - Arquitetura: X86-64.</w:t>
            </w:r>
            <w:r w:rsidRPr="005B62C0">
              <w:rPr>
                <w:rFonts w:ascii="Gadugi" w:eastAsia="Times New Roman" w:hAnsi="Gadugi" w:cs="Calibri"/>
                <w:color w:val="000000"/>
                <w:sz w:val="14"/>
                <w:szCs w:val="14"/>
              </w:rPr>
              <w:br/>
              <w:t>Processador - Frequência base: 2,0 GHz (no mínimo, sem necessidade de overclock via software, overclock via hardware, Thermal Velocity Boost, Turbo Max Core Speed, Max Turbo, Turbo Boost, Precision Boost para alcançar tal frequência).</w:t>
            </w:r>
            <w:r w:rsidRPr="005B62C0">
              <w:rPr>
                <w:rFonts w:ascii="Gadugi" w:eastAsia="Times New Roman" w:hAnsi="Gadugi" w:cs="Calibri"/>
                <w:color w:val="000000"/>
                <w:sz w:val="14"/>
                <w:szCs w:val="14"/>
              </w:rPr>
              <w:br/>
              <w:t>Processador - Frequência turbo: 3,5 GHz (ou superior).</w:t>
            </w:r>
            <w:r w:rsidRPr="005B62C0">
              <w:rPr>
                <w:rFonts w:ascii="Gadugi" w:eastAsia="Times New Roman" w:hAnsi="Gadugi" w:cs="Calibri"/>
                <w:color w:val="000000"/>
                <w:sz w:val="14"/>
                <w:szCs w:val="14"/>
              </w:rPr>
              <w:br/>
              <w:t>Processador - Núcleos físicos: 4 cores (no mínimo).</w:t>
            </w:r>
            <w:r w:rsidRPr="005B62C0">
              <w:rPr>
                <w:rFonts w:ascii="Gadugi" w:eastAsia="Times New Roman" w:hAnsi="Gadugi" w:cs="Calibri"/>
                <w:color w:val="000000"/>
                <w:sz w:val="14"/>
                <w:szCs w:val="14"/>
              </w:rPr>
              <w:br/>
              <w:t>Processador - Núcleos lógicos: 8 threads (no mínimo).</w:t>
            </w:r>
            <w:r w:rsidRPr="005B62C0">
              <w:rPr>
                <w:rFonts w:ascii="Gadugi" w:eastAsia="Times New Roman" w:hAnsi="Gadugi" w:cs="Calibri"/>
                <w:color w:val="000000"/>
                <w:sz w:val="14"/>
                <w:szCs w:val="14"/>
              </w:rPr>
              <w:br/>
              <w:t>Processador - Memória cache: 8 MB (no mínimo).</w:t>
            </w:r>
            <w:r w:rsidRPr="005B62C0">
              <w:rPr>
                <w:rFonts w:ascii="Gadugi" w:eastAsia="Times New Roman" w:hAnsi="Gadugi" w:cs="Calibri"/>
                <w:color w:val="000000"/>
                <w:sz w:val="14"/>
                <w:szCs w:val="14"/>
              </w:rPr>
              <w:br/>
              <w:t>Processador - Vídeo: Processamento gráfico integrado (evitando a necessidade de placas de vídeo offboard para exibição de imagens).</w:t>
            </w:r>
            <w:r w:rsidRPr="005B62C0">
              <w:rPr>
                <w:rFonts w:ascii="Gadugi" w:eastAsia="Times New Roman" w:hAnsi="Gadugi" w:cs="Calibri"/>
                <w:color w:val="000000"/>
                <w:sz w:val="14"/>
                <w:szCs w:val="14"/>
              </w:rPr>
              <w:br/>
              <w:t>Placa-mãe - Compatibilidade: Totalmente compatível com o processador deste kit (comprovado através de lista de processadores suportados no site oficial da marca e modelo da placa-mãe).</w:t>
            </w:r>
            <w:r w:rsidRPr="005B62C0">
              <w:rPr>
                <w:rFonts w:ascii="Gadugi" w:eastAsia="Times New Roman" w:hAnsi="Gadugi" w:cs="Calibri"/>
                <w:color w:val="000000"/>
                <w:sz w:val="14"/>
                <w:szCs w:val="14"/>
              </w:rPr>
              <w:br/>
              <w:t>Placa-mãe - Tamanho: Padrão Micro ATX (mATX).</w:t>
            </w:r>
            <w:r w:rsidRPr="005B62C0">
              <w:rPr>
                <w:rFonts w:ascii="Gadugi" w:eastAsia="Times New Roman" w:hAnsi="Gadugi" w:cs="Calibri"/>
                <w:color w:val="000000"/>
                <w:sz w:val="14"/>
                <w:szCs w:val="14"/>
              </w:rPr>
              <w:br/>
              <w:t>Placa-mãe - LAN: Integrada.</w:t>
            </w:r>
            <w:r w:rsidRPr="005B62C0">
              <w:rPr>
                <w:rFonts w:ascii="Gadugi" w:eastAsia="Times New Roman" w:hAnsi="Gadugi" w:cs="Calibri"/>
                <w:color w:val="000000"/>
                <w:sz w:val="14"/>
                <w:szCs w:val="14"/>
              </w:rPr>
              <w:br/>
              <w:t>Placa-mãe - Gráficos: Saída de vídeo onboard integrada (evitando a necessidade de placas de vídeo offboard para exibição de imagens).</w:t>
            </w:r>
            <w:r w:rsidRPr="005B62C0">
              <w:rPr>
                <w:rFonts w:ascii="Gadugi" w:eastAsia="Times New Roman" w:hAnsi="Gadugi" w:cs="Calibri"/>
                <w:color w:val="000000"/>
                <w:sz w:val="14"/>
                <w:szCs w:val="14"/>
              </w:rPr>
              <w:br/>
              <w:t>Placa-mãe - Som: Placa de som onboard integrada  placa-mãe.</w:t>
            </w:r>
            <w:r w:rsidRPr="005B62C0">
              <w:rPr>
                <w:rFonts w:ascii="Gadugi" w:eastAsia="Times New Roman" w:hAnsi="Gadugi" w:cs="Calibri"/>
                <w:color w:val="000000"/>
                <w:sz w:val="14"/>
                <w:szCs w:val="14"/>
              </w:rPr>
              <w:br/>
              <w:t>Placa-mãe - Memória RAM capacidade total: 32 GB (ou superior).</w:t>
            </w:r>
            <w:r w:rsidRPr="005B62C0">
              <w:rPr>
                <w:rFonts w:ascii="Gadugi" w:eastAsia="Times New Roman" w:hAnsi="Gadugi" w:cs="Calibri"/>
                <w:color w:val="000000"/>
                <w:sz w:val="14"/>
                <w:szCs w:val="14"/>
              </w:rPr>
              <w:br/>
              <w:t>Placa-mãe - Memória RAM frequência suportada: 3800 MHz (ou superior).</w:t>
            </w:r>
            <w:r w:rsidRPr="005B62C0">
              <w:rPr>
                <w:rFonts w:ascii="Gadugi" w:eastAsia="Times New Roman" w:hAnsi="Gadugi" w:cs="Calibri"/>
                <w:color w:val="000000"/>
                <w:sz w:val="14"/>
                <w:szCs w:val="14"/>
              </w:rPr>
              <w:br/>
              <w:t>Placa-mãe - Memória RAM canais: Suporte para ligação de 2 (no mínimo) memórias RAM.</w:t>
            </w:r>
            <w:r w:rsidRPr="005B62C0">
              <w:rPr>
                <w:rFonts w:ascii="Gadugi" w:eastAsia="Times New Roman" w:hAnsi="Gadugi" w:cs="Calibri"/>
                <w:color w:val="000000"/>
                <w:sz w:val="14"/>
                <w:szCs w:val="14"/>
              </w:rPr>
              <w:br/>
              <w:t>Placa-mãe - Armazenamento: 2 conectores (no mínimo) interface SATA 3.</w:t>
            </w:r>
            <w:r w:rsidRPr="005B62C0">
              <w:rPr>
                <w:rFonts w:ascii="Gadugi" w:eastAsia="Times New Roman" w:hAnsi="Gadugi" w:cs="Calibri"/>
                <w:color w:val="000000"/>
                <w:sz w:val="14"/>
                <w:szCs w:val="14"/>
              </w:rPr>
              <w:br/>
              <w:t>Placa-mãe - Expansão PCI-Express: Um slot (no mínimo) PCI-E x1. Um slot (no mínimo) PCI-E x16.</w:t>
            </w:r>
            <w:r w:rsidRPr="005B62C0">
              <w:rPr>
                <w:rFonts w:ascii="Gadugi" w:eastAsia="Times New Roman" w:hAnsi="Gadugi" w:cs="Calibri"/>
                <w:color w:val="000000"/>
                <w:sz w:val="14"/>
                <w:szCs w:val="14"/>
              </w:rPr>
              <w:br/>
              <w:t>Placa-mãe - Conexões externas presentes na placa-mãe: Uma porta (no mínimo) RJ45. Quatro portas (no mínimo) USB (sendo, no mínimo, duas destas no padrão USB 3). Uma porta VGA. Uma porta HDMI. Uma saída de áudio (no mínimo)  3,5 mm. Uma entrada (no mínimo) para microfone  3,5 mm.</w:t>
            </w:r>
            <w:r w:rsidRPr="005B62C0">
              <w:rPr>
                <w:rFonts w:ascii="Gadugi" w:eastAsia="Times New Roman" w:hAnsi="Gadugi" w:cs="Calibri"/>
                <w:color w:val="000000"/>
                <w:sz w:val="14"/>
                <w:szCs w:val="14"/>
              </w:rPr>
              <w:br/>
              <w:t>Memória RAM - Instalada: 8 GB (no mínimo).</w:t>
            </w:r>
            <w:r w:rsidRPr="005B62C0">
              <w:rPr>
                <w:rFonts w:ascii="Gadugi" w:eastAsia="Times New Roman" w:hAnsi="Gadugi" w:cs="Calibri"/>
                <w:color w:val="000000"/>
                <w:sz w:val="14"/>
                <w:szCs w:val="14"/>
              </w:rPr>
              <w:br/>
              <w:t>Memória RAM - Frequência: 4800 MHz (ou superior).</w:t>
            </w:r>
            <w:r w:rsidRPr="005B62C0">
              <w:rPr>
                <w:rFonts w:ascii="Gadugi" w:eastAsia="Times New Roman" w:hAnsi="Gadugi" w:cs="Calibri"/>
                <w:color w:val="000000"/>
                <w:sz w:val="14"/>
                <w:szCs w:val="14"/>
              </w:rPr>
              <w:br/>
              <w:t>Memória RAM - Compatibilidade: Memória RAM totalmente compatível com o processador e placa-mãe deste kit.</w:t>
            </w:r>
            <w:r w:rsidRPr="005B62C0">
              <w:rPr>
                <w:rFonts w:ascii="Gadugi" w:eastAsia="Times New Roman" w:hAnsi="Gadugi" w:cs="Calibri"/>
                <w:color w:val="000000"/>
                <w:sz w:val="14"/>
                <w:szCs w:val="14"/>
              </w:rPr>
              <w:br/>
              <w:t>Armazenamento  Capacidade de armazenamento: 480 GB (ou superior).</w:t>
            </w:r>
            <w:r w:rsidRPr="005B62C0">
              <w:rPr>
                <w:rFonts w:ascii="Gadugi" w:eastAsia="Times New Roman" w:hAnsi="Gadugi" w:cs="Calibri"/>
                <w:color w:val="000000"/>
                <w:sz w:val="14"/>
                <w:szCs w:val="14"/>
              </w:rPr>
              <w:br/>
              <w:t>Armazenamento - Especificação: Unidade de estado sólido (SSD).</w:t>
            </w:r>
            <w:r w:rsidRPr="005B62C0">
              <w:rPr>
                <w:rFonts w:ascii="Gadugi" w:eastAsia="Times New Roman" w:hAnsi="Gadugi" w:cs="Calibri"/>
                <w:color w:val="000000"/>
                <w:sz w:val="14"/>
                <w:szCs w:val="14"/>
              </w:rPr>
              <w:br/>
              <w:t>Armazenamento - Velocidade de leitura de dados: 3500 MB/s (ou superior).</w:t>
            </w:r>
            <w:r w:rsidRPr="005B62C0">
              <w:rPr>
                <w:rFonts w:ascii="Gadugi" w:eastAsia="Times New Roman" w:hAnsi="Gadugi" w:cs="Calibri"/>
                <w:color w:val="000000"/>
                <w:sz w:val="14"/>
                <w:szCs w:val="14"/>
              </w:rPr>
              <w:br/>
              <w:t>Armazenamento - Velocidade de gravação de dados: 3500 MB/s (ou superior).</w:t>
            </w:r>
            <w:r w:rsidRPr="005B62C0">
              <w:rPr>
                <w:rFonts w:ascii="Gadugi" w:eastAsia="Times New Roman" w:hAnsi="Gadugi" w:cs="Calibri"/>
                <w:color w:val="000000"/>
                <w:sz w:val="14"/>
                <w:szCs w:val="14"/>
              </w:rPr>
              <w:br/>
              <w:t>Armazenamento - Compatibilidade: SSD totalmente compatível com a placa-mãe deste kit.</w:t>
            </w:r>
            <w:r w:rsidRPr="005B62C0">
              <w:rPr>
                <w:rFonts w:ascii="Gadugi" w:eastAsia="Times New Roman" w:hAnsi="Gadugi" w:cs="Calibri"/>
                <w:color w:val="000000"/>
                <w:sz w:val="14"/>
                <w:szCs w:val="14"/>
              </w:rPr>
              <w:br/>
              <w:t>Fonte de alimentação - Alimentação da placa-mãe - Principal: 24 (20+4) pinos.</w:t>
            </w:r>
            <w:r w:rsidRPr="005B62C0">
              <w:rPr>
                <w:rFonts w:ascii="Gadugi" w:eastAsia="Times New Roman" w:hAnsi="Gadugi" w:cs="Calibri"/>
                <w:color w:val="000000"/>
                <w:sz w:val="14"/>
                <w:szCs w:val="14"/>
              </w:rPr>
              <w:br/>
              <w:t>Fonte de alimentação - Alimentação da placa-mãe - ATX 12 V: 8 (4+4) pinos.</w:t>
            </w:r>
            <w:r w:rsidRPr="005B62C0">
              <w:rPr>
                <w:rFonts w:ascii="Gadugi" w:eastAsia="Times New Roman" w:hAnsi="Gadugi" w:cs="Calibri"/>
                <w:color w:val="000000"/>
                <w:sz w:val="14"/>
                <w:szCs w:val="14"/>
              </w:rPr>
              <w:br/>
              <w:t>Fonte de alimentação - Alimentação da placa de vídeo  PCIE: 8 (6+2) pinos (um conector PCIE, no mínimo).</w:t>
            </w:r>
            <w:r w:rsidRPr="005B62C0">
              <w:rPr>
                <w:rFonts w:ascii="Gadugi" w:eastAsia="Times New Roman" w:hAnsi="Gadugi" w:cs="Calibri"/>
                <w:color w:val="000000"/>
                <w:sz w:val="14"/>
                <w:szCs w:val="14"/>
              </w:rPr>
              <w:br/>
              <w:t>Fonte de alimentação - Alimentação para dispositivos SATA: 3 conectores (no mínimo).</w:t>
            </w:r>
            <w:r w:rsidRPr="005B62C0">
              <w:rPr>
                <w:rFonts w:ascii="Gadugi" w:eastAsia="Times New Roman" w:hAnsi="Gadugi" w:cs="Calibri"/>
                <w:color w:val="000000"/>
                <w:sz w:val="14"/>
                <w:szCs w:val="14"/>
              </w:rPr>
              <w:br/>
              <w:t>Fonte de alimentação - Resfriamento: Ativo, por ar (cooler).</w:t>
            </w:r>
            <w:r w:rsidRPr="005B62C0">
              <w:rPr>
                <w:rFonts w:ascii="Gadugi" w:eastAsia="Times New Roman" w:hAnsi="Gadugi" w:cs="Calibri"/>
                <w:color w:val="000000"/>
                <w:sz w:val="14"/>
                <w:szCs w:val="14"/>
              </w:rPr>
              <w:br/>
              <w:t>Fonte de alimentação - Potência de saída: 400 Watts (ou superior).</w:t>
            </w:r>
            <w:r w:rsidRPr="005B62C0">
              <w:rPr>
                <w:rFonts w:ascii="Gadugi" w:eastAsia="Times New Roman" w:hAnsi="Gadugi" w:cs="Calibri"/>
                <w:color w:val="000000"/>
                <w:sz w:val="14"/>
                <w:szCs w:val="14"/>
              </w:rPr>
              <w:br/>
              <w:t>Fonte de alimentação - Tipo: Compatível com computadores de mesa (desktop).</w:t>
            </w:r>
            <w:r w:rsidRPr="005B62C0">
              <w:rPr>
                <w:rFonts w:ascii="Gadugi" w:eastAsia="Times New Roman" w:hAnsi="Gadugi" w:cs="Calibri"/>
                <w:color w:val="000000"/>
                <w:sz w:val="14"/>
                <w:szCs w:val="14"/>
              </w:rPr>
              <w:br/>
              <w:t>Fonte de alimentação - Tensão de entrada: Bivolt.</w:t>
            </w:r>
            <w:r w:rsidRPr="005B62C0">
              <w:rPr>
                <w:rFonts w:ascii="Gadugi" w:eastAsia="Times New Roman" w:hAnsi="Gadugi" w:cs="Calibri"/>
                <w:color w:val="000000"/>
                <w:sz w:val="14"/>
                <w:szCs w:val="14"/>
              </w:rPr>
              <w:br/>
              <w:t>Fonte de alimentação - Cabo de força: Plugue padrão ABNT NBR 14136.</w:t>
            </w:r>
            <w:r w:rsidRPr="005B62C0">
              <w:rPr>
                <w:rFonts w:ascii="Gadugi" w:eastAsia="Times New Roman" w:hAnsi="Gadugi" w:cs="Calibri"/>
                <w:color w:val="000000"/>
                <w:sz w:val="14"/>
                <w:szCs w:val="14"/>
              </w:rPr>
              <w:br/>
              <w:t>Gabinete para computador - Espaço interno: Suporte para fixação de placas-mãe padrão ATX e padrão Micro ATX (mATX).</w:t>
            </w:r>
            <w:r w:rsidRPr="005B62C0">
              <w:rPr>
                <w:rFonts w:ascii="Gadugi" w:eastAsia="Times New Roman" w:hAnsi="Gadugi" w:cs="Calibri"/>
                <w:color w:val="000000"/>
                <w:sz w:val="14"/>
                <w:szCs w:val="14"/>
              </w:rPr>
              <w:br/>
              <w:t>Gabinete para computador - Espaço interno: Suporte para fixação de (no mínimo) 1 dispositivo de armazenamento padrão (form factory) 3,5 polegadas.</w:t>
            </w:r>
            <w:r w:rsidRPr="005B62C0">
              <w:rPr>
                <w:rFonts w:ascii="Gadugi" w:eastAsia="Times New Roman" w:hAnsi="Gadugi" w:cs="Calibri"/>
                <w:color w:val="000000"/>
                <w:sz w:val="14"/>
                <w:szCs w:val="14"/>
              </w:rPr>
              <w:br/>
              <w:t>Gabinete para computador - Espaço interno: Suporte para fixação de (no mínimo) 1 dispositivo de armazenamento padrão (form factory) 2,5 polegadas.</w:t>
            </w:r>
            <w:r w:rsidRPr="005B62C0">
              <w:rPr>
                <w:rFonts w:ascii="Gadugi" w:eastAsia="Times New Roman" w:hAnsi="Gadugi" w:cs="Calibri"/>
                <w:color w:val="000000"/>
                <w:sz w:val="14"/>
                <w:szCs w:val="14"/>
              </w:rPr>
              <w:br/>
              <w:t>Gabinete para computador - Espaço interno: Suporte para fixação de (no mínimo) 1 leitor/gravador de discos ópticos (com acesso  baia frontal).</w:t>
            </w:r>
            <w:r w:rsidRPr="005B62C0">
              <w:rPr>
                <w:rFonts w:ascii="Gadugi" w:eastAsia="Times New Roman" w:hAnsi="Gadugi" w:cs="Calibri"/>
                <w:color w:val="000000"/>
                <w:sz w:val="14"/>
                <w:szCs w:val="14"/>
              </w:rPr>
              <w:br/>
              <w:t>Gabinete para computador - Área traseira: Suporte para encaixe de (no mínimo) 2 dispositivos PCI ou PCI Express.</w:t>
            </w:r>
            <w:r w:rsidRPr="005B62C0">
              <w:rPr>
                <w:rFonts w:ascii="Gadugi" w:eastAsia="Times New Roman" w:hAnsi="Gadugi" w:cs="Calibri"/>
                <w:color w:val="000000"/>
                <w:sz w:val="14"/>
                <w:szCs w:val="14"/>
              </w:rPr>
              <w:br/>
              <w:t>Gabinete para computador - Área traseira: Suporte para encaixe de fonte de alimentação padrão ATX.</w:t>
            </w:r>
            <w:r w:rsidRPr="005B62C0">
              <w:rPr>
                <w:rFonts w:ascii="Gadugi" w:eastAsia="Times New Roman" w:hAnsi="Gadugi" w:cs="Calibri"/>
                <w:color w:val="000000"/>
                <w:sz w:val="14"/>
                <w:szCs w:val="14"/>
              </w:rPr>
              <w:br/>
              <w:t>Gabinete para computador - Área frontal: Botão liga/desliga, com fiação para conectar  placa-mãe (Power SW).</w:t>
            </w:r>
            <w:r w:rsidRPr="005B62C0">
              <w:rPr>
                <w:rFonts w:ascii="Gadugi" w:eastAsia="Times New Roman" w:hAnsi="Gadugi" w:cs="Calibri"/>
                <w:color w:val="000000"/>
                <w:sz w:val="14"/>
                <w:szCs w:val="14"/>
              </w:rPr>
              <w:br/>
              <w:t>Gabinete para computador - Área frontal: Botão reset, com fiação para conectar  placa-mãe (Reset SW).</w:t>
            </w:r>
            <w:r w:rsidRPr="005B62C0">
              <w:rPr>
                <w:rFonts w:ascii="Gadugi" w:eastAsia="Times New Roman" w:hAnsi="Gadugi" w:cs="Calibri"/>
                <w:color w:val="000000"/>
                <w:sz w:val="14"/>
                <w:szCs w:val="14"/>
              </w:rPr>
              <w:br/>
              <w:t>Gabinete para computador - Área frontal: Conector para microfone, conector para fone de ouvido e (no mínimo) 2 conectores USB, com fiação para conectarem-se  placa-mãe.</w:t>
            </w:r>
            <w:r w:rsidRPr="005B62C0">
              <w:rPr>
                <w:rFonts w:ascii="Gadugi" w:eastAsia="Times New Roman" w:hAnsi="Gadugi" w:cs="Calibri"/>
                <w:color w:val="000000"/>
                <w:sz w:val="14"/>
                <w:szCs w:val="14"/>
              </w:rPr>
              <w:br/>
              <w:t>Gabinete para computador - Área frontal: LED para indicar placa-mãe ligada (Power LED) e LED para indicar acesso aos dispositivos de armazenamento (HDD LED).</w:t>
            </w:r>
            <w:r w:rsidRPr="005B62C0">
              <w:rPr>
                <w:rFonts w:ascii="Gadugi" w:eastAsia="Times New Roman" w:hAnsi="Gadugi" w:cs="Calibri"/>
                <w:color w:val="000000"/>
                <w:sz w:val="14"/>
                <w:szCs w:val="14"/>
              </w:rPr>
              <w:br/>
              <w:t>Demais itens inclusos: Espelho traseiro (do respectivo modelo da placa-mãe, para fixação no gabinete). Bateria CR2032. Cooler e dissipador térmico totalmente compatíveis com o processador e a placa-mãe deste kit. Drivers da placa-mãe, compatíveis com os sistemas operacionais Windows 10 (64 bits) e Windows 11 (64 bits). Cabo de força (plugue padrão ABNT NBR 14136).</w:t>
            </w:r>
            <w:r w:rsidRPr="005B62C0">
              <w:rPr>
                <w:rFonts w:ascii="Gadugi" w:eastAsia="Times New Roman" w:hAnsi="Gadugi" w:cs="Calibri"/>
                <w:color w:val="000000"/>
                <w:sz w:val="14"/>
                <w:szCs w:val="14"/>
              </w:rPr>
              <w:br/>
              <w:t>Observações: Itens novos, perfeitamente funcionais, com seus manuais de uso e suas respectivas caixas.</w:t>
            </w:r>
            <w:r w:rsidRPr="005B62C0">
              <w:rPr>
                <w:rFonts w:ascii="Gadugi" w:eastAsia="Times New Roman" w:hAnsi="Gadugi" w:cs="Calibri"/>
                <w:color w:val="000000"/>
                <w:sz w:val="14"/>
                <w:szCs w:val="14"/>
              </w:rPr>
              <w:br/>
              <w:t>Algumas opções:</w:t>
            </w:r>
            <w:r w:rsidRPr="005B62C0">
              <w:rPr>
                <w:rFonts w:ascii="Gadugi" w:eastAsia="Times New Roman" w:hAnsi="Gadugi" w:cs="Calibri"/>
                <w:color w:val="000000"/>
                <w:sz w:val="14"/>
                <w:szCs w:val="14"/>
              </w:rPr>
              <w:br/>
              <w:t>Processador: Intel i3-12100</w:t>
            </w:r>
            <w:r w:rsidRPr="005B62C0">
              <w:rPr>
                <w:rFonts w:ascii="Gadugi" w:eastAsia="Times New Roman" w:hAnsi="Gadugi" w:cs="Calibri"/>
                <w:color w:val="000000"/>
                <w:sz w:val="14"/>
                <w:szCs w:val="14"/>
              </w:rPr>
              <w:br/>
              <w:t>Placa-mãe: Gigabyte B760M D2H</w:t>
            </w:r>
            <w:r w:rsidRPr="005B62C0">
              <w:rPr>
                <w:rFonts w:ascii="Gadugi" w:eastAsia="Times New Roman" w:hAnsi="Gadugi" w:cs="Calibri"/>
                <w:color w:val="000000"/>
                <w:sz w:val="14"/>
                <w:szCs w:val="14"/>
              </w:rPr>
              <w:br/>
              <w:t>Memória RAM: Kingston 4GB (2X)</w:t>
            </w:r>
            <w:r w:rsidRPr="005B62C0">
              <w:rPr>
                <w:rFonts w:ascii="Gadugi" w:eastAsia="Times New Roman" w:hAnsi="Gadugi" w:cs="Calibri"/>
                <w:color w:val="000000"/>
                <w:sz w:val="14"/>
                <w:szCs w:val="14"/>
              </w:rPr>
              <w:br/>
              <w:t>Fonte de alimentação: Mancer Thunder</w:t>
            </w:r>
            <w:r w:rsidRPr="005B62C0">
              <w:rPr>
                <w:rFonts w:ascii="Gadugi" w:eastAsia="Times New Roman" w:hAnsi="Gadugi" w:cs="Calibri"/>
                <w:color w:val="000000"/>
                <w:sz w:val="14"/>
                <w:szCs w:val="14"/>
              </w:rPr>
              <w:br/>
              <w:t>Armazenamento: SSD WD Green 480GB</w:t>
            </w:r>
          </w:p>
        </w:tc>
        <w:tc>
          <w:tcPr>
            <w:tcW w:w="729" w:type="dxa"/>
            <w:tcBorders>
              <w:top w:val="nil"/>
              <w:left w:val="nil"/>
              <w:bottom w:val="single" w:sz="4" w:space="0" w:color="auto"/>
              <w:right w:val="single" w:sz="4" w:space="0" w:color="auto"/>
            </w:tcBorders>
            <w:shd w:val="clear" w:color="auto" w:fill="auto"/>
            <w:noWrap/>
            <w:vAlign w:val="center"/>
            <w:hideMark/>
          </w:tcPr>
          <w:p w14:paraId="6A85E41B"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2D8CC4E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15</w:t>
            </w:r>
          </w:p>
        </w:tc>
        <w:tc>
          <w:tcPr>
            <w:tcW w:w="918" w:type="dxa"/>
            <w:tcBorders>
              <w:top w:val="nil"/>
              <w:left w:val="nil"/>
              <w:bottom w:val="single" w:sz="4" w:space="0" w:color="auto"/>
              <w:right w:val="single" w:sz="4" w:space="0" w:color="auto"/>
            </w:tcBorders>
            <w:shd w:val="clear" w:color="auto" w:fill="auto"/>
            <w:noWrap/>
            <w:vAlign w:val="center"/>
            <w:hideMark/>
          </w:tcPr>
          <w:p w14:paraId="0C6A1395" w14:textId="603C5ACB"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3B543B7F" w14:textId="77777777" w:rsidTr="00616743">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57F8A41"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8</w:t>
            </w:r>
          </w:p>
        </w:tc>
        <w:tc>
          <w:tcPr>
            <w:tcW w:w="6646" w:type="dxa"/>
            <w:tcBorders>
              <w:top w:val="nil"/>
              <w:left w:val="nil"/>
              <w:bottom w:val="single" w:sz="4" w:space="0" w:color="auto"/>
              <w:right w:val="single" w:sz="4" w:space="0" w:color="auto"/>
            </w:tcBorders>
            <w:shd w:val="clear" w:color="auto" w:fill="auto"/>
            <w:noWrap/>
            <w:vAlign w:val="center"/>
            <w:hideMark/>
          </w:tcPr>
          <w:p w14:paraId="68E7DA92"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COMPUTADOR COMPLETO INTERMEDIARIO Processador - Plataforma/Segmento: Desktop.</w:t>
            </w:r>
            <w:r w:rsidRPr="005B62C0">
              <w:rPr>
                <w:rFonts w:ascii="Gadugi" w:eastAsia="Times New Roman" w:hAnsi="Gadugi" w:cs="Calibri"/>
                <w:color w:val="000000"/>
                <w:sz w:val="14"/>
                <w:szCs w:val="14"/>
              </w:rPr>
              <w:br/>
              <w:t>Processador - Arquitetura: X86-64.</w:t>
            </w:r>
            <w:r w:rsidRPr="005B62C0">
              <w:rPr>
                <w:rFonts w:ascii="Gadugi" w:eastAsia="Times New Roman" w:hAnsi="Gadugi" w:cs="Calibri"/>
                <w:color w:val="000000"/>
                <w:sz w:val="14"/>
                <w:szCs w:val="14"/>
              </w:rPr>
              <w:br/>
              <w:t>Processador - Frequência base: 2,5 GHz (no mínimo, sem necessidade de overclock via software, overclock via hardware, Thermal Velocity Boost, Turbo Max Core Speed, Max Turbo, Turbo Boost, Precision Boost para alcançar tal frequência).</w:t>
            </w:r>
            <w:r w:rsidRPr="005B62C0">
              <w:rPr>
                <w:rFonts w:ascii="Gadugi" w:eastAsia="Times New Roman" w:hAnsi="Gadugi" w:cs="Calibri"/>
                <w:color w:val="000000"/>
                <w:sz w:val="14"/>
                <w:szCs w:val="14"/>
              </w:rPr>
              <w:br/>
              <w:t>Processador - Frequência turbo: 5 GHz (ou superior).</w:t>
            </w:r>
            <w:r w:rsidRPr="005B62C0">
              <w:rPr>
                <w:rFonts w:ascii="Gadugi" w:eastAsia="Times New Roman" w:hAnsi="Gadugi" w:cs="Calibri"/>
                <w:color w:val="000000"/>
                <w:sz w:val="14"/>
                <w:szCs w:val="14"/>
              </w:rPr>
              <w:br/>
              <w:t>Processador - Núcleos físicos: 8 cores (no mínimo).</w:t>
            </w:r>
            <w:r w:rsidRPr="005B62C0">
              <w:rPr>
                <w:rFonts w:ascii="Gadugi" w:eastAsia="Times New Roman" w:hAnsi="Gadugi" w:cs="Calibri"/>
                <w:color w:val="000000"/>
                <w:sz w:val="14"/>
                <w:szCs w:val="14"/>
              </w:rPr>
              <w:br/>
              <w:t>Processador - Núcleos lógicos: 16 threads (no mínimo).</w:t>
            </w:r>
            <w:r w:rsidRPr="005B62C0">
              <w:rPr>
                <w:rFonts w:ascii="Gadugi" w:eastAsia="Times New Roman" w:hAnsi="Gadugi" w:cs="Calibri"/>
                <w:color w:val="000000"/>
                <w:sz w:val="14"/>
                <w:szCs w:val="14"/>
              </w:rPr>
              <w:br/>
              <w:t>Processador - Memória cache: 16 MB (no mínimo).</w:t>
            </w:r>
            <w:r w:rsidRPr="005B62C0">
              <w:rPr>
                <w:rFonts w:ascii="Gadugi" w:eastAsia="Times New Roman" w:hAnsi="Gadugi" w:cs="Calibri"/>
                <w:color w:val="000000"/>
                <w:sz w:val="14"/>
                <w:szCs w:val="14"/>
              </w:rPr>
              <w:br/>
              <w:t>Processador - Litografia: 14 nanômetros (ou inferior).</w:t>
            </w:r>
            <w:r w:rsidRPr="005B62C0">
              <w:rPr>
                <w:rFonts w:ascii="Gadugi" w:eastAsia="Times New Roman" w:hAnsi="Gadugi" w:cs="Calibri"/>
                <w:color w:val="000000"/>
                <w:sz w:val="14"/>
                <w:szCs w:val="14"/>
              </w:rPr>
              <w:br/>
              <w:t>Processador - Vídeo: Processamento gráfico integrado (evitando a necessidade de placas de vídeo offboard para exibição de imagens).</w:t>
            </w:r>
            <w:r w:rsidRPr="005B62C0">
              <w:rPr>
                <w:rFonts w:ascii="Gadugi" w:eastAsia="Times New Roman" w:hAnsi="Gadugi" w:cs="Calibri"/>
                <w:color w:val="000000"/>
                <w:sz w:val="14"/>
                <w:szCs w:val="14"/>
              </w:rPr>
              <w:br/>
              <w:t>Placa-mãe - Compatibilidade: Totalmente compatível com o processador deste kit (comprovado através de lista de processadores suportados no site oficial da marca e modelo da placa-mãe).</w:t>
            </w:r>
            <w:r w:rsidRPr="005B62C0">
              <w:rPr>
                <w:rFonts w:ascii="Gadugi" w:eastAsia="Times New Roman" w:hAnsi="Gadugi" w:cs="Calibri"/>
                <w:color w:val="000000"/>
                <w:sz w:val="14"/>
                <w:szCs w:val="14"/>
              </w:rPr>
              <w:br/>
              <w:t>Placa-mãe - Tamanho: Padrão Micro ATX (mATX).</w:t>
            </w:r>
            <w:r w:rsidRPr="005B62C0">
              <w:rPr>
                <w:rFonts w:ascii="Gadugi" w:eastAsia="Times New Roman" w:hAnsi="Gadugi" w:cs="Calibri"/>
                <w:color w:val="000000"/>
                <w:sz w:val="14"/>
                <w:szCs w:val="14"/>
              </w:rPr>
              <w:br/>
              <w:t>Placa-mãe - LAN: Integrada.</w:t>
            </w:r>
            <w:r w:rsidRPr="005B62C0">
              <w:rPr>
                <w:rFonts w:ascii="Gadugi" w:eastAsia="Times New Roman" w:hAnsi="Gadugi" w:cs="Calibri"/>
                <w:color w:val="000000"/>
                <w:sz w:val="14"/>
                <w:szCs w:val="14"/>
              </w:rPr>
              <w:br/>
              <w:t>Placa-mãe - Gráficos: Saída de vídeo onboard integrada (evitando a necessidade de placas de vídeo offboard para exibição de imagens).</w:t>
            </w:r>
            <w:r w:rsidRPr="005B62C0">
              <w:rPr>
                <w:rFonts w:ascii="Gadugi" w:eastAsia="Times New Roman" w:hAnsi="Gadugi" w:cs="Calibri"/>
                <w:color w:val="000000"/>
                <w:sz w:val="14"/>
                <w:szCs w:val="14"/>
              </w:rPr>
              <w:br/>
              <w:t>Placa-mãe - Som: Placa de som onboard integrada  placa-mãe.</w:t>
            </w:r>
            <w:r w:rsidRPr="005B62C0">
              <w:rPr>
                <w:rFonts w:ascii="Gadugi" w:eastAsia="Times New Roman" w:hAnsi="Gadugi" w:cs="Calibri"/>
                <w:color w:val="000000"/>
                <w:sz w:val="14"/>
                <w:szCs w:val="14"/>
              </w:rPr>
              <w:br/>
              <w:t>Placa-mãe - Memória RAM suportada: Padrão DDR5.</w:t>
            </w:r>
            <w:r w:rsidRPr="005B62C0">
              <w:rPr>
                <w:rFonts w:ascii="Gadugi" w:eastAsia="Times New Roman" w:hAnsi="Gadugi" w:cs="Calibri"/>
                <w:color w:val="000000"/>
                <w:sz w:val="14"/>
                <w:szCs w:val="14"/>
              </w:rPr>
              <w:br/>
              <w:t>Placa-mãe - Memória RAM capacidade total: 64 GB (ou superior).</w:t>
            </w:r>
            <w:r w:rsidRPr="005B62C0">
              <w:rPr>
                <w:rFonts w:ascii="Gadugi" w:eastAsia="Times New Roman" w:hAnsi="Gadugi" w:cs="Calibri"/>
                <w:color w:val="000000"/>
                <w:sz w:val="14"/>
                <w:szCs w:val="14"/>
              </w:rPr>
              <w:br/>
              <w:t>Placa-mãe - Memória RAM frequência suportada: 4800 MHz (ou superior).</w:t>
            </w:r>
            <w:r w:rsidRPr="005B62C0">
              <w:rPr>
                <w:rFonts w:ascii="Gadugi" w:eastAsia="Times New Roman" w:hAnsi="Gadugi" w:cs="Calibri"/>
                <w:color w:val="000000"/>
                <w:sz w:val="14"/>
                <w:szCs w:val="14"/>
              </w:rPr>
              <w:br/>
              <w:t>Placa-mãe - Memória RAM canais: Suporte para ligação de 2 (no mínimo) memórias RAM.</w:t>
            </w:r>
            <w:r w:rsidRPr="005B62C0">
              <w:rPr>
                <w:rFonts w:ascii="Gadugi" w:eastAsia="Times New Roman" w:hAnsi="Gadugi" w:cs="Calibri"/>
                <w:color w:val="000000"/>
                <w:sz w:val="14"/>
                <w:szCs w:val="14"/>
              </w:rPr>
              <w:br/>
              <w:t>Placa-mãe - Armazenamento: 2 conectores (no mínimo) interface SATA 3.</w:t>
            </w:r>
            <w:r w:rsidRPr="005B62C0">
              <w:rPr>
                <w:rFonts w:ascii="Gadugi" w:eastAsia="Times New Roman" w:hAnsi="Gadugi" w:cs="Calibri"/>
                <w:color w:val="000000"/>
                <w:sz w:val="14"/>
                <w:szCs w:val="14"/>
              </w:rPr>
              <w:br/>
              <w:t>Placa-mãe  Armazenamento: 1 conector (no mínimo) interface SSD M.2 (PCIe 4.0 NVMe).</w:t>
            </w:r>
            <w:r w:rsidRPr="005B62C0">
              <w:rPr>
                <w:rFonts w:ascii="Gadugi" w:eastAsia="Times New Roman" w:hAnsi="Gadugi" w:cs="Calibri"/>
                <w:color w:val="000000"/>
                <w:sz w:val="14"/>
                <w:szCs w:val="14"/>
              </w:rPr>
              <w:br/>
              <w:t>Placa-mãe - Expansão PCI-Express: Um slot (no mínimo) PCI-E x1. Um slot (no mínimo) PCI-E x16.</w:t>
            </w:r>
            <w:r w:rsidRPr="005B62C0">
              <w:rPr>
                <w:rFonts w:ascii="Gadugi" w:eastAsia="Times New Roman" w:hAnsi="Gadugi" w:cs="Calibri"/>
                <w:color w:val="000000"/>
                <w:sz w:val="14"/>
                <w:szCs w:val="14"/>
              </w:rPr>
              <w:br/>
              <w:t>Placa-mãe - Conexões externas presentes na placa-mãe: Uma porta (no mínimo) RJ45 Gigabit. Quatro portas (no mínimo) USB (sendo, no mínimo, duas destas no padrão USB 3). Uma porta VGA. Uma porta HDMI. Uma saída de áudio (no mínimo)  3,5 mm. Uma entrada (no mínimo) para microfone  3,5 mm.</w:t>
            </w:r>
            <w:r w:rsidRPr="005B62C0">
              <w:rPr>
                <w:rFonts w:ascii="Gadugi" w:eastAsia="Times New Roman" w:hAnsi="Gadugi" w:cs="Calibri"/>
                <w:color w:val="000000"/>
                <w:sz w:val="14"/>
                <w:szCs w:val="14"/>
              </w:rPr>
              <w:br/>
              <w:t>Memória RAM - Instalada: 8 GB (no mínimo).</w:t>
            </w:r>
            <w:r w:rsidRPr="005B62C0">
              <w:rPr>
                <w:rFonts w:ascii="Gadugi" w:eastAsia="Times New Roman" w:hAnsi="Gadugi" w:cs="Calibri"/>
                <w:color w:val="000000"/>
                <w:sz w:val="14"/>
                <w:szCs w:val="14"/>
              </w:rPr>
              <w:br/>
              <w:t>Memória RAM - Padrão: DDR5.</w:t>
            </w:r>
            <w:r w:rsidRPr="005B62C0">
              <w:rPr>
                <w:rFonts w:ascii="Gadugi" w:eastAsia="Times New Roman" w:hAnsi="Gadugi" w:cs="Calibri"/>
                <w:color w:val="000000"/>
                <w:sz w:val="14"/>
                <w:szCs w:val="14"/>
              </w:rPr>
              <w:br/>
              <w:t>Memória RAM - Frequência: 4800 MHz (ou superior).</w:t>
            </w:r>
            <w:r w:rsidRPr="005B62C0">
              <w:rPr>
                <w:rFonts w:ascii="Gadugi" w:eastAsia="Times New Roman" w:hAnsi="Gadugi" w:cs="Calibri"/>
                <w:color w:val="000000"/>
                <w:sz w:val="14"/>
                <w:szCs w:val="14"/>
              </w:rPr>
              <w:br/>
              <w:t>Memória RAM - Compatibilidade: Memória RAM totalmente compatível com o processador e placa-mãe deste kit.</w:t>
            </w:r>
            <w:r w:rsidRPr="005B62C0">
              <w:rPr>
                <w:rFonts w:ascii="Gadugi" w:eastAsia="Times New Roman" w:hAnsi="Gadugi" w:cs="Calibri"/>
                <w:color w:val="000000"/>
                <w:sz w:val="14"/>
                <w:szCs w:val="14"/>
              </w:rPr>
              <w:br/>
              <w:t>Armazenamento  Capacidade de armazenamento: 1 TB (ou superior).</w:t>
            </w:r>
            <w:r w:rsidRPr="005B62C0">
              <w:rPr>
                <w:rFonts w:ascii="Gadugi" w:eastAsia="Times New Roman" w:hAnsi="Gadugi" w:cs="Calibri"/>
                <w:color w:val="000000"/>
                <w:sz w:val="14"/>
                <w:szCs w:val="14"/>
              </w:rPr>
              <w:br/>
              <w:t>Armazenamento - Especificação: Unidade de estado sólido (SSD) M.2 NVMe.</w:t>
            </w:r>
            <w:r w:rsidRPr="005B62C0">
              <w:rPr>
                <w:rFonts w:ascii="Gadugi" w:eastAsia="Times New Roman" w:hAnsi="Gadugi" w:cs="Calibri"/>
                <w:color w:val="000000"/>
                <w:sz w:val="14"/>
                <w:szCs w:val="14"/>
              </w:rPr>
              <w:br/>
              <w:t>Armazenamento  Interface: PCIe Gen 3 (ou superior).</w:t>
            </w:r>
            <w:r w:rsidRPr="005B62C0">
              <w:rPr>
                <w:rFonts w:ascii="Gadugi" w:eastAsia="Times New Roman" w:hAnsi="Gadugi" w:cs="Calibri"/>
                <w:color w:val="000000"/>
                <w:sz w:val="14"/>
                <w:szCs w:val="14"/>
              </w:rPr>
              <w:br/>
              <w:t>Armazenamento - Velocidade de leitura de dados: 5000 MB/s (ou superior).</w:t>
            </w:r>
            <w:r w:rsidRPr="005B62C0">
              <w:rPr>
                <w:rFonts w:ascii="Gadugi" w:eastAsia="Times New Roman" w:hAnsi="Gadugi" w:cs="Calibri"/>
                <w:color w:val="000000"/>
                <w:sz w:val="14"/>
                <w:szCs w:val="14"/>
              </w:rPr>
              <w:br/>
              <w:t>Armazenamento - Velocidade de gravação de dados: 4500 MB/s (ou superior).</w:t>
            </w:r>
            <w:r w:rsidRPr="005B62C0">
              <w:rPr>
                <w:rFonts w:ascii="Gadugi" w:eastAsia="Times New Roman" w:hAnsi="Gadugi" w:cs="Calibri"/>
                <w:color w:val="000000"/>
                <w:sz w:val="14"/>
                <w:szCs w:val="14"/>
              </w:rPr>
              <w:br/>
              <w:t>Armazenamento - Compatibilidade: SSD M.2 NVMe totalmente compatível com a placa-mãe deste kit.</w:t>
            </w:r>
            <w:r w:rsidRPr="005B62C0">
              <w:rPr>
                <w:rFonts w:ascii="Gadugi" w:eastAsia="Times New Roman" w:hAnsi="Gadugi" w:cs="Calibri"/>
                <w:color w:val="000000"/>
                <w:sz w:val="14"/>
                <w:szCs w:val="14"/>
              </w:rPr>
              <w:br/>
              <w:t>Fonte de alimentação - Alimentação da placa-mãe - Principal: 24 (20+4) pinos.</w:t>
            </w:r>
            <w:r w:rsidRPr="005B62C0">
              <w:rPr>
                <w:rFonts w:ascii="Gadugi" w:eastAsia="Times New Roman" w:hAnsi="Gadugi" w:cs="Calibri"/>
                <w:color w:val="000000"/>
                <w:sz w:val="14"/>
                <w:szCs w:val="14"/>
              </w:rPr>
              <w:br/>
              <w:t>Fonte de alimentação - Alimentação da placa-mãe - ATX 12 V: 8 (4+4) pinos.</w:t>
            </w:r>
            <w:r w:rsidRPr="005B62C0">
              <w:rPr>
                <w:rFonts w:ascii="Gadugi" w:eastAsia="Times New Roman" w:hAnsi="Gadugi" w:cs="Calibri"/>
                <w:color w:val="000000"/>
                <w:sz w:val="14"/>
                <w:szCs w:val="14"/>
              </w:rPr>
              <w:br/>
              <w:t>Fonte de alimentação - Alimentação da placa de vídeo  PCIE: 8 (6+2) pinos (um conector PCIE, no mínimo).</w:t>
            </w:r>
            <w:r w:rsidRPr="005B62C0">
              <w:rPr>
                <w:rFonts w:ascii="Gadugi" w:eastAsia="Times New Roman" w:hAnsi="Gadugi" w:cs="Calibri"/>
                <w:color w:val="000000"/>
                <w:sz w:val="14"/>
                <w:szCs w:val="14"/>
              </w:rPr>
              <w:br/>
              <w:t>Fonte de alimentação - Alimentação para dispositivos SATA: 3 conectores (no mínimo).</w:t>
            </w:r>
            <w:r w:rsidRPr="005B62C0">
              <w:rPr>
                <w:rFonts w:ascii="Gadugi" w:eastAsia="Times New Roman" w:hAnsi="Gadugi" w:cs="Calibri"/>
                <w:color w:val="000000"/>
                <w:sz w:val="14"/>
                <w:szCs w:val="14"/>
              </w:rPr>
              <w:br/>
              <w:t>Fonte de alimentação - Resfriamento: Ativo, por ar (cooler).</w:t>
            </w:r>
            <w:r w:rsidRPr="005B62C0">
              <w:rPr>
                <w:rFonts w:ascii="Gadugi" w:eastAsia="Times New Roman" w:hAnsi="Gadugi" w:cs="Calibri"/>
                <w:color w:val="000000"/>
                <w:sz w:val="14"/>
                <w:szCs w:val="14"/>
              </w:rPr>
              <w:br/>
              <w:t>Fonte de alimentação - Potência de saída: 600 Watts (ou superior).</w:t>
            </w:r>
            <w:r w:rsidRPr="005B62C0">
              <w:rPr>
                <w:rFonts w:ascii="Gadugi" w:eastAsia="Times New Roman" w:hAnsi="Gadugi" w:cs="Calibri"/>
                <w:color w:val="000000"/>
                <w:sz w:val="14"/>
                <w:szCs w:val="14"/>
              </w:rPr>
              <w:br/>
              <w:t>Fonte de alimentação - Tipo: Compatível com computadores de mesa (desktop).</w:t>
            </w:r>
            <w:r w:rsidRPr="005B62C0">
              <w:rPr>
                <w:rFonts w:ascii="Gadugi" w:eastAsia="Times New Roman" w:hAnsi="Gadugi" w:cs="Calibri"/>
                <w:color w:val="000000"/>
                <w:sz w:val="14"/>
                <w:szCs w:val="14"/>
              </w:rPr>
              <w:br/>
              <w:t>Fonte de alimentação - Tensão de entrada: Bivolt.</w:t>
            </w:r>
            <w:r w:rsidRPr="005B62C0">
              <w:rPr>
                <w:rFonts w:ascii="Gadugi" w:eastAsia="Times New Roman" w:hAnsi="Gadugi" w:cs="Calibri"/>
                <w:color w:val="000000"/>
                <w:sz w:val="14"/>
                <w:szCs w:val="14"/>
              </w:rPr>
              <w:br/>
              <w:t>Fonte de alimentação - Certificação: 80 Plus (White, Bronze, Silver, Gold, Platinum ou Titanium).</w:t>
            </w:r>
            <w:r w:rsidRPr="005B62C0">
              <w:rPr>
                <w:rFonts w:ascii="Gadugi" w:eastAsia="Times New Roman" w:hAnsi="Gadugi" w:cs="Calibri"/>
                <w:color w:val="000000"/>
                <w:sz w:val="14"/>
                <w:szCs w:val="14"/>
              </w:rPr>
              <w:br/>
              <w:t>Fonte de alimentação - Cabo de força: Plugue padrão ABNT NBR 14136.</w:t>
            </w:r>
            <w:r w:rsidRPr="005B62C0">
              <w:rPr>
                <w:rFonts w:ascii="Gadugi" w:eastAsia="Times New Roman" w:hAnsi="Gadugi" w:cs="Calibri"/>
                <w:color w:val="000000"/>
                <w:sz w:val="14"/>
                <w:szCs w:val="14"/>
              </w:rPr>
              <w:br/>
              <w:t>Gabinete para computador - Espaço interno: Suporte para fixação de placas-mãe padrão ATX e padrão Micro ATX (mATX).</w:t>
            </w:r>
            <w:r w:rsidRPr="005B62C0">
              <w:rPr>
                <w:rFonts w:ascii="Gadugi" w:eastAsia="Times New Roman" w:hAnsi="Gadugi" w:cs="Calibri"/>
                <w:color w:val="000000"/>
                <w:sz w:val="14"/>
                <w:szCs w:val="14"/>
              </w:rPr>
              <w:br/>
              <w:t>Gabinete para computador - Espaço interno: Suporte para fixação de (no mínimo) 2 dispositivos de armazenamento padrão (form factory) 3,5 polegadas.</w:t>
            </w:r>
            <w:r w:rsidRPr="005B62C0">
              <w:rPr>
                <w:rFonts w:ascii="Gadugi" w:eastAsia="Times New Roman" w:hAnsi="Gadugi" w:cs="Calibri"/>
                <w:color w:val="000000"/>
                <w:sz w:val="14"/>
                <w:szCs w:val="14"/>
              </w:rPr>
              <w:br/>
              <w:t>Gabinete para computador - Espaço interno: Suporte para fixação de (no mínimo) 1 dispositivo de armazenamento padrão (form factory) 2,5 polegadas.</w:t>
            </w:r>
            <w:r w:rsidRPr="005B62C0">
              <w:rPr>
                <w:rFonts w:ascii="Gadugi" w:eastAsia="Times New Roman" w:hAnsi="Gadugi" w:cs="Calibri"/>
                <w:color w:val="000000"/>
                <w:sz w:val="14"/>
                <w:szCs w:val="14"/>
              </w:rPr>
              <w:br/>
              <w:t>Gabinete para computador - Espaço interno: Suporte para fixação de (no mínimo) 1 leitor/gravador de discos ópticos (com acesso  baia frontal).</w:t>
            </w:r>
            <w:r w:rsidRPr="005B62C0">
              <w:rPr>
                <w:rFonts w:ascii="Gadugi" w:eastAsia="Times New Roman" w:hAnsi="Gadugi" w:cs="Calibri"/>
                <w:color w:val="000000"/>
                <w:sz w:val="14"/>
                <w:szCs w:val="14"/>
              </w:rPr>
              <w:br/>
              <w:t>Gabinete para computador - Área traseira: Suporte para encaixe de (no mínimo) 3 dispositivos PCI ou PCI Express.</w:t>
            </w:r>
            <w:r w:rsidRPr="005B62C0">
              <w:rPr>
                <w:rFonts w:ascii="Gadugi" w:eastAsia="Times New Roman" w:hAnsi="Gadugi" w:cs="Calibri"/>
                <w:color w:val="000000"/>
                <w:sz w:val="14"/>
                <w:szCs w:val="14"/>
              </w:rPr>
              <w:br/>
              <w:t>Gabinete para computador - Área traseira: Suporte para encaixe de fonte de alimentação padrão ATX.</w:t>
            </w:r>
            <w:r w:rsidRPr="005B62C0">
              <w:rPr>
                <w:rFonts w:ascii="Gadugi" w:eastAsia="Times New Roman" w:hAnsi="Gadugi" w:cs="Calibri"/>
                <w:color w:val="000000"/>
                <w:sz w:val="14"/>
                <w:szCs w:val="14"/>
              </w:rPr>
              <w:br/>
              <w:t>Gabinete para computador - Área frontal: Botão liga/desliga, com fiação para conectar  placa-mãe (Power SW).</w:t>
            </w:r>
            <w:r w:rsidRPr="005B62C0">
              <w:rPr>
                <w:rFonts w:ascii="Gadugi" w:eastAsia="Times New Roman" w:hAnsi="Gadugi" w:cs="Calibri"/>
                <w:color w:val="000000"/>
                <w:sz w:val="14"/>
                <w:szCs w:val="14"/>
              </w:rPr>
              <w:br/>
              <w:t>Gabinete para computador - Área frontal: Botão reset, com fiação para conectar  placa-mãe (Reset SW).</w:t>
            </w:r>
            <w:r w:rsidRPr="005B62C0">
              <w:rPr>
                <w:rFonts w:ascii="Gadugi" w:eastAsia="Times New Roman" w:hAnsi="Gadugi" w:cs="Calibri"/>
                <w:color w:val="000000"/>
                <w:sz w:val="14"/>
                <w:szCs w:val="14"/>
              </w:rPr>
              <w:br/>
              <w:t>Gabinete para computador - Área frontal: Conector para microfone, conector para fone de ouvido e (no mínimo) 2 conectores USB, com fiação para conectarem-se  placa-mãe.</w:t>
            </w:r>
            <w:r w:rsidRPr="005B62C0">
              <w:rPr>
                <w:rFonts w:ascii="Gadugi" w:eastAsia="Times New Roman" w:hAnsi="Gadugi" w:cs="Calibri"/>
                <w:color w:val="000000"/>
                <w:sz w:val="14"/>
                <w:szCs w:val="14"/>
              </w:rPr>
              <w:br/>
              <w:t>Gabinete para computador - Área frontal: LED para indicar placa-mãe ligada (Power LED) e LED para indicar acesso aos dispositivos de armazenamento (HDD LED).</w:t>
            </w:r>
            <w:r w:rsidRPr="005B62C0">
              <w:rPr>
                <w:rFonts w:ascii="Gadugi" w:eastAsia="Times New Roman" w:hAnsi="Gadugi" w:cs="Calibri"/>
                <w:color w:val="000000"/>
                <w:sz w:val="14"/>
                <w:szCs w:val="14"/>
              </w:rPr>
              <w:br/>
              <w:t>Demais itens inclusos: Espelho traseiro (do respectivo modelo da placa-mãe, para fixação no gabinete). Bateria CR2032. Cooler e dissipador térmico totalmente compatíveis com o processador e a placa-mãe deste kit. Drivers da placa-mãe, compatíveis com os sistemas operacionais Windows 10 (64 bits) e Windows 11 (64 bits). Cabo de força (plugue padrão ABNT NBR 14136).</w:t>
            </w:r>
            <w:r w:rsidRPr="005B62C0">
              <w:rPr>
                <w:rFonts w:ascii="Gadugi" w:eastAsia="Times New Roman" w:hAnsi="Gadugi" w:cs="Calibri"/>
                <w:color w:val="000000"/>
                <w:sz w:val="14"/>
                <w:szCs w:val="14"/>
              </w:rPr>
              <w:br/>
              <w:t>Observações: Itens novos, perfeitamente funcionais, com seus manuais de uso e suas respectivas caixas.</w:t>
            </w:r>
          </w:p>
        </w:tc>
        <w:tc>
          <w:tcPr>
            <w:tcW w:w="729" w:type="dxa"/>
            <w:tcBorders>
              <w:top w:val="nil"/>
              <w:left w:val="nil"/>
              <w:bottom w:val="single" w:sz="4" w:space="0" w:color="auto"/>
              <w:right w:val="single" w:sz="4" w:space="0" w:color="auto"/>
            </w:tcBorders>
            <w:shd w:val="clear" w:color="auto" w:fill="auto"/>
            <w:noWrap/>
            <w:vAlign w:val="center"/>
            <w:hideMark/>
          </w:tcPr>
          <w:p w14:paraId="21B8EFA7"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4ECEA0A0"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22</w:t>
            </w:r>
          </w:p>
        </w:tc>
        <w:tc>
          <w:tcPr>
            <w:tcW w:w="918" w:type="dxa"/>
            <w:tcBorders>
              <w:top w:val="nil"/>
              <w:left w:val="nil"/>
              <w:bottom w:val="single" w:sz="4" w:space="0" w:color="auto"/>
              <w:right w:val="single" w:sz="4" w:space="0" w:color="auto"/>
            </w:tcBorders>
            <w:shd w:val="clear" w:color="auto" w:fill="auto"/>
            <w:noWrap/>
            <w:vAlign w:val="center"/>
            <w:hideMark/>
          </w:tcPr>
          <w:p w14:paraId="67F4F47D" w14:textId="0673FF28"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6CCBF7E9" w14:textId="77777777" w:rsidTr="00616743">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297B5A0B"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9</w:t>
            </w:r>
          </w:p>
        </w:tc>
        <w:tc>
          <w:tcPr>
            <w:tcW w:w="6646" w:type="dxa"/>
            <w:tcBorders>
              <w:top w:val="nil"/>
              <w:left w:val="nil"/>
              <w:bottom w:val="single" w:sz="4" w:space="0" w:color="auto"/>
              <w:right w:val="single" w:sz="4" w:space="0" w:color="auto"/>
            </w:tcBorders>
            <w:shd w:val="clear" w:color="auto" w:fill="auto"/>
            <w:noWrap/>
            <w:vAlign w:val="center"/>
            <w:hideMark/>
          </w:tcPr>
          <w:p w14:paraId="7C3A28D7"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DISCO RíGIDO EXTERNO  1 TB Capacidade de armazenamento: 1 TB (ou superior).</w:t>
            </w:r>
            <w:r w:rsidRPr="005B62C0">
              <w:rPr>
                <w:rFonts w:ascii="Gadugi" w:eastAsia="Times New Roman" w:hAnsi="Gadugi" w:cs="Calibri"/>
                <w:color w:val="000000"/>
                <w:sz w:val="14"/>
                <w:szCs w:val="14"/>
              </w:rPr>
              <w:br/>
              <w:t>Conexão: USB 3.0 (ou superior).</w:t>
            </w:r>
            <w:r w:rsidRPr="005B62C0">
              <w:rPr>
                <w:rFonts w:ascii="Gadugi" w:eastAsia="Times New Roman" w:hAnsi="Gadugi" w:cs="Calibri"/>
                <w:color w:val="000000"/>
                <w:sz w:val="14"/>
                <w:szCs w:val="14"/>
              </w:rPr>
              <w:br/>
              <w:t>Rotação de disco: 5400 RPM (ou superior).</w:t>
            </w:r>
            <w:r w:rsidRPr="005B62C0">
              <w:rPr>
                <w:rFonts w:ascii="Gadugi" w:eastAsia="Times New Roman" w:hAnsi="Gadugi" w:cs="Calibri"/>
                <w:color w:val="000000"/>
                <w:sz w:val="14"/>
                <w:szCs w:val="14"/>
              </w:rPr>
              <w:br/>
              <w:t>Tamanho: 2,5 polegadas.</w:t>
            </w:r>
            <w:r w:rsidRPr="005B62C0">
              <w:rPr>
                <w:rFonts w:ascii="Gadugi" w:eastAsia="Times New Roman" w:hAnsi="Gadugi" w:cs="Calibri"/>
                <w:color w:val="000000"/>
                <w:sz w:val="14"/>
                <w:szCs w:val="14"/>
              </w:rPr>
              <w:br/>
              <w:t>Demais itens incluídos: Cabo USB (para alimentação e transferência de dados) e manual.</w:t>
            </w:r>
          </w:p>
        </w:tc>
        <w:tc>
          <w:tcPr>
            <w:tcW w:w="729" w:type="dxa"/>
            <w:tcBorders>
              <w:top w:val="nil"/>
              <w:left w:val="nil"/>
              <w:bottom w:val="single" w:sz="4" w:space="0" w:color="auto"/>
              <w:right w:val="single" w:sz="4" w:space="0" w:color="auto"/>
            </w:tcBorders>
            <w:shd w:val="clear" w:color="auto" w:fill="auto"/>
            <w:noWrap/>
            <w:vAlign w:val="center"/>
            <w:hideMark/>
          </w:tcPr>
          <w:p w14:paraId="5E3DBFEE"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01F9092C"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12</w:t>
            </w:r>
          </w:p>
        </w:tc>
        <w:tc>
          <w:tcPr>
            <w:tcW w:w="918" w:type="dxa"/>
            <w:tcBorders>
              <w:top w:val="nil"/>
              <w:left w:val="nil"/>
              <w:bottom w:val="single" w:sz="4" w:space="0" w:color="auto"/>
              <w:right w:val="single" w:sz="4" w:space="0" w:color="auto"/>
            </w:tcBorders>
            <w:shd w:val="clear" w:color="auto" w:fill="auto"/>
            <w:noWrap/>
            <w:vAlign w:val="center"/>
            <w:hideMark/>
          </w:tcPr>
          <w:p w14:paraId="49E18C30" w14:textId="2B105A1B"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48CB041D"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7F29AC1"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6646" w:type="dxa"/>
            <w:tcBorders>
              <w:top w:val="nil"/>
              <w:left w:val="nil"/>
              <w:bottom w:val="single" w:sz="4" w:space="0" w:color="auto"/>
              <w:right w:val="single" w:sz="4" w:space="0" w:color="auto"/>
            </w:tcBorders>
            <w:shd w:val="clear" w:color="auto" w:fill="auto"/>
            <w:noWrap/>
            <w:vAlign w:val="center"/>
            <w:hideMark/>
          </w:tcPr>
          <w:p w14:paraId="6127DAB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DISCO RIGIDO INTERNO(HDD)1TB Capacidade de armazenamento: 1 TB (ou superior).</w:t>
            </w:r>
            <w:r w:rsidRPr="005B62C0">
              <w:rPr>
                <w:rFonts w:ascii="Gadugi" w:eastAsia="Times New Roman" w:hAnsi="Gadugi" w:cs="Calibri"/>
                <w:color w:val="000000"/>
                <w:sz w:val="14"/>
                <w:szCs w:val="14"/>
              </w:rPr>
              <w:br/>
              <w:t>Interface: SATA 3.</w:t>
            </w:r>
            <w:r w:rsidRPr="005B62C0">
              <w:rPr>
                <w:rFonts w:ascii="Gadugi" w:eastAsia="Times New Roman" w:hAnsi="Gadugi" w:cs="Calibri"/>
                <w:color w:val="000000"/>
                <w:sz w:val="14"/>
                <w:szCs w:val="14"/>
              </w:rPr>
              <w:br/>
              <w:t>Tamanho (Form Factor): 3,5 polegadas.</w:t>
            </w:r>
            <w:r w:rsidRPr="005B62C0">
              <w:rPr>
                <w:rFonts w:ascii="Gadugi" w:eastAsia="Times New Roman" w:hAnsi="Gadugi" w:cs="Calibri"/>
                <w:color w:val="000000"/>
                <w:sz w:val="14"/>
                <w:szCs w:val="14"/>
              </w:rPr>
              <w:br/>
              <w:t>Memória cache: 64 MB (ou superior).</w:t>
            </w:r>
            <w:r w:rsidRPr="005B62C0">
              <w:rPr>
                <w:rFonts w:ascii="Gadugi" w:eastAsia="Times New Roman" w:hAnsi="Gadugi" w:cs="Calibri"/>
                <w:color w:val="000000"/>
                <w:sz w:val="14"/>
                <w:szCs w:val="14"/>
              </w:rPr>
              <w:br/>
              <w:t>Rotação de disco: 7200 RPM (ou superior).</w:t>
            </w:r>
          </w:p>
        </w:tc>
        <w:tc>
          <w:tcPr>
            <w:tcW w:w="729" w:type="dxa"/>
            <w:tcBorders>
              <w:top w:val="nil"/>
              <w:left w:val="nil"/>
              <w:bottom w:val="single" w:sz="4" w:space="0" w:color="auto"/>
              <w:right w:val="single" w:sz="4" w:space="0" w:color="auto"/>
            </w:tcBorders>
            <w:shd w:val="clear" w:color="auto" w:fill="auto"/>
            <w:noWrap/>
            <w:vAlign w:val="center"/>
            <w:hideMark/>
          </w:tcPr>
          <w:p w14:paraId="50FEA14E"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537F0CB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w:t>
            </w:r>
          </w:p>
        </w:tc>
        <w:tc>
          <w:tcPr>
            <w:tcW w:w="918" w:type="dxa"/>
            <w:tcBorders>
              <w:top w:val="nil"/>
              <w:left w:val="nil"/>
              <w:bottom w:val="single" w:sz="4" w:space="0" w:color="auto"/>
              <w:right w:val="single" w:sz="4" w:space="0" w:color="auto"/>
            </w:tcBorders>
            <w:shd w:val="clear" w:color="auto" w:fill="auto"/>
            <w:noWrap/>
            <w:vAlign w:val="center"/>
          </w:tcPr>
          <w:p w14:paraId="4C17D173" w14:textId="2D5D769B"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1B7BACC4"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2F69B67C"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11</w:t>
            </w:r>
          </w:p>
        </w:tc>
        <w:tc>
          <w:tcPr>
            <w:tcW w:w="6646" w:type="dxa"/>
            <w:tcBorders>
              <w:top w:val="nil"/>
              <w:left w:val="nil"/>
              <w:bottom w:val="single" w:sz="4" w:space="0" w:color="auto"/>
              <w:right w:val="single" w:sz="4" w:space="0" w:color="auto"/>
            </w:tcBorders>
            <w:shd w:val="clear" w:color="auto" w:fill="auto"/>
            <w:noWrap/>
            <w:vAlign w:val="center"/>
            <w:hideMark/>
          </w:tcPr>
          <w:p w14:paraId="058A86BF"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ESTABILIZADOR Potência: 500 VA (ou superior).</w:t>
            </w:r>
            <w:r w:rsidRPr="005B62C0">
              <w:rPr>
                <w:rFonts w:ascii="Gadugi" w:eastAsia="Times New Roman" w:hAnsi="Gadugi" w:cs="Calibri"/>
                <w:color w:val="000000"/>
                <w:sz w:val="14"/>
                <w:szCs w:val="14"/>
              </w:rPr>
              <w:br/>
              <w:t>Tomadas: 4 tomadas (no mínimo) padrão ABNT NBR 14236.</w:t>
            </w:r>
            <w:r w:rsidRPr="005B62C0">
              <w:rPr>
                <w:rFonts w:ascii="Gadugi" w:eastAsia="Times New Roman" w:hAnsi="Gadugi" w:cs="Calibri"/>
                <w:color w:val="000000"/>
                <w:sz w:val="14"/>
                <w:szCs w:val="14"/>
              </w:rPr>
              <w:br/>
              <w:t>Proteções: Subtensão, sobretensão, filtro de linha.</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Tensão de saída: 115 V~.</w:t>
            </w:r>
            <w:r w:rsidRPr="005B62C0">
              <w:rPr>
                <w:rFonts w:ascii="Gadugi" w:eastAsia="Times New Roman" w:hAnsi="Gadugi" w:cs="Calibri"/>
                <w:color w:val="000000"/>
                <w:sz w:val="14"/>
                <w:szCs w:val="14"/>
              </w:rPr>
              <w:br/>
              <w:t>Cabo de força: Plugue padrão ABNT NBR 14136.</w:t>
            </w:r>
          </w:p>
        </w:tc>
        <w:tc>
          <w:tcPr>
            <w:tcW w:w="729" w:type="dxa"/>
            <w:tcBorders>
              <w:top w:val="nil"/>
              <w:left w:val="nil"/>
              <w:bottom w:val="single" w:sz="4" w:space="0" w:color="auto"/>
              <w:right w:val="single" w:sz="4" w:space="0" w:color="auto"/>
            </w:tcBorders>
            <w:shd w:val="clear" w:color="auto" w:fill="auto"/>
            <w:noWrap/>
            <w:vAlign w:val="center"/>
            <w:hideMark/>
          </w:tcPr>
          <w:p w14:paraId="2E5FFCBE"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336FD712"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918" w:type="dxa"/>
            <w:tcBorders>
              <w:top w:val="nil"/>
              <w:left w:val="nil"/>
              <w:bottom w:val="single" w:sz="4" w:space="0" w:color="auto"/>
              <w:right w:val="single" w:sz="4" w:space="0" w:color="auto"/>
            </w:tcBorders>
            <w:shd w:val="clear" w:color="auto" w:fill="auto"/>
            <w:noWrap/>
            <w:vAlign w:val="center"/>
          </w:tcPr>
          <w:p w14:paraId="649AA368" w14:textId="759BE602"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751AC4AE"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29FA8D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12</w:t>
            </w:r>
          </w:p>
        </w:tc>
        <w:tc>
          <w:tcPr>
            <w:tcW w:w="6646" w:type="dxa"/>
            <w:tcBorders>
              <w:top w:val="nil"/>
              <w:left w:val="nil"/>
              <w:bottom w:val="single" w:sz="4" w:space="0" w:color="auto"/>
              <w:right w:val="single" w:sz="4" w:space="0" w:color="auto"/>
            </w:tcBorders>
            <w:shd w:val="clear" w:color="auto" w:fill="auto"/>
            <w:noWrap/>
            <w:vAlign w:val="center"/>
            <w:hideMark/>
          </w:tcPr>
          <w:p w14:paraId="721CADBF"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EXTENSãO DE REDE ELÉTRICA Cabo de força- padrão do plugue: ABNT NBR 14136;</w:t>
            </w:r>
            <w:r w:rsidRPr="005B62C0">
              <w:rPr>
                <w:rFonts w:ascii="Gadugi" w:eastAsia="Times New Roman" w:hAnsi="Gadugi" w:cs="Calibri"/>
                <w:color w:val="000000"/>
                <w:sz w:val="14"/>
                <w:szCs w:val="14"/>
              </w:rPr>
              <w:br/>
              <w:t>Cabo de força- Comprimento: 3 metros (no mínimo);</w:t>
            </w:r>
            <w:r w:rsidRPr="005B62C0">
              <w:rPr>
                <w:rFonts w:ascii="Gadugi" w:eastAsia="Times New Roman" w:hAnsi="Gadugi" w:cs="Calibri"/>
                <w:color w:val="000000"/>
                <w:sz w:val="14"/>
                <w:szCs w:val="14"/>
              </w:rPr>
              <w:br/>
              <w:t>Tomadas- padrão: ABNT NBR 14136;</w:t>
            </w:r>
            <w:r w:rsidRPr="005B62C0">
              <w:rPr>
                <w:rFonts w:ascii="Gadugi" w:eastAsia="Times New Roman" w:hAnsi="Gadugi" w:cs="Calibri"/>
                <w:color w:val="000000"/>
                <w:sz w:val="14"/>
                <w:szCs w:val="14"/>
              </w:rPr>
              <w:br/>
              <w:t>Tomadas: quantidade: 3 (no mínimo);</w:t>
            </w:r>
            <w:r w:rsidRPr="005B62C0">
              <w:rPr>
                <w:rFonts w:ascii="Gadugi" w:eastAsia="Times New Roman" w:hAnsi="Gadugi" w:cs="Calibri"/>
                <w:color w:val="000000"/>
                <w:sz w:val="14"/>
                <w:szCs w:val="14"/>
              </w:rPr>
              <w:br/>
              <w:t>Corrente suportada: 10 ampers.</w:t>
            </w:r>
          </w:p>
        </w:tc>
        <w:tc>
          <w:tcPr>
            <w:tcW w:w="729" w:type="dxa"/>
            <w:tcBorders>
              <w:top w:val="nil"/>
              <w:left w:val="nil"/>
              <w:bottom w:val="single" w:sz="4" w:space="0" w:color="auto"/>
              <w:right w:val="single" w:sz="4" w:space="0" w:color="auto"/>
            </w:tcBorders>
            <w:shd w:val="clear" w:color="auto" w:fill="auto"/>
            <w:noWrap/>
            <w:vAlign w:val="center"/>
            <w:hideMark/>
          </w:tcPr>
          <w:p w14:paraId="5142656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7B392BB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20</w:t>
            </w:r>
          </w:p>
        </w:tc>
        <w:tc>
          <w:tcPr>
            <w:tcW w:w="918" w:type="dxa"/>
            <w:tcBorders>
              <w:top w:val="nil"/>
              <w:left w:val="nil"/>
              <w:bottom w:val="single" w:sz="4" w:space="0" w:color="auto"/>
              <w:right w:val="single" w:sz="4" w:space="0" w:color="auto"/>
            </w:tcBorders>
            <w:shd w:val="clear" w:color="auto" w:fill="auto"/>
            <w:noWrap/>
            <w:vAlign w:val="center"/>
          </w:tcPr>
          <w:p w14:paraId="5B4EB24B" w14:textId="78D3C26D"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51E5798C"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EF8347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13</w:t>
            </w:r>
          </w:p>
        </w:tc>
        <w:tc>
          <w:tcPr>
            <w:tcW w:w="6646" w:type="dxa"/>
            <w:tcBorders>
              <w:top w:val="nil"/>
              <w:left w:val="nil"/>
              <w:bottom w:val="single" w:sz="4" w:space="0" w:color="auto"/>
              <w:right w:val="single" w:sz="4" w:space="0" w:color="auto"/>
            </w:tcBorders>
            <w:shd w:val="clear" w:color="auto" w:fill="auto"/>
            <w:noWrap/>
            <w:vAlign w:val="center"/>
            <w:hideMark/>
          </w:tcPr>
          <w:p w14:paraId="3301400D"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FONE DE OUVIDO Headset P2</w:t>
            </w:r>
            <w:r w:rsidRPr="005B62C0">
              <w:rPr>
                <w:rFonts w:ascii="Gadugi" w:eastAsia="Times New Roman" w:hAnsi="Gadugi" w:cs="Calibri"/>
                <w:color w:val="000000"/>
                <w:sz w:val="14"/>
                <w:szCs w:val="14"/>
              </w:rPr>
              <w:br/>
              <w:t>Conectores: 2 conectores.</w:t>
            </w:r>
            <w:r w:rsidRPr="005B62C0">
              <w:rPr>
                <w:rFonts w:ascii="Gadugi" w:eastAsia="Times New Roman" w:hAnsi="Gadugi" w:cs="Calibri"/>
                <w:color w:val="000000"/>
                <w:sz w:val="14"/>
                <w:szCs w:val="14"/>
              </w:rPr>
              <w:br/>
              <w:t>Conector de áudio stereo: P2  3,5 mm.</w:t>
            </w:r>
            <w:r w:rsidRPr="005B62C0">
              <w:rPr>
                <w:rFonts w:ascii="Gadugi" w:eastAsia="Times New Roman" w:hAnsi="Gadugi" w:cs="Calibri"/>
                <w:color w:val="000000"/>
                <w:sz w:val="14"/>
                <w:szCs w:val="14"/>
              </w:rPr>
              <w:br/>
              <w:t>Conector de microfone: P2  3,5 mm.</w:t>
            </w:r>
            <w:r w:rsidRPr="005B62C0">
              <w:rPr>
                <w:rFonts w:ascii="Gadugi" w:eastAsia="Times New Roman" w:hAnsi="Gadugi" w:cs="Calibri"/>
                <w:color w:val="000000"/>
                <w:sz w:val="14"/>
                <w:szCs w:val="14"/>
              </w:rPr>
              <w:br/>
              <w:t>Alto-falantes: Dois alto-falantes.</w:t>
            </w:r>
            <w:r w:rsidRPr="005B62C0">
              <w:rPr>
                <w:rFonts w:ascii="Gadugi" w:eastAsia="Times New Roman" w:hAnsi="Gadugi" w:cs="Calibri"/>
                <w:color w:val="000000"/>
                <w:sz w:val="14"/>
                <w:szCs w:val="14"/>
              </w:rPr>
              <w:br/>
              <w:t>Microfone: Altura regulável.</w:t>
            </w:r>
            <w:r w:rsidRPr="005B62C0">
              <w:rPr>
                <w:rFonts w:ascii="Gadugi" w:eastAsia="Times New Roman" w:hAnsi="Gadugi" w:cs="Calibri"/>
                <w:color w:val="000000"/>
                <w:sz w:val="14"/>
                <w:szCs w:val="14"/>
              </w:rPr>
              <w:br/>
              <w:t>Frequência de resposta inicial do microfone: 20 Hz (ou inferior).</w:t>
            </w:r>
            <w:r w:rsidRPr="005B62C0">
              <w:rPr>
                <w:rFonts w:ascii="Gadugi" w:eastAsia="Times New Roman" w:hAnsi="Gadugi" w:cs="Calibri"/>
                <w:color w:val="000000"/>
                <w:sz w:val="14"/>
                <w:szCs w:val="14"/>
              </w:rPr>
              <w:br/>
              <w:t>Frequência de resposta final do microfone: 20.000 Hz (ou superior).</w:t>
            </w:r>
            <w:r w:rsidRPr="005B62C0">
              <w:rPr>
                <w:rFonts w:ascii="Gadugi" w:eastAsia="Times New Roman" w:hAnsi="Gadugi" w:cs="Calibri"/>
                <w:color w:val="000000"/>
                <w:sz w:val="14"/>
                <w:szCs w:val="14"/>
              </w:rPr>
              <w:br/>
              <w:t>Alto falantes - Sensibilidade: 94 dB (ou superior).</w:t>
            </w:r>
            <w:r w:rsidRPr="005B62C0">
              <w:rPr>
                <w:rFonts w:ascii="Gadugi" w:eastAsia="Times New Roman" w:hAnsi="Gadugi" w:cs="Calibri"/>
                <w:color w:val="000000"/>
                <w:sz w:val="14"/>
                <w:szCs w:val="14"/>
              </w:rPr>
              <w:br/>
              <w:t>Comprimento do cabo: 1,40 m (no mínimo).</w:t>
            </w:r>
          </w:p>
        </w:tc>
        <w:tc>
          <w:tcPr>
            <w:tcW w:w="729" w:type="dxa"/>
            <w:tcBorders>
              <w:top w:val="nil"/>
              <w:left w:val="nil"/>
              <w:bottom w:val="single" w:sz="4" w:space="0" w:color="auto"/>
              <w:right w:val="single" w:sz="4" w:space="0" w:color="auto"/>
            </w:tcBorders>
            <w:shd w:val="clear" w:color="auto" w:fill="auto"/>
            <w:noWrap/>
            <w:vAlign w:val="center"/>
            <w:hideMark/>
          </w:tcPr>
          <w:p w14:paraId="5202FA81"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PAR</w:t>
            </w:r>
          </w:p>
        </w:tc>
        <w:tc>
          <w:tcPr>
            <w:tcW w:w="852" w:type="dxa"/>
            <w:tcBorders>
              <w:top w:val="nil"/>
              <w:left w:val="nil"/>
              <w:bottom w:val="single" w:sz="4" w:space="0" w:color="auto"/>
              <w:right w:val="single" w:sz="4" w:space="0" w:color="auto"/>
            </w:tcBorders>
            <w:shd w:val="clear" w:color="auto" w:fill="auto"/>
            <w:noWrap/>
            <w:vAlign w:val="center"/>
            <w:hideMark/>
          </w:tcPr>
          <w:p w14:paraId="57510127"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918" w:type="dxa"/>
            <w:tcBorders>
              <w:top w:val="nil"/>
              <w:left w:val="nil"/>
              <w:bottom w:val="single" w:sz="4" w:space="0" w:color="auto"/>
              <w:right w:val="single" w:sz="4" w:space="0" w:color="auto"/>
            </w:tcBorders>
            <w:shd w:val="clear" w:color="auto" w:fill="auto"/>
            <w:noWrap/>
            <w:vAlign w:val="center"/>
          </w:tcPr>
          <w:p w14:paraId="59A60A49" w14:textId="6ED6B86B"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3EE83282"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B74C05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14</w:t>
            </w:r>
          </w:p>
        </w:tc>
        <w:tc>
          <w:tcPr>
            <w:tcW w:w="6646" w:type="dxa"/>
            <w:tcBorders>
              <w:top w:val="nil"/>
              <w:left w:val="nil"/>
              <w:bottom w:val="single" w:sz="4" w:space="0" w:color="auto"/>
              <w:right w:val="single" w:sz="4" w:space="0" w:color="auto"/>
            </w:tcBorders>
            <w:shd w:val="clear" w:color="auto" w:fill="auto"/>
            <w:noWrap/>
            <w:vAlign w:val="center"/>
            <w:hideMark/>
          </w:tcPr>
          <w:p w14:paraId="790359DD"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FONTE DE ALIMENTAÇÃO Alimentação da placa-mãe - Principal: 24 (20+4) pinos.</w:t>
            </w:r>
            <w:r w:rsidRPr="005B62C0">
              <w:rPr>
                <w:rFonts w:ascii="Gadugi" w:eastAsia="Times New Roman" w:hAnsi="Gadugi" w:cs="Calibri"/>
                <w:color w:val="000000"/>
                <w:sz w:val="14"/>
                <w:szCs w:val="14"/>
              </w:rPr>
              <w:br/>
              <w:t>Alimentação da placa-mãe - ATX 12 V: 8 (4+4) pinos.</w:t>
            </w:r>
            <w:r w:rsidRPr="005B62C0">
              <w:rPr>
                <w:rFonts w:ascii="Gadugi" w:eastAsia="Times New Roman" w:hAnsi="Gadugi" w:cs="Calibri"/>
                <w:color w:val="000000"/>
                <w:sz w:val="14"/>
                <w:szCs w:val="14"/>
              </w:rPr>
              <w:br/>
              <w:t>Alimentação da placa de vídeo  PCIE: 8 (6+2) pinos (um conector PCIE, no mínimo).</w:t>
            </w:r>
            <w:r w:rsidRPr="005B62C0">
              <w:rPr>
                <w:rFonts w:ascii="Gadugi" w:eastAsia="Times New Roman" w:hAnsi="Gadugi" w:cs="Calibri"/>
                <w:color w:val="000000"/>
                <w:sz w:val="14"/>
                <w:szCs w:val="14"/>
              </w:rPr>
              <w:br/>
              <w:t>Alimentação para dispositivos SATA: 3 conectores (no mínimo).</w:t>
            </w:r>
            <w:r w:rsidRPr="005B62C0">
              <w:rPr>
                <w:rFonts w:ascii="Gadugi" w:eastAsia="Times New Roman" w:hAnsi="Gadugi" w:cs="Calibri"/>
                <w:color w:val="000000"/>
                <w:sz w:val="14"/>
                <w:szCs w:val="14"/>
              </w:rPr>
              <w:br/>
              <w:t>Resfriamento: Ativo, por ar (cooler).</w:t>
            </w:r>
            <w:r w:rsidRPr="005B62C0">
              <w:rPr>
                <w:rFonts w:ascii="Gadugi" w:eastAsia="Times New Roman" w:hAnsi="Gadugi" w:cs="Calibri"/>
                <w:color w:val="000000"/>
                <w:sz w:val="14"/>
                <w:szCs w:val="14"/>
              </w:rPr>
              <w:br/>
              <w:t>Potência de saída: 600 Watts (ou superior).</w:t>
            </w:r>
            <w:r w:rsidRPr="005B62C0">
              <w:rPr>
                <w:rFonts w:ascii="Gadugi" w:eastAsia="Times New Roman" w:hAnsi="Gadugi" w:cs="Calibri"/>
                <w:color w:val="000000"/>
                <w:sz w:val="14"/>
                <w:szCs w:val="14"/>
              </w:rPr>
              <w:br/>
              <w:t>Tipo: Compatível com computadores de mesa (desktop).</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Certificação: 80 Plus (White, Bronze, Silver, Gold, Platinum ou Titanium).</w:t>
            </w:r>
            <w:r w:rsidRPr="005B62C0">
              <w:rPr>
                <w:rFonts w:ascii="Gadugi" w:eastAsia="Times New Roman" w:hAnsi="Gadugi" w:cs="Calibri"/>
                <w:color w:val="000000"/>
                <w:sz w:val="14"/>
                <w:szCs w:val="14"/>
              </w:rPr>
              <w:br/>
              <w:t>Cabo de força: Plugue padrão ABNT NBR 14136 (incluso).</w:t>
            </w:r>
          </w:p>
        </w:tc>
        <w:tc>
          <w:tcPr>
            <w:tcW w:w="729" w:type="dxa"/>
            <w:tcBorders>
              <w:top w:val="nil"/>
              <w:left w:val="nil"/>
              <w:bottom w:val="single" w:sz="4" w:space="0" w:color="auto"/>
              <w:right w:val="single" w:sz="4" w:space="0" w:color="auto"/>
            </w:tcBorders>
            <w:shd w:val="clear" w:color="auto" w:fill="auto"/>
            <w:noWrap/>
            <w:vAlign w:val="center"/>
            <w:hideMark/>
          </w:tcPr>
          <w:p w14:paraId="109B5D29"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3351BAB2"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918" w:type="dxa"/>
            <w:tcBorders>
              <w:top w:val="nil"/>
              <w:left w:val="nil"/>
              <w:bottom w:val="single" w:sz="4" w:space="0" w:color="auto"/>
              <w:right w:val="single" w:sz="4" w:space="0" w:color="auto"/>
            </w:tcBorders>
            <w:shd w:val="clear" w:color="auto" w:fill="auto"/>
            <w:noWrap/>
            <w:vAlign w:val="center"/>
          </w:tcPr>
          <w:p w14:paraId="61741F78" w14:textId="3E6DE592"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5D84210A"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CE67EFD"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15</w:t>
            </w:r>
          </w:p>
        </w:tc>
        <w:tc>
          <w:tcPr>
            <w:tcW w:w="6646" w:type="dxa"/>
            <w:tcBorders>
              <w:top w:val="nil"/>
              <w:left w:val="nil"/>
              <w:bottom w:val="single" w:sz="4" w:space="0" w:color="auto"/>
              <w:right w:val="single" w:sz="4" w:space="0" w:color="auto"/>
            </w:tcBorders>
            <w:shd w:val="clear" w:color="auto" w:fill="auto"/>
            <w:noWrap/>
            <w:vAlign w:val="center"/>
            <w:hideMark/>
          </w:tcPr>
          <w:p w14:paraId="61A2A0F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IMPRESSORA PLOTTER 24 polegadas</w:t>
            </w:r>
            <w:r w:rsidRPr="005B62C0">
              <w:rPr>
                <w:rFonts w:ascii="Gadugi" w:eastAsia="Times New Roman" w:hAnsi="Gadugi" w:cs="Calibri"/>
                <w:color w:val="000000"/>
                <w:sz w:val="14"/>
                <w:szCs w:val="14"/>
              </w:rPr>
              <w:br/>
              <w:t>Plotter com tecnologia jato de tinta policromática, com possibilidade de impressão de linhas e imagens;</w:t>
            </w:r>
            <w:r w:rsidRPr="005B62C0">
              <w:rPr>
                <w:rFonts w:ascii="Gadugi" w:eastAsia="Times New Roman" w:hAnsi="Gadugi" w:cs="Calibri"/>
                <w:color w:val="000000"/>
                <w:sz w:val="14"/>
                <w:szCs w:val="14"/>
              </w:rPr>
              <w:br/>
              <w:t>Resolução mínima de 2400 x 1200 DPI (pontos por polegadas) em preto e a cores;</w:t>
            </w:r>
            <w:r w:rsidRPr="005B62C0">
              <w:rPr>
                <w:rFonts w:ascii="Gadugi" w:eastAsia="Times New Roman" w:hAnsi="Gadugi" w:cs="Calibri"/>
                <w:color w:val="000000"/>
                <w:sz w:val="14"/>
                <w:szCs w:val="14"/>
              </w:rPr>
              <w:br/>
              <w:t>Espessura máxima de linha mais fina de 0,06 mm com precisão de +/- 0,1%;</w:t>
            </w:r>
            <w:r w:rsidRPr="005B62C0">
              <w:rPr>
                <w:rFonts w:ascii="Gadugi" w:eastAsia="Times New Roman" w:hAnsi="Gadugi" w:cs="Calibri"/>
                <w:color w:val="000000"/>
                <w:sz w:val="14"/>
                <w:szCs w:val="14"/>
              </w:rPr>
              <w:br/>
              <w:t>Cartuchos de tintas instalados simultaneamente, sendo um para cada cor (preto - 80ml e ciano, magenta e amarelo  29ml);</w:t>
            </w:r>
            <w:r w:rsidRPr="005B62C0">
              <w:rPr>
                <w:rFonts w:ascii="Gadugi" w:eastAsia="Times New Roman" w:hAnsi="Gadugi" w:cs="Calibri"/>
                <w:color w:val="000000"/>
                <w:sz w:val="14"/>
                <w:szCs w:val="14"/>
              </w:rPr>
              <w:br/>
              <w:t>Velocidade mínima de impressão em modo rápido de 45 segundos/página D/A1;</w:t>
            </w:r>
            <w:r w:rsidRPr="005B62C0">
              <w:rPr>
                <w:rFonts w:ascii="Gadugi" w:eastAsia="Times New Roman" w:hAnsi="Gadugi" w:cs="Calibri"/>
                <w:color w:val="000000"/>
                <w:sz w:val="14"/>
                <w:szCs w:val="14"/>
              </w:rPr>
              <w:br/>
              <w:t>Largura de impressão de no mínimo 610 mm, 24 polegadas;</w:t>
            </w:r>
            <w:r w:rsidRPr="005B62C0">
              <w:rPr>
                <w:rFonts w:ascii="Gadugi" w:eastAsia="Times New Roman" w:hAnsi="Gadugi" w:cs="Calibri"/>
                <w:color w:val="000000"/>
                <w:sz w:val="14"/>
                <w:szCs w:val="14"/>
              </w:rPr>
              <w:br/>
              <w:t>Alimentação por folha solta e rolo de papel com cortador;</w:t>
            </w:r>
            <w:r w:rsidRPr="005B62C0">
              <w:rPr>
                <w:rFonts w:ascii="Gadugi" w:eastAsia="Times New Roman" w:hAnsi="Gadugi" w:cs="Calibri"/>
                <w:color w:val="000000"/>
                <w:sz w:val="14"/>
                <w:szCs w:val="14"/>
              </w:rPr>
              <w:br/>
              <w:t>Interfaces Fast Ethernet 100/1000 Base-T ou superior e USB 2.0;</w:t>
            </w:r>
            <w:r w:rsidRPr="005B62C0">
              <w:rPr>
                <w:rFonts w:ascii="Gadugi" w:eastAsia="Times New Roman" w:hAnsi="Gadugi" w:cs="Calibri"/>
                <w:color w:val="000000"/>
                <w:sz w:val="14"/>
                <w:szCs w:val="14"/>
              </w:rPr>
              <w:br/>
              <w:t>Compatível com Microsoft Windows 7 ou superior, devendo acompanhar todos os drivers que se fizerem necessários para tal, fornecidos em CD/DVD;</w:t>
            </w:r>
            <w:r w:rsidRPr="005B62C0">
              <w:rPr>
                <w:rFonts w:ascii="Gadugi" w:eastAsia="Times New Roman" w:hAnsi="Gadugi" w:cs="Calibri"/>
                <w:color w:val="000000"/>
                <w:sz w:val="14"/>
                <w:szCs w:val="14"/>
              </w:rPr>
              <w:br/>
              <w:t>Drivers para software Autocad, versão 2008 em diante;</w:t>
            </w:r>
            <w:r w:rsidRPr="005B62C0">
              <w:rPr>
                <w:rFonts w:ascii="Gadugi" w:eastAsia="Times New Roman" w:hAnsi="Gadugi" w:cs="Calibri"/>
                <w:color w:val="000000"/>
                <w:sz w:val="14"/>
                <w:szCs w:val="14"/>
              </w:rPr>
              <w:br/>
              <w:t>Fonte de alimentação bivolt de 100 a 240V, com chaveamento automático;</w:t>
            </w:r>
            <w:r w:rsidRPr="005B62C0">
              <w:rPr>
                <w:rFonts w:ascii="Gadugi" w:eastAsia="Times New Roman" w:hAnsi="Gadugi" w:cs="Calibri"/>
                <w:color w:val="000000"/>
                <w:sz w:val="14"/>
                <w:szCs w:val="14"/>
              </w:rPr>
              <w:br/>
              <w:t>Deve vir acompanhado de cabos de alimentação e conexão com o microcomputador e dos respectivos manuais de instalação e operação escritos em Inglês ou Português do Brasil, em CD ou impressos em papel;</w:t>
            </w:r>
            <w:r w:rsidRPr="005B62C0">
              <w:rPr>
                <w:rFonts w:ascii="Gadugi" w:eastAsia="Times New Roman" w:hAnsi="Gadugi" w:cs="Calibri"/>
                <w:color w:val="000000"/>
                <w:sz w:val="14"/>
                <w:szCs w:val="14"/>
              </w:rPr>
              <w:br/>
              <w:t>Garantia de peças e mão de obra de 12 meses on-site a contar da data da entrega do equipamento;</w:t>
            </w:r>
            <w:r w:rsidRPr="005B62C0">
              <w:rPr>
                <w:rFonts w:ascii="Gadugi" w:eastAsia="Times New Roman" w:hAnsi="Gadugi" w:cs="Calibri"/>
                <w:color w:val="000000"/>
                <w:sz w:val="14"/>
                <w:szCs w:val="14"/>
              </w:rPr>
              <w:br/>
              <w:t>Deverão acompanhar 03 (três) kit refil (igualmente a quantidade de cada cor), idênticos aos que acompanham a impressora plotter, com validade mínima de 1 (um) ano, original e do mesmo fabricante da impressora plotter;</w:t>
            </w:r>
            <w:r w:rsidRPr="005B62C0">
              <w:rPr>
                <w:rFonts w:ascii="Gadugi" w:eastAsia="Times New Roman" w:hAnsi="Gadugi" w:cs="Calibri"/>
                <w:color w:val="000000"/>
                <w:sz w:val="14"/>
                <w:szCs w:val="14"/>
              </w:rPr>
              <w:br/>
              <w:t>Por kits adicionais entende-se cartuchos de tinta preto e colorido(s), entre outros, para o perfeito funcionamento da impressora, além do considerado Starter (de fábrica);</w:t>
            </w:r>
          </w:p>
        </w:tc>
        <w:tc>
          <w:tcPr>
            <w:tcW w:w="729" w:type="dxa"/>
            <w:tcBorders>
              <w:top w:val="nil"/>
              <w:left w:val="nil"/>
              <w:bottom w:val="single" w:sz="4" w:space="0" w:color="auto"/>
              <w:right w:val="single" w:sz="4" w:space="0" w:color="auto"/>
            </w:tcBorders>
            <w:shd w:val="clear" w:color="auto" w:fill="auto"/>
            <w:noWrap/>
            <w:vAlign w:val="center"/>
            <w:hideMark/>
          </w:tcPr>
          <w:p w14:paraId="3706746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0DAC8E9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w:t>
            </w:r>
          </w:p>
        </w:tc>
        <w:tc>
          <w:tcPr>
            <w:tcW w:w="918" w:type="dxa"/>
            <w:tcBorders>
              <w:top w:val="nil"/>
              <w:left w:val="nil"/>
              <w:bottom w:val="single" w:sz="4" w:space="0" w:color="auto"/>
              <w:right w:val="single" w:sz="4" w:space="0" w:color="auto"/>
            </w:tcBorders>
            <w:shd w:val="clear" w:color="auto" w:fill="auto"/>
            <w:noWrap/>
            <w:vAlign w:val="center"/>
          </w:tcPr>
          <w:p w14:paraId="2FE7751A" w14:textId="190CDFE4"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57189EF7"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0F4581F"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16</w:t>
            </w:r>
          </w:p>
        </w:tc>
        <w:tc>
          <w:tcPr>
            <w:tcW w:w="6646" w:type="dxa"/>
            <w:tcBorders>
              <w:top w:val="nil"/>
              <w:left w:val="nil"/>
              <w:bottom w:val="single" w:sz="4" w:space="0" w:color="auto"/>
              <w:right w:val="single" w:sz="4" w:space="0" w:color="auto"/>
            </w:tcBorders>
            <w:shd w:val="clear" w:color="auto" w:fill="auto"/>
            <w:noWrap/>
            <w:vAlign w:val="center"/>
            <w:hideMark/>
          </w:tcPr>
          <w:p w14:paraId="28E56EC9"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KIT DE CAIXAS DE SOM- COMPUTADOR Sistema de canais de som: Estéreo (com duas caixas de som).</w:t>
            </w:r>
            <w:r w:rsidRPr="005B62C0">
              <w:rPr>
                <w:rFonts w:ascii="Gadugi" w:eastAsia="Times New Roman" w:hAnsi="Gadugi" w:cs="Calibri"/>
                <w:color w:val="000000"/>
                <w:sz w:val="14"/>
                <w:szCs w:val="14"/>
              </w:rPr>
              <w:br/>
              <w:t>Potência total de saída: 4 W RMS (no mínimo).</w:t>
            </w:r>
            <w:r w:rsidRPr="005B62C0">
              <w:rPr>
                <w:rFonts w:ascii="Gadugi" w:eastAsia="Times New Roman" w:hAnsi="Gadugi" w:cs="Calibri"/>
                <w:color w:val="000000"/>
                <w:sz w:val="14"/>
                <w:szCs w:val="14"/>
              </w:rPr>
              <w:br/>
              <w:t>Conector de áudio: P2  3,5 mm (TRS).</w:t>
            </w:r>
            <w:r w:rsidRPr="005B62C0">
              <w:rPr>
                <w:rFonts w:ascii="Gadugi" w:eastAsia="Times New Roman" w:hAnsi="Gadugi" w:cs="Calibri"/>
                <w:color w:val="000000"/>
                <w:sz w:val="14"/>
                <w:szCs w:val="14"/>
              </w:rPr>
              <w:br/>
              <w:t>Botão: Regulador de volume.</w:t>
            </w:r>
            <w:r w:rsidRPr="005B62C0">
              <w:rPr>
                <w:rFonts w:ascii="Gadugi" w:eastAsia="Times New Roman" w:hAnsi="Gadugi" w:cs="Calibri"/>
                <w:color w:val="000000"/>
                <w:sz w:val="14"/>
                <w:szCs w:val="14"/>
              </w:rPr>
              <w:br/>
              <w:t>Conexão e alimentação: USB.</w:t>
            </w:r>
            <w:r w:rsidRPr="005B62C0">
              <w:rPr>
                <w:rFonts w:ascii="Gadugi" w:eastAsia="Times New Roman" w:hAnsi="Gadugi" w:cs="Calibri"/>
                <w:color w:val="000000"/>
                <w:sz w:val="14"/>
                <w:szCs w:val="14"/>
              </w:rPr>
              <w:br/>
              <w:t>Comprimento do cabo entre as caixas: 30 centrímetros (no mínimo).</w:t>
            </w:r>
            <w:r w:rsidRPr="005B62C0">
              <w:rPr>
                <w:rFonts w:ascii="Gadugi" w:eastAsia="Times New Roman" w:hAnsi="Gadugi" w:cs="Calibri"/>
                <w:color w:val="000000"/>
                <w:sz w:val="14"/>
                <w:szCs w:val="14"/>
              </w:rPr>
              <w:br/>
              <w:t>Comprimento do cabo USB: 60 centímetros (no mínimo).</w:t>
            </w:r>
            <w:r w:rsidRPr="005B62C0">
              <w:rPr>
                <w:rFonts w:ascii="Gadugi" w:eastAsia="Times New Roman" w:hAnsi="Gadugi" w:cs="Calibri"/>
                <w:color w:val="000000"/>
                <w:sz w:val="14"/>
                <w:szCs w:val="14"/>
              </w:rPr>
              <w:br/>
              <w:t>Comprimento do cabo P2: 60 centímetros (no mínimo).</w:t>
            </w:r>
          </w:p>
        </w:tc>
        <w:tc>
          <w:tcPr>
            <w:tcW w:w="729" w:type="dxa"/>
            <w:tcBorders>
              <w:top w:val="nil"/>
              <w:left w:val="nil"/>
              <w:bottom w:val="single" w:sz="4" w:space="0" w:color="auto"/>
              <w:right w:val="single" w:sz="4" w:space="0" w:color="auto"/>
            </w:tcBorders>
            <w:shd w:val="clear" w:color="auto" w:fill="auto"/>
            <w:noWrap/>
            <w:vAlign w:val="center"/>
            <w:hideMark/>
          </w:tcPr>
          <w:p w14:paraId="04D7E07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PAR</w:t>
            </w:r>
          </w:p>
        </w:tc>
        <w:tc>
          <w:tcPr>
            <w:tcW w:w="852" w:type="dxa"/>
            <w:tcBorders>
              <w:top w:val="nil"/>
              <w:left w:val="nil"/>
              <w:bottom w:val="single" w:sz="4" w:space="0" w:color="auto"/>
              <w:right w:val="single" w:sz="4" w:space="0" w:color="auto"/>
            </w:tcBorders>
            <w:shd w:val="clear" w:color="auto" w:fill="auto"/>
            <w:noWrap/>
            <w:vAlign w:val="center"/>
            <w:hideMark/>
          </w:tcPr>
          <w:p w14:paraId="68CB586C"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40</w:t>
            </w:r>
          </w:p>
        </w:tc>
        <w:tc>
          <w:tcPr>
            <w:tcW w:w="918" w:type="dxa"/>
            <w:tcBorders>
              <w:top w:val="nil"/>
              <w:left w:val="nil"/>
              <w:bottom w:val="single" w:sz="4" w:space="0" w:color="auto"/>
              <w:right w:val="single" w:sz="4" w:space="0" w:color="auto"/>
            </w:tcBorders>
            <w:shd w:val="clear" w:color="auto" w:fill="auto"/>
            <w:noWrap/>
            <w:vAlign w:val="center"/>
          </w:tcPr>
          <w:p w14:paraId="5C0C1899" w14:textId="1DF5FD1B"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40FB3AD2"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6974D7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17</w:t>
            </w:r>
          </w:p>
        </w:tc>
        <w:tc>
          <w:tcPr>
            <w:tcW w:w="6646" w:type="dxa"/>
            <w:tcBorders>
              <w:top w:val="nil"/>
              <w:left w:val="nil"/>
              <w:bottom w:val="single" w:sz="4" w:space="0" w:color="auto"/>
              <w:right w:val="single" w:sz="4" w:space="0" w:color="auto"/>
            </w:tcBorders>
            <w:shd w:val="clear" w:color="auto" w:fill="auto"/>
            <w:noWrap/>
            <w:vAlign w:val="center"/>
            <w:hideMark/>
          </w:tcPr>
          <w:p w14:paraId="558378A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 xml:space="preserve">KIT TECLADO E MOUSE USB SEM FIO </w:t>
            </w:r>
          </w:p>
        </w:tc>
        <w:tc>
          <w:tcPr>
            <w:tcW w:w="729" w:type="dxa"/>
            <w:tcBorders>
              <w:top w:val="nil"/>
              <w:left w:val="nil"/>
              <w:bottom w:val="single" w:sz="4" w:space="0" w:color="auto"/>
              <w:right w:val="single" w:sz="4" w:space="0" w:color="auto"/>
            </w:tcBorders>
            <w:shd w:val="clear" w:color="auto" w:fill="auto"/>
            <w:noWrap/>
            <w:vAlign w:val="center"/>
            <w:hideMark/>
          </w:tcPr>
          <w:p w14:paraId="2FB7FE1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KIT</w:t>
            </w:r>
          </w:p>
        </w:tc>
        <w:tc>
          <w:tcPr>
            <w:tcW w:w="852" w:type="dxa"/>
            <w:tcBorders>
              <w:top w:val="nil"/>
              <w:left w:val="nil"/>
              <w:bottom w:val="single" w:sz="4" w:space="0" w:color="auto"/>
              <w:right w:val="single" w:sz="4" w:space="0" w:color="auto"/>
            </w:tcBorders>
            <w:shd w:val="clear" w:color="auto" w:fill="auto"/>
            <w:noWrap/>
            <w:vAlign w:val="center"/>
            <w:hideMark/>
          </w:tcPr>
          <w:p w14:paraId="409AF83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20</w:t>
            </w:r>
          </w:p>
        </w:tc>
        <w:tc>
          <w:tcPr>
            <w:tcW w:w="918" w:type="dxa"/>
            <w:tcBorders>
              <w:top w:val="nil"/>
              <w:left w:val="nil"/>
              <w:bottom w:val="single" w:sz="4" w:space="0" w:color="auto"/>
              <w:right w:val="single" w:sz="4" w:space="0" w:color="auto"/>
            </w:tcBorders>
            <w:shd w:val="clear" w:color="auto" w:fill="auto"/>
            <w:noWrap/>
            <w:vAlign w:val="center"/>
          </w:tcPr>
          <w:p w14:paraId="1431439B" w14:textId="00FBAF08"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0AFA849B"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10C55E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18</w:t>
            </w:r>
          </w:p>
        </w:tc>
        <w:tc>
          <w:tcPr>
            <w:tcW w:w="6646" w:type="dxa"/>
            <w:tcBorders>
              <w:top w:val="nil"/>
              <w:left w:val="nil"/>
              <w:bottom w:val="single" w:sz="4" w:space="0" w:color="auto"/>
              <w:right w:val="single" w:sz="4" w:space="0" w:color="auto"/>
            </w:tcBorders>
            <w:shd w:val="clear" w:color="auto" w:fill="auto"/>
            <w:noWrap/>
            <w:vAlign w:val="center"/>
            <w:hideMark/>
          </w:tcPr>
          <w:p w14:paraId="5147F03B"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MONITOR Monitor grande</w:t>
            </w:r>
            <w:r w:rsidRPr="005B62C0">
              <w:rPr>
                <w:rFonts w:ascii="Gadugi" w:eastAsia="Times New Roman" w:hAnsi="Gadugi" w:cs="Calibri"/>
                <w:color w:val="000000"/>
                <w:sz w:val="14"/>
                <w:szCs w:val="14"/>
              </w:rPr>
              <w:br/>
              <w:t>Tamanho de tela: 23.8 polegadas (ou superior).</w:t>
            </w:r>
            <w:r w:rsidRPr="005B62C0">
              <w:rPr>
                <w:rFonts w:ascii="Gadugi" w:eastAsia="Times New Roman" w:hAnsi="Gadugi" w:cs="Calibri"/>
                <w:color w:val="000000"/>
                <w:sz w:val="14"/>
                <w:szCs w:val="14"/>
              </w:rPr>
              <w:br/>
              <w:t>Resolução máxima: 1920x1080 pixels - Full HD (ou superior).</w:t>
            </w:r>
            <w:r w:rsidRPr="005B62C0">
              <w:rPr>
                <w:rFonts w:ascii="Gadugi" w:eastAsia="Times New Roman" w:hAnsi="Gadugi" w:cs="Calibri"/>
                <w:color w:val="000000"/>
                <w:sz w:val="14"/>
                <w:szCs w:val="14"/>
              </w:rPr>
              <w:br/>
              <w:t>Taxa de atualização em resolução máxima: 100 Hz (ou superior).</w:t>
            </w:r>
            <w:r w:rsidRPr="005B62C0">
              <w:rPr>
                <w:rFonts w:ascii="Gadugi" w:eastAsia="Times New Roman" w:hAnsi="Gadugi" w:cs="Calibri"/>
                <w:color w:val="000000"/>
                <w:sz w:val="14"/>
                <w:szCs w:val="14"/>
              </w:rPr>
              <w:br/>
              <w:t>Tempo de resposta: 15 milissegundos (ou inferior).</w:t>
            </w:r>
            <w:r w:rsidRPr="005B62C0">
              <w:rPr>
                <w:rFonts w:ascii="Gadugi" w:eastAsia="Times New Roman" w:hAnsi="Gadugi" w:cs="Calibri"/>
                <w:color w:val="000000"/>
                <w:sz w:val="14"/>
                <w:szCs w:val="14"/>
              </w:rPr>
              <w:br/>
              <w:t>Tipo de tela: LED com recurso In-Plane Switching (IPS).</w:t>
            </w:r>
            <w:r w:rsidRPr="005B62C0">
              <w:rPr>
                <w:rFonts w:ascii="Gadugi" w:eastAsia="Times New Roman" w:hAnsi="Gadugi" w:cs="Calibri"/>
                <w:color w:val="000000"/>
                <w:sz w:val="14"/>
                <w:szCs w:val="14"/>
              </w:rPr>
              <w:br/>
              <w:t>Conexões de entrada de sinal: HDMI e DisplayPort.</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Fixação traseira: Padrão de furação VESA - 100x100mm.</w:t>
            </w:r>
            <w:r w:rsidRPr="005B62C0">
              <w:rPr>
                <w:rFonts w:ascii="Gadugi" w:eastAsia="Times New Roman" w:hAnsi="Gadugi" w:cs="Calibri"/>
                <w:color w:val="000000"/>
                <w:sz w:val="14"/>
                <w:szCs w:val="14"/>
              </w:rPr>
              <w:br/>
              <w:t>Fonte de alimentação: Inclusa (interna ou externa).</w:t>
            </w:r>
            <w:r w:rsidRPr="005B62C0">
              <w:rPr>
                <w:rFonts w:ascii="Gadugi" w:eastAsia="Times New Roman" w:hAnsi="Gadugi" w:cs="Calibri"/>
                <w:color w:val="000000"/>
                <w:sz w:val="14"/>
                <w:szCs w:val="14"/>
              </w:rPr>
              <w:br/>
              <w:t>Demais itens inclusos: Base para utilização em mesa de trabalho. Cabo de força com plugue padrão ABNT NBR 14136. Cabos de vídeos inclusos HDMI e DisplayPort.</w:t>
            </w:r>
          </w:p>
        </w:tc>
        <w:tc>
          <w:tcPr>
            <w:tcW w:w="729" w:type="dxa"/>
            <w:tcBorders>
              <w:top w:val="nil"/>
              <w:left w:val="nil"/>
              <w:bottom w:val="single" w:sz="4" w:space="0" w:color="auto"/>
              <w:right w:val="single" w:sz="4" w:space="0" w:color="auto"/>
            </w:tcBorders>
            <w:shd w:val="clear" w:color="auto" w:fill="auto"/>
            <w:noWrap/>
            <w:vAlign w:val="center"/>
            <w:hideMark/>
          </w:tcPr>
          <w:p w14:paraId="4FD7F08F"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2A347D2F"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4</w:t>
            </w:r>
          </w:p>
        </w:tc>
        <w:tc>
          <w:tcPr>
            <w:tcW w:w="918" w:type="dxa"/>
            <w:tcBorders>
              <w:top w:val="nil"/>
              <w:left w:val="nil"/>
              <w:bottom w:val="single" w:sz="4" w:space="0" w:color="auto"/>
              <w:right w:val="single" w:sz="4" w:space="0" w:color="auto"/>
            </w:tcBorders>
            <w:shd w:val="clear" w:color="auto" w:fill="auto"/>
            <w:noWrap/>
            <w:vAlign w:val="center"/>
          </w:tcPr>
          <w:p w14:paraId="3AB348BE" w14:textId="52767E8D"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33772BE8"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7BDF12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19</w:t>
            </w:r>
          </w:p>
        </w:tc>
        <w:tc>
          <w:tcPr>
            <w:tcW w:w="6646" w:type="dxa"/>
            <w:tcBorders>
              <w:top w:val="nil"/>
              <w:left w:val="nil"/>
              <w:bottom w:val="single" w:sz="4" w:space="0" w:color="auto"/>
              <w:right w:val="single" w:sz="4" w:space="0" w:color="auto"/>
            </w:tcBorders>
            <w:shd w:val="clear" w:color="auto" w:fill="auto"/>
            <w:noWrap/>
            <w:vAlign w:val="center"/>
            <w:hideMark/>
          </w:tcPr>
          <w:p w14:paraId="5CD8F32E"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MONITOR 21,5" Tamanho de tela: 21,5 polegadas (ou superior).</w:t>
            </w:r>
            <w:r w:rsidRPr="005B62C0">
              <w:rPr>
                <w:rFonts w:ascii="Gadugi" w:eastAsia="Times New Roman" w:hAnsi="Gadugi" w:cs="Calibri"/>
                <w:color w:val="000000"/>
                <w:sz w:val="14"/>
                <w:szCs w:val="14"/>
              </w:rPr>
              <w:br/>
              <w:t>Resolução máxima: 1920x1080 pixels - Full HD (ou superior).</w:t>
            </w:r>
            <w:r w:rsidRPr="005B62C0">
              <w:rPr>
                <w:rFonts w:ascii="Gadugi" w:eastAsia="Times New Roman" w:hAnsi="Gadugi" w:cs="Calibri"/>
                <w:color w:val="000000"/>
                <w:sz w:val="14"/>
                <w:szCs w:val="14"/>
              </w:rPr>
              <w:br/>
              <w:t>Taxa de atualização em resolução máxima: 60 Hz (ou superior).</w:t>
            </w:r>
            <w:r w:rsidRPr="005B62C0">
              <w:rPr>
                <w:rFonts w:ascii="Gadugi" w:eastAsia="Times New Roman" w:hAnsi="Gadugi" w:cs="Calibri"/>
                <w:color w:val="000000"/>
                <w:sz w:val="14"/>
                <w:szCs w:val="14"/>
              </w:rPr>
              <w:br/>
              <w:t>Tempo de resposta: 15 milissegundos (ou inferior).</w:t>
            </w:r>
            <w:r w:rsidRPr="005B62C0">
              <w:rPr>
                <w:rFonts w:ascii="Gadugi" w:eastAsia="Times New Roman" w:hAnsi="Gadugi" w:cs="Calibri"/>
                <w:color w:val="000000"/>
                <w:sz w:val="14"/>
                <w:szCs w:val="14"/>
              </w:rPr>
              <w:br/>
              <w:t>Tipo de tela: LED com recurso In-Plane Switching (IPS).</w:t>
            </w:r>
            <w:r w:rsidRPr="005B62C0">
              <w:rPr>
                <w:rFonts w:ascii="Gadugi" w:eastAsia="Times New Roman" w:hAnsi="Gadugi" w:cs="Calibri"/>
                <w:color w:val="000000"/>
                <w:sz w:val="14"/>
                <w:szCs w:val="14"/>
              </w:rPr>
              <w:br/>
              <w:t>Conexões de entrada de sinal: VGA, HDMI.</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Fixação traseira: Padrão de furação VESA - 100x100mm.</w:t>
            </w:r>
            <w:r w:rsidRPr="005B62C0">
              <w:rPr>
                <w:rFonts w:ascii="Gadugi" w:eastAsia="Times New Roman" w:hAnsi="Gadugi" w:cs="Calibri"/>
                <w:color w:val="000000"/>
                <w:sz w:val="14"/>
                <w:szCs w:val="14"/>
              </w:rPr>
              <w:br/>
              <w:t>Fonte de alimentação: Inclusa (interna ou externa).</w:t>
            </w:r>
            <w:r w:rsidRPr="005B62C0">
              <w:rPr>
                <w:rFonts w:ascii="Gadugi" w:eastAsia="Times New Roman" w:hAnsi="Gadugi" w:cs="Calibri"/>
                <w:color w:val="000000"/>
                <w:sz w:val="14"/>
                <w:szCs w:val="14"/>
              </w:rPr>
              <w:br/>
              <w:t>Demais itens inclusos: Base para utilização em mesa de trabalho. Cabo de força com plugue padrão ABNT NBR 14136. Cabo de vídeo incluso (HDMI ou VGA).</w:t>
            </w:r>
          </w:p>
        </w:tc>
        <w:tc>
          <w:tcPr>
            <w:tcW w:w="729" w:type="dxa"/>
            <w:tcBorders>
              <w:top w:val="nil"/>
              <w:left w:val="nil"/>
              <w:bottom w:val="single" w:sz="4" w:space="0" w:color="auto"/>
              <w:right w:val="single" w:sz="4" w:space="0" w:color="auto"/>
            </w:tcBorders>
            <w:shd w:val="clear" w:color="auto" w:fill="auto"/>
            <w:noWrap/>
            <w:vAlign w:val="center"/>
            <w:hideMark/>
          </w:tcPr>
          <w:p w14:paraId="09F6044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3E0EE61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30</w:t>
            </w:r>
          </w:p>
        </w:tc>
        <w:tc>
          <w:tcPr>
            <w:tcW w:w="918" w:type="dxa"/>
            <w:tcBorders>
              <w:top w:val="nil"/>
              <w:left w:val="nil"/>
              <w:bottom w:val="single" w:sz="4" w:space="0" w:color="auto"/>
              <w:right w:val="single" w:sz="4" w:space="0" w:color="auto"/>
            </w:tcBorders>
            <w:shd w:val="clear" w:color="auto" w:fill="auto"/>
            <w:noWrap/>
            <w:vAlign w:val="center"/>
          </w:tcPr>
          <w:p w14:paraId="5C9DF970" w14:textId="26E1CD5A"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0C0D7EB9"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DDC4489"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20</w:t>
            </w:r>
          </w:p>
        </w:tc>
        <w:tc>
          <w:tcPr>
            <w:tcW w:w="6646" w:type="dxa"/>
            <w:tcBorders>
              <w:top w:val="nil"/>
              <w:left w:val="nil"/>
              <w:bottom w:val="single" w:sz="4" w:space="0" w:color="auto"/>
              <w:right w:val="single" w:sz="4" w:space="0" w:color="auto"/>
            </w:tcBorders>
            <w:shd w:val="clear" w:color="auto" w:fill="auto"/>
            <w:noWrap/>
            <w:vAlign w:val="center"/>
            <w:hideMark/>
          </w:tcPr>
          <w:p w14:paraId="063E3322"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MOUSE ÓTICO USB Tipo: Mouse com fio.</w:t>
            </w:r>
            <w:r w:rsidRPr="005B62C0">
              <w:rPr>
                <w:rFonts w:ascii="Gadugi" w:eastAsia="Times New Roman" w:hAnsi="Gadugi" w:cs="Calibri"/>
                <w:color w:val="000000"/>
                <w:sz w:val="14"/>
                <w:szCs w:val="14"/>
              </w:rPr>
              <w:br/>
              <w:t>Botões: Esquerdo, direito e central (botão central com rolagem e clique).</w:t>
            </w:r>
            <w:r w:rsidRPr="005B62C0">
              <w:rPr>
                <w:rFonts w:ascii="Gadugi" w:eastAsia="Times New Roman" w:hAnsi="Gadugi" w:cs="Calibri"/>
                <w:color w:val="000000"/>
                <w:sz w:val="14"/>
                <w:szCs w:val="14"/>
              </w:rPr>
              <w:br/>
              <w:t>Sensor: Sensor óptico.</w:t>
            </w:r>
            <w:r w:rsidRPr="005B62C0">
              <w:rPr>
                <w:rFonts w:ascii="Gadugi" w:eastAsia="Times New Roman" w:hAnsi="Gadugi" w:cs="Calibri"/>
                <w:color w:val="000000"/>
                <w:sz w:val="14"/>
                <w:szCs w:val="14"/>
              </w:rPr>
              <w:br/>
              <w:t>Resolução: Sensor com resolução de 1200 DPI (ou superior).</w:t>
            </w:r>
            <w:r w:rsidRPr="005B62C0">
              <w:rPr>
                <w:rFonts w:ascii="Gadugi" w:eastAsia="Times New Roman" w:hAnsi="Gadugi" w:cs="Calibri"/>
                <w:color w:val="000000"/>
                <w:sz w:val="14"/>
                <w:szCs w:val="14"/>
              </w:rPr>
              <w:br/>
              <w:t>Conexão: USB.</w:t>
            </w:r>
            <w:r w:rsidRPr="005B62C0">
              <w:rPr>
                <w:rFonts w:ascii="Gadugi" w:eastAsia="Times New Roman" w:hAnsi="Gadugi" w:cs="Calibri"/>
                <w:color w:val="000000"/>
                <w:sz w:val="14"/>
                <w:szCs w:val="14"/>
              </w:rPr>
              <w:br/>
              <w:t>Comprimento do cabo USB: 1,50 metros (no mínimo).</w:t>
            </w:r>
          </w:p>
        </w:tc>
        <w:tc>
          <w:tcPr>
            <w:tcW w:w="729" w:type="dxa"/>
            <w:tcBorders>
              <w:top w:val="nil"/>
              <w:left w:val="nil"/>
              <w:bottom w:val="single" w:sz="4" w:space="0" w:color="auto"/>
              <w:right w:val="single" w:sz="4" w:space="0" w:color="auto"/>
            </w:tcBorders>
            <w:shd w:val="clear" w:color="auto" w:fill="auto"/>
            <w:noWrap/>
            <w:vAlign w:val="center"/>
            <w:hideMark/>
          </w:tcPr>
          <w:p w14:paraId="1B3C607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764D8926"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60</w:t>
            </w:r>
          </w:p>
        </w:tc>
        <w:tc>
          <w:tcPr>
            <w:tcW w:w="918" w:type="dxa"/>
            <w:tcBorders>
              <w:top w:val="nil"/>
              <w:left w:val="nil"/>
              <w:bottom w:val="single" w:sz="4" w:space="0" w:color="auto"/>
              <w:right w:val="single" w:sz="4" w:space="0" w:color="auto"/>
            </w:tcBorders>
            <w:shd w:val="clear" w:color="auto" w:fill="auto"/>
            <w:noWrap/>
            <w:vAlign w:val="center"/>
          </w:tcPr>
          <w:p w14:paraId="1793616E" w14:textId="3F8FCABD"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2A811526"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CC336CD"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21</w:t>
            </w:r>
          </w:p>
        </w:tc>
        <w:tc>
          <w:tcPr>
            <w:tcW w:w="6646" w:type="dxa"/>
            <w:tcBorders>
              <w:top w:val="nil"/>
              <w:left w:val="nil"/>
              <w:bottom w:val="single" w:sz="4" w:space="0" w:color="auto"/>
              <w:right w:val="single" w:sz="4" w:space="0" w:color="auto"/>
            </w:tcBorders>
            <w:shd w:val="clear" w:color="auto" w:fill="auto"/>
            <w:noWrap/>
            <w:vAlign w:val="center"/>
            <w:hideMark/>
          </w:tcPr>
          <w:p w14:paraId="681A4E22"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NO BREAK Potência: 3000 VA (ou superior).</w:t>
            </w:r>
            <w:r w:rsidRPr="005B62C0">
              <w:rPr>
                <w:rFonts w:ascii="Gadugi" w:eastAsia="Times New Roman" w:hAnsi="Gadugi" w:cs="Calibri"/>
                <w:color w:val="000000"/>
                <w:sz w:val="14"/>
                <w:szCs w:val="14"/>
              </w:rPr>
              <w:br/>
              <w:t>Tomadas: 8 tomadas (no mínimo) padrão ABNT NBR 14236.</w:t>
            </w:r>
            <w:r w:rsidRPr="005B62C0">
              <w:rPr>
                <w:rFonts w:ascii="Gadugi" w:eastAsia="Times New Roman" w:hAnsi="Gadugi" w:cs="Calibri"/>
                <w:color w:val="000000"/>
                <w:sz w:val="14"/>
                <w:szCs w:val="14"/>
              </w:rPr>
              <w:br/>
              <w:t>Proteções: Sobrecarga (proteção contra potência excedida na saída), subtensão, sobretensão, TrueRMS (análise correta de tensão e corrente da rede elétrica).</w:t>
            </w:r>
            <w:r w:rsidRPr="005B62C0">
              <w:rPr>
                <w:rFonts w:ascii="Gadugi" w:eastAsia="Times New Roman" w:hAnsi="Gadugi" w:cs="Calibri"/>
                <w:color w:val="000000"/>
                <w:sz w:val="14"/>
                <w:szCs w:val="14"/>
              </w:rPr>
              <w:br/>
              <w:t>Baterias - Disposição: 2 (no mínimo) baterias substituíveis.</w:t>
            </w:r>
            <w:r w:rsidRPr="005B62C0">
              <w:rPr>
                <w:rFonts w:ascii="Gadugi" w:eastAsia="Times New Roman" w:hAnsi="Gadugi" w:cs="Calibri"/>
                <w:color w:val="000000"/>
                <w:sz w:val="14"/>
                <w:szCs w:val="14"/>
              </w:rPr>
              <w:br/>
              <w:t>Baterias  Tensão: 12 V (no mínimo) por bateria.</w:t>
            </w:r>
            <w:r w:rsidRPr="005B62C0">
              <w:rPr>
                <w:rFonts w:ascii="Gadugi" w:eastAsia="Times New Roman" w:hAnsi="Gadugi" w:cs="Calibri"/>
                <w:color w:val="000000"/>
                <w:sz w:val="14"/>
                <w:szCs w:val="14"/>
              </w:rPr>
              <w:br/>
              <w:t>Formato de onda do inversor: Senoidal pura.</w:t>
            </w:r>
            <w:r w:rsidRPr="005B62C0">
              <w:rPr>
                <w:rFonts w:ascii="Gadugi" w:eastAsia="Times New Roman" w:hAnsi="Gadugi" w:cs="Calibri"/>
                <w:color w:val="000000"/>
                <w:sz w:val="14"/>
                <w:szCs w:val="14"/>
              </w:rPr>
              <w:br/>
              <w:t>Tensão de entrada: Bivolt automático.</w:t>
            </w:r>
            <w:r w:rsidRPr="005B62C0">
              <w:rPr>
                <w:rFonts w:ascii="Gadugi" w:eastAsia="Times New Roman" w:hAnsi="Gadugi" w:cs="Calibri"/>
                <w:color w:val="000000"/>
                <w:sz w:val="14"/>
                <w:szCs w:val="14"/>
              </w:rPr>
              <w:br/>
              <w:t>Tensão de saída: Bivolt.</w:t>
            </w:r>
            <w:r w:rsidRPr="005B62C0">
              <w:rPr>
                <w:rFonts w:ascii="Gadugi" w:eastAsia="Times New Roman" w:hAnsi="Gadugi" w:cs="Calibri"/>
                <w:color w:val="000000"/>
                <w:sz w:val="14"/>
                <w:szCs w:val="14"/>
              </w:rPr>
              <w:br/>
              <w:t>Cabo de força: Plugue padrão ABNT NBR 14136.</w:t>
            </w:r>
          </w:p>
        </w:tc>
        <w:tc>
          <w:tcPr>
            <w:tcW w:w="729" w:type="dxa"/>
            <w:tcBorders>
              <w:top w:val="nil"/>
              <w:left w:val="nil"/>
              <w:bottom w:val="single" w:sz="4" w:space="0" w:color="auto"/>
              <w:right w:val="single" w:sz="4" w:space="0" w:color="auto"/>
            </w:tcBorders>
            <w:shd w:val="clear" w:color="auto" w:fill="auto"/>
            <w:noWrap/>
            <w:vAlign w:val="center"/>
            <w:hideMark/>
          </w:tcPr>
          <w:p w14:paraId="54344B56"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753B0C0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12</w:t>
            </w:r>
          </w:p>
        </w:tc>
        <w:tc>
          <w:tcPr>
            <w:tcW w:w="918" w:type="dxa"/>
            <w:tcBorders>
              <w:top w:val="nil"/>
              <w:left w:val="nil"/>
              <w:bottom w:val="single" w:sz="4" w:space="0" w:color="auto"/>
              <w:right w:val="single" w:sz="4" w:space="0" w:color="auto"/>
            </w:tcBorders>
            <w:shd w:val="clear" w:color="auto" w:fill="auto"/>
            <w:noWrap/>
            <w:vAlign w:val="center"/>
          </w:tcPr>
          <w:p w14:paraId="7549C7C0" w14:textId="0A6194B9"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23E83BA2"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35152B2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22</w:t>
            </w:r>
          </w:p>
        </w:tc>
        <w:tc>
          <w:tcPr>
            <w:tcW w:w="6646" w:type="dxa"/>
            <w:tcBorders>
              <w:top w:val="nil"/>
              <w:left w:val="nil"/>
              <w:bottom w:val="single" w:sz="4" w:space="0" w:color="auto"/>
              <w:right w:val="single" w:sz="4" w:space="0" w:color="auto"/>
            </w:tcBorders>
            <w:shd w:val="clear" w:color="auto" w:fill="auto"/>
            <w:noWrap/>
            <w:vAlign w:val="center"/>
            <w:hideMark/>
          </w:tcPr>
          <w:p w14:paraId="08250A3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NOTEBOOK Notebook - 15.6 polegadas com SSD</w:t>
            </w:r>
            <w:r w:rsidRPr="005B62C0">
              <w:rPr>
                <w:rFonts w:ascii="Gadugi" w:eastAsia="Times New Roman" w:hAnsi="Gadugi" w:cs="Calibri"/>
                <w:color w:val="000000"/>
                <w:sz w:val="14"/>
                <w:szCs w:val="14"/>
              </w:rPr>
              <w:br/>
              <w:t>Processador - Arquitetura: X86-64.</w:t>
            </w:r>
            <w:r w:rsidRPr="005B62C0">
              <w:rPr>
                <w:rFonts w:ascii="Gadugi" w:eastAsia="Times New Roman" w:hAnsi="Gadugi" w:cs="Calibri"/>
                <w:color w:val="000000"/>
                <w:sz w:val="14"/>
                <w:szCs w:val="14"/>
              </w:rPr>
              <w:br/>
              <w:t>Processador - Frequência base: 1,8 GHz (no mínimo, sem necessidade de overclock via software, overclock via hardware, Thermal Velocity Boost, Turbo Max Core Speed, Max Turbo, Turbo Boost, Precision Boost para alcançar tal frequência).</w:t>
            </w:r>
            <w:r w:rsidRPr="005B62C0">
              <w:rPr>
                <w:rFonts w:ascii="Gadugi" w:eastAsia="Times New Roman" w:hAnsi="Gadugi" w:cs="Calibri"/>
                <w:color w:val="000000"/>
                <w:sz w:val="14"/>
                <w:szCs w:val="14"/>
              </w:rPr>
              <w:br/>
              <w:t>Processador - Frequência turbo: 4,3 GHz (ou superior).</w:t>
            </w:r>
            <w:r w:rsidRPr="005B62C0">
              <w:rPr>
                <w:rFonts w:ascii="Gadugi" w:eastAsia="Times New Roman" w:hAnsi="Gadugi" w:cs="Calibri"/>
                <w:color w:val="000000"/>
                <w:sz w:val="14"/>
                <w:szCs w:val="14"/>
              </w:rPr>
              <w:br/>
              <w:t>Processador - Núcleos físicos: 8 cores (no mínimo).</w:t>
            </w:r>
            <w:r w:rsidRPr="005B62C0">
              <w:rPr>
                <w:rFonts w:ascii="Gadugi" w:eastAsia="Times New Roman" w:hAnsi="Gadugi" w:cs="Calibri"/>
                <w:color w:val="000000"/>
                <w:sz w:val="14"/>
                <w:szCs w:val="14"/>
              </w:rPr>
              <w:br/>
              <w:t>Processador - Núcleos lógicos: 12 threads (no mínimo).</w:t>
            </w:r>
            <w:r w:rsidRPr="005B62C0">
              <w:rPr>
                <w:rFonts w:ascii="Gadugi" w:eastAsia="Times New Roman" w:hAnsi="Gadugi" w:cs="Calibri"/>
                <w:color w:val="000000"/>
                <w:sz w:val="14"/>
                <w:szCs w:val="14"/>
              </w:rPr>
              <w:br/>
              <w:t>Processador - Memória cache: 8 MB (no mínimo).</w:t>
            </w:r>
            <w:r w:rsidRPr="005B62C0">
              <w:rPr>
                <w:rFonts w:ascii="Gadugi" w:eastAsia="Times New Roman" w:hAnsi="Gadugi" w:cs="Calibri"/>
                <w:color w:val="000000"/>
                <w:sz w:val="14"/>
                <w:szCs w:val="14"/>
              </w:rPr>
              <w:br/>
              <w:t>Memória RAM - Instalada: 8 GB (no mínimo).</w:t>
            </w:r>
            <w:r w:rsidRPr="005B62C0">
              <w:rPr>
                <w:rFonts w:ascii="Gadugi" w:eastAsia="Times New Roman" w:hAnsi="Gadugi" w:cs="Calibri"/>
                <w:color w:val="000000"/>
                <w:sz w:val="14"/>
                <w:szCs w:val="14"/>
              </w:rPr>
              <w:br/>
              <w:t>Memória RAM - Padrão: DDR4.</w:t>
            </w:r>
            <w:r w:rsidRPr="005B62C0">
              <w:rPr>
                <w:rFonts w:ascii="Gadugi" w:eastAsia="Times New Roman" w:hAnsi="Gadugi" w:cs="Calibri"/>
                <w:color w:val="000000"/>
                <w:sz w:val="14"/>
                <w:szCs w:val="14"/>
              </w:rPr>
              <w:br/>
              <w:t>Armazenamento  Capacidade: 256 GB (ou superior).</w:t>
            </w:r>
            <w:r w:rsidRPr="005B62C0">
              <w:rPr>
                <w:rFonts w:ascii="Gadugi" w:eastAsia="Times New Roman" w:hAnsi="Gadugi" w:cs="Calibri"/>
                <w:color w:val="000000"/>
                <w:sz w:val="14"/>
                <w:szCs w:val="14"/>
              </w:rPr>
              <w:br/>
              <w:t>Armazenamento  Interface: SSD M.2 NVMe.</w:t>
            </w:r>
            <w:r w:rsidRPr="005B62C0">
              <w:rPr>
                <w:rFonts w:ascii="Gadugi" w:eastAsia="Times New Roman" w:hAnsi="Gadugi" w:cs="Calibri"/>
                <w:color w:val="000000"/>
                <w:sz w:val="14"/>
                <w:szCs w:val="14"/>
              </w:rPr>
              <w:br/>
              <w:t>Tela - Tamanho: 15,6 polegadas (ou superior).</w:t>
            </w:r>
            <w:r w:rsidRPr="005B62C0">
              <w:rPr>
                <w:rFonts w:ascii="Gadugi" w:eastAsia="Times New Roman" w:hAnsi="Gadugi" w:cs="Calibri"/>
                <w:color w:val="000000"/>
                <w:sz w:val="14"/>
                <w:szCs w:val="14"/>
              </w:rPr>
              <w:br/>
              <w:t>Tela  Recursos: Tela antirreflexiva (sem uso de adesivos antirreflexivos).</w:t>
            </w:r>
            <w:r w:rsidRPr="005B62C0">
              <w:rPr>
                <w:rFonts w:ascii="Gadugi" w:eastAsia="Times New Roman" w:hAnsi="Gadugi" w:cs="Calibri"/>
                <w:color w:val="000000"/>
                <w:sz w:val="14"/>
                <w:szCs w:val="14"/>
              </w:rPr>
              <w:br/>
              <w:t>Tela - Resolução máxima: 1920X1080 (ou superior).</w:t>
            </w:r>
            <w:r w:rsidRPr="005B62C0">
              <w:rPr>
                <w:rFonts w:ascii="Gadugi" w:eastAsia="Times New Roman" w:hAnsi="Gadugi" w:cs="Calibri"/>
                <w:color w:val="000000"/>
                <w:sz w:val="14"/>
                <w:szCs w:val="14"/>
              </w:rPr>
              <w:br/>
              <w:t>Tela - Taxa de atualização em resolução máxima: 60 Hz (ou superior).</w:t>
            </w:r>
            <w:r w:rsidRPr="005B62C0">
              <w:rPr>
                <w:rFonts w:ascii="Gadugi" w:eastAsia="Times New Roman" w:hAnsi="Gadugi" w:cs="Calibri"/>
                <w:color w:val="000000"/>
                <w:sz w:val="14"/>
                <w:szCs w:val="14"/>
              </w:rPr>
              <w:br/>
              <w:t>Multimídia - Placa de som: Placa de som integrada  placa-mãe com dois alto-falantes embutidos.</w:t>
            </w:r>
            <w:r w:rsidRPr="005B62C0">
              <w:rPr>
                <w:rFonts w:ascii="Gadugi" w:eastAsia="Times New Roman" w:hAnsi="Gadugi" w:cs="Calibri"/>
                <w:color w:val="000000"/>
                <w:sz w:val="14"/>
                <w:szCs w:val="14"/>
              </w:rPr>
              <w:br/>
              <w:t>Multimídia - Microfone: Microfone embutido.</w:t>
            </w:r>
            <w:r w:rsidRPr="005B62C0">
              <w:rPr>
                <w:rFonts w:ascii="Gadugi" w:eastAsia="Times New Roman" w:hAnsi="Gadugi" w:cs="Calibri"/>
                <w:color w:val="000000"/>
                <w:sz w:val="14"/>
                <w:szCs w:val="14"/>
              </w:rPr>
              <w:br/>
              <w:t>Teclado integrado ao aparelho - Teclado central: Alfanumérico.</w:t>
            </w:r>
            <w:r w:rsidRPr="005B62C0">
              <w:rPr>
                <w:rFonts w:ascii="Gadugi" w:eastAsia="Times New Roman" w:hAnsi="Gadugi" w:cs="Calibri"/>
                <w:color w:val="000000"/>
                <w:sz w:val="14"/>
                <w:szCs w:val="14"/>
              </w:rPr>
              <w:br/>
              <w:t>Teclado integrado ao aparelho - Teclado direito: Numérico.</w:t>
            </w:r>
            <w:r w:rsidRPr="005B62C0">
              <w:rPr>
                <w:rFonts w:ascii="Gadugi" w:eastAsia="Times New Roman" w:hAnsi="Gadugi" w:cs="Calibri"/>
                <w:color w:val="000000"/>
                <w:sz w:val="14"/>
                <w:szCs w:val="14"/>
              </w:rPr>
              <w:br/>
              <w:t>Mouse integrado ao aparelho  Tipo: Touchpad.</w:t>
            </w:r>
            <w:r w:rsidRPr="005B62C0">
              <w:rPr>
                <w:rFonts w:ascii="Gadugi" w:eastAsia="Times New Roman" w:hAnsi="Gadugi" w:cs="Calibri"/>
                <w:color w:val="000000"/>
                <w:sz w:val="14"/>
                <w:szCs w:val="14"/>
              </w:rPr>
              <w:br/>
              <w:t>Mouse integrado ao aparelho  Botões: 2 botões integrados (no mínimo).</w:t>
            </w:r>
            <w:r w:rsidRPr="005B62C0">
              <w:rPr>
                <w:rFonts w:ascii="Gadugi" w:eastAsia="Times New Roman" w:hAnsi="Gadugi" w:cs="Calibri"/>
                <w:color w:val="000000"/>
                <w:sz w:val="14"/>
                <w:szCs w:val="14"/>
              </w:rPr>
              <w:br/>
              <w:t>Rede WLAN  Frequências: Dual band (5 GHz e 2.4 GHz).</w:t>
            </w:r>
            <w:r w:rsidRPr="005B62C0">
              <w:rPr>
                <w:rFonts w:ascii="Gadugi" w:eastAsia="Times New Roman" w:hAnsi="Gadugi" w:cs="Calibri"/>
                <w:color w:val="000000"/>
                <w:sz w:val="14"/>
                <w:szCs w:val="14"/>
              </w:rPr>
              <w:br/>
              <w:t>Rede WLAN  Arquiteturas 2.4 GHz: IEEE 802.11b, IEEE 802.11g, IEEE 802.11n.</w:t>
            </w:r>
            <w:r w:rsidRPr="005B62C0">
              <w:rPr>
                <w:rFonts w:ascii="Gadugi" w:eastAsia="Times New Roman" w:hAnsi="Gadugi" w:cs="Calibri"/>
                <w:color w:val="000000"/>
                <w:sz w:val="14"/>
                <w:szCs w:val="14"/>
              </w:rPr>
              <w:br/>
              <w:t>Rede WLAN - Arquiteturas: IEEE 802.11ac ou IEEE 802.11ax.</w:t>
            </w:r>
            <w:r w:rsidRPr="005B62C0">
              <w:rPr>
                <w:rFonts w:ascii="Gadugi" w:eastAsia="Times New Roman" w:hAnsi="Gadugi" w:cs="Calibri"/>
                <w:color w:val="000000"/>
                <w:sz w:val="14"/>
                <w:szCs w:val="14"/>
              </w:rPr>
              <w:br/>
              <w:t>Rede LAN - Transferência de dados: 10/100/1000 Mbps.</w:t>
            </w:r>
            <w:r w:rsidRPr="005B62C0">
              <w:rPr>
                <w:rFonts w:ascii="Gadugi" w:eastAsia="Times New Roman" w:hAnsi="Gadugi" w:cs="Calibri"/>
                <w:color w:val="000000"/>
                <w:sz w:val="14"/>
                <w:szCs w:val="14"/>
              </w:rPr>
              <w:br/>
              <w:t>Conexões externas integradas ao chassi do aparelho: Duas portas (no mínimo) USB (sendo, no mínimo, uma destas USB 3). Uma porta (no mínimo) HDMI (para ligação em um monitor extra). Uma porta (no mínimo) RJ45 Gigabit. Uma entrada (no mínimo) para cartão MicroSD.</w:t>
            </w:r>
            <w:r w:rsidRPr="005B62C0">
              <w:rPr>
                <w:rFonts w:ascii="Gadugi" w:eastAsia="Times New Roman" w:hAnsi="Gadugi" w:cs="Calibri"/>
                <w:color w:val="000000"/>
                <w:sz w:val="14"/>
                <w:szCs w:val="14"/>
              </w:rPr>
              <w:br/>
              <w:t>Fonte de alimentação - Tipo: Externa.</w:t>
            </w:r>
            <w:r w:rsidRPr="005B62C0">
              <w:rPr>
                <w:rFonts w:ascii="Gadugi" w:eastAsia="Times New Roman" w:hAnsi="Gadugi" w:cs="Calibri"/>
                <w:color w:val="000000"/>
                <w:sz w:val="14"/>
                <w:szCs w:val="14"/>
              </w:rPr>
              <w:br/>
              <w:t>Fonte de alimentação - Tensão de entrada: Bivolt automático.</w:t>
            </w:r>
            <w:r w:rsidRPr="005B62C0">
              <w:rPr>
                <w:rFonts w:ascii="Gadugi" w:eastAsia="Times New Roman" w:hAnsi="Gadugi" w:cs="Calibri"/>
                <w:color w:val="000000"/>
                <w:sz w:val="14"/>
                <w:szCs w:val="14"/>
              </w:rPr>
              <w:br/>
              <w:t>Fonte de alimentação - Cabo de força: Plugue padrão ABNT NBR 14136.</w:t>
            </w:r>
            <w:r w:rsidRPr="005B62C0">
              <w:rPr>
                <w:rFonts w:ascii="Gadugi" w:eastAsia="Times New Roman" w:hAnsi="Gadugi" w:cs="Calibri"/>
                <w:color w:val="000000"/>
                <w:sz w:val="14"/>
                <w:szCs w:val="14"/>
              </w:rPr>
              <w:br/>
              <w:t>Bateria  Tipo: Interna.</w:t>
            </w:r>
            <w:r w:rsidRPr="005B62C0">
              <w:rPr>
                <w:rFonts w:ascii="Gadugi" w:eastAsia="Times New Roman" w:hAnsi="Gadugi" w:cs="Calibri"/>
                <w:color w:val="000000"/>
                <w:sz w:val="14"/>
                <w:szCs w:val="14"/>
              </w:rPr>
              <w:br/>
              <w:t>Bateria  Especificação Watt-hora: 42 Wh (no mínimo).</w:t>
            </w:r>
            <w:r w:rsidRPr="005B62C0">
              <w:rPr>
                <w:rFonts w:ascii="Gadugi" w:eastAsia="Times New Roman" w:hAnsi="Gadugi" w:cs="Calibri"/>
                <w:color w:val="000000"/>
                <w:sz w:val="14"/>
                <w:szCs w:val="14"/>
              </w:rPr>
              <w:br/>
              <w:t>Sistema operacional: Windows 11 (64-bits) original (com chave de ativação ou licença digital). Não pode ser pré-instalado.</w:t>
            </w:r>
          </w:p>
        </w:tc>
        <w:tc>
          <w:tcPr>
            <w:tcW w:w="729" w:type="dxa"/>
            <w:tcBorders>
              <w:top w:val="nil"/>
              <w:left w:val="nil"/>
              <w:bottom w:val="single" w:sz="4" w:space="0" w:color="auto"/>
              <w:right w:val="single" w:sz="4" w:space="0" w:color="auto"/>
            </w:tcBorders>
            <w:shd w:val="clear" w:color="auto" w:fill="auto"/>
            <w:noWrap/>
            <w:vAlign w:val="center"/>
            <w:hideMark/>
          </w:tcPr>
          <w:p w14:paraId="1005259D"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3080BEC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15</w:t>
            </w:r>
          </w:p>
        </w:tc>
        <w:tc>
          <w:tcPr>
            <w:tcW w:w="918" w:type="dxa"/>
            <w:tcBorders>
              <w:top w:val="nil"/>
              <w:left w:val="nil"/>
              <w:bottom w:val="single" w:sz="4" w:space="0" w:color="auto"/>
              <w:right w:val="single" w:sz="4" w:space="0" w:color="auto"/>
            </w:tcBorders>
            <w:shd w:val="clear" w:color="auto" w:fill="auto"/>
            <w:noWrap/>
            <w:vAlign w:val="center"/>
          </w:tcPr>
          <w:p w14:paraId="56235106" w14:textId="5C932B70"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727ADBDA"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1F447146"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23</w:t>
            </w:r>
          </w:p>
        </w:tc>
        <w:tc>
          <w:tcPr>
            <w:tcW w:w="6646" w:type="dxa"/>
            <w:tcBorders>
              <w:top w:val="nil"/>
              <w:left w:val="nil"/>
              <w:bottom w:val="single" w:sz="4" w:space="0" w:color="auto"/>
              <w:right w:val="single" w:sz="4" w:space="0" w:color="auto"/>
            </w:tcBorders>
            <w:shd w:val="clear" w:color="auto" w:fill="auto"/>
            <w:noWrap/>
            <w:vAlign w:val="center"/>
            <w:hideMark/>
          </w:tcPr>
          <w:p w14:paraId="1FBA3F7B"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PEN DRIVE 32 GB Capacidade: 32 GB.</w:t>
            </w:r>
            <w:r w:rsidRPr="005B62C0">
              <w:rPr>
                <w:rFonts w:ascii="Gadugi" w:eastAsia="Times New Roman" w:hAnsi="Gadugi" w:cs="Calibri"/>
                <w:color w:val="000000"/>
                <w:sz w:val="14"/>
                <w:szCs w:val="14"/>
              </w:rPr>
              <w:br/>
              <w:t>Conexão: USB 3.0 (ou superior).</w:t>
            </w:r>
            <w:r w:rsidRPr="005B62C0">
              <w:rPr>
                <w:rFonts w:ascii="Gadugi" w:eastAsia="Times New Roman" w:hAnsi="Gadugi" w:cs="Calibri"/>
                <w:color w:val="000000"/>
                <w:sz w:val="14"/>
                <w:szCs w:val="14"/>
              </w:rPr>
              <w:br/>
              <w:t>Velocidade de leitura: 100 MBps (no mínimo).</w:t>
            </w:r>
            <w:r w:rsidRPr="005B62C0">
              <w:rPr>
                <w:rFonts w:ascii="Gadugi" w:eastAsia="Times New Roman" w:hAnsi="Gadugi" w:cs="Calibri"/>
                <w:color w:val="000000"/>
                <w:sz w:val="14"/>
                <w:szCs w:val="14"/>
              </w:rPr>
              <w:br/>
              <w:t>Transferência de dados: Via conexão USB.</w:t>
            </w:r>
          </w:p>
        </w:tc>
        <w:tc>
          <w:tcPr>
            <w:tcW w:w="729" w:type="dxa"/>
            <w:tcBorders>
              <w:top w:val="nil"/>
              <w:left w:val="nil"/>
              <w:bottom w:val="single" w:sz="4" w:space="0" w:color="auto"/>
              <w:right w:val="single" w:sz="4" w:space="0" w:color="auto"/>
            </w:tcBorders>
            <w:shd w:val="clear" w:color="auto" w:fill="auto"/>
            <w:noWrap/>
            <w:vAlign w:val="center"/>
            <w:hideMark/>
          </w:tcPr>
          <w:p w14:paraId="47221C3D"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02A21FBD"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20</w:t>
            </w:r>
          </w:p>
        </w:tc>
        <w:tc>
          <w:tcPr>
            <w:tcW w:w="918" w:type="dxa"/>
            <w:tcBorders>
              <w:top w:val="nil"/>
              <w:left w:val="nil"/>
              <w:bottom w:val="single" w:sz="4" w:space="0" w:color="auto"/>
              <w:right w:val="single" w:sz="4" w:space="0" w:color="auto"/>
            </w:tcBorders>
            <w:shd w:val="clear" w:color="auto" w:fill="auto"/>
            <w:noWrap/>
            <w:vAlign w:val="center"/>
          </w:tcPr>
          <w:p w14:paraId="20A84564" w14:textId="14F6444D"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5CF62F28"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E5138D2"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24</w:t>
            </w:r>
          </w:p>
        </w:tc>
        <w:tc>
          <w:tcPr>
            <w:tcW w:w="6646" w:type="dxa"/>
            <w:tcBorders>
              <w:top w:val="nil"/>
              <w:left w:val="nil"/>
              <w:bottom w:val="single" w:sz="4" w:space="0" w:color="auto"/>
              <w:right w:val="single" w:sz="4" w:space="0" w:color="auto"/>
            </w:tcBorders>
            <w:shd w:val="clear" w:color="auto" w:fill="auto"/>
            <w:noWrap/>
            <w:vAlign w:val="center"/>
            <w:hideMark/>
          </w:tcPr>
          <w:p w14:paraId="3CFDCF98"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PENDRIVE 128 GB Conexão: USB 3.0 (ou superior);</w:t>
            </w:r>
            <w:r w:rsidRPr="005B62C0">
              <w:rPr>
                <w:rFonts w:ascii="Gadugi" w:eastAsia="Times New Roman" w:hAnsi="Gadugi" w:cs="Calibri"/>
                <w:color w:val="000000"/>
                <w:sz w:val="14"/>
                <w:szCs w:val="14"/>
              </w:rPr>
              <w:br/>
              <w:t>Velocidade de leitura: 100MBps (no mínimo);</w:t>
            </w:r>
            <w:r w:rsidRPr="005B62C0">
              <w:rPr>
                <w:rFonts w:ascii="Gadugi" w:eastAsia="Times New Roman" w:hAnsi="Gadugi" w:cs="Calibri"/>
                <w:color w:val="000000"/>
                <w:sz w:val="14"/>
                <w:szCs w:val="14"/>
              </w:rPr>
              <w:br/>
              <w:t>Transferência de dados: Via conexão USB.</w:t>
            </w:r>
          </w:p>
        </w:tc>
        <w:tc>
          <w:tcPr>
            <w:tcW w:w="729" w:type="dxa"/>
            <w:tcBorders>
              <w:top w:val="nil"/>
              <w:left w:val="nil"/>
              <w:bottom w:val="single" w:sz="4" w:space="0" w:color="auto"/>
              <w:right w:val="single" w:sz="4" w:space="0" w:color="auto"/>
            </w:tcBorders>
            <w:shd w:val="clear" w:color="auto" w:fill="auto"/>
            <w:noWrap/>
            <w:vAlign w:val="center"/>
            <w:hideMark/>
          </w:tcPr>
          <w:p w14:paraId="7011C512"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74C22EFC"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15</w:t>
            </w:r>
          </w:p>
        </w:tc>
        <w:tc>
          <w:tcPr>
            <w:tcW w:w="918" w:type="dxa"/>
            <w:tcBorders>
              <w:top w:val="nil"/>
              <w:left w:val="nil"/>
              <w:bottom w:val="single" w:sz="4" w:space="0" w:color="auto"/>
              <w:right w:val="single" w:sz="4" w:space="0" w:color="auto"/>
            </w:tcBorders>
            <w:shd w:val="clear" w:color="auto" w:fill="auto"/>
            <w:noWrap/>
            <w:vAlign w:val="center"/>
          </w:tcPr>
          <w:p w14:paraId="589165AB" w14:textId="46A704EE"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0C697333"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B7BE9CB"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25</w:t>
            </w:r>
          </w:p>
        </w:tc>
        <w:tc>
          <w:tcPr>
            <w:tcW w:w="6646" w:type="dxa"/>
            <w:tcBorders>
              <w:top w:val="nil"/>
              <w:left w:val="nil"/>
              <w:bottom w:val="single" w:sz="4" w:space="0" w:color="auto"/>
              <w:right w:val="single" w:sz="4" w:space="0" w:color="auto"/>
            </w:tcBorders>
            <w:shd w:val="clear" w:color="auto" w:fill="auto"/>
            <w:noWrap/>
            <w:vAlign w:val="center"/>
            <w:hideMark/>
          </w:tcPr>
          <w:p w14:paraId="0BC50FE7"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PENTE DE MEMORIA DDR4 8 GB Tensão de alimentação: 1,2 volts;</w:t>
            </w:r>
            <w:r w:rsidRPr="005B62C0">
              <w:rPr>
                <w:rFonts w:ascii="Gadugi" w:eastAsia="Times New Roman" w:hAnsi="Gadugi" w:cs="Calibri"/>
                <w:color w:val="000000"/>
                <w:sz w:val="14"/>
                <w:szCs w:val="14"/>
              </w:rPr>
              <w:br/>
              <w:t>Frequência de operação: 2133 MHZ (ou superior);</w:t>
            </w:r>
            <w:r w:rsidRPr="005B62C0">
              <w:rPr>
                <w:rFonts w:ascii="Gadugi" w:eastAsia="Times New Roman" w:hAnsi="Gadugi" w:cs="Calibri"/>
                <w:color w:val="000000"/>
                <w:sz w:val="14"/>
                <w:szCs w:val="14"/>
              </w:rPr>
              <w:br/>
              <w:t>Capacidade: 8 gigabytes (no mínimo).</w:t>
            </w:r>
          </w:p>
        </w:tc>
        <w:tc>
          <w:tcPr>
            <w:tcW w:w="729" w:type="dxa"/>
            <w:tcBorders>
              <w:top w:val="nil"/>
              <w:left w:val="nil"/>
              <w:bottom w:val="single" w:sz="4" w:space="0" w:color="auto"/>
              <w:right w:val="single" w:sz="4" w:space="0" w:color="auto"/>
            </w:tcBorders>
            <w:shd w:val="clear" w:color="auto" w:fill="auto"/>
            <w:noWrap/>
            <w:vAlign w:val="center"/>
            <w:hideMark/>
          </w:tcPr>
          <w:p w14:paraId="21FFCDD6"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6D885811"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918" w:type="dxa"/>
            <w:tcBorders>
              <w:top w:val="nil"/>
              <w:left w:val="nil"/>
              <w:bottom w:val="single" w:sz="4" w:space="0" w:color="auto"/>
              <w:right w:val="single" w:sz="4" w:space="0" w:color="auto"/>
            </w:tcBorders>
            <w:shd w:val="clear" w:color="auto" w:fill="auto"/>
            <w:noWrap/>
            <w:vAlign w:val="center"/>
          </w:tcPr>
          <w:p w14:paraId="22A76F66" w14:textId="1074F8D4"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7EF7960B"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475288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26</w:t>
            </w:r>
          </w:p>
        </w:tc>
        <w:tc>
          <w:tcPr>
            <w:tcW w:w="6646" w:type="dxa"/>
            <w:tcBorders>
              <w:top w:val="nil"/>
              <w:left w:val="nil"/>
              <w:bottom w:val="single" w:sz="4" w:space="0" w:color="auto"/>
              <w:right w:val="single" w:sz="4" w:space="0" w:color="auto"/>
            </w:tcBorders>
            <w:shd w:val="clear" w:color="auto" w:fill="auto"/>
            <w:noWrap/>
            <w:vAlign w:val="center"/>
            <w:hideMark/>
          </w:tcPr>
          <w:p w14:paraId="5DA04A9C"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PROJETOR MULTIMIDIA Entradas de vídeo: HDMI e VGA;</w:t>
            </w:r>
            <w:r w:rsidRPr="005B62C0">
              <w:rPr>
                <w:rFonts w:ascii="Gadugi" w:eastAsia="Times New Roman" w:hAnsi="Gadugi" w:cs="Calibri"/>
                <w:color w:val="000000"/>
                <w:sz w:val="14"/>
                <w:szCs w:val="14"/>
              </w:rPr>
              <w:br/>
              <w:t>Brilho: 3300 ANSI lumens (ou superior);</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Bivolt;</w:t>
            </w:r>
            <w:r w:rsidRPr="005B62C0">
              <w:rPr>
                <w:rFonts w:ascii="Gadugi" w:eastAsia="Times New Roman" w:hAnsi="Gadugi" w:cs="Calibri"/>
                <w:color w:val="000000"/>
                <w:sz w:val="14"/>
                <w:szCs w:val="14"/>
              </w:rPr>
              <w:br/>
              <w:t>Demais itens inclusos: Controle remoto, manual de instruções, cabo de força com plugue ABNT NBR 14136.</w:t>
            </w:r>
          </w:p>
        </w:tc>
        <w:tc>
          <w:tcPr>
            <w:tcW w:w="729" w:type="dxa"/>
            <w:tcBorders>
              <w:top w:val="nil"/>
              <w:left w:val="nil"/>
              <w:bottom w:val="single" w:sz="4" w:space="0" w:color="auto"/>
              <w:right w:val="single" w:sz="4" w:space="0" w:color="auto"/>
            </w:tcBorders>
            <w:shd w:val="clear" w:color="auto" w:fill="auto"/>
            <w:noWrap/>
            <w:vAlign w:val="center"/>
            <w:hideMark/>
          </w:tcPr>
          <w:p w14:paraId="695B29C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695E685E"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918" w:type="dxa"/>
            <w:tcBorders>
              <w:top w:val="nil"/>
              <w:left w:val="nil"/>
              <w:bottom w:val="single" w:sz="4" w:space="0" w:color="auto"/>
              <w:right w:val="single" w:sz="4" w:space="0" w:color="auto"/>
            </w:tcBorders>
            <w:shd w:val="clear" w:color="auto" w:fill="auto"/>
            <w:noWrap/>
            <w:vAlign w:val="center"/>
          </w:tcPr>
          <w:p w14:paraId="65D6DD60" w14:textId="727A92BD"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5121314A"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B4432F5"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27</w:t>
            </w:r>
          </w:p>
        </w:tc>
        <w:tc>
          <w:tcPr>
            <w:tcW w:w="6646" w:type="dxa"/>
            <w:tcBorders>
              <w:top w:val="nil"/>
              <w:left w:val="nil"/>
              <w:bottom w:val="single" w:sz="4" w:space="0" w:color="auto"/>
              <w:right w:val="single" w:sz="4" w:space="0" w:color="auto"/>
            </w:tcBorders>
            <w:shd w:val="clear" w:color="auto" w:fill="auto"/>
            <w:noWrap/>
            <w:vAlign w:val="center"/>
            <w:hideMark/>
          </w:tcPr>
          <w:p w14:paraId="0263D0B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SSDS Capacidade de armazenamento: 1 TB (ou superior);</w:t>
            </w:r>
            <w:r w:rsidRPr="005B62C0">
              <w:rPr>
                <w:rFonts w:ascii="Gadugi" w:eastAsia="Times New Roman" w:hAnsi="Gadugi" w:cs="Calibri"/>
                <w:color w:val="000000"/>
                <w:sz w:val="14"/>
                <w:szCs w:val="14"/>
              </w:rPr>
              <w:br/>
              <w:t>Especificação: Unidade de estado sólido (SSD) M. 2 NVMe;</w:t>
            </w:r>
            <w:r w:rsidRPr="005B62C0">
              <w:rPr>
                <w:rFonts w:ascii="Gadugi" w:eastAsia="Times New Roman" w:hAnsi="Gadugi" w:cs="Calibri"/>
                <w:color w:val="000000"/>
                <w:sz w:val="14"/>
                <w:szCs w:val="14"/>
              </w:rPr>
              <w:br/>
              <w:t>Interface: PCIe Gen 3 (ou superior);</w:t>
            </w:r>
            <w:r w:rsidRPr="005B62C0">
              <w:rPr>
                <w:rFonts w:ascii="Gadugi" w:eastAsia="Times New Roman" w:hAnsi="Gadugi" w:cs="Calibri"/>
                <w:color w:val="000000"/>
                <w:sz w:val="14"/>
                <w:szCs w:val="14"/>
              </w:rPr>
              <w:br/>
              <w:t>Tamanho: Padrão M.2.2280;</w:t>
            </w:r>
            <w:r w:rsidRPr="005B62C0">
              <w:rPr>
                <w:rFonts w:ascii="Gadugi" w:eastAsia="Times New Roman" w:hAnsi="Gadugi" w:cs="Calibri"/>
                <w:color w:val="000000"/>
                <w:sz w:val="14"/>
                <w:szCs w:val="14"/>
              </w:rPr>
              <w:br/>
              <w:t>Velocidade de leitura de dados: 5000 MB/s (ou superior);</w:t>
            </w:r>
            <w:r w:rsidRPr="005B62C0">
              <w:rPr>
                <w:rFonts w:ascii="Gadugi" w:eastAsia="Times New Roman" w:hAnsi="Gadugi" w:cs="Calibri"/>
                <w:color w:val="000000"/>
                <w:sz w:val="14"/>
                <w:szCs w:val="14"/>
              </w:rPr>
              <w:br/>
              <w:t>Velocidade de gravação de dados: 4500 MB/s (ou superior).</w:t>
            </w:r>
          </w:p>
        </w:tc>
        <w:tc>
          <w:tcPr>
            <w:tcW w:w="729" w:type="dxa"/>
            <w:tcBorders>
              <w:top w:val="nil"/>
              <w:left w:val="nil"/>
              <w:bottom w:val="single" w:sz="4" w:space="0" w:color="auto"/>
              <w:right w:val="single" w:sz="4" w:space="0" w:color="auto"/>
            </w:tcBorders>
            <w:shd w:val="clear" w:color="auto" w:fill="auto"/>
            <w:noWrap/>
            <w:vAlign w:val="center"/>
            <w:hideMark/>
          </w:tcPr>
          <w:p w14:paraId="4A4B1C7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3E8F606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6</w:t>
            </w:r>
          </w:p>
        </w:tc>
        <w:tc>
          <w:tcPr>
            <w:tcW w:w="918" w:type="dxa"/>
            <w:tcBorders>
              <w:top w:val="nil"/>
              <w:left w:val="nil"/>
              <w:bottom w:val="single" w:sz="4" w:space="0" w:color="auto"/>
              <w:right w:val="single" w:sz="4" w:space="0" w:color="auto"/>
            </w:tcBorders>
            <w:shd w:val="clear" w:color="auto" w:fill="auto"/>
            <w:noWrap/>
            <w:vAlign w:val="center"/>
          </w:tcPr>
          <w:p w14:paraId="1D729DEC" w14:textId="635C3F90"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2074F05E"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016CB376"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28</w:t>
            </w:r>
          </w:p>
        </w:tc>
        <w:tc>
          <w:tcPr>
            <w:tcW w:w="6646" w:type="dxa"/>
            <w:tcBorders>
              <w:top w:val="nil"/>
              <w:left w:val="nil"/>
              <w:bottom w:val="single" w:sz="4" w:space="0" w:color="auto"/>
              <w:right w:val="single" w:sz="4" w:space="0" w:color="auto"/>
            </w:tcBorders>
            <w:shd w:val="clear" w:color="auto" w:fill="auto"/>
            <w:noWrap/>
            <w:vAlign w:val="center"/>
            <w:hideMark/>
          </w:tcPr>
          <w:p w14:paraId="422D6599"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SUPORTE PROJETOR DE TETO PAREDE DATASHOW UNIVERSAL ATÉ 25 KILOS Suporte para projetores com 4 pontos de fixação;</w:t>
            </w:r>
            <w:r w:rsidRPr="005B62C0">
              <w:rPr>
                <w:rFonts w:ascii="Gadugi" w:eastAsia="Times New Roman" w:hAnsi="Gadugi" w:cs="Calibri"/>
                <w:color w:val="000000"/>
                <w:sz w:val="14"/>
                <w:szCs w:val="14"/>
              </w:rPr>
              <w:br/>
              <w:t>Permite a rotação de até 360;</w:t>
            </w:r>
            <w:r w:rsidRPr="005B62C0">
              <w:rPr>
                <w:rFonts w:ascii="Gadugi" w:eastAsia="Times New Roman" w:hAnsi="Gadugi" w:cs="Calibri"/>
                <w:color w:val="000000"/>
                <w:sz w:val="14"/>
                <w:szCs w:val="14"/>
              </w:rPr>
              <w:br/>
              <w:t>Ângulo de aproximadamente 20o;</w:t>
            </w:r>
            <w:r w:rsidRPr="005B62C0">
              <w:rPr>
                <w:rFonts w:ascii="Gadugi" w:eastAsia="Times New Roman" w:hAnsi="Gadugi" w:cs="Calibri"/>
                <w:color w:val="000000"/>
                <w:sz w:val="14"/>
                <w:szCs w:val="14"/>
              </w:rPr>
              <w:br/>
              <w:t>Manopla para fácil ajuste de inclinação;</w:t>
            </w:r>
            <w:r w:rsidRPr="005B62C0">
              <w:rPr>
                <w:rFonts w:ascii="Gadugi" w:eastAsia="Times New Roman" w:hAnsi="Gadugi" w:cs="Calibri"/>
                <w:color w:val="000000"/>
                <w:sz w:val="14"/>
                <w:szCs w:val="14"/>
              </w:rPr>
              <w:br/>
              <w:t>Tubo extensor de 430mm até 650mm;</w:t>
            </w:r>
            <w:r w:rsidRPr="005B62C0">
              <w:rPr>
                <w:rFonts w:ascii="Gadugi" w:eastAsia="Times New Roman" w:hAnsi="Gadugi" w:cs="Calibri"/>
                <w:color w:val="000000"/>
                <w:sz w:val="14"/>
                <w:szCs w:val="14"/>
              </w:rPr>
              <w:br/>
              <w:t>Diâmetro de fixação aproximadamente 350mm.</w:t>
            </w:r>
          </w:p>
        </w:tc>
        <w:tc>
          <w:tcPr>
            <w:tcW w:w="729" w:type="dxa"/>
            <w:tcBorders>
              <w:top w:val="nil"/>
              <w:left w:val="nil"/>
              <w:bottom w:val="single" w:sz="4" w:space="0" w:color="auto"/>
              <w:right w:val="single" w:sz="4" w:space="0" w:color="auto"/>
            </w:tcBorders>
            <w:shd w:val="clear" w:color="auto" w:fill="auto"/>
            <w:noWrap/>
            <w:vAlign w:val="center"/>
            <w:hideMark/>
          </w:tcPr>
          <w:p w14:paraId="629F6D1B"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92997E7"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5</w:t>
            </w:r>
          </w:p>
        </w:tc>
        <w:tc>
          <w:tcPr>
            <w:tcW w:w="918" w:type="dxa"/>
            <w:tcBorders>
              <w:top w:val="nil"/>
              <w:left w:val="nil"/>
              <w:bottom w:val="single" w:sz="4" w:space="0" w:color="auto"/>
              <w:right w:val="single" w:sz="4" w:space="0" w:color="auto"/>
            </w:tcBorders>
            <w:shd w:val="clear" w:color="auto" w:fill="auto"/>
            <w:noWrap/>
            <w:vAlign w:val="center"/>
          </w:tcPr>
          <w:p w14:paraId="6BB52C64" w14:textId="64FF6E85"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08CC8295"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4135F95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29</w:t>
            </w:r>
          </w:p>
        </w:tc>
        <w:tc>
          <w:tcPr>
            <w:tcW w:w="6646" w:type="dxa"/>
            <w:tcBorders>
              <w:top w:val="nil"/>
              <w:left w:val="nil"/>
              <w:bottom w:val="single" w:sz="4" w:space="0" w:color="auto"/>
              <w:right w:val="single" w:sz="4" w:space="0" w:color="auto"/>
            </w:tcBorders>
            <w:shd w:val="clear" w:color="auto" w:fill="auto"/>
            <w:noWrap/>
            <w:vAlign w:val="center"/>
            <w:hideMark/>
          </w:tcPr>
          <w:p w14:paraId="4EAAC150"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SWITCH 4 PORTAS Portas RJ45:04 portas;</w:t>
            </w:r>
            <w:r w:rsidRPr="005B62C0">
              <w:rPr>
                <w:rFonts w:ascii="Gadugi" w:eastAsia="Times New Roman" w:hAnsi="Gadugi" w:cs="Calibri"/>
                <w:color w:val="000000"/>
                <w:sz w:val="14"/>
                <w:szCs w:val="14"/>
              </w:rPr>
              <w:br/>
              <w:t>Transferência de dados: 10/100 Mbps (ou superior);</w:t>
            </w:r>
            <w:r w:rsidRPr="005B62C0">
              <w:rPr>
                <w:rFonts w:ascii="Gadugi" w:eastAsia="Times New Roman" w:hAnsi="Gadugi" w:cs="Calibri"/>
                <w:color w:val="000000"/>
                <w:sz w:val="14"/>
                <w:szCs w:val="14"/>
              </w:rPr>
              <w:br/>
              <w:t>LEDs indicadores: Um por porta (no mínimo). Led ligado;</w:t>
            </w:r>
            <w:r w:rsidRPr="005B62C0">
              <w:rPr>
                <w:rFonts w:ascii="Gadugi" w:eastAsia="Times New Roman" w:hAnsi="Gadugi" w:cs="Calibri"/>
                <w:color w:val="000000"/>
                <w:sz w:val="14"/>
                <w:szCs w:val="14"/>
              </w:rPr>
              <w:br/>
              <w:t>Fonte de alimentação: externa;</w:t>
            </w:r>
            <w:r w:rsidRPr="005B62C0">
              <w:rPr>
                <w:rFonts w:ascii="Gadugi" w:eastAsia="Times New Roman" w:hAnsi="Gadugi" w:cs="Calibri"/>
                <w:color w:val="000000"/>
                <w:sz w:val="14"/>
                <w:szCs w:val="14"/>
              </w:rPr>
              <w:br/>
              <w:t>Tensão de entrada: Bivolt;</w:t>
            </w:r>
            <w:r w:rsidRPr="005B62C0">
              <w:rPr>
                <w:rFonts w:ascii="Gadugi" w:eastAsia="Times New Roman" w:hAnsi="Gadugi" w:cs="Calibri"/>
                <w:color w:val="000000"/>
                <w:sz w:val="14"/>
                <w:szCs w:val="14"/>
              </w:rPr>
              <w:br/>
              <w:t>Demais itens inclusos: Fonte de alimentação com plugue padrão ABNT NBR 14136.</w:t>
            </w:r>
          </w:p>
        </w:tc>
        <w:tc>
          <w:tcPr>
            <w:tcW w:w="729" w:type="dxa"/>
            <w:tcBorders>
              <w:top w:val="nil"/>
              <w:left w:val="nil"/>
              <w:bottom w:val="single" w:sz="4" w:space="0" w:color="auto"/>
              <w:right w:val="single" w:sz="4" w:space="0" w:color="auto"/>
            </w:tcBorders>
            <w:shd w:val="clear" w:color="auto" w:fill="auto"/>
            <w:noWrap/>
            <w:vAlign w:val="center"/>
            <w:hideMark/>
          </w:tcPr>
          <w:p w14:paraId="07C703F1"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78EEDAE9"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4</w:t>
            </w:r>
          </w:p>
        </w:tc>
        <w:tc>
          <w:tcPr>
            <w:tcW w:w="918" w:type="dxa"/>
            <w:tcBorders>
              <w:top w:val="nil"/>
              <w:left w:val="nil"/>
              <w:bottom w:val="single" w:sz="4" w:space="0" w:color="auto"/>
              <w:right w:val="single" w:sz="4" w:space="0" w:color="auto"/>
            </w:tcBorders>
            <w:shd w:val="clear" w:color="auto" w:fill="auto"/>
            <w:noWrap/>
            <w:vAlign w:val="center"/>
          </w:tcPr>
          <w:p w14:paraId="7E511CD8" w14:textId="363FE425"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2F798545" w14:textId="77777777" w:rsidTr="00CB6588">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28BA483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30</w:t>
            </w:r>
          </w:p>
        </w:tc>
        <w:tc>
          <w:tcPr>
            <w:tcW w:w="6646" w:type="dxa"/>
            <w:tcBorders>
              <w:top w:val="nil"/>
              <w:left w:val="nil"/>
              <w:bottom w:val="single" w:sz="4" w:space="0" w:color="auto"/>
              <w:right w:val="single" w:sz="4" w:space="0" w:color="auto"/>
            </w:tcBorders>
            <w:shd w:val="clear" w:color="auto" w:fill="auto"/>
            <w:noWrap/>
            <w:vAlign w:val="center"/>
            <w:hideMark/>
          </w:tcPr>
          <w:p w14:paraId="0D709D9A"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TECLADO USB (COMPUTADOR) Tipo: Teclado com fio.</w:t>
            </w:r>
            <w:r w:rsidRPr="005B62C0">
              <w:rPr>
                <w:rFonts w:ascii="Gadugi" w:eastAsia="Times New Roman" w:hAnsi="Gadugi" w:cs="Calibri"/>
                <w:color w:val="000000"/>
                <w:sz w:val="14"/>
                <w:szCs w:val="14"/>
              </w:rPr>
              <w:br/>
              <w:t>Teclados: Teclado central (alfanumérico) e teclado direito (numérico).</w:t>
            </w:r>
            <w:r w:rsidRPr="005B62C0">
              <w:rPr>
                <w:rFonts w:ascii="Gadugi" w:eastAsia="Times New Roman" w:hAnsi="Gadugi" w:cs="Calibri"/>
                <w:color w:val="000000"/>
                <w:sz w:val="14"/>
                <w:szCs w:val="14"/>
              </w:rPr>
              <w:br/>
              <w:t>Teclado alfanumérico: Padrão ABNT2 (com cedilha).</w:t>
            </w:r>
            <w:r w:rsidRPr="005B62C0">
              <w:rPr>
                <w:rFonts w:ascii="Gadugi" w:eastAsia="Times New Roman" w:hAnsi="Gadugi" w:cs="Calibri"/>
                <w:color w:val="000000"/>
                <w:sz w:val="14"/>
                <w:szCs w:val="14"/>
              </w:rPr>
              <w:br/>
              <w:t>Teclado numérico: Com teclas de zero  nove, vírgula, ponto, divisão, multiplicação, soma, subtração e Enter, Num Lock.</w:t>
            </w:r>
            <w:r w:rsidRPr="005B62C0">
              <w:rPr>
                <w:rFonts w:ascii="Gadugi" w:eastAsia="Times New Roman" w:hAnsi="Gadugi" w:cs="Calibri"/>
                <w:color w:val="000000"/>
                <w:sz w:val="14"/>
                <w:szCs w:val="14"/>
              </w:rPr>
              <w:br/>
              <w:t>Teclas extras: Esc, 12 teclas de funções (F1  F12), Print Screen (PrtScr), Cap Lock, Scroll Lock, Page Up, Page Down e teclas direcionais (cima, baixo, esquerda e direita), Home, End, Insert e Delete.</w:t>
            </w:r>
            <w:r w:rsidRPr="005B62C0">
              <w:rPr>
                <w:rFonts w:ascii="Gadugi" w:eastAsia="Times New Roman" w:hAnsi="Gadugi" w:cs="Calibri"/>
                <w:color w:val="000000"/>
                <w:sz w:val="14"/>
                <w:szCs w:val="14"/>
              </w:rPr>
              <w:br/>
              <w:t>Indicadores luminosos: Caps Lock, Num Lock e Scroll Lock.</w:t>
            </w:r>
            <w:r w:rsidRPr="005B62C0">
              <w:rPr>
                <w:rFonts w:ascii="Gadugi" w:eastAsia="Times New Roman" w:hAnsi="Gadugi" w:cs="Calibri"/>
                <w:color w:val="000000"/>
                <w:sz w:val="14"/>
                <w:szCs w:val="14"/>
              </w:rPr>
              <w:br/>
              <w:t>Apoio: Pés de apoio para elevação do teclado.</w:t>
            </w:r>
            <w:r w:rsidRPr="005B62C0">
              <w:rPr>
                <w:rFonts w:ascii="Gadugi" w:eastAsia="Times New Roman" w:hAnsi="Gadugi" w:cs="Calibri"/>
                <w:color w:val="000000"/>
                <w:sz w:val="14"/>
                <w:szCs w:val="14"/>
              </w:rPr>
              <w:br/>
              <w:t>Conexão: USB.</w:t>
            </w:r>
            <w:r w:rsidRPr="005B62C0">
              <w:rPr>
                <w:rFonts w:ascii="Gadugi" w:eastAsia="Times New Roman" w:hAnsi="Gadugi" w:cs="Calibri"/>
                <w:color w:val="000000"/>
                <w:sz w:val="14"/>
                <w:szCs w:val="14"/>
              </w:rPr>
              <w:br/>
              <w:t>Comprimento do cabo USB: 1,30 metros (no mínimo).</w:t>
            </w:r>
          </w:p>
        </w:tc>
        <w:tc>
          <w:tcPr>
            <w:tcW w:w="729" w:type="dxa"/>
            <w:tcBorders>
              <w:top w:val="nil"/>
              <w:left w:val="nil"/>
              <w:bottom w:val="single" w:sz="4" w:space="0" w:color="auto"/>
              <w:right w:val="single" w:sz="4" w:space="0" w:color="auto"/>
            </w:tcBorders>
            <w:shd w:val="clear" w:color="auto" w:fill="auto"/>
            <w:noWrap/>
            <w:vAlign w:val="center"/>
            <w:hideMark/>
          </w:tcPr>
          <w:p w14:paraId="345AE4F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E0E2D79"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60</w:t>
            </w:r>
          </w:p>
        </w:tc>
        <w:tc>
          <w:tcPr>
            <w:tcW w:w="918" w:type="dxa"/>
            <w:tcBorders>
              <w:top w:val="nil"/>
              <w:left w:val="nil"/>
              <w:bottom w:val="single" w:sz="4" w:space="0" w:color="auto"/>
              <w:right w:val="single" w:sz="4" w:space="0" w:color="auto"/>
            </w:tcBorders>
            <w:shd w:val="clear" w:color="auto" w:fill="auto"/>
            <w:noWrap/>
            <w:vAlign w:val="center"/>
          </w:tcPr>
          <w:p w14:paraId="20F343B7" w14:textId="4C2034A2"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72CE8ED0" w14:textId="77777777" w:rsidTr="00616743">
        <w:trPr>
          <w:trHeight w:val="300"/>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63FA6DF9"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31</w:t>
            </w:r>
          </w:p>
        </w:tc>
        <w:tc>
          <w:tcPr>
            <w:tcW w:w="6646" w:type="dxa"/>
            <w:tcBorders>
              <w:top w:val="nil"/>
              <w:left w:val="nil"/>
              <w:bottom w:val="single" w:sz="4" w:space="0" w:color="auto"/>
              <w:right w:val="single" w:sz="4" w:space="0" w:color="auto"/>
            </w:tcBorders>
            <w:shd w:val="clear" w:color="auto" w:fill="auto"/>
            <w:noWrap/>
            <w:vAlign w:val="center"/>
            <w:hideMark/>
          </w:tcPr>
          <w:p w14:paraId="1959D55B" w14:textId="77777777" w:rsidR="00CB6588"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 xml:space="preserve">TELEVISOR </w:t>
            </w:r>
            <w:r w:rsidRPr="005B62C0">
              <w:rPr>
                <w:rFonts w:ascii="Gadugi" w:eastAsia="Times New Roman" w:hAnsi="Gadugi" w:cs="Calibri"/>
                <w:color w:val="000000"/>
                <w:sz w:val="14"/>
                <w:szCs w:val="14"/>
              </w:rPr>
              <w:br/>
              <w:t>50"</w:t>
            </w:r>
            <w:r w:rsidRPr="005B62C0">
              <w:rPr>
                <w:rFonts w:ascii="Gadugi" w:eastAsia="Times New Roman" w:hAnsi="Gadugi" w:cs="Calibri"/>
                <w:color w:val="000000"/>
                <w:sz w:val="14"/>
                <w:szCs w:val="14"/>
              </w:rPr>
              <w:br/>
              <w:t>Resolução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4K UHD</w:t>
            </w:r>
            <w:r w:rsidRPr="005B62C0">
              <w:rPr>
                <w:rFonts w:ascii="Gadugi" w:eastAsia="Times New Roman" w:hAnsi="Gadugi" w:cs="Calibri"/>
                <w:color w:val="000000"/>
                <w:sz w:val="14"/>
                <w:szCs w:val="14"/>
              </w:rPr>
              <w:br/>
              <w:t>Tipo de Display</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LED</w:t>
            </w:r>
            <w:r w:rsidRPr="005B62C0">
              <w:rPr>
                <w:rFonts w:ascii="Gadugi" w:eastAsia="Times New Roman" w:hAnsi="Gadugi" w:cs="Calibri"/>
                <w:color w:val="000000"/>
                <w:sz w:val="14"/>
                <w:szCs w:val="14"/>
              </w:rPr>
              <w:br/>
              <w:t>Tipo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Smart</w:t>
            </w:r>
            <w:r w:rsidRPr="005B62C0">
              <w:rPr>
                <w:rFonts w:ascii="Gadugi" w:eastAsia="Times New Roman" w:hAnsi="Gadugi" w:cs="Calibri"/>
                <w:color w:val="000000"/>
                <w:sz w:val="14"/>
                <w:szCs w:val="14"/>
              </w:rPr>
              <w:br/>
              <w:t>Taxa de Atualização da Tela</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60Hz</w:t>
            </w:r>
            <w:r w:rsidRPr="005B62C0">
              <w:rPr>
                <w:rFonts w:ascii="Gadugi" w:eastAsia="Times New Roman" w:hAnsi="Gadugi" w:cs="Calibri"/>
                <w:color w:val="000000"/>
                <w:sz w:val="14"/>
                <w:szCs w:val="14"/>
              </w:rPr>
              <w:br/>
              <w:t>Conectividade</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Wi-Fi</w:t>
            </w:r>
            <w:r w:rsidRPr="005B62C0">
              <w:rPr>
                <w:rFonts w:ascii="Gadugi" w:eastAsia="Times New Roman" w:hAnsi="Gadugi" w:cs="Calibri"/>
                <w:color w:val="000000"/>
                <w:sz w:val="14"/>
                <w:szCs w:val="14"/>
              </w:rPr>
              <w:br/>
              <w:t>Conexões</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3 HDMI, 1 USB 2.0, 1 Entrada RF (Antena), 1 SPDIF (Áudio Óptica), 1 Saída Fone de Ouvido, 1 Ethernet RJ-45</w:t>
            </w:r>
            <w:r w:rsidRPr="005B62C0">
              <w:rPr>
                <w:rFonts w:ascii="Gadugi" w:eastAsia="Times New Roman" w:hAnsi="Gadugi" w:cs="Calibri"/>
                <w:color w:val="000000"/>
                <w:sz w:val="14"/>
                <w:szCs w:val="14"/>
              </w:rPr>
              <w:br/>
              <w:t>Processador</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Quad Core</w:t>
            </w:r>
            <w:r w:rsidRPr="005B62C0">
              <w:rPr>
                <w:rFonts w:ascii="Gadugi" w:eastAsia="Times New Roman" w:hAnsi="Gadugi" w:cs="Calibri"/>
                <w:color w:val="000000"/>
                <w:sz w:val="14"/>
                <w:szCs w:val="14"/>
              </w:rPr>
              <w:br/>
              <w:t>Assistente Virtual</w:t>
            </w:r>
            <w:r w:rsidRPr="005B62C0">
              <w:rPr>
                <w:rFonts w:ascii="Gadugi" w:eastAsia="Times New Roman" w:hAnsi="Gadugi" w:cs="Calibri"/>
                <w:color w:val="000000"/>
                <w:sz w:val="14"/>
                <w:szCs w:val="14"/>
              </w:rPr>
              <w:br/>
              <w:t>Works with Alexa, Works with Apple Homekit</w:t>
            </w:r>
            <w:r w:rsidRPr="005B62C0">
              <w:rPr>
                <w:rFonts w:ascii="Gadugi" w:eastAsia="Times New Roman" w:hAnsi="Gadugi" w:cs="Calibri"/>
                <w:color w:val="000000"/>
                <w:sz w:val="14"/>
                <w:szCs w:val="14"/>
              </w:rPr>
              <w:br/>
              <w:t>Formato da Tela</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16:09</w:t>
            </w:r>
            <w:r w:rsidRPr="005B62C0">
              <w:rPr>
                <w:rFonts w:ascii="Gadugi" w:eastAsia="Times New Roman" w:hAnsi="Gadugi" w:cs="Calibri"/>
                <w:color w:val="000000"/>
                <w:sz w:val="14"/>
                <w:szCs w:val="14"/>
              </w:rPr>
              <w:br/>
              <w:t>Ângulo de Visão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178</w:t>
            </w:r>
            <w:r w:rsidRPr="005B62C0">
              <w:rPr>
                <w:rFonts w:ascii="Gadugi" w:eastAsia="Times New Roman" w:hAnsi="Gadugi" w:cs="Calibri"/>
                <w:color w:val="000000"/>
                <w:sz w:val="14"/>
                <w:szCs w:val="14"/>
              </w:rPr>
              <w:br/>
              <w:t>Sistema de Cor</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NTSC/PAL-M</w:t>
            </w:r>
            <w:r w:rsidRPr="005B62C0">
              <w:rPr>
                <w:rFonts w:ascii="Gadugi" w:eastAsia="Times New Roman" w:hAnsi="Gadugi" w:cs="Calibri"/>
                <w:color w:val="000000"/>
                <w:sz w:val="14"/>
                <w:szCs w:val="14"/>
              </w:rPr>
              <w:br/>
              <w:t>Ambiente</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Interno</w:t>
            </w:r>
            <w:r w:rsidRPr="005B62C0">
              <w:rPr>
                <w:rFonts w:ascii="Gadugi" w:eastAsia="Times New Roman" w:hAnsi="Gadugi" w:cs="Calibri"/>
                <w:color w:val="000000"/>
                <w:sz w:val="14"/>
                <w:szCs w:val="14"/>
              </w:rPr>
              <w:br/>
              <w:t>Distância Recomendada de Visualização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2m</w:t>
            </w:r>
            <w:r w:rsidRPr="005B62C0">
              <w:rPr>
                <w:rFonts w:ascii="Gadugi" w:eastAsia="Times New Roman" w:hAnsi="Gadugi" w:cs="Calibri"/>
                <w:color w:val="000000"/>
                <w:sz w:val="14"/>
                <w:szCs w:val="14"/>
              </w:rPr>
              <w:br/>
              <w:t>Aplicativos Pré-instalados</w:t>
            </w:r>
            <w:r w:rsidRPr="005B62C0">
              <w:rPr>
                <w:rFonts w:ascii="Gadugi" w:eastAsia="Times New Roman" w:hAnsi="Gadugi" w:cs="Calibri"/>
                <w:color w:val="000000"/>
                <w:sz w:val="14"/>
                <w:szCs w:val="14"/>
              </w:rPr>
              <w:br/>
              <w:t>Netflix, Youtube, Prime Video, Disney+, Star+, HBO Max, Apple TV, Spotify e outros milhares disponíveis na Roku Store (Os aplicativos são passíveis de alteração pelo fornecedor sem aviso prévio)</w:t>
            </w:r>
            <w:r w:rsidRPr="005B62C0">
              <w:rPr>
                <w:rFonts w:ascii="Gadugi" w:eastAsia="Times New Roman" w:hAnsi="Gadugi" w:cs="Calibri"/>
                <w:color w:val="000000"/>
                <w:sz w:val="14"/>
                <w:szCs w:val="14"/>
              </w:rPr>
              <w:br/>
              <w:t>Voltagem</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Bivolt</w:t>
            </w:r>
          </w:p>
          <w:p w14:paraId="265ACD1E"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Aviso Importante</w:t>
            </w:r>
            <w:r w:rsidRPr="005B62C0">
              <w:rPr>
                <w:rFonts w:ascii="Gadugi" w:eastAsia="Times New Roman" w:hAnsi="Gadugi" w:cs="Calibri"/>
                <w:color w:val="000000"/>
                <w:sz w:val="14"/>
                <w:szCs w:val="14"/>
              </w:rPr>
              <w:br/>
              <w:t>A exposição ao ruído na potência acima de 85 decibéis pode causar danos ao sistema auditivo</w:t>
            </w:r>
            <w:r w:rsidRPr="005B62C0">
              <w:rPr>
                <w:rFonts w:ascii="Gadugi" w:eastAsia="Times New Roman" w:hAnsi="Gadugi" w:cs="Calibri"/>
                <w:color w:val="000000"/>
                <w:sz w:val="14"/>
                <w:szCs w:val="14"/>
              </w:rPr>
              <w:br/>
              <w:t>Cor da Base</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Preto</w:t>
            </w:r>
            <w:r w:rsidRPr="005B62C0">
              <w:rPr>
                <w:rFonts w:ascii="Gadugi" w:eastAsia="Times New Roman" w:hAnsi="Gadugi" w:cs="Calibri"/>
                <w:color w:val="000000"/>
                <w:sz w:val="14"/>
                <w:szCs w:val="14"/>
              </w:rPr>
              <w:br/>
              <w:t>Cor da Borda</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Preto</w:t>
            </w:r>
            <w:r w:rsidRPr="005B62C0">
              <w:rPr>
                <w:rFonts w:ascii="Gadugi" w:eastAsia="Times New Roman" w:hAnsi="Gadugi" w:cs="Calibri"/>
                <w:color w:val="000000"/>
                <w:sz w:val="14"/>
                <w:szCs w:val="14"/>
              </w:rPr>
              <w:br/>
              <w:t>Padrão de Furação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300x300mm</w:t>
            </w:r>
            <w:r w:rsidRPr="005B62C0">
              <w:rPr>
                <w:rFonts w:ascii="Gadugi" w:eastAsia="Times New Roman" w:hAnsi="Gadugi" w:cs="Calibri"/>
                <w:color w:val="000000"/>
                <w:sz w:val="14"/>
                <w:szCs w:val="14"/>
              </w:rPr>
              <w:br/>
              <w:t>Ano de Lançamento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2025</w:t>
            </w:r>
            <w:r w:rsidRPr="005B62C0">
              <w:rPr>
                <w:rFonts w:ascii="Gadugi" w:eastAsia="Times New Roman" w:hAnsi="Gadugi" w:cs="Calibri"/>
                <w:color w:val="000000"/>
                <w:sz w:val="14"/>
                <w:szCs w:val="14"/>
              </w:rPr>
              <w:br/>
              <w:t>Certificado Homologado pela Anatel Número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16591-21-06714</w:t>
            </w:r>
            <w:r w:rsidRPr="005B62C0">
              <w:rPr>
                <w:rFonts w:ascii="Gadugi" w:eastAsia="Times New Roman" w:hAnsi="Gadugi" w:cs="Calibri"/>
                <w:color w:val="000000"/>
                <w:sz w:val="14"/>
                <w:szCs w:val="14"/>
              </w:rPr>
              <w:br/>
              <w:t>Certificado Homologado pelo Inmetro Número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005 486/2017</w:t>
            </w:r>
            <w:r w:rsidRPr="005B62C0">
              <w:rPr>
                <w:rFonts w:ascii="Gadugi" w:eastAsia="Times New Roman" w:hAnsi="Gadugi" w:cs="Calibri"/>
                <w:color w:val="000000"/>
                <w:sz w:val="14"/>
                <w:szCs w:val="14"/>
              </w:rPr>
              <w:br/>
              <w:t>Peso do Produto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9,3kg</w:t>
            </w:r>
            <w:r w:rsidRPr="005B62C0">
              <w:rPr>
                <w:rFonts w:ascii="Gadugi" w:eastAsia="Times New Roman" w:hAnsi="Gadugi" w:cs="Calibri"/>
                <w:color w:val="000000"/>
                <w:sz w:val="14"/>
                <w:szCs w:val="14"/>
              </w:rPr>
              <w:br/>
              <w:t>Peso do Produto com Embalagem</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11,5kg</w:t>
            </w:r>
            <w:r w:rsidRPr="005B62C0">
              <w:rPr>
                <w:rFonts w:ascii="Gadugi" w:eastAsia="Times New Roman" w:hAnsi="Gadugi" w:cs="Calibri"/>
                <w:color w:val="000000"/>
                <w:sz w:val="14"/>
                <w:szCs w:val="14"/>
              </w:rPr>
              <w:br/>
              <w:t>Dimensões do Produto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Sem base: Largura 111cm Altura 64,3cm Profundidade 8,9cm. Com base: Largura 111cm Altura 69,7cm Profundidade 27,8cm</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Dimensões do Produto com Embalagem</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Largura 121,3cm Altura 75,4cm Profundidade 12,6cm</w:t>
            </w:r>
            <w:r w:rsidRPr="005B62C0">
              <w:rPr>
                <w:rFonts w:ascii="Gadugi" w:eastAsia="Times New Roman" w:hAnsi="Gadugi" w:cs="Calibri"/>
                <w:color w:val="000000"/>
                <w:sz w:val="14"/>
                <w:szCs w:val="14"/>
              </w:rPr>
              <w:br/>
              <w:t>Prazo de Garantia</w:t>
            </w:r>
            <w:r>
              <w:rPr>
                <w:rFonts w:ascii="Gadugi" w:eastAsia="Times New Roman" w:hAnsi="Gadugi" w:cs="Calibri"/>
                <w:color w:val="000000"/>
                <w:sz w:val="14"/>
                <w:szCs w:val="14"/>
              </w:rPr>
              <w:t xml:space="preserve"> mínima: </w:t>
            </w:r>
            <w:r w:rsidRPr="005B62C0">
              <w:rPr>
                <w:rFonts w:ascii="Gadugi" w:eastAsia="Times New Roman" w:hAnsi="Gadugi" w:cs="Calibri"/>
                <w:color w:val="000000"/>
                <w:sz w:val="14"/>
                <w:szCs w:val="14"/>
              </w:rPr>
              <w:t>01 ano (3 meses de garantia legal e mais 9 meses de garantia especial concedida pelo fabricante)</w:t>
            </w:r>
            <w:r w:rsidRPr="005B62C0">
              <w:rPr>
                <w:rFonts w:ascii="Gadugi" w:eastAsia="Times New Roman" w:hAnsi="Gadugi" w:cs="Calibri"/>
                <w:color w:val="000000"/>
                <w:sz w:val="14"/>
                <w:szCs w:val="14"/>
              </w:rPr>
              <w:br/>
              <w:t>Conteúdo da Embalagem</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 Smart TV, Base e 4 parafusos de fixação de base, 1 Controle remoto e 2 pilhas</w:t>
            </w:r>
            <w:r w:rsidRPr="005B62C0">
              <w:rPr>
                <w:rFonts w:ascii="Gadugi" w:eastAsia="Times New Roman" w:hAnsi="Gadugi" w:cs="Calibri"/>
                <w:color w:val="000000"/>
                <w:sz w:val="14"/>
                <w:szCs w:val="14"/>
              </w:rPr>
              <w:br/>
              <w:t>Recursos de Áudio</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5 modos (Baixa energia, cinema, normal, esportes, vívido)</w:t>
            </w:r>
            <w:r w:rsidRPr="005B62C0">
              <w:rPr>
                <w:rFonts w:ascii="Gadugi" w:eastAsia="Times New Roman" w:hAnsi="Gadugi" w:cs="Calibri"/>
                <w:color w:val="000000"/>
                <w:sz w:val="14"/>
                <w:szCs w:val="14"/>
              </w:rPr>
              <w:br/>
              <w:t>Potência dos Alto-falantes</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16W RMS</w:t>
            </w:r>
            <w:r w:rsidRPr="005B62C0">
              <w:rPr>
                <w:rFonts w:ascii="Gadugi" w:eastAsia="Times New Roman" w:hAnsi="Gadugi" w:cs="Calibri"/>
                <w:color w:val="000000"/>
                <w:sz w:val="14"/>
                <w:szCs w:val="14"/>
              </w:rPr>
              <w:br/>
              <w:t>Sistema de Som</w:t>
            </w:r>
            <w:r>
              <w:rPr>
                <w:rFonts w:ascii="Gadugi" w:eastAsia="Times New Roman" w:hAnsi="Gadugi" w:cs="Calibri"/>
                <w:color w:val="000000"/>
                <w:sz w:val="14"/>
                <w:szCs w:val="14"/>
              </w:rPr>
              <w:t xml:space="preserve"> </w:t>
            </w:r>
            <w:r w:rsidRPr="005B62C0">
              <w:rPr>
                <w:rFonts w:ascii="Gadugi" w:eastAsia="Times New Roman" w:hAnsi="Gadugi" w:cs="Calibri"/>
                <w:color w:val="000000"/>
                <w:sz w:val="14"/>
                <w:szCs w:val="14"/>
              </w:rPr>
              <w:t>Dolby Digital</w:t>
            </w:r>
            <w:r w:rsidRPr="005B62C0">
              <w:rPr>
                <w:rFonts w:ascii="Gadugi" w:eastAsia="Times New Roman" w:hAnsi="Gadugi" w:cs="Calibri"/>
                <w:color w:val="000000"/>
                <w:sz w:val="14"/>
                <w:szCs w:val="14"/>
              </w:rPr>
              <w:br/>
            </w:r>
            <w:r w:rsidRPr="005B62C0">
              <w:rPr>
                <w:rFonts w:ascii="Gadugi" w:eastAsia="Times New Roman" w:hAnsi="Gadugi" w:cs="Calibri"/>
                <w:b/>
                <w:bCs/>
                <w:i/>
                <w:iCs/>
                <w:color w:val="000000"/>
                <w:sz w:val="14"/>
                <w:szCs w:val="14"/>
              </w:rPr>
              <w:t xml:space="preserve">Especificações </w:t>
            </w:r>
            <w:r w:rsidRPr="00E96505">
              <w:rPr>
                <w:rFonts w:ascii="Gadugi" w:eastAsia="Times New Roman" w:hAnsi="Gadugi" w:cs="Calibri"/>
                <w:b/>
                <w:bCs/>
                <w:i/>
                <w:iCs/>
                <w:color w:val="000000"/>
                <w:sz w:val="14"/>
                <w:szCs w:val="14"/>
              </w:rPr>
              <w:t>mínimas</w:t>
            </w:r>
            <w:r w:rsidRPr="005B62C0">
              <w:rPr>
                <w:rFonts w:ascii="Gadugi" w:eastAsia="Times New Roman" w:hAnsi="Gadugi" w:cs="Calibri"/>
                <w:b/>
                <w:bCs/>
                <w:i/>
                <w:iCs/>
                <w:color w:val="000000"/>
                <w:sz w:val="14"/>
                <w:szCs w:val="14"/>
              </w:rPr>
              <w:t>.</w:t>
            </w:r>
          </w:p>
        </w:tc>
        <w:tc>
          <w:tcPr>
            <w:tcW w:w="729" w:type="dxa"/>
            <w:tcBorders>
              <w:top w:val="nil"/>
              <w:left w:val="nil"/>
              <w:bottom w:val="single" w:sz="4" w:space="0" w:color="auto"/>
              <w:right w:val="single" w:sz="4" w:space="0" w:color="auto"/>
            </w:tcBorders>
            <w:shd w:val="clear" w:color="auto" w:fill="auto"/>
            <w:noWrap/>
            <w:vAlign w:val="center"/>
            <w:hideMark/>
          </w:tcPr>
          <w:p w14:paraId="047BAF3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17FCECF4"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w:t>
            </w:r>
          </w:p>
        </w:tc>
        <w:tc>
          <w:tcPr>
            <w:tcW w:w="918" w:type="dxa"/>
            <w:tcBorders>
              <w:top w:val="nil"/>
              <w:left w:val="nil"/>
              <w:bottom w:val="single" w:sz="4" w:space="0" w:color="auto"/>
              <w:right w:val="single" w:sz="4" w:space="0" w:color="auto"/>
            </w:tcBorders>
            <w:shd w:val="clear" w:color="auto" w:fill="auto"/>
            <w:noWrap/>
            <w:vAlign w:val="center"/>
            <w:hideMark/>
          </w:tcPr>
          <w:p w14:paraId="5D1B13AC" w14:textId="0A9018DA" w:rsidR="00CB6588" w:rsidRPr="005B62C0" w:rsidRDefault="00CB6588" w:rsidP="00616743">
            <w:pPr>
              <w:suppressAutoHyphens w:val="0"/>
              <w:jc w:val="center"/>
              <w:rPr>
                <w:rFonts w:ascii="Gadugi" w:eastAsia="Times New Roman" w:hAnsi="Gadugi" w:cs="Calibri"/>
                <w:color w:val="000000"/>
                <w:sz w:val="14"/>
                <w:szCs w:val="14"/>
              </w:rPr>
            </w:pPr>
          </w:p>
        </w:tc>
      </w:tr>
      <w:tr w:rsidR="00CB6588" w:rsidRPr="005B62C0" w14:paraId="46B9BDBD" w14:textId="77777777" w:rsidTr="00616743">
        <w:trPr>
          <w:trHeight w:val="1515"/>
        </w:trPr>
        <w:tc>
          <w:tcPr>
            <w:tcW w:w="558" w:type="dxa"/>
            <w:tcBorders>
              <w:top w:val="nil"/>
              <w:left w:val="single" w:sz="4" w:space="0" w:color="auto"/>
              <w:bottom w:val="single" w:sz="4" w:space="0" w:color="auto"/>
              <w:right w:val="single" w:sz="4" w:space="0" w:color="auto"/>
            </w:tcBorders>
            <w:shd w:val="clear" w:color="auto" w:fill="auto"/>
            <w:noWrap/>
            <w:vAlign w:val="center"/>
            <w:hideMark/>
          </w:tcPr>
          <w:p w14:paraId="7949BFE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32</w:t>
            </w:r>
          </w:p>
        </w:tc>
        <w:tc>
          <w:tcPr>
            <w:tcW w:w="6646" w:type="dxa"/>
            <w:tcBorders>
              <w:top w:val="nil"/>
              <w:left w:val="nil"/>
              <w:bottom w:val="single" w:sz="4" w:space="0" w:color="auto"/>
              <w:right w:val="single" w:sz="4" w:space="0" w:color="auto"/>
            </w:tcBorders>
            <w:shd w:val="clear" w:color="auto" w:fill="auto"/>
            <w:vAlign w:val="center"/>
            <w:hideMark/>
          </w:tcPr>
          <w:p w14:paraId="1D53714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WEBCAM 720 DPI Webcam - USB&lt;!-- Conferido: 17/07/2024</w:t>
            </w:r>
            <w:r w:rsidRPr="005B62C0">
              <w:rPr>
                <w:rFonts w:ascii="Gadugi" w:eastAsia="Times New Roman" w:hAnsi="Gadugi" w:cs="Calibri"/>
                <w:color w:val="000000"/>
                <w:sz w:val="14"/>
                <w:szCs w:val="14"/>
              </w:rPr>
              <w:br/>
              <w:t>Logitech C270 HD720p Mic Pto</w:t>
            </w:r>
            <w:r w:rsidRPr="005B62C0">
              <w:rPr>
                <w:rFonts w:ascii="Gadugi" w:eastAsia="Times New Roman" w:hAnsi="Gadugi" w:cs="Calibri"/>
                <w:color w:val="000000"/>
                <w:sz w:val="14"/>
                <w:szCs w:val="14"/>
              </w:rPr>
              <w:br/>
              <w:t>Dahua UC320 --&gt;</w:t>
            </w:r>
            <w:r w:rsidRPr="005B62C0">
              <w:rPr>
                <w:rFonts w:ascii="Gadugi" w:eastAsia="Times New Roman" w:hAnsi="Gadugi" w:cs="Calibri"/>
                <w:color w:val="000000"/>
                <w:sz w:val="14"/>
                <w:szCs w:val="14"/>
              </w:rPr>
              <w:br/>
              <w:t>Resolução máxima de gravação: 1280 x 720 pixels (ou superior).</w:t>
            </w:r>
            <w:r w:rsidRPr="005B62C0">
              <w:rPr>
                <w:rFonts w:ascii="Gadugi" w:eastAsia="Times New Roman" w:hAnsi="Gadugi" w:cs="Calibri"/>
                <w:color w:val="000000"/>
                <w:sz w:val="14"/>
                <w:szCs w:val="14"/>
              </w:rPr>
              <w:br/>
              <w:t>Quadros de gravação em resolução máxima: 23 FPS (ou superior).</w:t>
            </w:r>
            <w:r w:rsidRPr="005B62C0">
              <w:rPr>
                <w:rFonts w:ascii="Gadugi" w:eastAsia="Times New Roman" w:hAnsi="Gadugi" w:cs="Calibri"/>
                <w:color w:val="000000"/>
                <w:sz w:val="14"/>
                <w:szCs w:val="14"/>
              </w:rPr>
              <w:br/>
              <w:t>Microfone: Microfone embutido.</w:t>
            </w:r>
            <w:r w:rsidRPr="005B62C0">
              <w:rPr>
                <w:rFonts w:ascii="Gadugi" w:eastAsia="Times New Roman" w:hAnsi="Gadugi" w:cs="Calibri"/>
                <w:color w:val="000000"/>
                <w:sz w:val="14"/>
                <w:szCs w:val="14"/>
              </w:rPr>
              <w:br/>
              <w:t>Conexão: USB 2.0 (ou superior).</w:t>
            </w:r>
            <w:r w:rsidRPr="005B62C0">
              <w:rPr>
                <w:rFonts w:ascii="Gadugi" w:eastAsia="Times New Roman" w:hAnsi="Gadugi" w:cs="Calibri"/>
                <w:color w:val="000000"/>
                <w:sz w:val="14"/>
                <w:szCs w:val="14"/>
              </w:rPr>
              <w:br/>
              <w:t>Comprimento do cabo USB: 1 metro (no mínimo).</w:t>
            </w:r>
            <w:r w:rsidRPr="005B62C0">
              <w:rPr>
                <w:rFonts w:ascii="Gadugi" w:eastAsia="Times New Roman" w:hAnsi="Gadugi" w:cs="Calibri"/>
                <w:color w:val="000000"/>
                <w:sz w:val="14"/>
                <w:szCs w:val="14"/>
              </w:rPr>
              <w:br/>
              <w:t>Demais itens inclusos: Clipe para fixação em telas LED/LCD. Drivers necessários compatíveis com sistemas operacionais Windows 10 (64 bits) e Windows 11 (64 bits).</w:t>
            </w:r>
          </w:p>
        </w:tc>
        <w:tc>
          <w:tcPr>
            <w:tcW w:w="729" w:type="dxa"/>
            <w:tcBorders>
              <w:top w:val="nil"/>
              <w:left w:val="nil"/>
              <w:bottom w:val="single" w:sz="4" w:space="0" w:color="auto"/>
              <w:right w:val="single" w:sz="4" w:space="0" w:color="auto"/>
            </w:tcBorders>
            <w:shd w:val="clear" w:color="auto" w:fill="auto"/>
            <w:noWrap/>
            <w:vAlign w:val="center"/>
            <w:hideMark/>
          </w:tcPr>
          <w:p w14:paraId="252CCC51"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UN</w:t>
            </w:r>
          </w:p>
        </w:tc>
        <w:tc>
          <w:tcPr>
            <w:tcW w:w="852" w:type="dxa"/>
            <w:tcBorders>
              <w:top w:val="nil"/>
              <w:left w:val="nil"/>
              <w:bottom w:val="single" w:sz="4" w:space="0" w:color="auto"/>
              <w:right w:val="single" w:sz="4" w:space="0" w:color="auto"/>
            </w:tcBorders>
            <w:shd w:val="clear" w:color="auto" w:fill="auto"/>
            <w:noWrap/>
            <w:vAlign w:val="center"/>
            <w:hideMark/>
          </w:tcPr>
          <w:p w14:paraId="42A70303" w14:textId="77777777" w:rsidR="00CB6588" w:rsidRPr="005B62C0" w:rsidRDefault="00CB6588" w:rsidP="00616743">
            <w:pPr>
              <w:suppressAutoHyphens w:val="0"/>
              <w:jc w:val="center"/>
              <w:rPr>
                <w:rFonts w:ascii="Gadugi" w:eastAsia="Times New Roman" w:hAnsi="Gadugi" w:cs="Calibri"/>
                <w:color w:val="000000"/>
                <w:sz w:val="14"/>
                <w:szCs w:val="14"/>
              </w:rPr>
            </w:pPr>
            <w:r w:rsidRPr="005B62C0">
              <w:rPr>
                <w:rFonts w:ascii="Gadugi" w:eastAsia="Times New Roman" w:hAnsi="Gadugi" w:cs="Calibri"/>
                <w:color w:val="000000"/>
                <w:sz w:val="14"/>
                <w:szCs w:val="14"/>
              </w:rPr>
              <w:t>10</w:t>
            </w:r>
          </w:p>
        </w:tc>
        <w:tc>
          <w:tcPr>
            <w:tcW w:w="918" w:type="dxa"/>
            <w:tcBorders>
              <w:top w:val="nil"/>
              <w:left w:val="nil"/>
              <w:bottom w:val="single" w:sz="4" w:space="0" w:color="auto"/>
              <w:right w:val="single" w:sz="4" w:space="0" w:color="auto"/>
            </w:tcBorders>
            <w:shd w:val="clear" w:color="auto" w:fill="auto"/>
            <w:noWrap/>
            <w:vAlign w:val="center"/>
            <w:hideMark/>
          </w:tcPr>
          <w:p w14:paraId="1C2B5DCA" w14:textId="5516092F" w:rsidR="00CB6588" w:rsidRPr="005B62C0" w:rsidRDefault="00CB6588" w:rsidP="00616743">
            <w:pPr>
              <w:suppressAutoHyphens w:val="0"/>
              <w:jc w:val="center"/>
              <w:rPr>
                <w:rFonts w:ascii="Gadugi" w:eastAsia="Times New Roman" w:hAnsi="Gadugi" w:cs="Calibri"/>
                <w:color w:val="000000"/>
                <w:sz w:val="14"/>
                <w:szCs w:val="14"/>
              </w:rPr>
            </w:pPr>
          </w:p>
        </w:tc>
      </w:tr>
    </w:tbl>
    <w:p w14:paraId="0BBA49F3" w14:textId="77777777" w:rsidR="005B203D" w:rsidRDefault="005B203D">
      <w:pPr>
        <w:jc w:val="both"/>
        <w:rPr>
          <w:rFonts w:ascii="Gadugi" w:hAnsi="Gadugi" w:cs="Gadugi"/>
          <w:b/>
          <w:bCs/>
          <w:sz w:val="18"/>
          <w:szCs w:val="18"/>
        </w:rPr>
      </w:pPr>
    </w:p>
    <w:tbl>
      <w:tblPr>
        <w:tblW w:w="9882" w:type="dxa"/>
        <w:tblInd w:w="71" w:type="dxa"/>
        <w:tblLayout w:type="fixed"/>
        <w:tblCellMar>
          <w:left w:w="71" w:type="dxa"/>
          <w:right w:w="71" w:type="dxa"/>
        </w:tblCellMar>
        <w:tblLook w:val="04A0" w:firstRow="1" w:lastRow="0" w:firstColumn="1" w:lastColumn="0" w:noHBand="0" w:noVBand="1"/>
      </w:tblPr>
      <w:tblGrid>
        <w:gridCol w:w="4960"/>
        <w:gridCol w:w="572"/>
        <w:gridCol w:w="4350"/>
      </w:tblGrid>
      <w:tr w:rsidR="005B203D" w14:paraId="46428ABE" w14:textId="77777777">
        <w:trPr>
          <w:trHeight w:val="2271"/>
        </w:trPr>
        <w:tc>
          <w:tcPr>
            <w:tcW w:w="4960" w:type="dxa"/>
          </w:tcPr>
          <w:p w14:paraId="04B3992B" w14:textId="77777777" w:rsidR="005B203D" w:rsidRDefault="005B203D">
            <w:pPr>
              <w:widowControl w:val="0"/>
              <w:jc w:val="both"/>
              <w:rPr>
                <w:rFonts w:ascii="Gadugi" w:hAnsi="Gadugi" w:cs="Gadugi"/>
                <w:sz w:val="18"/>
                <w:szCs w:val="18"/>
              </w:rPr>
            </w:pPr>
          </w:p>
          <w:p w14:paraId="7907A856" w14:textId="77777777" w:rsidR="005B203D" w:rsidRDefault="00E60DC2">
            <w:pPr>
              <w:widowControl w:val="0"/>
              <w:jc w:val="both"/>
              <w:rPr>
                <w:rFonts w:ascii="Gadugi" w:hAnsi="Gadugi" w:cs="Gadugi"/>
                <w:sz w:val="18"/>
                <w:szCs w:val="18"/>
              </w:rPr>
            </w:pPr>
            <w:r>
              <w:rPr>
                <w:rFonts w:ascii="Gadugi" w:hAnsi="Gadugi" w:cs="Gadugi"/>
                <w:b/>
                <w:sz w:val="18"/>
                <w:szCs w:val="18"/>
                <w:shd w:val="clear" w:color="auto" w:fill="FFFFFF"/>
              </w:rPr>
              <w:t>Validade da proposta: (mínimo 60 dias):______</w:t>
            </w:r>
          </w:p>
          <w:p w14:paraId="35D1E168" w14:textId="77777777" w:rsidR="005B203D" w:rsidRDefault="005B203D">
            <w:pPr>
              <w:widowControl w:val="0"/>
              <w:jc w:val="both"/>
              <w:rPr>
                <w:rFonts w:ascii="Gadugi" w:hAnsi="Gadugi" w:cs="Gadugi"/>
                <w:sz w:val="18"/>
                <w:szCs w:val="18"/>
              </w:rPr>
            </w:pPr>
          </w:p>
          <w:p w14:paraId="4FC1177D" w14:textId="77777777" w:rsidR="005B203D" w:rsidRDefault="005B203D">
            <w:pPr>
              <w:widowControl w:val="0"/>
              <w:jc w:val="both"/>
              <w:rPr>
                <w:rFonts w:ascii="Gadugi" w:hAnsi="Gadugi" w:cs="Gadugi"/>
                <w:sz w:val="18"/>
                <w:szCs w:val="18"/>
              </w:rPr>
            </w:pPr>
          </w:p>
          <w:p w14:paraId="3DAF05E7" w14:textId="77777777" w:rsidR="005B203D" w:rsidRDefault="005B203D">
            <w:pPr>
              <w:widowControl w:val="0"/>
              <w:jc w:val="both"/>
              <w:rPr>
                <w:rFonts w:ascii="Gadugi" w:hAnsi="Gadugi" w:cs="Gadugi"/>
                <w:sz w:val="18"/>
                <w:szCs w:val="18"/>
              </w:rPr>
            </w:pPr>
          </w:p>
          <w:p w14:paraId="7E82538B" w14:textId="77777777" w:rsidR="005B203D" w:rsidRDefault="00E60DC2">
            <w:pPr>
              <w:widowControl w:val="0"/>
              <w:jc w:val="both"/>
              <w:rPr>
                <w:rFonts w:ascii="Gadugi" w:hAnsi="Gadugi" w:cs="Gadugi"/>
                <w:sz w:val="18"/>
                <w:szCs w:val="18"/>
              </w:rPr>
            </w:pPr>
            <w:r>
              <w:rPr>
                <w:rFonts w:ascii="Gadugi" w:hAnsi="Gadugi" w:cs="Gadugi"/>
                <w:b/>
                <w:sz w:val="18"/>
                <w:szCs w:val="18"/>
              </w:rPr>
              <w:t>Data: ______ / ____________ de 2025</w:t>
            </w:r>
          </w:p>
          <w:p w14:paraId="68CBF986" w14:textId="77777777" w:rsidR="005B203D" w:rsidRDefault="005B203D">
            <w:pPr>
              <w:widowControl w:val="0"/>
              <w:jc w:val="both"/>
              <w:rPr>
                <w:rFonts w:ascii="Gadugi" w:hAnsi="Gadugi" w:cs="Gadugi"/>
                <w:sz w:val="18"/>
                <w:szCs w:val="18"/>
              </w:rPr>
            </w:pPr>
          </w:p>
          <w:p w14:paraId="74307799" w14:textId="77777777" w:rsidR="005B203D" w:rsidRDefault="00E60DC2">
            <w:pPr>
              <w:widowControl w:val="0"/>
              <w:jc w:val="both"/>
              <w:rPr>
                <w:rFonts w:ascii="Gadugi" w:hAnsi="Gadugi" w:cs="Gadugi"/>
                <w:sz w:val="18"/>
                <w:szCs w:val="18"/>
              </w:rPr>
            </w:pPr>
            <w:r>
              <w:rPr>
                <w:rFonts w:ascii="Gadugi" w:hAnsi="Gadugi" w:cs="Gadugi"/>
                <w:b/>
                <w:sz w:val="18"/>
                <w:szCs w:val="18"/>
              </w:rPr>
              <w:t>________________________________________</w:t>
            </w:r>
          </w:p>
          <w:p w14:paraId="02691455" w14:textId="77777777" w:rsidR="005B203D" w:rsidRDefault="00E60DC2">
            <w:pPr>
              <w:widowControl w:val="0"/>
              <w:jc w:val="both"/>
              <w:rPr>
                <w:rFonts w:ascii="Gadugi" w:hAnsi="Gadugi" w:cs="Gadugi"/>
                <w:bCs/>
                <w:sz w:val="18"/>
                <w:szCs w:val="18"/>
              </w:rPr>
            </w:pPr>
            <w:r>
              <w:rPr>
                <w:rFonts w:ascii="Gadugi" w:hAnsi="Gadugi" w:cs="Gadugi"/>
                <w:b/>
                <w:sz w:val="18"/>
                <w:szCs w:val="18"/>
              </w:rPr>
              <w:t>Assinatura e Identificação do Proponente Legal</w:t>
            </w:r>
          </w:p>
        </w:tc>
        <w:tc>
          <w:tcPr>
            <w:tcW w:w="572" w:type="dxa"/>
          </w:tcPr>
          <w:p w14:paraId="143DBC26" w14:textId="77777777" w:rsidR="005B203D" w:rsidRDefault="005B203D">
            <w:pPr>
              <w:widowControl w:val="0"/>
              <w:jc w:val="both"/>
              <w:rPr>
                <w:rFonts w:ascii="Gadugi" w:hAnsi="Gadugi" w:cs="Gadugi"/>
                <w:sz w:val="18"/>
                <w:szCs w:val="18"/>
              </w:rPr>
            </w:pPr>
          </w:p>
        </w:tc>
        <w:tc>
          <w:tcPr>
            <w:tcW w:w="4350" w:type="dxa"/>
            <w:tcBorders>
              <w:top w:val="single" w:sz="6" w:space="0" w:color="000000"/>
              <w:left w:val="single" w:sz="6" w:space="0" w:color="000000"/>
              <w:bottom w:val="single" w:sz="6" w:space="0" w:color="000000"/>
              <w:right w:val="single" w:sz="6" w:space="0" w:color="000000"/>
            </w:tcBorders>
          </w:tcPr>
          <w:p w14:paraId="1F67CB49" w14:textId="77777777" w:rsidR="005B203D" w:rsidRDefault="00E60DC2">
            <w:pPr>
              <w:widowControl w:val="0"/>
              <w:jc w:val="both"/>
              <w:rPr>
                <w:rFonts w:ascii="Gadugi" w:hAnsi="Gadugi" w:cs="Gadugi"/>
                <w:sz w:val="18"/>
                <w:szCs w:val="18"/>
              </w:rPr>
            </w:pPr>
            <w:r>
              <w:rPr>
                <w:rFonts w:ascii="Gadugi" w:hAnsi="Gadugi" w:cs="Gadugi"/>
                <w:b/>
                <w:sz w:val="18"/>
                <w:szCs w:val="18"/>
              </w:rPr>
              <w:t>Carimbo do CNPJ</w:t>
            </w:r>
          </w:p>
          <w:p w14:paraId="6BEE72F4" w14:textId="77777777" w:rsidR="005B203D" w:rsidRDefault="005B203D">
            <w:pPr>
              <w:widowControl w:val="0"/>
              <w:jc w:val="both"/>
              <w:rPr>
                <w:rFonts w:ascii="Gadugi" w:hAnsi="Gadugi" w:cs="Gadugi"/>
                <w:sz w:val="18"/>
                <w:szCs w:val="18"/>
              </w:rPr>
            </w:pPr>
          </w:p>
          <w:p w14:paraId="35BCE6C3" w14:textId="77777777" w:rsidR="005B203D" w:rsidRDefault="005B203D">
            <w:pPr>
              <w:widowControl w:val="0"/>
              <w:jc w:val="both"/>
              <w:rPr>
                <w:rFonts w:ascii="Gadugi" w:hAnsi="Gadugi" w:cs="Gadugi"/>
                <w:sz w:val="18"/>
                <w:szCs w:val="18"/>
              </w:rPr>
            </w:pPr>
          </w:p>
          <w:p w14:paraId="2AEDA4E0" w14:textId="77777777" w:rsidR="005B203D" w:rsidRDefault="005B203D">
            <w:pPr>
              <w:widowControl w:val="0"/>
              <w:jc w:val="both"/>
              <w:rPr>
                <w:rFonts w:ascii="Gadugi" w:hAnsi="Gadugi" w:cs="Gadugi"/>
                <w:sz w:val="18"/>
                <w:szCs w:val="18"/>
              </w:rPr>
            </w:pPr>
          </w:p>
          <w:p w14:paraId="79DAFDA3" w14:textId="77777777" w:rsidR="005B203D" w:rsidRDefault="005B203D">
            <w:pPr>
              <w:widowControl w:val="0"/>
              <w:jc w:val="both"/>
              <w:rPr>
                <w:rFonts w:ascii="Gadugi" w:hAnsi="Gadugi" w:cs="Gadugi"/>
                <w:sz w:val="18"/>
                <w:szCs w:val="18"/>
              </w:rPr>
            </w:pPr>
          </w:p>
          <w:p w14:paraId="6141555E" w14:textId="77777777" w:rsidR="005B203D" w:rsidRDefault="005B203D">
            <w:pPr>
              <w:widowControl w:val="0"/>
              <w:jc w:val="both"/>
              <w:rPr>
                <w:rFonts w:ascii="Gadugi" w:hAnsi="Gadugi" w:cs="Gadugi"/>
                <w:sz w:val="18"/>
                <w:szCs w:val="18"/>
              </w:rPr>
            </w:pPr>
          </w:p>
          <w:p w14:paraId="2274DA6E" w14:textId="77777777" w:rsidR="005B203D" w:rsidRDefault="005B203D">
            <w:pPr>
              <w:widowControl w:val="0"/>
              <w:jc w:val="both"/>
              <w:rPr>
                <w:rFonts w:ascii="Gadugi" w:hAnsi="Gadugi" w:cs="Gadugi"/>
                <w:sz w:val="18"/>
                <w:szCs w:val="18"/>
              </w:rPr>
            </w:pPr>
          </w:p>
          <w:p w14:paraId="77EC7B49" w14:textId="77777777" w:rsidR="005B203D" w:rsidRDefault="005B203D">
            <w:pPr>
              <w:widowControl w:val="0"/>
              <w:jc w:val="both"/>
              <w:rPr>
                <w:rFonts w:ascii="Gadugi" w:hAnsi="Gadugi" w:cs="Gadugi"/>
                <w:sz w:val="18"/>
                <w:szCs w:val="18"/>
              </w:rPr>
            </w:pPr>
          </w:p>
        </w:tc>
      </w:tr>
    </w:tbl>
    <w:p w14:paraId="01D1722B" w14:textId="77777777" w:rsidR="005B203D" w:rsidRDefault="005B203D">
      <w:pPr>
        <w:rPr>
          <w:rFonts w:ascii="Gadugi" w:hAnsi="Gadugi" w:cs="Gadugi"/>
          <w:b/>
          <w:bCs/>
          <w:sz w:val="18"/>
          <w:szCs w:val="18"/>
        </w:rPr>
      </w:pPr>
    </w:p>
    <w:p w14:paraId="5B15989D" w14:textId="77777777" w:rsidR="005B203D" w:rsidRDefault="005B203D">
      <w:pPr>
        <w:jc w:val="center"/>
        <w:rPr>
          <w:rFonts w:ascii="Gadugi" w:hAnsi="Gadugi" w:cs="Gadugi"/>
          <w:b/>
          <w:bCs/>
          <w:sz w:val="18"/>
          <w:szCs w:val="18"/>
        </w:rPr>
      </w:pPr>
    </w:p>
    <w:p w14:paraId="668C9354" w14:textId="77777777" w:rsidR="005B203D" w:rsidRDefault="005B203D">
      <w:pPr>
        <w:jc w:val="center"/>
        <w:rPr>
          <w:rFonts w:ascii="Gadugi" w:hAnsi="Gadugi" w:cs="Gadugi"/>
          <w:b/>
          <w:bCs/>
          <w:sz w:val="18"/>
          <w:szCs w:val="18"/>
        </w:rPr>
      </w:pPr>
    </w:p>
    <w:p w14:paraId="39FCFB9F" w14:textId="77777777" w:rsidR="005B203D" w:rsidRDefault="005B203D">
      <w:pPr>
        <w:jc w:val="center"/>
        <w:rPr>
          <w:rFonts w:ascii="Gadugi" w:hAnsi="Gadugi" w:cs="Gadugi"/>
          <w:b/>
          <w:bCs/>
          <w:sz w:val="18"/>
          <w:szCs w:val="18"/>
        </w:rPr>
      </w:pPr>
    </w:p>
    <w:p w14:paraId="394DD123" w14:textId="77777777" w:rsidR="005B203D" w:rsidRDefault="005B203D">
      <w:pPr>
        <w:jc w:val="center"/>
        <w:rPr>
          <w:rFonts w:ascii="Gadugi" w:hAnsi="Gadugi" w:cs="Gadugi"/>
          <w:b/>
          <w:bCs/>
          <w:sz w:val="18"/>
          <w:szCs w:val="18"/>
        </w:rPr>
      </w:pPr>
    </w:p>
    <w:p w14:paraId="795D0567" w14:textId="77777777" w:rsidR="005B203D" w:rsidRDefault="005B203D">
      <w:pPr>
        <w:jc w:val="center"/>
        <w:rPr>
          <w:rFonts w:ascii="Gadugi" w:hAnsi="Gadugi" w:cs="Gadugi"/>
          <w:b/>
          <w:bCs/>
          <w:sz w:val="18"/>
          <w:szCs w:val="18"/>
        </w:rPr>
      </w:pPr>
    </w:p>
    <w:p w14:paraId="00A52A85" w14:textId="77777777" w:rsidR="005B203D" w:rsidRDefault="005B203D">
      <w:pPr>
        <w:jc w:val="center"/>
        <w:rPr>
          <w:rFonts w:ascii="Gadugi" w:hAnsi="Gadugi" w:cs="Gadugi"/>
          <w:b/>
          <w:bCs/>
          <w:sz w:val="18"/>
          <w:szCs w:val="18"/>
        </w:rPr>
      </w:pPr>
    </w:p>
    <w:p w14:paraId="5B5CEB95" w14:textId="77777777" w:rsidR="005B203D" w:rsidRDefault="005B203D">
      <w:pPr>
        <w:jc w:val="center"/>
        <w:rPr>
          <w:rFonts w:ascii="Gadugi" w:hAnsi="Gadugi" w:cs="Gadugi"/>
          <w:b/>
          <w:bCs/>
          <w:sz w:val="18"/>
          <w:szCs w:val="18"/>
        </w:rPr>
      </w:pPr>
    </w:p>
    <w:p w14:paraId="16C6A6F9" w14:textId="77777777" w:rsidR="005B203D" w:rsidRDefault="005B203D">
      <w:pPr>
        <w:jc w:val="center"/>
        <w:rPr>
          <w:rFonts w:ascii="Gadugi" w:hAnsi="Gadugi" w:cs="Gadugi"/>
          <w:b/>
          <w:bCs/>
          <w:sz w:val="18"/>
          <w:szCs w:val="18"/>
        </w:rPr>
      </w:pPr>
    </w:p>
    <w:p w14:paraId="5E00565A" w14:textId="77777777" w:rsidR="005B203D" w:rsidRDefault="005B203D">
      <w:pPr>
        <w:jc w:val="center"/>
        <w:rPr>
          <w:rFonts w:ascii="Gadugi" w:hAnsi="Gadugi" w:cs="Gadugi"/>
          <w:b/>
          <w:bCs/>
          <w:sz w:val="18"/>
          <w:szCs w:val="18"/>
        </w:rPr>
      </w:pPr>
    </w:p>
    <w:p w14:paraId="4DFDA7DE" w14:textId="77777777" w:rsidR="005B203D" w:rsidRDefault="005B203D">
      <w:pPr>
        <w:jc w:val="center"/>
        <w:rPr>
          <w:rFonts w:ascii="Gadugi" w:hAnsi="Gadugi" w:cs="Gadugi"/>
          <w:b/>
          <w:bCs/>
          <w:sz w:val="18"/>
          <w:szCs w:val="18"/>
        </w:rPr>
      </w:pPr>
    </w:p>
    <w:p w14:paraId="171DBC14" w14:textId="77777777" w:rsidR="005B203D" w:rsidRDefault="005B203D">
      <w:pPr>
        <w:jc w:val="center"/>
        <w:rPr>
          <w:rFonts w:ascii="Gadugi" w:hAnsi="Gadugi" w:cs="Gadugi"/>
          <w:b/>
          <w:bCs/>
          <w:sz w:val="18"/>
          <w:szCs w:val="18"/>
        </w:rPr>
      </w:pPr>
    </w:p>
    <w:p w14:paraId="6AC5093B" w14:textId="77777777" w:rsidR="005B203D" w:rsidRDefault="005B203D">
      <w:pPr>
        <w:jc w:val="center"/>
        <w:rPr>
          <w:rFonts w:ascii="Gadugi" w:hAnsi="Gadugi" w:cs="Gadugi"/>
          <w:b/>
          <w:bCs/>
          <w:sz w:val="18"/>
          <w:szCs w:val="18"/>
        </w:rPr>
      </w:pPr>
    </w:p>
    <w:p w14:paraId="23FFFE97" w14:textId="77777777" w:rsidR="005B203D" w:rsidRDefault="005B203D">
      <w:pPr>
        <w:jc w:val="center"/>
        <w:rPr>
          <w:rFonts w:ascii="Gadugi" w:hAnsi="Gadugi" w:cs="Gadugi"/>
          <w:b/>
          <w:bCs/>
          <w:sz w:val="18"/>
          <w:szCs w:val="18"/>
        </w:rPr>
      </w:pPr>
    </w:p>
    <w:p w14:paraId="2ED6BEE6" w14:textId="77777777" w:rsidR="005B203D" w:rsidRDefault="005B203D">
      <w:pPr>
        <w:jc w:val="center"/>
        <w:rPr>
          <w:rFonts w:ascii="Gadugi" w:hAnsi="Gadugi" w:cs="Gadugi"/>
          <w:b/>
          <w:bCs/>
          <w:sz w:val="18"/>
          <w:szCs w:val="18"/>
        </w:rPr>
      </w:pPr>
    </w:p>
    <w:p w14:paraId="7F664170" w14:textId="77777777" w:rsidR="005B203D" w:rsidRDefault="005B203D">
      <w:pPr>
        <w:jc w:val="center"/>
        <w:rPr>
          <w:rFonts w:ascii="Gadugi" w:hAnsi="Gadugi" w:cs="Gadugi"/>
          <w:b/>
          <w:bCs/>
          <w:sz w:val="18"/>
          <w:szCs w:val="18"/>
        </w:rPr>
      </w:pPr>
    </w:p>
    <w:p w14:paraId="10E95542" w14:textId="77777777" w:rsidR="005B203D" w:rsidRDefault="005B203D">
      <w:pPr>
        <w:jc w:val="center"/>
        <w:rPr>
          <w:rFonts w:ascii="Gadugi" w:hAnsi="Gadugi" w:cs="Gadugi"/>
          <w:b/>
          <w:bCs/>
          <w:sz w:val="18"/>
          <w:szCs w:val="18"/>
        </w:rPr>
      </w:pPr>
    </w:p>
    <w:p w14:paraId="62788A49" w14:textId="77777777" w:rsidR="005B203D" w:rsidRDefault="005B203D">
      <w:pPr>
        <w:jc w:val="center"/>
        <w:rPr>
          <w:rFonts w:ascii="Gadugi" w:hAnsi="Gadugi" w:cs="Gadugi"/>
          <w:b/>
          <w:bCs/>
          <w:sz w:val="18"/>
          <w:szCs w:val="18"/>
        </w:rPr>
      </w:pPr>
    </w:p>
    <w:p w14:paraId="2A315E43" w14:textId="77777777" w:rsidR="005B203D" w:rsidRDefault="005B203D">
      <w:pPr>
        <w:rPr>
          <w:rFonts w:ascii="Gadugi" w:hAnsi="Gadugi" w:cs="Gadugi"/>
          <w:b/>
          <w:bCs/>
          <w:sz w:val="18"/>
          <w:szCs w:val="18"/>
        </w:rPr>
      </w:pPr>
    </w:p>
    <w:p w14:paraId="42F9ED1B" w14:textId="77777777" w:rsidR="005B203D" w:rsidRDefault="00E60DC2">
      <w:pPr>
        <w:jc w:val="center"/>
        <w:rPr>
          <w:rFonts w:ascii="Gadugi" w:hAnsi="Gadugi" w:cs="Gadugi"/>
          <w:b/>
          <w:bCs/>
          <w:sz w:val="18"/>
          <w:szCs w:val="18"/>
        </w:rPr>
      </w:pPr>
      <w:r>
        <w:rPr>
          <w:rFonts w:ascii="Gadugi" w:hAnsi="Gadugi" w:cs="Gadugi"/>
          <w:b/>
          <w:bCs/>
          <w:sz w:val="18"/>
          <w:szCs w:val="18"/>
        </w:rPr>
        <w:t>ANEXO III</w:t>
      </w:r>
    </w:p>
    <w:p w14:paraId="090A0A91" w14:textId="77777777" w:rsidR="005B203D" w:rsidRDefault="00E60DC2">
      <w:pPr>
        <w:widowControl w:val="0"/>
        <w:ind w:right="-15"/>
        <w:jc w:val="center"/>
        <w:rPr>
          <w:rFonts w:ascii="Gadugi" w:hAnsi="Gadugi" w:cs="Gadugi"/>
          <w:b/>
          <w:bCs/>
          <w:sz w:val="18"/>
          <w:szCs w:val="18"/>
        </w:rPr>
      </w:pPr>
      <w:r>
        <w:rPr>
          <w:rFonts w:ascii="Gadugi" w:hAnsi="Gadugi" w:cs="Gadugi"/>
          <w:b/>
          <w:bCs/>
          <w:sz w:val="18"/>
          <w:szCs w:val="18"/>
        </w:rPr>
        <w:t>PREFEITURA DE SANTA BÁRBARA DO SUL/RS</w:t>
      </w:r>
    </w:p>
    <w:p w14:paraId="61440369" w14:textId="0B841034" w:rsidR="005B203D" w:rsidRDefault="00E60DC2">
      <w:pPr>
        <w:widowControl w:val="0"/>
        <w:ind w:right="-30"/>
        <w:jc w:val="center"/>
        <w:rPr>
          <w:rFonts w:ascii="Gadugi" w:hAnsi="Gadugi" w:cs="Gadugi"/>
          <w:sz w:val="18"/>
          <w:szCs w:val="18"/>
        </w:rPr>
      </w:pPr>
      <w:r>
        <w:rPr>
          <w:rFonts w:ascii="Gadugi" w:hAnsi="Gadugi" w:cs="Gadugi"/>
          <w:b/>
          <w:bCs/>
          <w:sz w:val="18"/>
          <w:szCs w:val="18"/>
        </w:rPr>
        <w:t xml:space="preserve">ATA DE REGISTRO DE PREÇOS N.º </w:t>
      </w:r>
      <w:r w:rsidR="00F831C7">
        <w:rPr>
          <w:rFonts w:ascii="Gadugi" w:hAnsi="Gadugi" w:cs="Gadugi"/>
          <w:b/>
          <w:bCs/>
          <w:sz w:val="18"/>
          <w:szCs w:val="18"/>
        </w:rPr>
        <w:t>34/2025</w:t>
      </w:r>
    </w:p>
    <w:p w14:paraId="0943CFD4" w14:textId="77777777" w:rsidR="005B203D" w:rsidRDefault="00E60DC2">
      <w:pPr>
        <w:widowControl w:val="0"/>
        <w:ind w:right="-30"/>
        <w:rPr>
          <w:rFonts w:ascii="Gadugi" w:hAnsi="Gadugi" w:cs="Gadugi"/>
          <w:b/>
          <w:bCs/>
          <w:sz w:val="18"/>
          <w:szCs w:val="18"/>
        </w:rPr>
      </w:pPr>
      <w:r>
        <w:rPr>
          <w:rFonts w:ascii="Gadugi" w:hAnsi="Gadugi" w:cs="Gadugi"/>
          <w:b/>
          <w:bCs/>
          <w:sz w:val="18"/>
          <w:szCs w:val="18"/>
        </w:rPr>
        <w:t>VIGÊNCIA DA ATA:</w:t>
      </w:r>
    </w:p>
    <w:p w14:paraId="0988B516" w14:textId="0DBDF11B" w:rsidR="005B203D" w:rsidRDefault="00E60DC2">
      <w:pPr>
        <w:widowControl w:val="0"/>
        <w:tabs>
          <w:tab w:val="center" w:pos="4779"/>
          <w:tab w:val="right" w:pos="9198"/>
        </w:tabs>
        <w:spacing w:before="120"/>
        <w:ind w:right="-28" w:firstLine="709"/>
        <w:jc w:val="both"/>
        <w:rPr>
          <w:rFonts w:ascii="Gadugi" w:hAnsi="Gadugi" w:cs="Gadugi"/>
          <w:sz w:val="18"/>
          <w:szCs w:val="18"/>
        </w:rPr>
      </w:pPr>
      <w:r>
        <w:rPr>
          <w:rFonts w:ascii="Gadugi" w:hAnsi="Gadugi" w:cs="Gadugi"/>
          <w:sz w:val="18"/>
          <w:szCs w:val="18"/>
        </w:rPr>
        <w:t>A Prefeitura Municipal de Santa Bárbara do Sul, com sede na Avenida Eduardo de Brito, 101, na cidade de Santa Bárbara do Sul inscrita no CNPJ nº 88.496.468/0001-60, considerando o julgamento da licitação na modalidade de</w:t>
      </w:r>
      <w:r>
        <w:rPr>
          <w:rFonts w:ascii="Gadugi" w:hAnsi="Gadugi" w:cs="Gadugi"/>
          <w:b/>
          <w:bCs/>
          <w:sz w:val="18"/>
          <w:szCs w:val="18"/>
        </w:rPr>
        <w:t xml:space="preserve"> Pregão Eletrônico </w:t>
      </w:r>
      <w:r w:rsidR="00F831C7">
        <w:rPr>
          <w:rFonts w:ascii="Gadugi" w:hAnsi="Gadugi" w:cs="Gadugi"/>
          <w:b/>
          <w:bCs/>
          <w:sz w:val="18"/>
          <w:szCs w:val="18"/>
        </w:rPr>
        <w:t>42/2025</w:t>
      </w:r>
      <w:r>
        <w:rPr>
          <w:rFonts w:ascii="Gadugi" w:hAnsi="Gadugi" w:cs="Gadugi"/>
          <w:sz w:val="18"/>
          <w:szCs w:val="18"/>
        </w:rPr>
        <w:t xml:space="preserve">, para </w:t>
      </w:r>
      <w:r>
        <w:rPr>
          <w:rFonts w:ascii="Gadugi" w:hAnsi="Gadugi" w:cs="Gadugi"/>
          <w:b/>
          <w:bCs/>
          <w:sz w:val="18"/>
          <w:szCs w:val="18"/>
        </w:rPr>
        <w:t xml:space="preserve">Registro de Preços nº </w:t>
      </w:r>
      <w:r w:rsidR="00F831C7">
        <w:rPr>
          <w:rFonts w:ascii="Gadugi" w:hAnsi="Gadugi" w:cs="Gadugi"/>
          <w:b/>
          <w:bCs/>
          <w:sz w:val="18"/>
          <w:szCs w:val="18"/>
        </w:rPr>
        <w:t>34/2025</w:t>
      </w:r>
      <w:r>
        <w:rPr>
          <w:rFonts w:ascii="Gadugi" w:hAnsi="Gadugi" w:cs="Gadugi"/>
          <w:sz w:val="18"/>
          <w:szCs w:val="18"/>
        </w:rPr>
        <w:t xml:space="preserve">, </w:t>
      </w:r>
      <w:r>
        <w:rPr>
          <w:rFonts w:ascii="Gadugi" w:hAnsi="Gadugi" w:cs="Gadugi"/>
          <w:b/>
          <w:bCs/>
          <w:sz w:val="18"/>
          <w:szCs w:val="18"/>
        </w:rPr>
        <w:t xml:space="preserve">Processo Licitatório nº </w:t>
      </w:r>
      <w:r w:rsidR="002B40B9">
        <w:rPr>
          <w:rFonts w:ascii="Gadugi" w:hAnsi="Gadugi" w:cs="Gadugi"/>
          <w:b/>
          <w:bCs/>
          <w:sz w:val="18"/>
          <w:szCs w:val="18"/>
        </w:rPr>
        <w:t>208</w:t>
      </w:r>
      <w:r w:rsidR="00D51D46">
        <w:rPr>
          <w:rFonts w:ascii="Gadugi" w:hAnsi="Gadugi" w:cs="Gadugi"/>
          <w:b/>
          <w:bCs/>
          <w:sz w:val="18"/>
          <w:szCs w:val="18"/>
        </w:rPr>
        <w:t>/2025</w:t>
      </w:r>
      <w:r>
        <w:rPr>
          <w:rFonts w:ascii="Gadugi" w:hAnsi="Gadugi" w:cs="Gadugi"/>
          <w:sz w:val="18"/>
          <w:szCs w:val="18"/>
        </w:rPr>
        <w:t>, RESOLVE registrar o preço da empresa indicada e qualificada nesta ATA, de acordo com a classificação por ela alcançada e nas quantidades  cotadas, atendendo as condições previstas no edital, sujeitando-se as partes às normas constantes na Lei nº14.133/21 e suas alterações, em conformidade com as disposições a seguir:</w:t>
      </w:r>
    </w:p>
    <w:p w14:paraId="5C97C1E4" w14:textId="77777777" w:rsidR="005B203D" w:rsidRDefault="00E60DC2">
      <w:pPr>
        <w:pStyle w:val="Nivel01"/>
        <w:numPr>
          <w:ilvl w:val="0"/>
          <w:numId w:val="4"/>
        </w:numPr>
        <w:spacing w:before="57" w:after="57" w:line="240" w:lineRule="auto"/>
        <w:ind w:hanging="7731"/>
        <w:rPr>
          <w:rFonts w:ascii="Gadugi" w:hAnsi="Gadugi" w:cs="Gadugi"/>
          <w:color w:val="auto"/>
          <w:sz w:val="18"/>
          <w:szCs w:val="18"/>
        </w:rPr>
      </w:pPr>
      <w:r>
        <w:rPr>
          <w:rFonts w:ascii="Gadugi" w:hAnsi="Gadugi" w:cs="Gadugi"/>
          <w:color w:val="auto"/>
          <w:sz w:val="18"/>
          <w:szCs w:val="18"/>
        </w:rPr>
        <w:t>DO OBJETO</w:t>
      </w:r>
    </w:p>
    <w:p w14:paraId="44F62ACF" w14:textId="10224E4B"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A presente Ata tem por objeto o registro de preços para a eventual </w:t>
      </w:r>
      <w:r w:rsidR="00F96489">
        <w:rPr>
          <w:rFonts w:ascii="Gadugi" w:hAnsi="Gadugi" w:cs="Gadugi"/>
          <w:b/>
          <w:bCs/>
          <w:color w:val="auto"/>
          <w:sz w:val="18"/>
          <w:szCs w:val="18"/>
        </w:rPr>
        <w:t xml:space="preserve">AQUISIÇÃO DE </w:t>
      </w:r>
      <w:r w:rsidR="00F831C7">
        <w:rPr>
          <w:rFonts w:ascii="Gadugi" w:hAnsi="Gadugi" w:cs="Gadugi"/>
          <w:b/>
          <w:bCs/>
          <w:color w:val="auto"/>
          <w:sz w:val="18"/>
          <w:szCs w:val="18"/>
        </w:rPr>
        <w:t>EQUIPAMENTOS DE INFORMÁTICA</w:t>
      </w:r>
      <w:r>
        <w:rPr>
          <w:rFonts w:ascii="Gadugi" w:hAnsi="Gadugi" w:cs="Gadugi"/>
          <w:b/>
          <w:bCs/>
          <w:color w:val="auto"/>
          <w:sz w:val="18"/>
          <w:szCs w:val="18"/>
        </w:rPr>
        <w:t xml:space="preserve"> </w:t>
      </w:r>
      <w:r>
        <w:rPr>
          <w:rFonts w:ascii="Gadugi" w:hAnsi="Gadugi" w:cs="Gadugi"/>
          <w:color w:val="auto"/>
          <w:sz w:val="18"/>
          <w:szCs w:val="18"/>
        </w:rPr>
        <w:t xml:space="preserve">especificados no Termo de Referência, anexo </w:t>
      </w:r>
      <w:r>
        <w:rPr>
          <w:rFonts w:ascii="Gadugi" w:hAnsi="Gadugi" w:cs="Gadugi"/>
          <w:i/>
          <w:color w:val="auto"/>
          <w:sz w:val="18"/>
          <w:szCs w:val="18"/>
        </w:rPr>
        <w:t>d</w:t>
      </w:r>
      <w:r>
        <w:rPr>
          <w:rFonts w:ascii="Gadugi" w:hAnsi="Gadugi" w:cs="Gadugi"/>
          <w:color w:val="auto"/>
          <w:sz w:val="18"/>
          <w:szCs w:val="18"/>
        </w:rPr>
        <w:t xml:space="preserve">o edital de Licitação nº </w:t>
      </w:r>
      <w:r w:rsidR="00F831C7">
        <w:rPr>
          <w:rFonts w:ascii="Gadugi" w:hAnsi="Gadugi" w:cs="Gadugi"/>
          <w:color w:val="auto"/>
          <w:sz w:val="18"/>
          <w:szCs w:val="18"/>
        </w:rPr>
        <w:t>42/2025</w:t>
      </w:r>
      <w:r>
        <w:rPr>
          <w:rFonts w:ascii="Gadugi" w:hAnsi="Gadugi" w:cs="Gadugi"/>
          <w:color w:val="auto"/>
          <w:sz w:val="18"/>
          <w:szCs w:val="18"/>
        </w:rPr>
        <w:t>, que é parte integrante desta Ata, assim como as propostas cujos preços tenham sido registrados, independentemente de transcrição.</w:t>
      </w:r>
    </w:p>
    <w:p w14:paraId="32D51F04" w14:textId="77777777" w:rsidR="005B203D" w:rsidRDefault="00E60DC2">
      <w:pPr>
        <w:pStyle w:val="Nivel01"/>
        <w:numPr>
          <w:ilvl w:val="0"/>
          <w:numId w:val="4"/>
        </w:numPr>
        <w:spacing w:before="57" w:after="57" w:line="240" w:lineRule="auto"/>
        <w:ind w:hanging="7731"/>
        <w:rPr>
          <w:rFonts w:ascii="Gadugi" w:hAnsi="Gadugi" w:cs="Gadugi"/>
          <w:color w:val="auto"/>
          <w:sz w:val="18"/>
          <w:szCs w:val="18"/>
        </w:rPr>
      </w:pPr>
      <w:r>
        <w:rPr>
          <w:rFonts w:ascii="Gadugi" w:hAnsi="Gadugi" w:cs="Gadugi"/>
          <w:color w:val="auto"/>
          <w:sz w:val="18"/>
          <w:szCs w:val="18"/>
        </w:rPr>
        <w:t>DOS PREÇOS, ESPECIFICAÇÕES E QUANTITATIVOS</w:t>
      </w:r>
    </w:p>
    <w:p w14:paraId="3513B1CC"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O preço registrado, as especificações do objeto, as quantidades mínimas e máximas de cada item, fornecedor(es) e as demais condições ofertadas na(s) proposta(s) são as que seguem na tabela em anexo. </w:t>
      </w:r>
    </w:p>
    <w:p w14:paraId="4F98B4AD"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lang w:eastAsia="en-US"/>
        </w:rPr>
        <w:t>A listagem do cadastro de reserva referente ao presente registro de preços consta como anexo a esta Ata.</w:t>
      </w:r>
    </w:p>
    <w:p w14:paraId="30583B52" w14:textId="77777777" w:rsidR="005B203D" w:rsidRDefault="00E60DC2">
      <w:pPr>
        <w:pStyle w:val="Nivel01"/>
        <w:numPr>
          <w:ilvl w:val="0"/>
          <w:numId w:val="4"/>
        </w:numPr>
        <w:spacing w:before="57" w:after="57" w:line="240" w:lineRule="auto"/>
        <w:ind w:hanging="7731"/>
        <w:rPr>
          <w:rFonts w:ascii="Gadugi" w:hAnsi="Gadugi" w:cs="Gadugi"/>
          <w:color w:val="auto"/>
          <w:sz w:val="18"/>
          <w:szCs w:val="18"/>
        </w:rPr>
      </w:pPr>
      <w:r>
        <w:rPr>
          <w:rFonts w:ascii="Gadugi" w:hAnsi="Gadugi" w:cs="Gadugi"/>
          <w:color w:val="auto"/>
          <w:sz w:val="18"/>
          <w:szCs w:val="18"/>
        </w:rPr>
        <w:t xml:space="preserve">DA ADESÃO À ATA DE REGISTRO DE PREÇOS </w:t>
      </w:r>
    </w:p>
    <w:p w14:paraId="43E896E6" w14:textId="77777777" w:rsidR="005B203D" w:rsidRDefault="00E60DC2">
      <w:pPr>
        <w:pStyle w:val="Nvel2-Red"/>
        <w:numPr>
          <w:ilvl w:val="0"/>
          <w:numId w:val="0"/>
        </w:numPr>
        <w:tabs>
          <w:tab w:val="left" w:pos="567"/>
        </w:tabs>
        <w:spacing w:before="0" w:after="0" w:line="240" w:lineRule="auto"/>
        <w:rPr>
          <w:rFonts w:ascii="Gadugi" w:hAnsi="Gadugi" w:cs="Gadugi"/>
          <w:color w:val="auto"/>
          <w:sz w:val="18"/>
          <w:szCs w:val="18"/>
        </w:rPr>
      </w:pPr>
      <w:r>
        <w:rPr>
          <w:rFonts w:ascii="Gadugi" w:hAnsi="Gadugi" w:cs="Gadugi"/>
          <w:color w:val="auto"/>
          <w:sz w:val="18"/>
          <w:szCs w:val="18"/>
          <w:lang w:eastAsia="en-US"/>
        </w:rPr>
        <w:t xml:space="preserve">Não será admitida a adesão à ata de registro de preços decorrente desta licitação ou desta contratação direta, tendo em vista trata-se de ata municipal. </w:t>
      </w:r>
    </w:p>
    <w:p w14:paraId="4CF1D4CA" w14:textId="77777777" w:rsidR="005B203D" w:rsidRDefault="00E60DC2">
      <w:pPr>
        <w:pStyle w:val="Nivel01"/>
        <w:numPr>
          <w:ilvl w:val="0"/>
          <w:numId w:val="4"/>
        </w:numPr>
        <w:spacing w:before="57" w:after="57" w:line="240" w:lineRule="auto"/>
        <w:ind w:hanging="7731"/>
        <w:rPr>
          <w:rFonts w:ascii="Gadugi" w:hAnsi="Gadugi" w:cs="Gadugi"/>
          <w:color w:val="auto"/>
          <w:sz w:val="18"/>
          <w:szCs w:val="18"/>
        </w:rPr>
      </w:pPr>
      <w:r>
        <w:rPr>
          <w:rFonts w:ascii="Gadugi" w:hAnsi="Gadugi" w:cs="Gadugi"/>
          <w:color w:val="auto"/>
          <w:sz w:val="18"/>
          <w:szCs w:val="18"/>
        </w:rPr>
        <w:t>VALIDADE, FORMALIZAÇÃO DA ATA DE REGISTRO DE PREÇOS E CADASTRO RESERVA</w:t>
      </w:r>
    </w:p>
    <w:p w14:paraId="747D1E0D"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A validade da Ata de Registro de Preços será de 01 (um) ano, contados a partir da homologação do processo licitatório, podendo ser prorrogada por igual período, mediante a anuência do fornecedor, desde que comprovado o preço vantajoso.</w:t>
      </w:r>
    </w:p>
    <w:p w14:paraId="7EF6BC4D"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AA2BF3F"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Na formalização do contrato ou do instrumento substituto deverá haver a indicação da disponibilidade dos créditos orçamentários respectivos.</w:t>
      </w:r>
    </w:p>
    <w:p w14:paraId="308FB5AB" w14:textId="77777777" w:rsidR="005B203D" w:rsidRDefault="00E60DC2">
      <w:pPr>
        <w:pStyle w:val="Nivel2"/>
        <w:numPr>
          <w:ilvl w:val="1"/>
          <w:numId w:val="4"/>
        </w:numPr>
        <w:spacing w:before="0" w:line="240" w:lineRule="auto"/>
        <w:rPr>
          <w:rFonts w:ascii="Gadugi" w:hAnsi="Gadugi" w:cs="Gadugi"/>
          <w:color w:val="auto"/>
          <w:sz w:val="18"/>
          <w:szCs w:val="18"/>
        </w:rPr>
      </w:pPr>
      <w:r>
        <w:rPr>
          <w:rFonts w:ascii="Gadugi" w:hAnsi="Gadugi" w:cs="Gadugi"/>
          <w:color w:val="auto"/>
          <w:sz w:val="18"/>
          <w:szCs w:val="18"/>
        </w:rPr>
        <w:t>A contratação com os fornecedores registrados na ata será formalizada pelo órgão ou pela en</w:t>
      </w:r>
      <w:r>
        <w:rPr>
          <w:rFonts w:ascii="Gadugi" w:eastAsia="Arial" w:hAnsi="Gadugi" w:cs="Gadugi"/>
          <w:color w:val="auto"/>
          <w:sz w:val="18"/>
          <w:szCs w:val="18"/>
        </w:rPr>
        <w:t>ti</w:t>
      </w:r>
      <w:r>
        <w:rPr>
          <w:rFonts w:ascii="Gadugi" w:hAnsi="Gadugi" w:cs="Gadugi"/>
          <w:color w:val="auto"/>
          <w:sz w:val="18"/>
          <w:szCs w:val="18"/>
        </w:rPr>
        <w:t>dade interessada por intermédio de instrumento contratual, emissão de notas de empenho de despesas, autorizações de compras ou outros instrumentos hábeis, conforme prevê o art. 95 da Lei nº 14.133, de 2021.</w:t>
      </w:r>
    </w:p>
    <w:p w14:paraId="14393C89"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 xml:space="preserve"> O instrumento contratual de que trata o item 4.2. deverá ser assinado no prazo de validade da ata de registro de preços</w:t>
      </w:r>
    </w:p>
    <w:p w14:paraId="72D41E52"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Os contratos decorrentes do sistema de registro de preços poderão ser alterados, observado o art. 124 da Lei nº 14.133, de 2021</w:t>
      </w:r>
    </w:p>
    <w:p w14:paraId="4E9C25BA"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Após a homologação da licitação ou da contratação direta, deverão ser observadas as seguintes condições para formalização da ata de registro de preços:</w:t>
      </w:r>
    </w:p>
    <w:p w14:paraId="576026D0"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Serão registrados na ata os preços e os quantita</w:t>
      </w:r>
      <w:r>
        <w:rPr>
          <w:rFonts w:ascii="Gadugi" w:eastAsia="Arial" w:hAnsi="Gadugi" w:cs="Gadugi"/>
          <w:color w:val="auto"/>
          <w:sz w:val="18"/>
          <w:szCs w:val="18"/>
        </w:rPr>
        <w:t>ti</w:t>
      </w:r>
      <w:r>
        <w:rPr>
          <w:rFonts w:ascii="Gadugi" w:hAnsi="Gadugi" w:cs="Gadugi"/>
          <w:color w:val="auto"/>
          <w:sz w:val="18"/>
          <w:szCs w:val="18"/>
        </w:rPr>
        <w:t xml:space="preserve">vos do adjudicatário, devendo ser observada a possibilidade de o licitante oferecer ou não proposta em quantitativo inferior ao máximo previsto </w:t>
      </w:r>
      <w:r>
        <w:rPr>
          <w:rFonts w:ascii="Gadugi" w:hAnsi="Gadugi" w:cs="Gadugi"/>
          <w:i/>
          <w:iCs/>
          <w:color w:val="auto"/>
          <w:sz w:val="18"/>
          <w:szCs w:val="18"/>
        </w:rPr>
        <w:t xml:space="preserve">no edital </w:t>
      </w:r>
      <w:r>
        <w:rPr>
          <w:rFonts w:ascii="Gadugi" w:hAnsi="Gadugi" w:cs="Gadugi"/>
          <w:color w:val="auto"/>
          <w:sz w:val="18"/>
          <w:szCs w:val="18"/>
        </w:rPr>
        <w:t xml:space="preserve"> e se obrigar nos limites dela;</w:t>
      </w:r>
    </w:p>
    <w:p w14:paraId="1EBDD607"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Será incluído na ata, na forma de anexo, o registro dos licitantes ou dos fornecedores que:</w:t>
      </w:r>
    </w:p>
    <w:p w14:paraId="73C88390"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 xml:space="preserve">Aceitarem cotar os bens, as obras ou os serviços com preços iguais aos do adjudicatário, observada a classificação da licitação; e </w:t>
      </w:r>
    </w:p>
    <w:p w14:paraId="6E6C0DEA"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 xml:space="preserve">Mantiverem sua proposta original. </w:t>
      </w:r>
    </w:p>
    <w:p w14:paraId="425ECBB5"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Será respeitada, nas contratações, a ordem de classificação dos licitantes ou dos fornecedores registrados na ata.</w:t>
      </w:r>
    </w:p>
    <w:p w14:paraId="49B9C8C7"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O registro a que se refere o item 4.4.2</w:t>
      </w:r>
      <w:r>
        <w:rPr>
          <w:rFonts w:ascii="Gadugi" w:hAnsi="Gadugi" w:cs="Gadugi"/>
          <w:b/>
          <w:bCs/>
          <w:color w:val="auto"/>
          <w:sz w:val="18"/>
          <w:szCs w:val="18"/>
        </w:rPr>
        <w:t xml:space="preserve"> </w:t>
      </w:r>
      <w:r>
        <w:rPr>
          <w:rFonts w:ascii="Gadugi" w:hAnsi="Gadugi" w:cs="Gadugi"/>
          <w:color w:val="auto"/>
          <w:sz w:val="18"/>
          <w:szCs w:val="18"/>
        </w:rPr>
        <w:t>tem por obje</w:t>
      </w:r>
      <w:r>
        <w:rPr>
          <w:rFonts w:ascii="Gadugi" w:eastAsia="Arial" w:hAnsi="Gadugi" w:cs="Gadugi"/>
          <w:color w:val="auto"/>
          <w:sz w:val="18"/>
          <w:szCs w:val="18"/>
        </w:rPr>
        <w:t>ti</w:t>
      </w:r>
      <w:r>
        <w:rPr>
          <w:rFonts w:ascii="Gadugi" w:hAnsi="Gadugi" w:cs="Gadugi"/>
          <w:color w:val="auto"/>
          <w:sz w:val="18"/>
          <w:szCs w:val="18"/>
        </w:rPr>
        <w:t>vo a formação de cadastro de reserva para o caso de impossibilidade de atendimento pelo signatário da ata</w:t>
      </w:r>
    </w:p>
    <w:p w14:paraId="775854F4"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Para fins da ordem de classificação, os licitantes ou fornecedores que aceitarem reduzir suas propostas para o preço do adjudicatário antecederão aqueles que mantiverem sua proposta original.</w:t>
      </w:r>
    </w:p>
    <w:p w14:paraId="12C00C9B"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A habilitação dos licitantes que comporão o cadastro de reserva a que se refere o item 4.4.2.2 somente será efetuada quando houver necessidade de contratação dos licitantes remanescentes, nas seguintes hipóteses:</w:t>
      </w:r>
    </w:p>
    <w:p w14:paraId="6CB04270"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 xml:space="preserve">Quando o licitante vencedor não assinar a ata de registro de preços, no prazo e nas condições estabelecidos </w:t>
      </w:r>
      <w:r>
        <w:rPr>
          <w:rFonts w:ascii="Gadugi" w:hAnsi="Gadugi" w:cs="Gadugi"/>
          <w:i/>
          <w:iCs/>
          <w:color w:val="auto"/>
          <w:sz w:val="18"/>
          <w:szCs w:val="18"/>
        </w:rPr>
        <w:t>no edital</w:t>
      </w:r>
      <w:r>
        <w:rPr>
          <w:rFonts w:ascii="Gadugi" w:hAnsi="Gadugi" w:cs="Gadugi"/>
          <w:color w:val="auto"/>
          <w:sz w:val="18"/>
          <w:szCs w:val="18"/>
        </w:rPr>
        <w:t xml:space="preserve">  e termo de referência.</w:t>
      </w:r>
    </w:p>
    <w:p w14:paraId="40F1C25E"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Quando houver o cancelamento do registro do licitante ou do registro de preços nas hipóteses previstas.</w:t>
      </w:r>
    </w:p>
    <w:p w14:paraId="15BA5768"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O preço registrado com indicação dos licitantes e fornecedores será divulgado no PNCP e ficará disponibilizado durante a vigência da ata de registro de preços.</w:t>
      </w:r>
    </w:p>
    <w:p w14:paraId="28B800A8"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5FDF8A3"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B384341"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A ata de registro de preços será assinada por meio de assinatura digital e disponibilizada no Sistema de Registro de Preços.</w:t>
      </w:r>
    </w:p>
    <w:p w14:paraId="6878FDBC"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Quando o convocado não assinar a ata de registro de preços no prazo e nas condições estabelecidos no edital ou no aviso de contratação, e observado o disposto no item 4.7, observando o item 4.7 e subitens, fica facultado à Administração convocar os licitantes remanescentes do cadastro de reserva, na ordem de classificação, para fazê-lo em igual prazo e nas condições propostas pelo primeiro classificado.</w:t>
      </w:r>
    </w:p>
    <w:p w14:paraId="04AB0F82"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Na hipótese de nenhum dos licitantes que trata o item 4.4.2.1, aceitar a contratação nos termos do item anterior, a Administração, observados o valor es</w:t>
      </w:r>
      <w:r>
        <w:rPr>
          <w:rFonts w:ascii="Gadugi" w:eastAsia="Arial" w:hAnsi="Gadugi" w:cs="Gadugi"/>
          <w:color w:val="auto"/>
          <w:sz w:val="18"/>
          <w:szCs w:val="18"/>
        </w:rPr>
        <w:t>ti</w:t>
      </w:r>
      <w:r>
        <w:rPr>
          <w:rFonts w:ascii="Gadugi" w:hAnsi="Gadugi" w:cs="Gadugi"/>
          <w:color w:val="auto"/>
          <w:sz w:val="18"/>
          <w:szCs w:val="18"/>
        </w:rPr>
        <w:t xml:space="preserve">mado e sua eventual atualização nos termos </w:t>
      </w:r>
      <w:r>
        <w:rPr>
          <w:rFonts w:ascii="Gadugi" w:hAnsi="Gadugi" w:cs="Gadugi"/>
          <w:i/>
          <w:iCs/>
          <w:color w:val="auto"/>
          <w:sz w:val="18"/>
          <w:szCs w:val="18"/>
        </w:rPr>
        <w:t>do edital</w:t>
      </w:r>
      <w:r>
        <w:rPr>
          <w:rFonts w:ascii="Gadugi" w:hAnsi="Gadugi" w:cs="Gadugi"/>
          <w:color w:val="auto"/>
          <w:sz w:val="18"/>
          <w:szCs w:val="18"/>
        </w:rPr>
        <w:t xml:space="preserve">, poderá: </w:t>
      </w:r>
    </w:p>
    <w:p w14:paraId="317EAB85" w14:textId="77777777" w:rsidR="005B203D" w:rsidRDefault="00E60DC2">
      <w:pPr>
        <w:pStyle w:val="Nivel4"/>
        <w:numPr>
          <w:ilvl w:val="3"/>
          <w:numId w:val="4"/>
        </w:numPr>
        <w:spacing w:line="240" w:lineRule="auto"/>
        <w:rPr>
          <w:rFonts w:ascii="Gadugi" w:hAnsi="Gadugi" w:cs="Gadugi"/>
          <w:sz w:val="18"/>
          <w:szCs w:val="18"/>
        </w:rPr>
      </w:pPr>
      <w:r>
        <w:rPr>
          <w:rFonts w:ascii="Gadugi" w:hAnsi="Gadugi" w:cs="Gadugi"/>
          <w:sz w:val="18"/>
          <w:szCs w:val="18"/>
        </w:rPr>
        <w:t>Convocar para negociação os demais licitantes ou fornecedores remanescentes cujos preços foram registrados sem redução, observada a ordem de classificação, com vistas à obtenção de preço melhor, mesmo que acima do preço do adjudicatário; ou</w:t>
      </w:r>
    </w:p>
    <w:p w14:paraId="6386D71E"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Adjudicar e firmar o contrato nas condições ofertadas pelos licitantes ou fornecedores remanescentes, atendida a ordem classificatória, quando frustrada a negociação de melhor condição.</w:t>
      </w:r>
    </w:p>
    <w:p w14:paraId="46F796E1" w14:textId="77777777" w:rsidR="005B203D" w:rsidRDefault="00E60DC2">
      <w:pPr>
        <w:pStyle w:val="Nivel4"/>
        <w:numPr>
          <w:ilvl w:val="3"/>
          <w:numId w:val="4"/>
        </w:numPr>
        <w:spacing w:before="6" w:after="6" w:line="240" w:lineRule="auto"/>
        <w:rPr>
          <w:rFonts w:ascii="Gadugi" w:hAnsi="Gadugi" w:cs="Gadugi"/>
          <w:sz w:val="18"/>
          <w:szCs w:val="18"/>
        </w:rPr>
      </w:pPr>
      <w:r>
        <w:rPr>
          <w:rFonts w:ascii="Gadugi" w:hAnsi="Gadugi" w:cs="Gadugi"/>
          <w:sz w:val="18"/>
          <w:szCs w:val="1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640EAE" w14:textId="77777777" w:rsidR="005B203D" w:rsidRDefault="00E60DC2">
      <w:pPr>
        <w:pStyle w:val="Nivel01"/>
        <w:numPr>
          <w:ilvl w:val="0"/>
          <w:numId w:val="4"/>
        </w:numPr>
        <w:tabs>
          <w:tab w:val="left" w:pos="1096"/>
        </w:tabs>
        <w:spacing w:before="57" w:after="57" w:line="240" w:lineRule="auto"/>
        <w:ind w:hanging="7731"/>
        <w:contextualSpacing/>
        <w:rPr>
          <w:rFonts w:ascii="Gadugi" w:hAnsi="Gadugi" w:cs="Gadugi"/>
          <w:color w:val="auto"/>
          <w:sz w:val="18"/>
          <w:szCs w:val="18"/>
        </w:rPr>
      </w:pPr>
      <w:r>
        <w:rPr>
          <w:rFonts w:ascii="Gadugi" w:hAnsi="Gadugi" w:cs="Gadugi"/>
          <w:color w:val="auto"/>
          <w:sz w:val="18"/>
          <w:szCs w:val="18"/>
        </w:rPr>
        <w:t>ALTERAÇÃO OU ATUALIZAÇÃO DOS PREÇOS REGISTRADOS</w:t>
      </w:r>
    </w:p>
    <w:p w14:paraId="5093F3FD" w14:textId="77777777" w:rsidR="005B203D" w:rsidRDefault="00E60DC2">
      <w:pPr>
        <w:pStyle w:val="Nivel2"/>
        <w:numPr>
          <w:ilvl w:val="1"/>
          <w:numId w:val="4"/>
        </w:numPr>
        <w:spacing w:before="0" w:line="240" w:lineRule="auto"/>
        <w:contextualSpacing/>
        <w:rPr>
          <w:rFonts w:ascii="Gadugi" w:hAnsi="Gadugi" w:cs="Gadugi"/>
          <w:color w:val="auto"/>
          <w:sz w:val="18"/>
          <w:szCs w:val="18"/>
        </w:rPr>
      </w:pPr>
      <w:r>
        <w:rPr>
          <w:rFonts w:ascii="Gadugi" w:hAnsi="Gadugi" w:cs="Gadugi"/>
          <w:color w:val="auto"/>
          <w:sz w:val="18"/>
          <w:szCs w:val="18"/>
        </w:rPr>
        <w:t>Os preços registrados poderão ser alterados ou atualizados em decorrência de eventual redução dos preços pra</w:t>
      </w:r>
      <w:r>
        <w:rPr>
          <w:rFonts w:ascii="Gadugi" w:eastAsia="Calibri" w:hAnsi="Gadugi" w:cs="Gadugi"/>
          <w:color w:val="auto"/>
          <w:sz w:val="18"/>
          <w:szCs w:val="18"/>
        </w:rPr>
        <w:t>ti</w:t>
      </w:r>
      <w:r>
        <w:rPr>
          <w:rFonts w:ascii="Gadugi" w:hAnsi="Gadugi" w:cs="Gadugi"/>
          <w:color w:val="auto"/>
          <w:sz w:val="18"/>
          <w:szCs w:val="18"/>
        </w:rPr>
        <w:t>cados no mercado ou de fato que eleve o custo dos bens, das obras ou dos serviços registrados, nas seguintes situações:</w:t>
      </w:r>
    </w:p>
    <w:p w14:paraId="57041563" w14:textId="77777777" w:rsidR="005B203D" w:rsidRDefault="00E60DC2">
      <w:pPr>
        <w:pStyle w:val="Nivel3"/>
        <w:numPr>
          <w:ilvl w:val="2"/>
          <w:numId w:val="4"/>
        </w:numPr>
        <w:spacing w:line="240" w:lineRule="auto"/>
        <w:contextualSpacing/>
        <w:rPr>
          <w:rFonts w:ascii="Gadugi" w:hAnsi="Gadugi" w:cs="Gadugi"/>
          <w:color w:val="auto"/>
          <w:sz w:val="18"/>
          <w:szCs w:val="18"/>
        </w:rPr>
      </w:pPr>
      <w:r>
        <w:rPr>
          <w:rFonts w:ascii="Gadugi" w:hAnsi="Gadugi" w:cs="Gadugi"/>
          <w:color w:val="auto"/>
          <w:sz w:val="18"/>
          <w:szCs w:val="1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2B5670F"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Em caso de criação, alteração ou ex</w:t>
      </w:r>
      <w:r>
        <w:rPr>
          <w:rFonts w:ascii="Gadugi" w:eastAsia="Calibri" w:hAnsi="Gadugi" w:cs="Gadugi"/>
          <w:color w:val="auto"/>
          <w:sz w:val="18"/>
          <w:szCs w:val="18"/>
        </w:rPr>
        <w:t>ti</w:t>
      </w:r>
      <w:r>
        <w:rPr>
          <w:rFonts w:ascii="Gadugi" w:hAnsi="Gadugi" w:cs="Gadugi"/>
          <w:color w:val="auto"/>
          <w:sz w:val="18"/>
          <w:szCs w:val="18"/>
        </w:rPr>
        <w:t xml:space="preserve">nção de quaisquer tributos ou encargos legais ou a superveniência de disposições legais, com comprovada repercussão sobre os preços registrados; </w:t>
      </w:r>
    </w:p>
    <w:p w14:paraId="143F7A1A"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Na hipótese de previsão no edital ou no aviso de contratação direta de cláusula de reajustamento ou repactuação sobre os preços registrados, nos termos da Lei nº 14.133, de 2021.</w:t>
      </w:r>
    </w:p>
    <w:p w14:paraId="623BEE24"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 xml:space="preserve">No caso do reajustamento, deverá ser respeitada a contagem da anualidade e o índice previstos para a contratação; </w:t>
      </w:r>
    </w:p>
    <w:p w14:paraId="302BCBD9"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No caso da repactuação, poderá ser a pedido do interessado, conforme critérios definidos para a contratação.</w:t>
      </w:r>
    </w:p>
    <w:p w14:paraId="1B380579" w14:textId="77777777" w:rsidR="005B203D" w:rsidRDefault="00E60DC2">
      <w:pPr>
        <w:pStyle w:val="Nivel01"/>
        <w:numPr>
          <w:ilvl w:val="0"/>
          <w:numId w:val="4"/>
        </w:numPr>
        <w:spacing w:before="57" w:after="57" w:line="240" w:lineRule="auto"/>
        <w:ind w:hanging="7731"/>
        <w:rPr>
          <w:rFonts w:ascii="Gadugi" w:hAnsi="Gadugi" w:cs="Gadugi"/>
          <w:color w:val="auto"/>
          <w:sz w:val="18"/>
          <w:szCs w:val="18"/>
        </w:rPr>
      </w:pPr>
      <w:r>
        <w:rPr>
          <w:rFonts w:ascii="Gadugi" w:hAnsi="Gadugi" w:cs="Gadugi"/>
          <w:color w:val="auto"/>
          <w:sz w:val="18"/>
          <w:szCs w:val="18"/>
        </w:rPr>
        <w:t>REMANEJAMENTO DAS QUANTIDADES REGISTRADAS NA ATA DE REGISTRO DE PREÇOS</w:t>
      </w:r>
    </w:p>
    <w:p w14:paraId="4F36AAEE"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As quan</w:t>
      </w:r>
      <w:r>
        <w:rPr>
          <w:rFonts w:ascii="Gadugi" w:eastAsia="Arial" w:hAnsi="Gadugi" w:cs="Gadugi"/>
          <w:color w:val="auto"/>
          <w:sz w:val="18"/>
          <w:szCs w:val="18"/>
        </w:rPr>
        <w:t>ti</w:t>
      </w:r>
      <w:r>
        <w:rPr>
          <w:rFonts w:ascii="Gadugi" w:hAnsi="Gadugi" w:cs="Gadugi"/>
          <w:color w:val="auto"/>
          <w:sz w:val="18"/>
          <w:szCs w:val="18"/>
        </w:rPr>
        <w:t>dades previstas para os itens com preços registrados nas atas de registro de preços poderão ser remanejadas pelo órgão ou en</w:t>
      </w:r>
      <w:r>
        <w:rPr>
          <w:rFonts w:ascii="Gadugi" w:eastAsia="Arial" w:hAnsi="Gadugi" w:cs="Gadugi"/>
          <w:color w:val="auto"/>
          <w:sz w:val="18"/>
          <w:szCs w:val="18"/>
        </w:rPr>
        <w:t>ti</w:t>
      </w:r>
      <w:r>
        <w:rPr>
          <w:rFonts w:ascii="Gadugi" w:hAnsi="Gadugi" w:cs="Gadugi"/>
          <w:color w:val="auto"/>
          <w:sz w:val="18"/>
          <w:szCs w:val="18"/>
        </w:rPr>
        <w:t>dade gerenciadora entre os órgãos ou as en</w:t>
      </w:r>
      <w:r>
        <w:rPr>
          <w:rFonts w:ascii="Gadugi" w:eastAsia="Arial" w:hAnsi="Gadugi" w:cs="Gadugi"/>
          <w:color w:val="auto"/>
          <w:sz w:val="18"/>
          <w:szCs w:val="18"/>
        </w:rPr>
        <w:t>ti</w:t>
      </w:r>
      <w:r>
        <w:rPr>
          <w:rFonts w:ascii="Gadugi" w:hAnsi="Gadugi" w:cs="Gadugi"/>
          <w:color w:val="auto"/>
          <w:sz w:val="18"/>
          <w:szCs w:val="18"/>
        </w:rPr>
        <w:t>dades par</w:t>
      </w:r>
      <w:r>
        <w:rPr>
          <w:rFonts w:ascii="Gadugi" w:eastAsia="Arial" w:hAnsi="Gadugi" w:cs="Gadugi"/>
          <w:color w:val="auto"/>
          <w:sz w:val="18"/>
          <w:szCs w:val="18"/>
        </w:rPr>
        <w:t>ti</w:t>
      </w:r>
      <w:r>
        <w:rPr>
          <w:rFonts w:ascii="Gadugi" w:hAnsi="Gadugi" w:cs="Gadugi"/>
          <w:color w:val="auto"/>
          <w:sz w:val="18"/>
          <w:szCs w:val="18"/>
        </w:rPr>
        <w:t>cipantes e não par</w:t>
      </w:r>
      <w:r>
        <w:rPr>
          <w:rFonts w:ascii="Gadugi" w:eastAsia="Arial" w:hAnsi="Gadugi" w:cs="Gadugi"/>
          <w:color w:val="auto"/>
          <w:sz w:val="18"/>
          <w:szCs w:val="18"/>
        </w:rPr>
        <w:t>ti</w:t>
      </w:r>
      <w:r>
        <w:rPr>
          <w:rFonts w:ascii="Gadugi" w:hAnsi="Gadugi" w:cs="Gadugi"/>
          <w:color w:val="auto"/>
          <w:sz w:val="18"/>
          <w:szCs w:val="18"/>
        </w:rPr>
        <w:t>cipantes do registro de preços.</w:t>
      </w:r>
    </w:p>
    <w:p w14:paraId="7F483A3C" w14:textId="77777777" w:rsidR="005B203D" w:rsidRDefault="00E60DC2">
      <w:pPr>
        <w:pStyle w:val="Nivel2"/>
        <w:numPr>
          <w:ilvl w:val="0"/>
          <w:numId w:val="0"/>
        </w:numPr>
        <w:spacing w:before="0" w:after="0" w:line="240" w:lineRule="auto"/>
        <w:rPr>
          <w:rFonts w:ascii="Gadugi" w:hAnsi="Gadugi" w:cs="Gadugi"/>
          <w:color w:val="auto"/>
          <w:sz w:val="18"/>
          <w:szCs w:val="18"/>
        </w:rPr>
      </w:pPr>
      <w:r>
        <w:rPr>
          <w:rFonts w:ascii="Gadugi" w:hAnsi="Gadugi" w:cs="Gadugi"/>
          <w:color w:val="auto"/>
          <w:sz w:val="18"/>
          <w:szCs w:val="18"/>
        </w:rPr>
        <w:t xml:space="preserve"> O remanejamento somente poderá ser feito:</w:t>
      </w:r>
    </w:p>
    <w:p w14:paraId="10EEFE78"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De órgão ou en</w:t>
      </w:r>
      <w:r>
        <w:rPr>
          <w:rFonts w:ascii="Gadugi" w:eastAsia="Arial" w:hAnsi="Gadugi" w:cs="Gadugi"/>
          <w:color w:val="auto"/>
          <w:sz w:val="18"/>
          <w:szCs w:val="18"/>
        </w:rPr>
        <w:t>ti</w:t>
      </w:r>
      <w:r>
        <w:rPr>
          <w:rFonts w:ascii="Gadugi" w:hAnsi="Gadugi" w:cs="Gadugi"/>
          <w:color w:val="auto"/>
          <w:sz w:val="18"/>
          <w:szCs w:val="18"/>
        </w:rPr>
        <w:t>dade par</w:t>
      </w:r>
      <w:r>
        <w:rPr>
          <w:rFonts w:ascii="Gadugi" w:eastAsia="Arial" w:hAnsi="Gadugi" w:cs="Gadugi"/>
          <w:color w:val="auto"/>
          <w:sz w:val="18"/>
          <w:szCs w:val="18"/>
        </w:rPr>
        <w:t>ti</w:t>
      </w:r>
      <w:r>
        <w:rPr>
          <w:rFonts w:ascii="Gadugi" w:hAnsi="Gadugi" w:cs="Gadugi"/>
          <w:color w:val="auto"/>
          <w:sz w:val="18"/>
          <w:szCs w:val="18"/>
        </w:rPr>
        <w:t>cipante para órgão ou en</w:t>
      </w:r>
      <w:r>
        <w:rPr>
          <w:rFonts w:ascii="Gadugi" w:eastAsia="Arial" w:hAnsi="Gadugi" w:cs="Gadugi"/>
          <w:color w:val="auto"/>
          <w:sz w:val="18"/>
          <w:szCs w:val="18"/>
        </w:rPr>
        <w:t>ti</w:t>
      </w:r>
      <w:r>
        <w:rPr>
          <w:rFonts w:ascii="Gadugi" w:hAnsi="Gadugi" w:cs="Gadugi"/>
          <w:color w:val="auto"/>
          <w:sz w:val="18"/>
          <w:szCs w:val="18"/>
        </w:rPr>
        <w:t>dade par</w:t>
      </w:r>
      <w:r>
        <w:rPr>
          <w:rFonts w:ascii="Gadugi" w:eastAsia="Arial" w:hAnsi="Gadugi" w:cs="Gadugi"/>
          <w:color w:val="auto"/>
          <w:sz w:val="18"/>
          <w:szCs w:val="18"/>
        </w:rPr>
        <w:t>ti</w:t>
      </w:r>
      <w:r>
        <w:rPr>
          <w:rFonts w:ascii="Gadugi" w:hAnsi="Gadugi" w:cs="Gadugi"/>
          <w:color w:val="auto"/>
          <w:sz w:val="18"/>
          <w:szCs w:val="18"/>
        </w:rPr>
        <w:t>cipante; ou</w:t>
      </w:r>
    </w:p>
    <w:p w14:paraId="3BA50002"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De órgão ou en</w:t>
      </w:r>
      <w:r>
        <w:rPr>
          <w:rFonts w:ascii="Gadugi" w:eastAsia="Arial" w:hAnsi="Gadugi" w:cs="Gadugi"/>
          <w:color w:val="auto"/>
          <w:sz w:val="18"/>
          <w:szCs w:val="18"/>
        </w:rPr>
        <w:t>ti</w:t>
      </w:r>
      <w:r>
        <w:rPr>
          <w:rFonts w:ascii="Gadugi" w:hAnsi="Gadugi" w:cs="Gadugi"/>
          <w:color w:val="auto"/>
          <w:sz w:val="18"/>
          <w:szCs w:val="18"/>
        </w:rPr>
        <w:t>dade par</w:t>
      </w:r>
      <w:r>
        <w:rPr>
          <w:rFonts w:ascii="Gadugi" w:eastAsia="Arial" w:hAnsi="Gadugi" w:cs="Gadugi"/>
          <w:color w:val="auto"/>
          <w:sz w:val="18"/>
          <w:szCs w:val="18"/>
        </w:rPr>
        <w:t>ti</w:t>
      </w:r>
      <w:r>
        <w:rPr>
          <w:rFonts w:ascii="Gadugi" w:hAnsi="Gadugi" w:cs="Gadugi"/>
          <w:color w:val="auto"/>
          <w:sz w:val="18"/>
          <w:szCs w:val="18"/>
        </w:rPr>
        <w:t>cipante para órgão ou entidade não participante.</w:t>
      </w:r>
    </w:p>
    <w:p w14:paraId="43FE3254"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O órgão ou en</w:t>
      </w:r>
      <w:r>
        <w:rPr>
          <w:rFonts w:ascii="Gadugi" w:eastAsia="Arial" w:hAnsi="Gadugi" w:cs="Gadugi"/>
          <w:color w:val="auto"/>
          <w:sz w:val="18"/>
          <w:szCs w:val="18"/>
        </w:rPr>
        <w:t>ti</w:t>
      </w:r>
      <w:r>
        <w:rPr>
          <w:rFonts w:ascii="Gadugi" w:hAnsi="Gadugi" w:cs="Gadugi"/>
          <w:color w:val="auto"/>
          <w:sz w:val="18"/>
          <w:szCs w:val="18"/>
        </w:rPr>
        <w:t>dade gerenciadora que tiver es</w:t>
      </w:r>
      <w:r>
        <w:rPr>
          <w:rFonts w:ascii="Gadugi" w:eastAsia="Arial" w:hAnsi="Gadugi" w:cs="Gadugi"/>
          <w:color w:val="auto"/>
          <w:sz w:val="18"/>
          <w:szCs w:val="18"/>
        </w:rPr>
        <w:t>ti</w:t>
      </w:r>
      <w:r>
        <w:rPr>
          <w:rFonts w:ascii="Gadugi" w:hAnsi="Gadugi" w:cs="Gadugi"/>
          <w:color w:val="auto"/>
          <w:sz w:val="18"/>
          <w:szCs w:val="18"/>
        </w:rPr>
        <w:t>mado as quan</w:t>
      </w:r>
      <w:r>
        <w:rPr>
          <w:rFonts w:ascii="Gadugi" w:eastAsia="Arial" w:hAnsi="Gadugi" w:cs="Gadugi"/>
          <w:color w:val="auto"/>
          <w:sz w:val="18"/>
          <w:szCs w:val="18"/>
        </w:rPr>
        <w:t>ti</w:t>
      </w:r>
      <w:r>
        <w:rPr>
          <w:rFonts w:ascii="Gadugi" w:hAnsi="Gadugi" w:cs="Gadugi"/>
          <w:color w:val="auto"/>
          <w:sz w:val="18"/>
          <w:szCs w:val="18"/>
        </w:rPr>
        <w:t>dades que pretende contratar será considerado participante para efeito do remanejamento.</w:t>
      </w:r>
    </w:p>
    <w:p w14:paraId="09DDA60C"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Na hipótese de remanejamento de órgão ou entidade par</w:t>
      </w:r>
      <w:r>
        <w:rPr>
          <w:rFonts w:ascii="Gadugi" w:eastAsia="Arial" w:hAnsi="Gadugi" w:cs="Gadugi"/>
          <w:color w:val="auto"/>
          <w:sz w:val="18"/>
          <w:szCs w:val="18"/>
        </w:rPr>
        <w:t>ti</w:t>
      </w:r>
      <w:r>
        <w:rPr>
          <w:rFonts w:ascii="Gadugi" w:hAnsi="Gadugi" w:cs="Gadugi"/>
          <w:color w:val="auto"/>
          <w:sz w:val="18"/>
          <w:szCs w:val="18"/>
        </w:rPr>
        <w:t>cipante para órgão ou entidade não participante, serão observados os limites previstos no Decreto nº 4.773, de 2024.</w:t>
      </w:r>
    </w:p>
    <w:p w14:paraId="1737D28F"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Competirá ao órgão ou à en</w:t>
      </w:r>
      <w:r>
        <w:rPr>
          <w:rFonts w:ascii="Gadugi" w:eastAsia="Arial" w:hAnsi="Gadugi" w:cs="Gadugi"/>
          <w:color w:val="auto"/>
          <w:sz w:val="18"/>
          <w:szCs w:val="18"/>
        </w:rPr>
        <w:t>ti</w:t>
      </w:r>
      <w:r>
        <w:rPr>
          <w:rFonts w:ascii="Gadugi" w:hAnsi="Gadugi" w:cs="Gadugi"/>
          <w:color w:val="auto"/>
          <w:sz w:val="18"/>
          <w:szCs w:val="18"/>
        </w:rPr>
        <w:t>dade gerenciadora autorizar o remanejamento solicitado, com a redução do quan</w:t>
      </w:r>
      <w:r>
        <w:rPr>
          <w:rFonts w:ascii="Gadugi" w:eastAsia="Arial" w:hAnsi="Gadugi" w:cs="Gadugi"/>
          <w:color w:val="auto"/>
          <w:sz w:val="18"/>
          <w:szCs w:val="18"/>
        </w:rPr>
        <w:t>ti</w:t>
      </w:r>
      <w:r>
        <w:rPr>
          <w:rFonts w:ascii="Gadugi" w:hAnsi="Gadugi" w:cs="Gadugi"/>
          <w:color w:val="auto"/>
          <w:sz w:val="18"/>
          <w:szCs w:val="18"/>
        </w:rPr>
        <w:t>ta</w:t>
      </w:r>
      <w:r>
        <w:rPr>
          <w:rFonts w:ascii="Gadugi" w:eastAsia="Arial" w:hAnsi="Gadugi" w:cs="Gadugi"/>
          <w:color w:val="auto"/>
          <w:sz w:val="18"/>
          <w:szCs w:val="18"/>
        </w:rPr>
        <w:t>ti</w:t>
      </w:r>
      <w:r>
        <w:rPr>
          <w:rFonts w:ascii="Gadugi" w:hAnsi="Gadugi" w:cs="Gadugi"/>
          <w:color w:val="auto"/>
          <w:sz w:val="18"/>
          <w:szCs w:val="18"/>
        </w:rPr>
        <w:t>vo inicialmente informado pelo órgão ou pela en</w:t>
      </w:r>
      <w:r>
        <w:rPr>
          <w:rFonts w:ascii="Gadugi" w:eastAsia="Arial" w:hAnsi="Gadugi" w:cs="Gadugi"/>
          <w:color w:val="auto"/>
          <w:sz w:val="18"/>
          <w:szCs w:val="18"/>
        </w:rPr>
        <w:t>ti</w:t>
      </w:r>
      <w:r>
        <w:rPr>
          <w:rFonts w:ascii="Gadugi" w:hAnsi="Gadugi" w:cs="Gadugi"/>
          <w:color w:val="auto"/>
          <w:sz w:val="18"/>
          <w:szCs w:val="18"/>
        </w:rPr>
        <w:t>dade par</w:t>
      </w:r>
      <w:r>
        <w:rPr>
          <w:rFonts w:ascii="Gadugi" w:eastAsia="Arial" w:hAnsi="Gadugi" w:cs="Gadugi"/>
          <w:color w:val="auto"/>
          <w:sz w:val="18"/>
          <w:szCs w:val="18"/>
        </w:rPr>
        <w:t>ti</w:t>
      </w:r>
      <w:r>
        <w:rPr>
          <w:rFonts w:ascii="Gadugi" w:hAnsi="Gadugi" w:cs="Gadugi"/>
          <w:color w:val="auto"/>
          <w:sz w:val="18"/>
          <w:szCs w:val="18"/>
        </w:rPr>
        <w:t>cipante, desde que haja prévia anuência do órgão ou da en</w:t>
      </w:r>
      <w:r>
        <w:rPr>
          <w:rFonts w:ascii="Gadugi" w:eastAsia="Arial" w:hAnsi="Gadugi" w:cs="Gadugi"/>
          <w:color w:val="auto"/>
          <w:sz w:val="18"/>
          <w:szCs w:val="18"/>
        </w:rPr>
        <w:t>ti</w:t>
      </w:r>
      <w:r>
        <w:rPr>
          <w:rFonts w:ascii="Gadugi" w:hAnsi="Gadugi" w:cs="Gadugi"/>
          <w:color w:val="auto"/>
          <w:sz w:val="18"/>
          <w:szCs w:val="18"/>
        </w:rPr>
        <w:t>dade que sofrer redução dos quantitativos informados.</w:t>
      </w:r>
    </w:p>
    <w:p w14:paraId="53957444"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Na hipótese da compra centralizada, não havendo indicação pelo órgão ou pela en</w:t>
      </w:r>
      <w:r>
        <w:rPr>
          <w:rFonts w:ascii="Gadugi" w:eastAsia="Arial" w:hAnsi="Gadugi" w:cs="Gadugi"/>
          <w:color w:val="auto"/>
          <w:sz w:val="18"/>
          <w:szCs w:val="18"/>
        </w:rPr>
        <w:t>ti</w:t>
      </w:r>
      <w:r>
        <w:rPr>
          <w:rFonts w:ascii="Gadugi" w:hAnsi="Gadugi" w:cs="Gadugi"/>
          <w:color w:val="auto"/>
          <w:sz w:val="18"/>
          <w:szCs w:val="18"/>
        </w:rPr>
        <w:t>dade gerenciadora, dos quan</w:t>
      </w:r>
      <w:r>
        <w:rPr>
          <w:rFonts w:ascii="Gadugi" w:eastAsia="Arial" w:hAnsi="Gadugi" w:cs="Gadugi"/>
          <w:color w:val="auto"/>
          <w:sz w:val="18"/>
          <w:szCs w:val="18"/>
        </w:rPr>
        <w:t>ti</w:t>
      </w:r>
      <w:r>
        <w:rPr>
          <w:rFonts w:ascii="Gadugi" w:hAnsi="Gadugi" w:cs="Gadugi"/>
          <w:color w:val="auto"/>
          <w:sz w:val="18"/>
          <w:szCs w:val="18"/>
        </w:rPr>
        <w:t>ta</w:t>
      </w:r>
      <w:r>
        <w:rPr>
          <w:rFonts w:ascii="Gadugi" w:eastAsia="Arial" w:hAnsi="Gadugi" w:cs="Gadugi"/>
          <w:color w:val="auto"/>
          <w:sz w:val="18"/>
          <w:szCs w:val="18"/>
        </w:rPr>
        <w:t>ti</w:t>
      </w:r>
      <w:r>
        <w:rPr>
          <w:rFonts w:ascii="Gadugi" w:hAnsi="Gadugi" w:cs="Gadugi"/>
          <w:color w:val="auto"/>
          <w:sz w:val="18"/>
          <w:szCs w:val="18"/>
        </w:rPr>
        <w:t>vos dos par</w:t>
      </w:r>
      <w:r>
        <w:rPr>
          <w:rFonts w:ascii="Gadugi" w:eastAsia="Arial" w:hAnsi="Gadugi" w:cs="Gadugi"/>
          <w:color w:val="auto"/>
          <w:sz w:val="18"/>
          <w:szCs w:val="18"/>
        </w:rPr>
        <w:t>ti</w:t>
      </w:r>
      <w:r>
        <w:rPr>
          <w:rFonts w:ascii="Gadugi" w:hAnsi="Gadugi" w:cs="Gadugi"/>
          <w:color w:val="auto"/>
          <w:sz w:val="18"/>
          <w:szCs w:val="18"/>
        </w:rPr>
        <w:t>cipantes da compra centralizada, nos termos do item 7.3, a distribuição das quantidades para a execução descentralizada será por meio do remanejamento.</w:t>
      </w:r>
    </w:p>
    <w:p w14:paraId="279A3703" w14:textId="77777777" w:rsidR="005B203D" w:rsidRDefault="00E60DC2">
      <w:pPr>
        <w:pStyle w:val="Nivel01"/>
        <w:numPr>
          <w:ilvl w:val="0"/>
          <w:numId w:val="4"/>
        </w:numPr>
        <w:spacing w:before="57" w:after="57" w:line="240" w:lineRule="auto"/>
        <w:ind w:hanging="7731"/>
        <w:rPr>
          <w:rFonts w:ascii="Gadugi" w:hAnsi="Gadugi" w:cs="Gadugi"/>
          <w:color w:val="auto"/>
          <w:sz w:val="18"/>
          <w:szCs w:val="18"/>
        </w:rPr>
      </w:pPr>
      <w:r>
        <w:rPr>
          <w:rFonts w:ascii="Gadugi" w:hAnsi="Gadugi" w:cs="Gadugi"/>
          <w:color w:val="auto"/>
          <w:sz w:val="18"/>
          <w:szCs w:val="18"/>
        </w:rPr>
        <w:t>CANCELAMENTO DO REGISTRO DO LICITANTE VENCEDOR E DOS PREÇOS REGISTRADOS</w:t>
      </w:r>
      <w:bookmarkStart w:id="40" w:name="undefined"/>
    </w:p>
    <w:p w14:paraId="623D2D8D"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O registro do fornecedor será cancelado pelo gerenciador, quando o fornecedor</w:t>
      </w:r>
    </w:p>
    <w:p w14:paraId="600974A7"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Descumprir as condições da ata de registro de preços, sem motivo justificado;</w:t>
      </w:r>
    </w:p>
    <w:p w14:paraId="65CD233A"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Não re</w:t>
      </w:r>
      <w:r>
        <w:rPr>
          <w:rFonts w:ascii="Gadugi" w:eastAsia="Arial" w:hAnsi="Gadugi" w:cs="Gadugi"/>
          <w:color w:val="auto"/>
          <w:sz w:val="18"/>
          <w:szCs w:val="18"/>
        </w:rPr>
        <w:t>ti</w:t>
      </w:r>
      <w:r>
        <w:rPr>
          <w:rFonts w:ascii="Gadugi" w:hAnsi="Gadugi" w:cs="Gadugi"/>
          <w:color w:val="auto"/>
          <w:sz w:val="18"/>
          <w:szCs w:val="18"/>
        </w:rPr>
        <w:t>rar a nota de empenho, ou instrumento equivalente, no prazo estabelecido pela Administração sem justificativa razoável;</w:t>
      </w:r>
    </w:p>
    <w:p w14:paraId="09CD4BE1"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 xml:space="preserve">Não aceitar manter seu preço registrado, na hipótese prevista no artigo 28, § 2º, do Decreto nº 4.773, de 2024; </w:t>
      </w:r>
    </w:p>
    <w:p w14:paraId="23E4A81E"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6125547"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 xml:space="preserve"> O cancelamento de registros nas hipóteses previstas no item 8.1 será formalizado por despacho do órgão ou da entidade gerenciadora, garantidos os princípios do contraditório e da ampla defesa.</w:t>
      </w:r>
    </w:p>
    <w:p w14:paraId="585E381E"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Na hipótese de cancelamento do registro do fornecedor, o órgão ou a entidade gerenciadora poderá convocar os licitantes que compõem o cadastro de reserva, observada a ordem de classificação.</w:t>
      </w:r>
    </w:p>
    <w:p w14:paraId="319BC100" w14:textId="77777777" w:rsidR="005B203D" w:rsidRDefault="00E60DC2">
      <w:pPr>
        <w:pStyle w:val="Nivel3"/>
        <w:numPr>
          <w:ilvl w:val="2"/>
          <w:numId w:val="4"/>
        </w:numPr>
        <w:spacing w:before="0" w:after="0" w:line="240" w:lineRule="auto"/>
        <w:rPr>
          <w:rFonts w:ascii="Gadugi" w:hAnsi="Gadugi" w:cs="Gadugi"/>
          <w:color w:val="auto"/>
          <w:sz w:val="18"/>
          <w:szCs w:val="18"/>
        </w:rPr>
      </w:pPr>
      <w:r>
        <w:rPr>
          <w:rFonts w:ascii="Gadugi" w:hAnsi="Gadugi" w:cs="Gadugi"/>
          <w:color w:val="auto"/>
          <w:sz w:val="18"/>
          <w:szCs w:val="18"/>
        </w:rPr>
        <w:t>O cancelamento dos preços registrados poderá ser realizado pelo gerenciador, em determinada ata de registro de preços, total ou parcialmente, nas seguintes hipóteses, desde que devidamente comprovadas e justificadas:</w:t>
      </w:r>
      <w:bookmarkEnd w:id="40"/>
      <w:r>
        <w:rPr>
          <w:rFonts w:ascii="Gadugi" w:hAnsi="Gadugi" w:cs="Gadugi"/>
          <w:color w:val="auto"/>
          <w:sz w:val="18"/>
          <w:szCs w:val="18"/>
        </w:rPr>
        <w:t xml:space="preserve"> </w:t>
      </w:r>
    </w:p>
    <w:p w14:paraId="3F47D845"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Por razão de interesse público;</w:t>
      </w:r>
    </w:p>
    <w:p w14:paraId="42409C8B"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A pedido do fornecedor, decorrente de caso fortuito ou força maior; ou</w:t>
      </w:r>
    </w:p>
    <w:p w14:paraId="43C2534B" w14:textId="77777777" w:rsidR="005B203D" w:rsidRDefault="00E60DC2">
      <w:pPr>
        <w:pStyle w:val="Nivel4"/>
        <w:numPr>
          <w:ilvl w:val="3"/>
          <w:numId w:val="4"/>
        </w:numPr>
        <w:spacing w:before="0" w:after="0" w:line="240" w:lineRule="auto"/>
        <w:rPr>
          <w:rFonts w:ascii="Gadugi" w:hAnsi="Gadugi" w:cs="Gadugi"/>
          <w:sz w:val="18"/>
          <w:szCs w:val="18"/>
        </w:rPr>
      </w:pPr>
      <w:r>
        <w:rPr>
          <w:rFonts w:ascii="Gadugi" w:hAnsi="Gadugi" w:cs="Gadugi"/>
          <w:sz w:val="18"/>
          <w:szCs w:val="18"/>
        </w:rPr>
        <w:t xml:space="preserve">Se não houver êxito nas negociações, nas hipóteses em que o preço de mercado tornar-se superior ou inferior ao preço registrado, nos termos dos artigos 27, § 3º e 28, § 4º, ambos do Decreto nº 4.773, de 2024. </w:t>
      </w:r>
    </w:p>
    <w:p w14:paraId="11023313" w14:textId="77777777" w:rsidR="005B203D" w:rsidRDefault="00E60DC2">
      <w:pPr>
        <w:pStyle w:val="Nivel01"/>
        <w:numPr>
          <w:ilvl w:val="0"/>
          <w:numId w:val="4"/>
        </w:numPr>
        <w:tabs>
          <w:tab w:val="clear" w:pos="567"/>
          <w:tab w:val="left" w:pos="1134"/>
        </w:tabs>
        <w:spacing w:before="57" w:after="57" w:line="240" w:lineRule="auto"/>
        <w:ind w:left="567"/>
        <w:rPr>
          <w:rFonts w:ascii="Gadugi" w:hAnsi="Gadugi" w:cs="Gadugi"/>
          <w:color w:val="auto"/>
          <w:sz w:val="18"/>
          <w:szCs w:val="18"/>
        </w:rPr>
      </w:pPr>
      <w:r>
        <w:rPr>
          <w:rFonts w:ascii="Gadugi" w:hAnsi="Gadugi" w:cs="Gadugi"/>
          <w:color w:val="auto"/>
          <w:sz w:val="18"/>
          <w:szCs w:val="18"/>
        </w:rPr>
        <w:t>DAS PENALIDADES</w:t>
      </w:r>
    </w:p>
    <w:p w14:paraId="1C6E16AD"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 xml:space="preserve">O descumprimento da Ata de Registro de Preços ensejará aplicação das penalidades estabelecidas </w:t>
      </w:r>
      <w:r>
        <w:rPr>
          <w:rFonts w:ascii="Gadugi" w:hAnsi="Gadugi" w:cs="Gadugi"/>
          <w:i/>
          <w:color w:val="auto"/>
          <w:sz w:val="18"/>
          <w:szCs w:val="18"/>
        </w:rPr>
        <w:t>no edital</w:t>
      </w:r>
      <w:r>
        <w:rPr>
          <w:rFonts w:ascii="Gadugi" w:hAnsi="Gadugi" w:cs="Gadugi"/>
          <w:color w:val="auto"/>
          <w:sz w:val="18"/>
          <w:szCs w:val="18"/>
        </w:rPr>
        <w:t xml:space="preserve">. As sanções também se aplicam aos integrantes do cadastro de reserva no registro de preços que, convocados, não honrarem o compromisso assumido injustificadamente após terem assinado a ata. </w:t>
      </w:r>
    </w:p>
    <w:p w14:paraId="4668BC38" w14:textId="77777777" w:rsidR="005B203D" w:rsidRDefault="00E60DC2">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3FCD8CB" w14:textId="7DA32AEC" w:rsidR="00A074FC" w:rsidRPr="008524DD" w:rsidRDefault="00E60DC2" w:rsidP="008524DD">
      <w:pPr>
        <w:pStyle w:val="Nivel2"/>
        <w:numPr>
          <w:ilvl w:val="1"/>
          <w:numId w:val="4"/>
        </w:numPr>
        <w:spacing w:before="0" w:after="0" w:line="240" w:lineRule="auto"/>
        <w:rPr>
          <w:rFonts w:ascii="Gadugi" w:hAnsi="Gadugi" w:cs="Gadugi"/>
          <w:color w:val="auto"/>
          <w:sz w:val="18"/>
          <w:szCs w:val="18"/>
        </w:rPr>
      </w:pPr>
      <w:r>
        <w:rPr>
          <w:rFonts w:ascii="Gadugi" w:hAnsi="Gadugi" w:cs="Gadugi"/>
          <w:color w:val="auto"/>
          <w:sz w:val="18"/>
          <w:szCs w:val="18"/>
        </w:rPr>
        <w:t>O órgão ou entidade participante deverá comunicar ao órgão gerenciador qualquer das ocorrências previstas no item 8.1, dada a necessidade de instauração de procedimento para cancelamento do registro do fornecedor.</w:t>
      </w:r>
    </w:p>
    <w:p w14:paraId="79882D6A" w14:textId="77777777" w:rsidR="005B203D" w:rsidRDefault="00E60DC2">
      <w:pPr>
        <w:pStyle w:val="Nivel2"/>
        <w:numPr>
          <w:ilvl w:val="0"/>
          <w:numId w:val="4"/>
        </w:numPr>
        <w:tabs>
          <w:tab w:val="left" w:pos="456"/>
          <w:tab w:val="left" w:pos="791"/>
          <w:tab w:val="left" w:pos="1135"/>
        </w:tabs>
        <w:spacing w:before="57" w:after="57" w:line="240" w:lineRule="auto"/>
        <w:ind w:left="567" w:hanging="567"/>
        <w:jc w:val="left"/>
        <w:rPr>
          <w:rFonts w:ascii="Gadugi" w:hAnsi="Gadugi" w:cs="Gadugi"/>
          <w:color w:val="auto"/>
          <w:sz w:val="18"/>
          <w:szCs w:val="18"/>
        </w:rPr>
      </w:pPr>
      <w:r>
        <w:rPr>
          <w:rFonts w:ascii="Gadugi" w:hAnsi="Gadugi" w:cs="Gadugi"/>
          <w:b/>
          <w:color w:val="auto"/>
          <w:sz w:val="18"/>
          <w:szCs w:val="18"/>
        </w:rPr>
        <w:t xml:space="preserve"> CONDIÇÕES GERAIS</w:t>
      </w:r>
    </w:p>
    <w:p w14:paraId="78432C1F" w14:textId="77777777" w:rsidR="005B203D" w:rsidRDefault="00E60DC2">
      <w:pPr>
        <w:pStyle w:val="Nivel2"/>
        <w:numPr>
          <w:ilvl w:val="0"/>
          <w:numId w:val="0"/>
        </w:numPr>
        <w:tabs>
          <w:tab w:val="left" w:pos="1134"/>
        </w:tabs>
        <w:spacing w:before="0" w:after="0" w:line="240" w:lineRule="auto"/>
        <w:ind w:left="567"/>
        <w:rPr>
          <w:rFonts w:ascii="Gadugi" w:hAnsi="Gadugi" w:cs="Gadugi"/>
          <w:color w:val="auto"/>
          <w:sz w:val="18"/>
          <w:szCs w:val="18"/>
        </w:rPr>
      </w:pPr>
      <w:r>
        <w:rPr>
          <w:rFonts w:ascii="Gadugi" w:hAnsi="Gadugi" w:cs="Gadugi"/>
          <w:color w:val="auto"/>
          <w:sz w:val="18"/>
          <w:szCs w:val="18"/>
        </w:rPr>
        <w:t xml:space="preserve">9.1. As condições gerais de execução do objeto, tais como os prazos para entrega e recebimento, as obrigações da Administração e do fornecedor registrado, penalidades e demais condições do ajuste, encontram-se definidos no Termo de Referência, ANEXO </w:t>
      </w:r>
      <w:r>
        <w:rPr>
          <w:rFonts w:ascii="Gadugi" w:hAnsi="Gadugi" w:cs="Gadugi"/>
          <w:i/>
          <w:color w:val="auto"/>
          <w:sz w:val="18"/>
          <w:szCs w:val="18"/>
        </w:rPr>
        <w:t>AO EDITAL</w:t>
      </w:r>
      <w:r>
        <w:rPr>
          <w:rFonts w:ascii="Gadugi" w:hAnsi="Gadugi" w:cs="Gadugi"/>
          <w:color w:val="auto"/>
          <w:sz w:val="18"/>
          <w:szCs w:val="18"/>
        </w:rPr>
        <w:t>.</w:t>
      </w:r>
    </w:p>
    <w:p w14:paraId="4400A1C4" w14:textId="77777777" w:rsidR="005B203D" w:rsidRDefault="00E60DC2">
      <w:pPr>
        <w:pStyle w:val="Nivel2"/>
        <w:numPr>
          <w:ilvl w:val="0"/>
          <w:numId w:val="0"/>
        </w:numPr>
        <w:tabs>
          <w:tab w:val="left" w:pos="1134"/>
        </w:tabs>
        <w:spacing w:before="0" w:after="0" w:line="240" w:lineRule="auto"/>
        <w:ind w:left="567"/>
        <w:rPr>
          <w:rFonts w:ascii="Gadugi" w:hAnsi="Gadugi" w:cs="Gadugi"/>
          <w:color w:val="auto"/>
          <w:sz w:val="18"/>
          <w:szCs w:val="18"/>
        </w:rPr>
      </w:pPr>
      <w:r>
        <w:rPr>
          <w:rFonts w:ascii="Gadugi" w:hAnsi="Gadugi" w:cs="Gadugi"/>
          <w:color w:val="auto"/>
          <w:sz w:val="18"/>
          <w:szCs w:val="18"/>
        </w:rPr>
        <w:t>9.2. No caso de adjudicação por preço global de grupo de itens, só será admitida a contratação de parte de itens do grupo se houver prévia pesquisa de mercado e demonstração de sua vantagem para o órgão ou a entidade.</w:t>
      </w:r>
    </w:p>
    <w:p w14:paraId="4DE3DB25" w14:textId="5D38DF16" w:rsidR="00A074FC" w:rsidRDefault="00E60DC2" w:rsidP="0099712C">
      <w:pPr>
        <w:widowControl w:val="0"/>
        <w:ind w:left="567"/>
        <w:jc w:val="both"/>
        <w:rPr>
          <w:rFonts w:ascii="Gadugi" w:hAnsi="Gadugi" w:cs="Gadugi"/>
          <w:sz w:val="18"/>
          <w:szCs w:val="18"/>
        </w:rPr>
      </w:pPr>
      <w:r>
        <w:rPr>
          <w:rFonts w:ascii="Gadugi" w:hAnsi="Gadugi" w:cs="Gadugi"/>
          <w:sz w:val="18"/>
          <w:szCs w:val="18"/>
        </w:rPr>
        <w:t>9.3. Para firmeza e validade do pactuado, a presente Ata foi lavrada em 02 (duas) vias de igual teor, que, depois de lida e achada em ordem, vai assinada pelas partes.</w:t>
      </w:r>
    </w:p>
    <w:p w14:paraId="70DE0DC9" w14:textId="40459AC4" w:rsidR="00A074FC" w:rsidRPr="0099712C" w:rsidRDefault="00E60DC2" w:rsidP="0099712C">
      <w:pPr>
        <w:widowControl w:val="0"/>
        <w:ind w:right="-30"/>
        <w:jc w:val="right"/>
        <w:rPr>
          <w:rFonts w:ascii="Gadugi" w:hAnsi="Gadugi" w:cs="Gadugi"/>
          <w:sz w:val="14"/>
          <w:szCs w:val="14"/>
        </w:rPr>
      </w:pPr>
      <w:r w:rsidRPr="0099712C">
        <w:rPr>
          <w:rFonts w:ascii="Gadugi" w:hAnsi="Gadugi" w:cs="Gadugi"/>
          <w:sz w:val="14"/>
          <w:szCs w:val="14"/>
        </w:rPr>
        <w:t>Santa Bárbara do Sul, ....de .........................de 202</w:t>
      </w:r>
      <w:r w:rsidR="0099712C" w:rsidRPr="0099712C">
        <w:rPr>
          <w:rFonts w:ascii="Gadugi" w:hAnsi="Gadugi" w:cs="Gadugi"/>
          <w:sz w:val="14"/>
          <w:szCs w:val="14"/>
        </w:rPr>
        <w:t>5</w:t>
      </w:r>
    </w:p>
    <w:p w14:paraId="4CE205A0" w14:textId="77777777" w:rsidR="005B203D" w:rsidRPr="0099712C" w:rsidRDefault="005B203D" w:rsidP="0099712C">
      <w:pPr>
        <w:widowControl w:val="0"/>
        <w:ind w:right="-30"/>
        <w:rPr>
          <w:rFonts w:ascii="Gadugi" w:hAnsi="Gadugi" w:cs="Gadugi"/>
          <w:sz w:val="14"/>
          <w:szCs w:val="14"/>
        </w:rPr>
      </w:pPr>
    </w:p>
    <w:p w14:paraId="15FEAF88" w14:textId="77777777" w:rsidR="005B203D" w:rsidRPr="0099712C" w:rsidRDefault="00E60DC2">
      <w:pPr>
        <w:widowControl w:val="0"/>
        <w:ind w:right="-30"/>
        <w:jc w:val="center"/>
        <w:rPr>
          <w:rFonts w:ascii="Gadugi" w:hAnsi="Gadugi" w:cs="Gadugi"/>
          <w:sz w:val="14"/>
          <w:szCs w:val="14"/>
        </w:rPr>
      </w:pPr>
      <w:r w:rsidRPr="0099712C">
        <w:rPr>
          <w:rFonts w:ascii="Gadugi" w:hAnsi="Gadugi" w:cs="Gadugi"/>
          <w:sz w:val="14"/>
          <w:szCs w:val="14"/>
        </w:rPr>
        <w:t>Leandro Caraffini Veneral</w:t>
      </w:r>
    </w:p>
    <w:p w14:paraId="07721557" w14:textId="3C63FDAE" w:rsidR="00A074FC" w:rsidRPr="0099712C" w:rsidRDefault="00E60DC2" w:rsidP="0099712C">
      <w:pPr>
        <w:widowControl w:val="0"/>
        <w:ind w:right="-30"/>
        <w:jc w:val="center"/>
        <w:rPr>
          <w:rFonts w:ascii="Gadugi" w:hAnsi="Gadugi" w:cs="Gadugi"/>
          <w:sz w:val="14"/>
          <w:szCs w:val="14"/>
        </w:rPr>
      </w:pPr>
      <w:r w:rsidRPr="0099712C">
        <w:rPr>
          <w:rFonts w:ascii="Gadugi" w:hAnsi="Gadugi" w:cs="Gadugi"/>
          <w:sz w:val="14"/>
          <w:szCs w:val="14"/>
        </w:rPr>
        <w:t>Prefeit</w:t>
      </w:r>
      <w:r w:rsidR="0099712C">
        <w:rPr>
          <w:rFonts w:ascii="Gadugi" w:hAnsi="Gadugi" w:cs="Gadugi"/>
          <w:sz w:val="14"/>
          <w:szCs w:val="14"/>
        </w:rPr>
        <w:t>o</w:t>
      </w:r>
    </w:p>
    <w:p w14:paraId="728EFC60" w14:textId="77777777" w:rsidR="005B203D" w:rsidRPr="0099712C" w:rsidRDefault="00E60DC2">
      <w:pPr>
        <w:widowControl w:val="0"/>
        <w:ind w:right="-30"/>
        <w:jc w:val="center"/>
        <w:rPr>
          <w:rFonts w:ascii="Gadugi" w:hAnsi="Gadugi" w:cs="Gadugi"/>
          <w:sz w:val="14"/>
          <w:szCs w:val="14"/>
        </w:rPr>
      </w:pPr>
      <w:r w:rsidRPr="0099712C">
        <w:rPr>
          <w:rFonts w:ascii="Gadugi" w:hAnsi="Gadugi" w:cs="Gadugi"/>
          <w:sz w:val="14"/>
          <w:szCs w:val="14"/>
        </w:rPr>
        <w:t>Licitante CNPJ:</w:t>
      </w:r>
    </w:p>
    <w:p w14:paraId="0B97BA7A" w14:textId="6307BD8C" w:rsidR="00A074FC" w:rsidRPr="0099712C" w:rsidRDefault="00E60DC2" w:rsidP="0099712C">
      <w:pPr>
        <w:widowControl w:val="0"/>
        <w:ind w:right="-30"/>
        <w:jc w:val="center"/>
        <w:rPr>
          <w:rFonts w:ascii="Gadugi" w:hAnsi="Gadugi" w:cs="Gadugi"/>
          <w:sz w:val="14"/>
          <w:szCs w:val="14"/>
        </w:rPr>
      </w:pPr>
      <w:r w:rsidRPr="0099712C">
        <w:rPr>
          <w:rFonts w:ascii="Gadugi" w:hAnsi="Gadugi" w:cs="Gadugi"/>
          <w:sz w:val="14"/>
          <w:szCs w:val="14"/>
        </w:rPr>
        <w:t>Representante legal do órgão gerenciador e representante(s) legal(is) do(s) fornecedor(s) registrado(s)</w:t>
      </w:r>
    </w:p>
    <w:p w14:paraId="734CBAD7" w14:textId="77777777" w:rsidR="00A074FC" w:rsidRDefault="00A074FC">
      <w:pPr>
        <w:widowControl w:val="0"/>
        <w:ind w:right="-30"/>
        <w:jc w:val="center"/>
        <w:rPr>
          <w:rFonts w:ascii="Gadugi" w:hAnsi="Gadugi" w:cs="Gadugi"/>
          <w:b/>
          <w:bCs/>
          <w:sz w:val="18"/>
          <w:szCs w:val="18"/>
        </w:rPr>
      </w:pPr>
    </w:p>
    <w:p w14:paraId="1EE10CC6" w14:textId="56D98EEB" w:rsidR="005B203D" w:rsidRDefault="00E60DC2">
      <w:pPr>
        <w:widowControl w:val="0"/>
        <w:ind w:right="-30"/>
        <w:jc w:val="center"/>
        <w:rPr>
          <w:rFonts w:ascii="Gadugi" w:hAnsi="Gadugi" w:cs="Gadugi"/>
          <w:b/>
          <w:bCs/>
          <w:sz w:val="18"/>
          <w:szCs w:val="18"/>
        </w:rPr>
      </w:pPr>
      <w:r>
        <w:rPr>
          <w:rFonts w:ascii="Gadugi" w:hAnsi="Gadugi" w:cs="Gadugi"/>
          <w:b/>
          <w:bCs/>
          <w:sz w:val="18"/>
          <w:szCs w:val="18"/>
        </w:rPr>
        <w:t>ANEXO IV</w:t>
      </w:r>
    </w:p>
    <w:p w14:paraId="3AB3C705" w14:textId="77777777" w:rsidR="005B203D" w:rsidRDefault="005B203D">
      <w:pPr>
        <w:widowControl w:val="0"/>
        <w:ind w:right="-30"/>
        <w:jc w:val="center"/>
        <w:rPr>
          <w:rFonts w:ascii="Gadugi" w:hAnsi="Gadugi" w:cs="Gadugi"/>
          <w:sz w:val="18"/>
          <w:szCs w:val="18"/>
        </w:rPr>
      </w:pPr>
    </w:p>
    <w:p w14:paraId="1DE6E269" w14:textId="77777777" w:rsidR="005B203D" w:rsidRDefault="00E60DC2">
      <w:pPr>
        <w:widowControl w:val="0"/>
        <w:ind w:right="-30"/>
        <w:jc w:val="center"/>
        <w:rPr>
          <w:rFonts w:ascii="Gadugi" w:hAnsi="Gadugi" w:cs="Gadugi"/>
          <w:sz w:val="18"/>
          <w:szCs w:val="18"/>
        </w:rPr>
      </w:pPr>
      <w:r>
        <w:rPr>
          <w:rFonts w:ascii="Gadugi" w:hAnsi="Gadugi" w:cs="Gadugi"/>
          <w:sz w:val="18"/>
          <w:szCs w:val="18"/>
        </w:rPr>
        <w:t>Cadastro Reserva</w:t>
      </w:r>
    </w:p>
    <w:p w14:paraId="3D889695" w14:textId="77777777" w:rsidR="005B203D" w:rsidRDefault="005B203D">
      <w:pPr>
        <w:widowControl w:val="0"/>
        <w:ind w:right="-30"/>
        <w:jc w:val="center"/>
        <w:rPr>
          <w:rFonts w:ascii="Gadugi" w:hAnsi="Gadugi" w:cs="Gadugi"/>
          <w:sz w:val="18"/>
          <w:szCs w:val="18"/>
        </w:rPr>
      </w:pPr>
    </w:p>
    <w:p w14:paraId="3C05B410" w14:textId="77777777" w:rsidR="005B203D" w:rsidRDefault="00E60DC2">
      <w:pPr>
        <w:widowControl w:val="0"/>
        <w:ind w:right="567" w:firstLine="709"/>
        <w:jc w:val="both"/>
        <w:rPr>
          <w:rFonts w:ascii="Gadugi" w:hAnsi="Gadugi" w:cs="Gadugi"/>
          <w:sz w:val="18"/>
          <w:szCs w:val="18"/>
        </w:rPr>
      </w:pPr>
      <w:r>
        <w:rPr>
          <w:rFonts w:ascii="Gadugi" w:hAnsi="Gadugi" w:cs="Gadugi"/>
          <w:sz w:val="18"/>
          <w:szCs w:val="18"/>
        </w:rPr>
        <w:t>Seguindo a ordem de classificação, segue relação de fornecedores que aceitaram cotar os itens com preços iguais ao adjudicatário:</w:t>
      </w:r>
    </w:p>
    <w:p w14:paraId="41D98CCC" w14:textId="77777777" w:rsidR="005B203D" w:rsidRDefault="005B203D">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835"/>
        <w:gridCol w:w="1141"/>
        <w:gridCol w:w="1109"/>
        <w:gridCol w:w="1442"/>
        <w:gridCol w:w="990"/>
        <w:gridCol w:w="1136"/>
        <w:gridCol w:w="994"/>
        <w:gridCol w:w="901"/>
        <w:gridCol w:w="844"/>
      </w:tblGrid>
      <w:tr w:rsidR="005B203D" w14:paraId="651B8442" w14:textId="77777777">
        <w:trPr>
          <w:trHeight w:val="511"/>
        </w:trPr>
        <w:tc>
          <w:tcPr>
            <w:tcW w:w="834" w:type="dxa"/>
            <w:tcBorders>
              <w:top w:val="single" w:sz="2" w:space="0" w:color="000000"/>
              <w:left w:val="single" w:sz="2" w:space="0" w:color="000000"/>
              <w:bottom w:val="single" w:sz="2" w:space="0" w:color="000000"/>
              <w:right w:val="single" w:sz="2" w:space="0" w:color="000000"/>
            </w:tcBorders>
            <w:vAlign w:val="center"/>
          </w:tcPr>
          <w:p w14:paraId="51FB56C9" w14:textId="77777777" w:rsidR="005B203D" w:rsidRDefault="00E60DC2">
            <w:pPr>
              <w:widowControl w:val="0"/>
              <w:ind w:right="-30"/>
              <w:jc w:val="center"/>
              <w:rPr>
                <w:rFonts w:ascii="Gadugi" w:hAnsi="Gadugi" w:cs="Gadugi"/>
                <w:sz w:val="18"/>
                <w:szCs w:val="18"/>
              </w:rPr>
            </w:pPr>
            <w:r>
              <w:rPr>
                <w:rFonts w:ascii="Gadugi" w:hAnsi="Gadugi" w:cs="Gadugi"/>
                <w:sz w:val="18"/>
                <w:szCs w:val="18"/>
              </w:rPr>
              <w:t>Item</w:t>
            </w:r>
          </w:p>
          <w:p w14:paraId="323D2D58" w14:textId="77777777" w:rsidR="005B203D" w:rsidRDefault="00E60DC2">
            <w:pPr>
              <w:widowControl w:val="0"/>
              <w:ind w:right="-30"/>
              <w:jc w:val="center"/>
              <w:rPr>
                <w:rFonts w:ascii="Gadugi" w:hAnsi="Gadugi" w:cs="Gadugi"/>
                <w:sz w:val="18"/>
                <w:szCs w:val="18"/>
              </w:rPr>
            </w:pPr>
            <w:r>
              <w:rPr>
                <w:rFonts w:ascii="Gadugi" w:hAnsi="Gadugi" w:cs="Gadugi"/>
                <w:sz w:val="18"/>
                <w:szCs w:val="18"/>
              </w:rPr>
              <w:t>do</w:t>
            </w:r>
          </w:p>
          <w:p w14:paraId="70015804" w14:textId="77777777" w:rsidR="005B203D" w:rsidRDefault="00E60DC2">
            <w:pPr>
              <w:widowControl w:val="0"/>
              <w:ind w:right="-30"/>
              <w:jc w:val="center"/>
              <w:rPr>
                <w:rFonts w:ascii="Gadugi" w:hAnsi="Gadugi" w:cs="Gadugi"/>
                <w:sz w:val="18"/>
                <w:szCs w:val="18"/>
              </w:rPr>
            </w:pPr>
            <w:r>
              <w:rPr>
                <w:rFonts w:ascii="Gadugi" w:hAnsi="Gadugi" w:cs="Gadugi"/>
                <w:sz w:val="18"/>
                <w:szCs w:val="18"/>
              </w:rPr>
              <w:t>TR</w:t>
            </w:r>
          </w:p>
        </w:tc>
        <w:tc>
          <w:tcPr>
            <w:tcW w:w="8557" w:type="dxa"/>
            <w:gridSpan w:val="8"/>
            <w:tcBorders>
              <w:top w:val="single" w:sz="2" w:space="0" w:color="000000"/>
              <w:left w:val="single" w:sz="2" w:space="0" w:color="000000"/>
              <w:bottom w:val="single" w:sz="2" w:space="0" w:color="000000"/>
              <w:right w:val="single" w:sz="2" w:space="0" w:color="000000"/>
            </w:tcBorders>
          </w:tcPr>
          <w:p w14:paraId="7E9A837E" w14:textId="77777777" w:rsidR="005B203D" w:rsidRDefault="00E60DC2">
            <w:pPr>
              <w:widowControl w:val="0"/>
              <w:ind w:right="-30"/>
              <w:jc w:val="center"/>
              <w:rPr>
                <w:rFonts w:ascii="Gadugi" w:hAnsi="Gadugi" w:cs="Gadugi"/>
                <w:sz w:val="18"/>
                <w:szCs w:val="18"/>
              </w:rPr>
            </w:pPr>
            <w:r>
              <w:rPr>
                <w:rFonts w:ascii="Gadugi" w:hAnsi="Gadugi" w:cs="Gadugi"/>
                <w:sz w:val="18"/>
                <w:szCs w:val="18"/>
              </w:rPr>
              <w:t xml:space="preserve">Fornecedor </w:t>
            </w:r>
            <w:r>
              <w:rPr>
                <w:rFonts w:ascii="Gadugi" w:hAnsi="Gadugi" w:cs="Gadugi"/>
                <w:i/>
                <w:sz w:val="18"/>
                <w:szCs w:val="18"/>
              </w:rPr>
              <w:t>(razão social, CNPJ/MF, endereço, contatos, representante)</w:t>
            </w:r>
          </w:p>
          <w:p w14:paraId="08B3644D" w14:textId="77777777" w:rsidR="005B203D" w:rsidRDefault="005B203D">
            <w:pPr>
              <w:widowControl w:val="0"/>
              <w:ind w:right="-30"/>
              <w:jc w:val="center"/>
              <w:rPr>
                <w:rFonts w:ascii="Gadugi" w:hAnsi="Gadugi" w:cs="Gadugi"/>
                <w:sz w:val="18"/>
                <w:szCs w:val="18"/>
              </w:rPr>
            </w:pPr>
          </w:p>
        </w:tc>
      </w:tr>
      <w:tr w:rsidR="005B203D" w14:paraId="784E6B50" w14:textId="77777777">
        <w:trPr>
          <w:trHeight w:val="674"/>
        </w:trPr>
        <w:tc>
          <w:tcPr>
            <w:tcW w:w="834" w:type="dxa"/>
            <w:tcBorders>
              <w:left w:val="single" w:sz="2" w:space="0" w:color="000000"/>
              <w:bottom w:val="single" w:sz="2" w:space="0" w:color="000000"/>
            </w:tcBorders>
            <w:vAlign w:val="center"/>
          </w:tcPr>
          <w:p w14:paraId="6BADD135" w14:textId="77777777" w:rsidR="005B203D" w:rsidRDefault="00E60DC2">
            <w:pPr>
              <w:widowControl w:val="0"/>
              <w:ind w:right="-30"/>
              <w:jc w:val="center"/>
              <w:rPr>
                <w:rFonts w:ascii="Gadugi" w:hAnsi="Gadugi" w:cs="Gadugi"/>
                <w:sz w:val="18"/>
                <w:szCs w:val="18"/>
              </w:rPr>
            </w:pPr>
            <w:r>
              <w:rPr>
                <w:rFonts w:ascii="Gadugi" w:hAnsi="Gadugi" w:cs="Gadugi"/>
                <w:sz w:val="18"/>
                <w:szCs w:val="18"/>
              </w:rPr>
              <w:t>X</w:t>
            </w:r>
          </w:p>
        </w:tc>
        <w:tc>
          <w:tcPr>
            <w:tcW w:w="1141" w:type="dxa"/>
            <w:tcBorders>
              <w:left w:val="single" w:sz="2" w:space="0" w:color="000000"/>
              <w:bottom w:val="single" w:sz="2" w:space="0" w:color="000000"/>
            </w:tcBorders>
          </w:tcPr>
          <w:p w14:paraId="063FDA6A" w14:textId="77777777" w:rsidR="005B203D" w:rsidRDefault="00E60DC2">
            <w:pPr>
              <w:widowControl w:val="0"/>
              <w:ind w:right="-30"/>
              <w:jc w:val="both"/>
              <w:rPr>
                <w:rFonts w:ascii="Gadugi" w:hAnsi="Gadugi" w:cs="Gadugi"/>
                <w:sz w:val="18"/>
                <w:szCs w:val="18"/>
              </w:rPr>
            </w:pPr>
            <w:r>
              <w:rPr>
                <w:rFonts w:ascii="Gadugi" w:hAnsi="Gadugi" w:cs="Gadugi"/>
                <w:sz w:val="18"/>
                <w:szCs w:val="18"/>
              </w:rPr>
              <w:t>Especificação</w:t>
            </w:r>
          </w:p>
        </w:tc>
        <w:tc>
          <w:tcPr>
            <w:tcW w:w="1109" w:type="dxa"/>
            <w:tcBorders>
              <w:left w:val="single" w:sz="2" w:space="0" w:color="000000"/>
              <w:bottom w:val="single" w:sz="2" w:space="0" w:color="000000"/>
            </w:tcBorders>
          </w:tcPr>
          <w:p w14:paraId="5AAAC73C" w14:textId="77777777" w:rsidR="005B203D" w:rsidRDefault="00E60DC2">
            <w:pPr>
              <w:widowControl w:val="0"/>
              <w:ind w:right="-30"/>
              <w:jc w:val="center"/>
              <w:rPr>
                <w:rFonts w:ascii="Gadugi" w:hAnsi="Gadugi" w:cs="Gadugi"/>
                <w:sz w:val="18"/>
                <w:szCs w:val="18"/>
              </w:rPr>
            </w:pPr>
            <w:r>
              <w:rPr>
                <w:rFonts w:ascii="Gadugi" w:hAnsi="Gadugi" w:cs="Gadugi"/>
                <w:sz w:val="18"/>
                <w:szCs w:val="18"/>
              </w:rPr>
              <w:t>Marca</w:t>
            </w:r>
          </w:p>
          <w:p w14:paraId="64AA2183" w14:textId="77777777" w:rsidR="005B203D" w:rsidRDefault="00E60DC2">
            <w:pPr>
              <w:widowControl w:val="0"/>
              <w:ind w:right="-30"/>
              <w:jc w:val="center"/>
              <w:rPr>
                <w:rFonts w:ascii="Gadugi" w:hAnsi="Gadugi" w:cs="Gadugi"/>
                <w:sz w:val="18"/>
                <w:szCs w:val="18"/>
              </w:rPr>
            </w:pPr>
            <w:r>
              <w:rPr>
                <w:rFonts w:ascii="Gadugi" w:hAnsi="Gadugi" w:cs="Gadugi"/>
                <w:sz w:val="18"/>
                <w:szCs w:val="18"/>
              </w:rPr>
              <w:t>(se exigida no edital)</w:t>
            </w:r>
          </w:p>
        </w:tc>
        <w:tc>
          <w:tcPr>
            <w:tcW w:w="1442" w:type="dxa"/>
            <w:tcBorders>
              <w:left w:val="single" w:sz="2" w:space="0" w:color="000000"/>
              <w:bottom w:val="single" w:sz="2" w:space="0" w:color="000000"/>
            </w:tcBorders>
          </w:tcPr>
          <w:p w14:paraId="6DD47AD3" w14:textId="77777777" w:rsidR="005B203D" w:rsidRDefault="00E60DC2">
            <w:pPr>
              <w:widowControl w:val="0"/>
              <w:ind w:right="-30"/>
              <w:jc w:val="center"/>
              <w:rPr>
                <w:rFonts w:ascii="Gadugi" w:hAnsi="Gadugi" w:cs="Gadugi"/>
                <w:sz w:val="18"/>
                <w:szCs w:val="18"/>
              </w:rPr>
            </w:pPr>
            <w:r>
              <w:rPr>
                <w:rFonts w:ascii="Gadugi" w:hAnsi="Gadugi" w:cs="Gadugi"/>
                <w:sz w:val="18"/>
                <w:szCs w:val="18"/>
              </w:rPr>
              <w:t>Modelo</w:t>
            </w:r>
          </w:p>
          <w:p w14:paraId="0B78E17F" w14:textId="77777777" w:rsidR="005B203D" w:rsidRDefault="00E60DC2">
            <w:pPr>
              <w:widowControl w:val="0"/>
              <w:ind w:right="-30"/>
              <w:jc w:val="center"/>
              <w:rPr>
                <w:rFonts w:ascii="Gadugi" w:hAnsi="Gadugi" w:cs="Gadugi"/>
                <w:sz w:val="18"/>
                <w:szCs w:val="18"/>
              </w:rPr>
            </w:pPr>
            <w:r>
              <w:rPr>
                <w:rFonts w:ascii="Gadugi" w:hAnsi="Gadugi" w:cs="Gadugi"/>
                <w:sz w:val="18"/>
                <w:szCs w:val="18"/>
              </w:rPr>
              <w:t>(se exigido no edital)</w:t>
            </w:r>
          </w:p>
        </w:tc>
        <w:tc>
          <w:tcPr>
            <w:tcW w:w="990" w:type="dxa"/>
            <w:tcBorders>
              <w:left w:val="single" w:sz="2" w:space="0" w:color="000000"/>
              <w:bottom w:val="single" w:sz="2" w:space="0" w:color="000000"/>
            </w:tcBorders>
          </w:tcPr>
          <w:p w14:paraId="376F8DE5" w14:textId="77777777" w:rsidR="005B203D" w:rsidRDefault="00E60DC2">
            <w:pPr>
              <w:widowControl w:val="0"/>
              <w:ind w:right="-30"/>
              <w:jc w:val="center"/>
              <w:rPr>
                <w:rFonts w:ascii="Gadugi" w:hAnsi="Gadugi" w:cs="Gadugi"/>
                <w:sz w:val="18"/>
                <w:szCs w:val="18"/>
              </w:rPr>
            </w:pPr>
            <w:r>
              <w:rPr>
                <w:rFonts w:ascii="Gadugi" w:hAnsi="Gadugi" w:cs="Gadugi"/>
                <w:sz w:val="18"/>
                <w:szCs w:val="18"/>
              </w:rPr>
              <w:t>Unidade</w:t>
            </w:r>
          </w:p>
        </w:tc>
        <w:tc>
          <w:tcPr>
            <w:tcW w:w="1136" w:type="dxa"/>
            <w:tcBorders>
              <w:left w:val="single" w:sz="2" w:space="0" w:color="000000"/>
              <w:bottom w:val="single" w:sz="2" w:space="0" w:color="000000"/>
            </w:tcBorders>
          </w:tcPr>
          <w:p w14:paraId="4DA34BFA" w14:textId="77777777" w:rsidR="005B203D" w:rsidRDefault="00E60DC2">
            <w:pPr>
              <w:widowControl w:val="0"/>
              <w:ind w:right="-30"/>
              <w:jc w:val="center"/>
              <w:rPr>
                <w:rFonts w:ascii="Gadugi" w:hAnsi="Gadugi" w:cs="Gadugi"/>
                <w:sz w:val="18"/>
                <w:szCs w:val="18"/>
              </w:rPr>
            </w:pPr>
            <w:r>
              <w:rPr>
                <w:rFonts w:ascii="Gadugi" w:hAnsi="Gadugi" w:cs="Gadugi"/>
                <w:sz w:val="18"/>
                <w:szCs w:val="18"/>
              </w:rPr>
              <w:t>Quantidade</w:t>
            </w:r>
          </w:p>
          <w:p w14:paraId="0CA6A218" w14:textId="77777777" w:rsidR="005B203D" w:rsidRDefault="00E60DC2">
            <w:pPr>
              <w:widowControl w:val="0"/>
              <w:ind w:right="-30"/>
              <w:jc w:val="center"/>
              <w:rPr>
                <w:rFonts w:ascii="Gadugi" w:hAnsi="Gadugi" w:cs="Gadugi"/>
                <w:sz w:val="18"/>
                <w:szCs w:val="18"/>
              </w:rPr>
            </w:pPr>
            <w:r>
              <w:rPr>
                <w:rFonts w:ascii="Gadugi" w:hAnsi="Gadugi" w:cs="Gadugi"/>
                <w:sz w:val="18"/>
                <w:szCs w:val="18"/>
              </w:rPr>
              <w:t>Máxima</w:t>
            </w:r>
          </w:p>
        </w:tc>
        <w:tc>
          <w:tcPr>
            <w:tcW w:w="994" w:type="dxa"/>
            <w:tcBorders>
              <w:left w:val="single" w:sz="2" w:space="0" w:color="000000"/>
              <w:bottom w:val="single" w:sz="2" w:space="0" w:color="000000"/>
              <w:right w:val="single" w:sz="2" w:space="0" w:color="000000"/>
            </w:tcBorders>
          </w:tcPr>
          <w:p w14:paraId="6FA53840" w14:textId="77777777" w:rsidR="005B203D" w:rsidRDefault="00E60DC2">
            <w:pPr>
              <w:widowControl w:val="0"/>
              <w:ind w:right="-30"/>
              <w:jc w:val="center"/>
              <w:rPr>
                <w:rFonts w:ascii="Gadugi" w:hAnsi="Gadugi" w:cs="Gadugi"/>
                <w:sz w:val="18"/>
                <w:szCs w:val="18"/>
              </w:rPr>
            </w:pPr>
            <w:r>
              <w:rPr>
                <w:rFonts w:ascii="Gadugi" w:hAnsi="Gadugi" w:cs="Gadugi"/>
                <w:sz w:val="18"/>
                <w:szCs w:val="18"/>
              </w:rPr>
              <w:t>Quantidade Mínima</w:t>
            </w:r>
          </w:p>
        </w:tc>
        <w:tc>
          <w:tcPr>
            <w:tcW w:w="901" w:type="dxa"/>
            <w:tcBorders>
              <w:left w:val="single" w:sz="2" w:space="0" w:color="000000"/>
              <w:bottom w:val="single" w:sz="2" w:space="0" w:color="000000"/>
            </w:tcBorders>
          </w:tcPr>
          <w:p w14:paraId="306BDEAB" w14:textId="77777777" w:rsidR="005B203D" w:rsidRDefault="00E60DC2">
            <w:pPr>
              <w:widowControl w:val="0"/>
              <w:ind w:right="-30"/>
              <w:jc w:val="center"/>
              <w:rPr>
                <w:rFonts w:ascii="Gadugi" w:hAnsi="Gadugi" w:cs="Gadugi"/>
                <w:sz w:val="18"/>
                <w:szCs w:val="18"/>
              </w:rPr>
            </w:pPr>
            <w:r>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354A23DB" w14:textId="77777777" w:rsidR="005B203D" w:rsidRDefault="00E60DC2">
            <w:pPr>
              <w:widowControl w:val="0"/>
              <w:ind w:right="-30"/>
              <w:jc w:val="center"/>
              <w:rPr>
                <w:rFonts w:ascii="Gadugi" w:hAnsi="Gadugi" w:cs="Gadugi"/>
                <w:sz w:val="18"/>
                <w:szCs w:val="18"/>
              </w:rPr>
            </w:pPr>
            <w:r>
              <w:rPr>
                <w:rFonts w:ascii="Gadugi" w:hAnsi="Gadugi" w:cs="Gadugi"/>
                <w:sz w:val="18"/>
                <w:szCs w:val="18"/>
              </w:rPr>
              <w:t>Prazo garantia ou validade</w:t>
            </w:r>
          </w:p>
        </w:tc>
      </w:tr>
      <w:tr w:rsidR="005B203D" w14:paraId="15AC427F" w14:textId="77777777">
        <w:trPr>
          <w:trHeight w:val="174"/>
        </w:trPr>
        <w:tc>
          <w:tcPr>
            <w:tcW w:w="834" w:type="dxa"/>
            <w:tcBorders>
              <w:left w:val="single" w:sz="2" w:space="0" w:color="000000"/>
              <w:bottom w:val="single" w:sz="2" w:space="0" w:color="000000"/>
            </w:tcBorders>
          </w:tcPr>
          <w:p w14:paraId="7377C555" w14:textId="77777777" w:rsidR="005B203D" w:rsidRDefault="005B203D">
            <w:pPr>
              <w:widowControl w:val="0"/>
              <w:ind w:right="-30"/>
              <w:jc w:val="both"/>
              <w:rPr>
                <w:rFonts w:ascii="Gadugi" w:hAnsi="Gadugi" w:cs="Gadugi"/>
                <w:sz w:val="18"/>
                <w:szCs w:val="18"/>
              </w:rPr>
            </w:pPr>
          </w:p>
        </w:tc>
        <w:tc>
          <w:tcPr>
            <w:tcW w:w="1141" w:type="dxa"/>
            <w:tcBorders>
              <w:left w:val="single" w:sz="2" w:space="0" w:color="000000"/>
              <w:bottom w:val="single" w:sz="2" w:space="0" w:color="000000"/>
            </w:tcBorders>
          </w:tcPr>
          <w:p w14:paraId="54DA5606" w14:textId="77777777" w:rsidR="005B203D" w:rsidRDefault="005B203D">
            <w:pPr>
              <w:widowControl w:val="0"/>
              <w:ind w:right="-30"/>
              <w:jc w:val="both"/>
              <w:rPr>
                <w:rFonts w:ascii="Gadugi" w:hAnsi="Gadugi" w:cs="Gadugi"/>
                <w:sz w:val="18"/>
                <w:szCs w:val="18"/>
              </w:rPr>
            </w:pPr>
          </w:p>
        </w:tc>
        <w:tc>
          <w:tcPr>
            <w:tcW w:w="1109" w:type="dxa"/>
            <w:tcBorders>
              <w:left w:val="single" w:sz="2" w:space="0" w:color="000000"/>
              <w:bottom w:val="single" w:sz="2" w:space="0" w:color="000000"/>
            </w:tcBorders>
          </w:tcPr>
          <w:p w14:paraId="5722FFAB" w14:textId="77777777" w:rsidR="005B203D" w:rsidRDefault="005B203D">
            <w:pPr>
              <w:widowControl w:val="0"/>
              <w:ind w:right="-30"/>
              <w:jc w:val="both"/>
              <w:rPr>
                <w:rFonts w:ascii="Gadugi" w:hAnsi="Gadugi" w:cs="Gadugi"/>
                <w:sz w:val="18"/>
                <w:szCs w:val="18"/>
              </w:rPr>
            </w:pPr>
          </w:p>
        </w:tc>
        <w:tc>
          <w:tcPr>
            <w:tcW w:w="1442" w:type="dxa"/>
            <w:tcBorders>
              <w:left w:val="single" w:sz="2" w:space="0" w:color="000000"/>
              <w:bottom w:val="single" w:sz="2" w:space="0" w:color="000000"/>
            </w:tcBorders>
          </w:tcPr>
          <w:p w14:paraId="74B714A4" w14:textId="77777777" w:rsidR="005B203D" w:rsidRDefault="005B203D">
            <w:pPr>
              <w:widowControl w:val="0"/>
              <w:ind w:right="-30"/>
              <w:jc w:val="both"/>
              <w:rPr>
                <w:rFonts w:ascii="Gadugi" w:hAnsi="Gadugi" w:cs="Gadugi"/>
                <w:sz w:val="18"/>
                <w:szCs w:val="18"/>
              </w:rPr>
            </w:pPr>
          </w:p>
        </w:tc>
        <w:tc>
          <w:tcPr>
            <w:tcW w:w="990" w:type="dxa"/>
            <w:tcBorders>
              <w:left w:val="single" w:sz="2" w:space="0" w:color="000000"/>
              <w:bottom w:val="single" w:sz="2" w:space="0" w:color="000000"/>
            </w:tcBorders>
          </w:tcPr>
          <w:p w14:paraId="2E9FC965" w14:textId="77777777" w:rsidR="005B203D" w:rsidRDefault="005B203D">
            <w:pPr>
              <w:widowControl w:val="0"/>
              <w:ind w:right="-30"/>
              <w:jc w:val="both"/>
              <w:rPr>
                <w:rFonts w:ascii="Gadugi" w:hAnsi="Gadugi" w:cs="Gadugi"/>
                <w:sz w:val="18"/>
                <w:szCs w:val="18"/>
              </w:rPr>
            </w:pPr>
          </w:p>
        </w:tc>
        <w:tc>
          <w:tcPr>
            <w:tcW w:w="1136" w:type="dxa"/>
            <w:tcBorders>
              <w:left w:val="single" w:sz="2" w:space="0" w:color="000000"/>
              <w:bottom w:val="single" w:sz="2" w:space="0" w:color="000000"/>
            </w:tcBorders>
          </w:tcPr>
          <w:p w14:paraId="42FDFE3C" w14:textId="77777777" w:rsidR="005B203D" w:rsidRDefault="005B203D">
            <w:pPr>
              <w:widowControl w:val="0"/>
              <w:ind w:right="-30"/>
              <w:jc w:val="both"/>
              <w:rPr>
                <w:rFonts w:ascii="Gadugi" w:hAnsi="Gadugi" w:cs="Gadugi"/>
                <w:sz w:val="18"/>
                <w:szCs w:val="18"/>
              </w:rPr>
            </w:pPr>
          </w:p>
        </w:tc>
        <w:tc>
          <w:tcPr>
            <w:tcW w:w="994" w:type="dxa"/>
            <w:tcBorders>
              <w:left w:val="single" w:sz="2" w:space="0" w:color="000000"/>
              <w:bottom w:val="single" w:sz="2" w:space="0" w:color="000000"/>
              <w:right w:val="single" w:sz="2" w:space="0" w:color="000000"/>
            </w:tcBorders>
          </w:tcPr>
          <w:p w14:paraId="250F15C5" w14:textId="77777777" w:rsidR="005B203D" w:rsidRDefault="005B203D">
            <w:pPr>
              <w:widowControl w:val="0"/>
              <w:ind w:right="-30"/>
              <w:jc w:val="both"/>
              <w:rPr>
                <w:rFonts w:ascii="Gadugi" w:hAnsi="Gadugi" w:cs="Gadugi"/>
                <w:sz w:val="18"/>
                <w:szCs w:val="18"/>
              </w:rPr>
            </w:pPr>
          </w:p>
        </w:tc>
        <w:tc>
          <w:tcPr>
            <w:tcW w:w="901" w:type="dxa"/>
            <w:tcBorders>
              <w:left w:val="single" w:sz="2" w:space="0" w:color="000000"/>
              <w:bottom w:val="single" w:sz="2" w:space="0" w:color="000000"/>
            </w:tcBorders>
          </w:tcPr>
          <w:p w14:paraId="4EC2F577" w14:textId="77777777" w:rsidR="005B203D" w:rsidRDefault="005B203D">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284FBA56" w14:textId="77777777" w:rsidR="005B203D" w:rsidRDefault="005B203D">
            <w:pPr>
              <w:widowControl w:val="0"/>
              <w:ind w:right="-30"/>
              <w:jc w:val="both"/>
              <w:rPr>
                <w:rFonts w:ascii="Gadugi" w:hAnsi="Gadugi" w:cs="Gadugi"/>
                <w:sz w:val="18"/>
                <w:szCs w:val="18"/>
              </w:rPr>
            </w:pPr>
          </w:p>
        </w:tc>
      </w:tr>
    </w:tbl>
    <w:p w14:paraId="0C7FC008" w14:textId="77777777" w:rsidR="005B203D" w:rsidRDefault="005B203D">
      <w:pPr>
        <w:widowControl w:val="0"/>
        <w:ind w:right="-30"/>
        <w:jc w:val="center"/>
        <w:rPr>
          <w:rFonts w:ascii="Gadugi" w:hAnsi="Gadugi" w:cs="Gadugi"/>
          <w:sz w:val="18"/>
          <w:szCs w:val="18"/>
        </w:rPr>
      </w:pPr>
    </w:p>
    <w:p w14:paraId="1BF6A7BC" w14:textId="77777777" w:rsidR="005B203D" w:rsidRDefault="005B203D">
      <w:pPr>
        <w:widowControl w:val="0"/>
        <w:ind w:right="-30"/>
        <w:jc w:val="center"/>
        <w:rPr>
          <w:rFonts w:ascii="Gadugi" w:hAnsi="Gadugi" w:cs="Gadugi"/>
          <w:sz w:val="18"/>
          <w:szCs w:val="18"/>
        </w:rPr>
      </w:pPr>
    </w:p>
    <w:p w14:paraId="608D8CF2" w14:textId="77777777" w:rsidR="005B203D" w:rsidRDefault="00E60DC2">
      <w:pPr>
        <w:widowControl w:val="0"/>
        <w:ind w:firstLine="709"/>
        <w:jc w:val="both"/>
        <w:rPr>
          <w:rFonts w:ascii="Gadugi" w:hAnsi="Gadugi" w:cs="Gadugi"/>
          <w:sz w:val="18"/>
          <w:szCs w:val="18"/>
        </w:rPr>
      </w:pPr>
      <w:r>
        <w:rPr>
          <w:rFonts w:ascii="Gadugi" w:hAnsi="Gadugi" w:cs="Gadugi"/>
          <w:sz w:val="18"/>
          <w:szCs w:val="18"/>
        </w:rPr>
        <w:t>Seguindo a ordem de classificação, segue relação de fornecedores que mantiveram sua proposta original:</w:t>
      </w:r>
    </w:p>
    <w:p w14:paraId="3164FBDA" w14:textId="77777777" w:rsidR="005B203D" w:rsidRDefault="005B203D">
      <w:pPr>
        <w:widowControl w:val="0"/>
        <w:ind w:right="-30"/>
        <w:jc w:val="center"/>
        <w:rPr>
          <w:rFonts w:ascii="Gadugi" w:hAnsi="Gadugi" w:cs="Gadugi"/>
          <w:sz w:val="18"/>
          <w:szCs w:val="18"/>
        </w:rPr>
      </w:pPr>
    </w:p>
    <w:tbl>
      <w:tblPr>
        <w:tblW w:w="9392" w:type="dxa"/>
        <w:tblInd w:w="10" w:type="dxa"/>
        <w:tblLayout w:type="fixed"/>
        <w:tblCellMar>
          <w:left w:w="10" w:type="dxa"/>
          <w:right w:w="10" w:type="dxa"/>
        </w:tblCellMar>
        <w:tblLook w:val="04A0" w:firstRow="1" w:lastRow="0" w:firstColumn="1" w:lastColumn="0" w:noHBand="0" w:noVBand="1"/>
      </w:tblPr>
      <w:tblGrid>
        <w:gridCol w:w="696"/>
        <w:gridCol w:w="1133"/>
        <w:gridCol w:w="1255"/>
        <w:gridCol w:w="1159"/>
        <w:gridCol w:w="1133"/>
        <w:gridCol w:w="1277"/>
        <w:gridCol w:w="1056"/>
        <w:gridCol w:w="839"/>
        <w:gridCol w:w="844"/>
      </w:tblGrid>
      <w:tr w:rsidR="005B203D" w14:paraId="0D29205E" w14:textId="77777777">
        <w:trPr>
          <w:trHeight w:val="511"/>
        </w:trPr>
        <w:tc>
          <w:tcPr>
            <w:tcW w:w="695" w:type="dxa"/>
            <w:tcBorders>
              <w:top w:val="single" w:sz="2" w:space="0" w:color="000000"/>
              <w:left w:val="single" w:sz="2" w:space="0" w:color="000000"/>
              <w:bottom w:val="single" w:sz="2" w:space="0" w:color="000000"/>
              <w:right w:val="single" w:sz="2" w:space="0" w:color="000000"/>
            </w:tcBorders>
            <w:vAlign w:val="center"/>
          </w:tcPr>
          <w:p w14:paraId="0A1EAF2B" w14:textId="77777777" w:rsidR="005B203D" w:rsidRDefault="00E60DC2">
            <w:pPr>
              <w:widowControl w:val="0"/>
              <w:ind w:right="-30"/>
              <w:jc w:val="center"/>
              <w:rPr>
                <w:rFonts w:ascii="Gadugi" w:hAnsi="Gadugi" w:cs="Gadugi"/>
                <w:sz w:val="18"/>
                <w:szCs w:val="18"/>
              </w:rPr>
            </w:pPr>
            <w:r>
              <w:rPr>
                <w:rFonts w:ascii="Gadugi" w:hAnsi="Gadugi" w:cs="Gadugi"/>
                <w:sz w:val="18"/>
                <w:szCs w:val="18"/>
              </w:rPr>
              <w:t>Item</w:t>
            </w:r>
          </w:p>
          <w:p w14:paraId="5632B759" w14:textId="77777777" w:rsidR="005B203D" w:rsidRDefault="00E60DC2">
            <w:pPr>
              <w:widowControl w:val="0"/>
              <w:ind w:right="-30"/>
              <w:jc w:val="center"/>
              <w:rPr>
                <w:rFonts w:ascii="Gadugi" w:hAnsi="Gadugi" w:cs="Gadugi"/>
                <w:sz w:val="18"/>
                <w:szCs w:val="18"/>
              </w:rPr>
            </w:pPr>
            <w:r>
              <w:rPr>
                <w:rFonts w:ascii="Gadugi" w:hAnsi="Gadugi" w:cs="Gadugi"/>
                <w:sz w:val="18"/>
                <w:szCs w:val="18"/>
              </w:rPr>
              <w:t>do</w:t>
            </w:r>
          </w:p>
          <w:p w14:paraId="72B0AA0B" w14:textId="77777777" w:rsidR="005B203D" w:rsidRDefault="00E60DC2">
            <w:pPr>
              <w:widowControl w:val="0"/>
              <w:ind w:right="-30"/>
              <w:jc w:val="center"/>
              <w:rPr>
                <w:rFonts w:ascii="Gadugi" w:hAnsi="Gadugi" w:cs="Gadugi"/>
                <w:sz w:val="18"/>
                <w:szCs w:val="18"/>
              </w:rPr>
            </w:pPr>
            <w:r>
              <w:rPr>
                <w:rFonts w:ascii="Gadugi" w:hAnsi="Gadugi" w:cs="Gadugi"/>
                <w:sz w:val="18"/>
                <w:szCs w:val="18"/>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7E786A98" w14:textId="77777777" w:rsidR="005B203D" w:rsidRDefault="00E60DC2">
            <w:pPr>
              <w:widowControl w:val="0"/>
              <w:ind w:right="-30"/>
              <w:jc w:val="center"/>
              <w:rPr>
                <w:rFonts w:ascii="Gadugi" w:hAnsi="Gadugi" w:cs="Gadugi"/>
                <w:sz w:val="18"/>
                <w:szCs w:val="18"/>
              </w:rPr>
            </w:pPr>
            <w:r>
              <w:rPr>
                <w:rFonts w:ascii="Gadugi" w:hAnsi="Gadugi" w:cs="Gadugi"/>
                <w:sz w:val="18"/>
                <w:szCs w:val="18"/>
              </w:rPr>
              <w:t xml:space="preserve">Fornecedor </w:t>
            </w:r>
            <w:r>
              <w:rPr>
                <w:rFonts w:ascii="Gadugi" w:hAnsi="Gadugi" w:cs="Gadugi"/>
                <w:i/>
                <w:sz w:val="18"/>
                <w:szCs w:val="18"/>
              </w:rPr>
              <w:t>(razão social, CNPJ/MF, endereço, contatos, representante)</w:t>
            </w:r>
          </w:p>
          <w:p w14:paraId="6C9E3A22" w14:textId="77777777" w:rsidR="005B203D" w:rsidRDefault="005B203D">
            <w:pPr>
              <w:widowControl w:val="0"/>
              <w:ind w:right="-30"/>
              <w:jc w:val="center"/>
              <w:rPr>
                <w:rFonts w:ascii="Gadugi" w:hAnsi="Gadugi" w:cs="Gadugi"/>
                <w:sz w:val="18"/>
                <w:szCs w:val="18"/>
              </w:rPr>
            </w:pPr>
          </w:p>
        </w:tc>
      </w:tr>
      <w:tr w:rsidR="005B203D" w14:paraId="63B826F0" w14:textId="77777777">
        <w:trPr>
          <w:trHeight w:val="674"/>
        </w:trPr>
        <w:tc>
          <w:tcPr>
            <w:tcW w:w="695" w:type="dxa"/>
            <w:tcBorders>
              <w:left w:val="single" w:sz="2" w:space="0" w:color="000000"/>
              <w:bottom w:val="single" w:sz="2" w:space="0" w:color="000000"/>
            </w:tcBorders>
            <w:vAlign w:val="center"/>
          </w:tcPr>
          <w:p w14:paraId="7DCB6CEB" w14:textId="77777777" w:rsidR="005B203D" w:rsidRDefault="00E60DC2">
            <w:pPr>
              <w:widowControl w:val="0"/>
              <w:ind w:right="-30"/>
              <w:jc w:val="center"/>
              <w:rPr>
                <w:rFonts w:ascii="Gadugi" w:hAnsi="Gadugi" w:cs="Gadugi"/>
                <w:sz w:val="18"/>
                <w:szCs w:val="18"/>
              </w:rPr>
            </w:pPr>
            <w:r>
              <w:rPr>
                <w:rFonts w:ascii="Gadugi" w:hAnsi="Gadugi" w:cs="Gadugi"/>
                <w:sz w:val="18"/>
                <w:szCs w:val="18"/>
              </w:rPr>
              <w:t>X</w:t>
            </w:r>
          </w:p>
        </w:tc>
        <w:tc>
          <w:tcPr>
            <w:tcW w:w="1133" w:type="dxa"/>
            <w:tcBorders>
              <w:left w:val="single" w:sz="2" w:space="0" w:color="000000"/>
              <w:bottom w:val="single" w:sz="2" w:space="0" w:color="000000"/>
            </w:tcBorders>
          </w:tcPr>
          <w:p w14:paraId="001E6B1C" w14:textId="77777777" w:rsidR="005B203D" w:rsidRDefault="00E60DC2">
            <w:pPr>
              <w:widowControl w:val="0"/>
              <w:ind w:right="-30"/>
              <w:jc w:val="both"/>
              <w:rPr>
                <w:rFonts w:ascii="Gadugi" w:hAnsi="Gadugi" w:cs="Gadugi"/>
                <w:sz w:val="18"/>
                <w:szCs w:val="18"/>
              </w:rPr>
            </w:pPr>
            <w:r>
              <w:rPr>
                <w:rFonts w:ascii="Gadugi" w:hAnsi="Gadugi" w:cs="Gadugi"/>
                <w:sz w:val="18"/>
                <w:szCs w:val="18"/>
              </w:rPr>
              <w:t>Especificação</w:t>
            </w:r>
          </w:p>
        </w:tc>
        <w:tc>
          <w:tcPr>
            <w:tcW w:w="1255" w:type="dxa"/>
            <w:tcBorders>
              <w:left w:val="single" w:sz="2" w:space="0" w:color="000000"/>
              <w:bottom w:val="single" w:sz="2" w:space="0" w:color="000000"/>
            </w:tcBorders>
          </w:tcPr>
          <w:p w14:paraId="29FFCED7" w14:textId="77777777" w:rsidR="005B203D" w:rsidRDefault="00E60DC2">
            <w:pPr>
              <w:widowControl w:val="0"/>
              <w:ind w:right="-30"/>
              <w:jc w:val="center"/>
              <w:rPr>
                <w:rFonts w:ascii="Gadugi" w:hAnsi="Gadugi" w:cs="Gadugi"/>
                <w:sz w:val="18"/>
                <w:szCs w:val="18"/>
              </w:rPr>
            </w:pPr>
            <w:r>
              <w:rPr>
                <w:rFonts w:ascii="Gadugi" w:hAnsi="Gadugi" w:cs="Gadugi"/>
                <w:sz w:val="18"/>
                <w:szCs w:val="18"/>
              </w:rPr>
              <w:t>Marca</w:t>
            </w:r>
          </w:p>
          <w:p w14:paraId="55AED464" w14:textId="77777777" w:rsidR="005B203D" w:rsidRDefault="00E60DC2">
            <w:pPr>
              <w:widowControl w:val="0"/>
              <w:ind w:right="-30"/>
              <w:jc w:val="center"/>
              <w:rPr>
                <w:rFonts w:ascii="Gadugi" w:hAnsi="Gadugi" w:cs="Gadugi"/>
                <w:sz w:val="18"/>
                <w:szCs w:val="18"/>
              </w:rPr>
            </w:pPr>
            <w:r>
              <w:rPr>
                <w:rFonts w:ascii="Gadugi" w:hAnsi="Gadugi" w:cs="Gadugi"/>
                <w:sz w:val="18"/>
                <w:szCs w:val="18"/>
              </w:rPr>
              <w:t>(se exigida no edital)</w:t>
            </w:r>
          </w:p>
        </w:tc>
        <w:tc>
          <w:tcPr>
            <w:tcW w:w="1159" w:type="dxa"/>
            <w:tcBorders>
              <w:left w:val="single" w:sz="2" w:space="0" w:color="000000"/>
              <w:bottom w:val="single" w:sz="2" w:space="0" w:color="000000"/>
            </w:tcBorders>
          </w:tcPr>
          <w:p w14:paraId="2F16D0BA" w14:textId="77777777" w:rsidR="005B203D" w:rsidRDefault="00E60DC2">
            <w:pPr>
              <w:widowControl w:val="0"/>
              <w:ind w:right="-30"/>
              <w:jc w:val="center"/>
              <w:rPr>
                <w:rFonts w:ascii="Gadugi" w:hAnsi="Gadugi" w:cs="Gadugi"/>
                <w:sz w:val="18"/>
                <w:szCs w:val="18"/>
              </w:rPr>
            </w:pPr>
            <w:r>
              <w:rPr>
                <w:rFonts w:ascii="Gadugi" w:hAnsi="Gadugi" w:cs="Gadugi"/>
                <w:sz w:val="18"/>
                <w:szCs w:val="18"/>
              </w:rPr>
              <w:t>Modelo</w:t>
            </w:r>
          </w:p>
          <w:p w14:paraId="19524597" w14:textId="77777777" w:rsidR="005B203D" w:rsidRDefault="00E60DC2">
            <w:pPr>
              <w:widowControl w:val="0"/>
              <w:ind w:right="-30"/>
              <w:jc w:val="center"/>
              <w:rPr>
                <w:rFonts w:ascii="Gadugi" w:hAnsi="Gadugi" w:cs="Gadugi"/>
                <w:sz w:val="18"/>
                <w:szCs w:val="18"/>
              </w:rPr>
            </w:pPr>
            <w:r>
              <w:rPr>
                <w:rFonts w:ascii="Gadugi" w:hAnsi="Gadugi" w:cs="Gadugi"/>
                <w:sz w:val="18"/>
                <w:szCs w:val="18"/>
              </w:rPr>
              <w:t>(se exigido no edital)</w:t>
            </w:r>
          </w:p>
        </w:tc>
        <w:tc>
          <w:tcPr>
            <w:tcW w:w="1133" w:type="dxa"/>
            <w:tcBorders>
              <w:left w:val="single" w:sz="2" w:space="0" w:color="000000"/>
              <w:bottom w:val="single" w:sz="2" w:space="0" w:color="000000"/>
            </w:tcBorders>
          </w:tcPr>
          <w:p w14:paraId="0444796A" w14:textId="77777777" w:rsidR="005B203D" w:rsidRDefault="00E60DC2">
            <w:pPr>
              <w:widowControl w:val="0"/>
              <w:ind w:right="-30"/>
              <w:jc w:val="center"/>
              <w:rPr>
                <w:rFonts w:ascii="Gadugi" w:hAnsi="Gadugi" w:cs="Gadugi"/>
                <w:sz w:val="18"/>
                <w:szCs w:val="18"/>
              </w:rPr>
            </w:pPr>
            <w:r>
              <w:rPr>
                <w:rFonts w:ascii="Gadugi" w:hAnsi="Gadugi" w:cs="Gadugi"/>
                <w:sz w:val="18"/>
                <w:szCs w:val="18"/>
              </w:rPr>
              <w:t>Unidade</w:t>
            </w:r>
          </w:p>
        </w:tc>
        <w:tc>
          <w:tcPr>
            <w:tcW w:w="1277" w:type="dxa"/>
            <w:tcBorders>
              <w:left w:val="single" w:sz="2" w:space="0" w:color="000000"/>
              <w:bottom w:val="single" w:sz="2" w:space="0" w:color="000000"/>
            </w:tcBorders>
          </w:tcPr>
          <w:p w14:paraId="51F29CE4" w14:textId="77777777" w:rsidR="005B203D" w:rsidRDefault="00E60DC2">
            <w:pPr>
              <w:widowControl w:val="0"/>
              <w:ind w:right="-30"/>
              <w:jc w:val="center"/>
              <w:rPr>
                <w:rFonts w:ascii="Gadugi" w:hAnsi="Gadugi" w:cs="Gadugi"/>
                <w:sz w:val="18"/>
                <w:szCs w:val="18"/>
              </w:rPr>
            </w:pPr>
            <w:r>
              <w:rPr>
                <w:rFonts w:ascii="Gadugi" w:hAnsi="Gadugi" w:cs="Gadugi"/>
                <w:sz w:val="18"/>
                <w:szCs w:val="18"/>
              </w:rPr>
              <w:t>Quantidade</w:t>
            </w:r>
          </w:p>
          <w:p w14:paraId="6379B84F" w14:textId="77777777" w:rsidR="005B203D" w:rsidRDefault="00E60DC2">
            <w:pPr>
              <w:widowControl w:val="0"/>
              <w:ind w:right="-30"/>
              <w:jc w:val="center"/>
              <w:rPr>
                <w:rFonts w:ascii="Gadugi" w:hAnsi="Gadugi" w:cs="Gadugi"/>
                <w:sz w:val="18"/>
                <w:szCs w:val="18"/>
              </w:rPr>
            </w:pPr>
            <w:r>
              <w:rPr>
                <w:rFonts w:ascii="Gadugi" w:hAnsi="Gadugi" w:cs="Gadugi"/>
                <w:sz w:val="18"/>
                <w:szCs w:val="18"/>
              </w:rPr>
              <w:t>Máxima</w:t>
            </w:r>
          </w:p>
        </w:tc>
        <w:tc>
          <w:tcPr>
            <w:tcW w:w="1056" w:type="dxa"/>
            <w:tcBorders>
              <w:left w:val="single" w:sz="2" w:space="0" w:color="000000"/>
              <w:bottom w:val="single" w:sz="2" w:space="0" w:color="000000"/>
              <w:right w:val="single" w:sz="2" w:space="0" w:color="000000"/>
            </w:tcBorders>
          </w:tcPr>
          <w:p w14:paraId="4FA0949A" w14:textId="77777777" w:rsidR="005B203D" w:rsidRDefault="00E60DC2">
            <w:pPr>
              <w:widowControl w:val="0"/>
              <w:ind w:right="-30"/>
              <w:jc w:val="center"/>
              <w:rPr>
                <w:rFonts w:ascii="Gadugi" w:hAnsi="Gadugi" w:cs="Gadugi"/>
                <w:sz w:val="18"/>
                <w:szCs w:val="18"/>
              </w:rPr>
            </w:pPr>
            <w:r>
              <w:rPr>
                <w:rFonts w:ascii="Gadugi" w:hAnsi="Gadugi" w:cs="Gadugi"/>
                <w:sz w:val="18"/>
                <w:szCs w:val="18"/>
              </w:rPr>
              <w:t>Quantidade Mínima</w:t>
            </w:r>
          </w:p>
        </w:tc>
        <w:tc>
          <w:tcPr>
            <w:tcW w:w="839" w:type="dxa"/>
            <w:tcBorders>
              <w:left w:val="single" w:sz="2" w:space="0" w:color="000000"/>
              <w:bottom w:val="single" w:sz="2" w:space="0" w:color="000000"/>
            </w:tcBorders>
          </w:tcPr>
          <w:p w14:paraId="5E71B2FB" w14:textId="77777777" w:rsidR="005B203D" w:rsidRDefault="00E60DC2">
            <w:pPr>
              <w:widowControl w:val="0"/>
              <w:ind w:right="-30"/>
              <w:jc w:val="center"/>
              <w:rPr>
                <w:rFonts w:ascii="Gadugi" w:hAnsi="Gadugi" w:cs="Gadugi"/>
                <w:sz w:val="18"/>
                <w:szCs w:val="18"/>
              </w:rPr>
            </w:pPr>
            <w:r>
              <w:rPr>
                <w:rFonts w:ascii="Gadugi" w:hAnsi="Gadugi" w:cs="Gadugi"/>
                <w:sz w:val="18"/>
                <w:szCs w:val="18"/>
              </w:rPr>
              <w:t>Valor Un</w:t>
            </w:r>
          </w:p>
        </w:tc>
        <w:tc>
          <w:tcPr>
            <w:tcW w:w="844" w:type="dxa"/>
            <w:tcBorders>
              <w:left w:val="single" w:sz="2" w:space="0" w:color="000000"/>
              <w:bottom w:val="single" w:sz="2" w:space="0" w:color="000000"/>
              <w:right w:val="single" w:sz="2" w:space="0" w:color="000000"/>
            </w:tcBorders>
          </w:tcPr>
          <w:p w14:paraId="4AEC3B9F" w14:textId="77777777" w:rsidR="005B203D" w:rsidRDefault="00E60DC2">
            <w:pPr>
              <w:widowControl w:val="0"/>
              <w:ind w:right="-30"/>
              <w:jc w:val="center"/>
              <w:rPr>
                <w:rFonts w:ascii="Gadugi" w:hAnsi="Gadugi" w:cs="Gadugi"/>
                <w:sz w:val="18"/>
                <w:szCs w:val="18"/>
              </w:rPr>
            </w:pPr>
            <w:r>
              <w:rPr>
                <w:rFonts w:ascii="Gadugi" w:hAnsi="Gadugi" w:cs="Gadugi"/>
                <w:sz w:val="18"/>
                <w:szCs w:val="18"/>
              </w:rPr>
              <w:t>Prazo garantia ou validade</w:t>
            </w:r>
          </w:p>
        </w:tc>
      </w:tr>
      <w:tr w:rsidR="005B203D" w14:paraId="033EEDD9" w14:textId="77777777">
        <w:trPr>
          <w:trHeight w:val="174"/>
        </w:trPr>
        <w:tc>
          <w:tcPr>
            <w:tcW w:w="695" w:type="dxa"/>
            <w:tcBorders>
              <w:left w:val="single" w:sz="2" w:space="0" w:color="000000"/>
              <w:bottom w:val="single" w:sz="2" w:space="0" w:color="000000"/>
            </w:tcBorders>
          </w:tcPr>
          <w:p w14:paraId="2ABABFC6" w14:textId="77777777" w:rsidR="005B203D" w:rsidRDefault="005B203D">
            <w:pPr>
              <w:widowControl w:val="0"/>
              <w:ind w:right="-30"/>
              <w:jc w:val="both"/>
              <w:rPr>
                <w:rFonts w:ascii="Gadugi" w:hAnsi="Gadugi" w:cs="Gadugi"/>
                <w:sz w:val="18"/>
                <w:szCs w:val="18"/>
              </w:rPr>
            </w:pPr>
          </w:p>
        </w:tc>
        <w:tc>
          <w:tcPr>
            <w:tcW w:w="1133" w:type="dxa"/>
            <w:tcBorders>
              <w:left w:val="single" w:sz="2" w:space="0" w:color="000000"/>
              <w:bottom w:val="single" w:sz="2" w:space="0" w:color="000000"/>
            </w:tcBorders>
          </w:tcPr>
          <w:p w14:paraId="595BC8B3" w14:textId="77777777" w:rsidR="005B203D" w:rsidRDefault="005B203D">
            <w:pPr>
              <w:widowControl w:val="0"/>
              <w:ind w:right="-30"/>
              <w:jc w:val="both"/>
              <w:rPr>
                <w:rFonts w:ascii="Gadugi" w:hAnsi="Gadugi" w:cs="Gadugi"/>
                <w:sz w:val="18"/>
                <w:szCs w:val="18"/>
              </w:rPr>
            </w:pPr>
          </w:p>
        </w:tc>
        <w:tc>
          <w:tcPr>
            <w:tcW w:w="1255" w:type="dxa"/>
            <w:tcBorders>
              <w:left w:val="single" w:sz="2" w:space="0" w:color="000000"/>
              <w:bottom w:val="single" w:sz="2" w:space="0" w:color="000000"/>
            </w:tcBorders>
          </w:tcPr>
          <w:p w14:paraId="312F5697" w14:textId="77777777" w:rsidR="005B203D" w:rsidRDefault="005B203D">
            <w:pPr>
              <w:widowControl w:val="0"/>
              <w:ind w:right="-30"/>
              <w:jc w:val="both"/>
              <w:rPr>
                <w:rFonts w:ascii="Gadugi" w:hAnsi="Gadugi" w:cs="Gadugi"/>
                <w:sz w:val="18"/>
                <w:szCs w:val="18"/>
              </w:rPr>
            </w:pPr>
          </w:p>
        </w:tc>
        <w:tc>
          <w:tcPr>
            <w:tcW w:w="1159" w:type="dxa"/>
            <w:tcBorders>
              <w:left w:val="single" w:sz="2" w:space="0" w:color="000000"/>
              <w:bottom w:val="single" w:sz="2" w:space="0" w:color="000000"/>
            </w:tcBorders>
          </w:tcPr>
          <w:p w14:paraId="0019B75A" w14:textId="77777777" w:rsidR="005B203D" w:rsidRDefault="005B203D">
            <w:pPr>
              <w:widowControl w:val="0"/>
              <w:ind w:right="-30"/>
              <w:jc w:val="both"/>
              <w:rPr>
                <w:rFonts w:ascii="Gadugi" w:hAnsi="Gadugi" w:cs="Gadugi"/>
                <w:sz w:val="18"/>
                <w:szCs w:val="18"/>
              </w:rPr>
            </w:pPr>
          </w:p>
        </w:tc>
        <w:tc>
          <w:tcPr>
            <w:tcW w:w="1133" w:type="dxa"/>
            <w:tcBorders>
              <w:left w:val="single" w:sz="2" w:space="0" w:color="000000"/>
              <w:bottom w:val="single" w:sz="2" w:space="0" w:color="000000"/>
            </w:tcBorders>
          </w:tcPr>
          <w:p w14:paraId="759B98A9" w14:textId="77777777" w:rsidR="005B203D" w:rsidRDefault="005B203D">
            <w:pPr>
              <w:widowControl w:val="0"/>
              <w:ind w:right="-30"/>
              <w:jc w:val="both"/>
              <w:rPr>
                <w:rFonts w:ascii="Gadugi" w:hAnsi="Gadugi" w:cs="Gadugi"/>
                <w:sz w:val="18"/>
                <w:szCs w:val="18"/>
              </w:rPr>
            </w:pPr>
          </w:p>
        </w:tc>
        <w:tc>
          <w:tcPr>
            <w:tcW w:w="1277" w:type="dxa"/>
            <w:tcBorders>
              <w:left w:val="single" w:sz="2" w:space="0" w:color="000000"/>
              <w:bottom w:val="single" w:sz="2" w:space="0" w:color="000000"/>
            </w:tcBorders>
          </w:tcPr>
          <w:p w14:paraId="6D3C8899" w14:textId="77777777" w:rsidR="005B203D" w:rsidRDefault="005B203D">
            <w:pPr>
              <w:widowControl w:val="0"/>
              <w:ind w:right="-30"/>
              <w:jc w:val="both"/>
              <w:rPr>
                <w:rFonts w:ascii="Gadugi" w:hAnsi="Gadugi" w:cs="Gadugi"/>
                <w:sz w:val="18"/>
                <w:szCs w:val="18"/>
              </w:rPr>
            </w:pPr>
          </w:p>
        </w:tc>
        <w:tc>
          <w:tcPr>
            <w:tcW w:w="1056" w:type="dxa"/>
            <w:tcBorders>
              <w:left w:val="single" w:sz="2" w:space="0" w:color="000000"/>
              <w:bottom w:val="single" w:sz="2" w:space="0" w:color="000000"/>
              <w:right w:val="single" w:sz="2" w:space="0" w:color="000000"/>
            </w:tcBorders>
          </w:tcPr>
          <w:p w14:paraId="46515124" w14:textId="77777777" w:rsidR="005B203D" w:rsidRDefault="005B203D">
            <w:pPr>
              <w:widowControl w:val="0"/>
              <w:ind w:right="-30"/>
              <w:jc w:val="both"/>
              <w:rPr>
                <w:rFonts w:ascii="Gadugi" w:hAnsi="Gadugi" w:cs="Gadugi"/>
                <w:sz w:val="18"/>
                <w:szCs w:val="18"/>
              </w:rPr>
            </w:pPr>
          </w:p>
        </w:tc>
        <w:tc>
          <w:tcPr>
            <w:tcW w:w="839" w:type="dxa"/>
            <w:tcBorders>
              <w:left w:val="single" w:sz="2" w:space="0" w:color="000000"/>
              <w:bottom w:val="single" w:sz="2" w:space="0" w:color="000000"/>
            </w:tcBorders>
          </w:tcPr>
          <w:p w14:paraId="38A299C9" w14:textId="77777777" w:rsidR="005B203D" w:rsidRDefault="005B203D">
            <w:pPr>
              <w:widowControl w:val="0"/>
              <w:ind w:right="-30"/>
              <w:jc w:val="both"/>
              <w:rPr>
                <w:rFonts w:ascii="Gadugi" w:hAnsi="Gadugi" w:cs="Gadugi"/>
                <w:sz w:val="18"/>
                <w:szCs w:val="18"/>
              </w:rPr>
            </w:pPr>
          </w:p>
        </w:tc>
        <w:tc>
          <w:tcPr>
            <w:tcW w:w="844" w:type="dxa"/>
            <w:tcBorders>
              <w:left w:val="single" w:sz="2" w:space="0" w:color="000000"/>
              <w:bottom w:val="single" w:sz="2" w:space="0" w:color="000000"/>
              <w:right w:val="single" w:sz="2" w:space="0" w:color="000000"/>
            </w:tcBorders>
          </w:tcPr>
          <w:p w14:paraId="50F28757" w14:textId="77777777" w:rsidR="005B203D" w:rsidRDefault="005B203D">
            <w:pPr>
              <w:widowControl w:val="0"/>
              <w:ind w:right="-30"/>
              <w:jc w:val="both"/>
              <w:rPr>
                <w:rFonts w:ascii="Gadugi" w:hAnsi="Gadugi" w:cs="Gadugi"/>
                <w:sz w:val="18"/>
                <w:szCs w:val="18"/>
              </w:rPr>
            </w:pPr>
          </w:p>
        </w:tc>
      </w:tr>
    </w:tbl>
    <w:p w14:paraId="20375E1F" w14:textId="77777777" w:rsidR="005B203D" w:rsidRDefault="005B203D">
      <w:pPr>
        <w:widowControl w:val="0"/>
        <w:ind w:right="-30"/>
        <w:jc w:val="center"/>
        <w:rPr>
          <w:rFonts w:ascii="Gadugi" w:hAnsi="Gadugi" w:cs="Gadugi"/>
          <w:sz w:val="18"/>
          <w:szCs w:val="18"/>
        </w:rPr>
      </w:pPr>
    </w:p>
    <w:p w14:paraId="07229F43" w14:textId="77777777" w:rsidR="005B203D" w:rsidRDefault="005B203D">
      <w:pPr>
        <w:jc w:val="center"/>
        <w:rPr>
          <w:rFonts w:ascii="Gadugi" w:hAnsi="Gadugi" w:cs="Gadugi"/>
          <w:sz w:val="18"/>
          <w:szCs w:val="18"/>
        </w:rPr>
      </w:pPr>
    </w:p>
    <w:p w14:paraId="56448935" w14:textId="77777777" w:rsidR="005B203D" w:rsidRDefault="005B203D">
      <w:pPr>
        <w:widowControl w:val="0"/>
        <w:ind w:right="-30"/>
        <w:jc w:val="center"/>
        <w:rPr>
          <w:rFonts w:ascii="Gadugi" w:hAnsi="Gadugi" w:cs="Gadugi"/>
          <w:sz w:val="18"/>
          <w:szCs w:val="18"/>
        </w:rPr>
      </w:pPr>
    </w:p>
    <w:p w14:paraId="1E50951E" w14:textId="77777777" w:rsidR="005B203D" w:rsidRDefault="005B203D">
      <w:pPr>
        <w:widowControl w:val="0"/>
        <w:ind w:right="-30"/>
        <w:jc w:val="center"/>
        <w:rPr>
          <w:rFonts w:ascii="Gadugi" w:hAnsi="Gadugi" w:cs="Gadugi"/>
          <w:sz w:val="18"/>
          <w:szCs w:val="18"/>
        </w:rPr>
      </w:pPr>
    </w:p>
    <w:p w14:paraId="147551BB" w14:textId="77777777" w:rsidR="005B203D" w:rsidRDefault="005B203D">
      <w:pPr>
        <w:widowControl w:val="0"/>
        <w:ind w:right="-30"/>
        <w:jc w:val="center"/>
        <w:rPr>
          <w:rFonts w:ascii="Gadugi" w:hAnsi="Gadugi" w:cs="Gadugi"/>
          <w:sz w:val="18"/>
          <w:szCs w:val="18"/>
        </w:rPr>
      </w:pPr>
    </w:p>
    <w:p w14:paraId="73CD1E64" w14:textId="77777777" w:rsidR="005B203D" w:rsidRDefault="005B203D">
      <w:pPr>
        <w:widowControl w:val="0"/>
        <w:ind w:right="-30"/>
        <w:jc w:val="center"/>
        <w:rPr>
          <w:rFonts w:ascii="Gadugi" w:hAnsi="Gadugi" w:cs="Gadugi"/>
          <w:sz w:val="18"/>
          <w:szCs w:val="18"/>
        </w:rPr>
      </w:pPr>
    </w:p>
    <w:p w14:paraId="1F13C9A8" w14:textId="77777777" w:rsidR="005B203D" w:rsidRDefault="005B203D">
      <w:pPr>
        <w:widowControl w:val="0"/>
        <w:ind w:right="-30"/>
        <w:rPr>
          <w:rFonts w:ascii="Gadugi" w:hAnsi="Gadugi" w:cs="Gadugi"/>
          <w:sz w:val="18"/>
          <w:szCs w:val="18"/>
        </w:rPr>
      </w:pPr>
    </w:p>
    <w:p w14:paraId="552BF817" w14:textId="77777777" w:rsidR="005B203D" w:rsidRDefault="005B203D">
      <w:pPr>
        <w:widowControl w:val="0"/>
        <w:ind w:right="-30"/>
        <w:rPr>
          <w:rFonts w:ascii="Gadugi" w:hAnsi="Gadugi" w:cs="Gadugi"/>
          <w:sz w:val="18"/>
          <w:szCs w:val="18"/>
        </w:rPr>
      </w:pPr>
    </w:p>
    <w:p w14:paraId="12D95DD4" w14:textId="77777777" w:rsidR="005B203D" w:rsidRDefault="005B203D">
      <w:pPr>
        <w:widowControl w:val="0"/>
        <w:ind w:right="-30"/>
        <w:rPr>
          <w:rFonts w:ascii="Gadugi" w:hAnsi="Gadugi" w:cs="Gadugi"/>
          <w:sz w:val="18"/>
          <w:szCs w:val="18"/>
        </w:rPr>
      </w:pPr>
    </w:p>
    <w:p w14:paraId="37F14ED4" w14:textId="77777777" w:rsidR="005B203D" w:rsidRDefault="005B203D">
      <w:pPr>
        <w:widowControl w:val="0"/>
        <w:ind w:right="-30"/>
        <w:rPr>
          <w:rFonts w:ascii="Gadugi" w:hAnsi="Gadugi" w:cs="Gadugi"/>
          <w:sz w:val="18"/>
          <w:szCs w:val="18"/>
        </w:rPr>
      </w:pPr>
    </w:p>
    <w:p w14:paraId="3F69F96D" w14:textId="77777777" w:rsidR="005B203D" w:rsidRDefault="005B203D">
      <w:pPr>
        <w:widowControl w:val="0"/>
        <w:ind w:right="-30"/>
        <w:rPr>
          <w:rFonts w:ascii="Gadugi" w:hAnsi="Gadugi" w:cs="Gadugi"/>
          <w:sz w:val="18"/>
          <w:szCs w:val="18"/>
        </w:rPr>
      </w:pPr>
    </w:p>
    <w:p w14:paraId="5F929F57" w14:textId="77777777" w:rsidR="005B203D" w:rsidRDefault="005B203D">
      <w:pPr>
        <w:widowControl w:val="0"/>
        <w:ind w:right="-30"/>
        <w:rPr>
          <w:rFonts w:ascii="Gadugi" w:hAnsi="Gadugi" w:cs="Gadugi"/>
          <w:sz w:val="18"/>
          <w:szCs w:val="18"/>
        </w:rPr>
      </w:pPr>
    </w:p>
    <w:p w14:paraId="16F7B728" w14:textId="77777777" w:rsidR="005B203D" w:rsidRDefault="005B203D">
      <w:pPr>
        <w:widowControl w:val="0"/>
        <w:ind w:right="-30"/>
        <w:rPr>
          <w:rFonts w:ascii="Gadugi" w:hAnsi="Gadugi" w:cs="Gadugi"/>
          <w:sz w:val="18"/>
          <w:szCs w:val="18"/>
        </w:rPr>
      </w:pPr>
    </w:p>
    <w:p w14:paraId="383A383F" w14:textId="77777777" w:rsidR="005B203D" w:rsidRDefault="005B203D">
      <w:pPr>
        <w:widowControl w:val="0"/>
        <w:ind w:right="-30"/>
        <w:rPr>
          <w:rFonts w:ascii="Gadugi" w:hAnsi="Gadugi" w:cs="Gadugi"/>
          <w:sz w:val="18"/>
          <w:szCs w:val="18"/>
        </w:rPr>
      </w:pPr>
    </w:p>
    <w:p w14:paraId="2C8CA400" w14:textId="77777777" w:rsidR="005B203D" w:rsidRDefault="005B203D">
      <w:pPr>
        <w:widowControl w:val="0"/>
        <w:ind w:right="-30"/>
        <w:rPr>
          <w:rFonts w:ascii="Gadugi" w:hAnsi="Gadugi" w:cs="Gadugi"/>
          <w:sz w:val="18"/>
          <w:szCs w:val="18"/>
        </w:rPr>
      </w:pPr>
    </w:p>
    <w:p w14:paraId="2A7C690C" w14:textId="77777777" w:rsidR="005B203D" w:rsidRDefault="005B203D">
      <w:pPr>
        <w:widowControl w:val="0"/>
        <w:ind w:right="-30"/>
        <w:rPr>
          <w:rFonts w:ascii="Gadugi" w:hAnsi="Gadugi" w:cs="Gadugi"/>
          <w:sz w:val="18"/>
          <w:szCs w:val="18"/>
        </w:rPr>
      </w:pPr>
    </w:p>
    <w:p w14:paraId="01D6AB0F" w14:textId="77777777" w:rsidR="005B203D" w:rsidRDefault="005B203D">
      <w:pPr>
        <w:widowControl w:val="0"/>
        <w:ind w:right="-30"/>
        <w:rPr>
          <w:rFonts w:ascii="Gadugi" w:hAnsi="Gadugi" w:cs="Gadugi"/>
          <w:sz w:val="18"/>
          <w:szCs w:val="18"/>
        </w:rPr>
      </w:pPr>
    </w:p>
    <w:p w14:paraId="236D0CAF" w14:textId="77777777" w:rsidR="005B203D" w:rsidRDefault="005B203D">
      <w:pPr>
        <w:widowControl w:val="0"/>
        <w:ind w:right="-30"/>
        <w:rPr>
          <w:rFonts w:ascii="Gadugi" w:hAnsi="Gadugi" w:cs="Gadugi"/>
          <w:sz w:val="18"/>
          <w:szCs w:val="18"/>
        </w:rPr>
      </w:pPr>
    </w:p>
    <w:p w14:paraId="298C4BD4" w14:textId="77777777" w:rsidR="005B203D" w:rsidRDefault="005B203D">
      <w:pPr>
        <w:widowControl w:val="0"/>
        <w:ind w:right="-30"/>
        <w:rPr>
          <w:rFonts w:ascii="Gadugi" w:hAnsi="Gadugi" w:cs="Gadugi"/>
          <w:sz w:val="18"/>
          <w:szCs w:val="18"/>
        </w:rPr>
      </w:pPr>
    </w:p>
    <w:p w14:paraId="0645BB9E" w14:textId="77777777" w:rsidR="005B203D" w:rsidRDefault="005B203D">
      <w:pPr>
        <w:widowControl w:val="0"/>
        <w:ind w:right="-30"/>
        <w:rPr>
          <w:rFonts w:ascii="Gadugi" w:hAnsi="Gadugi" w:cs="Gadugi"/>
          <w:sz w:val="18"/>
          <w:szCs w:val="18"/>
        </w:rPr>
      </w:pPr>
    </w:p>
    <w:p w14:paraId="3C3B4755" w14:textId="77777777" w:rsidR="005B203D" w:rsidRDefault="005B203D">
      <w:pPr>
        <w:widowControl w:val="0"/>
        <w:ind w:right="-30"/>
        <w:rPr>
          <w:rFonts w:ascii="Gadugi" w:hAnsi="Gadugi" w:cs="Gadugi"/>
          <w:sz w:val="18"/>
          <w:szCs w:val="18"/>
        </w:rPr>
      </w:pPr>
    </w:p>
    <w:p w14:paraId="492C64CA" w14:textId="77777777" w:rsidR="005B203D" w:rsidRDefault="005B203D">
      <w:pPr>
        <w:widowControl w:val="0"/>
        <w:ind w:right="-30"/>
        <w:rPr>
          <w:rFonts w:ascii="Gadugi" w:hAnsi="Gadugi" w:cs="Gadugi"/>
          <w:sz w:val="18"/>
          <w:szCs w:val="18"/>
        </w:rPr>
      </w:pPr>
    </w:p>
    <w:p w14:paraId="47237C37" w14:textId="77777777" w:rsidR="005B203D" w:rsidRDefault="005B203D">
      <w:pPr>
        <w:widowControl w:val="0"/>
        <w:ind w:right="-30"/>
        <w:rPr>
          <w:rFonts w:ascii="Gadugi" w:hAnsi="Gadugi" w:cs="Gadugi"/>
          <w:sz w:val="18"/>
          <w:szCs w:val="18"/>
        </w:rPr>
      </w:pPr>
    </w:p>
    <w:p w14:paraId="376113DC" w14:textId="77777777" w:rsidR="005B203D" w:rsidRDefault="005B203D">
      <w:pPr>
        <w:widowControl w:val="0"/>
        <w:ind w:right="-30"/>
        <w:rPr>
          <w:rFonts w:ascii="Gadugi" w:hAnsi="Gadugi" w:cs="Gadugi"/>
          <w:sz w:val="18"/>
          <w:szCs w:val="18"/>
        </w:rPr>
      </w:pPr>
    </w:p>
    <w:p w14:paraId="2243BC82" w14:textId="77777777" w:rsidR="005B203D" w:rsidRDefault="005B203D">
      <w:pPr>
        <w:widowControl w:val="0"/>
        <w:ind w:right="-30"/>
        <w:rPr>
          <w:rFonts w:ascii="Gadugi" w:hAnsi="Gadugi" w:cs="Gadugi"/>
          <w:sz w:val="18"/>
          <w:szCs w:val="18"/>
        </w:rPr>
      </w:pPr>
    </w:p>
    <w:p w14:paraId="1BA39C0C" w14:textId="77777777" w:rsidR="005B203D" w:rsidRDefault="005B203D">
      <w:pPr>
        <w:widowControl w:val="0"/>
        <w:ind w:right="-30"/>
        <w:rPr>
          <w:rFonts w:ascii="Gadugi" w:hAnsi="Gadugi" w:cs="Gadugi"/>
          <w:sz w:val="18"/>
          <w:szCs w:val="18"/>
        </w:rPr>
      </w:pPr>
    </w:p>
    <w:p w14:paraId="6EA64383" w14:textId="77777777" w:rsidR="005B203D" w:rsidRDefault="005B203D">
      <w:pPr>
        <w:widowControl w:val="0"/>
        <w:ind w:right="-30"/>
        <w:rPr>
          <w:rFonts w:ascii="Gadugi" w:hAnsi="Gadugi" w:cs="Gadugi"/>
          <w:sz w:val="18"/>
          <w:szCs w:val="18"/>
        </w:rPr>
      </w:pPr>
    </w:p>
    <w:p w14:paraId="7B78D98B" w14:textId="77777777" w:rsidR="005B203D" w:rsidRDefault="005B203D">
      <w:pPr>
        <w:widowControl w:val="0"/>
        <w:ind w:right="-30"/>
        <w:rPr>
          <w:rFonts w:ascii="Gadugi" w:hAnsi="Gadugi" w:cs="Gadugi"/>
          <w:sz w:val="18"/>
          <w:szCs w:val="18"/>
        </w:rPr>
      </w:pPr>
    </w:p>
    <w:p w14:paraId="663EAB7F" w14:textId="77777777" w:rsidR="005B203D" w:rsidRDefault="005B203D">
      <w:pPr>
        <w:widowControl w:val="0"/>
        <w:ind w:right="-30"/>
        <w:rPr>
          <w:rFonts w:ascii="Gadugi" w:hAnsi="Gadugi" w:cs="Gadugi"/>
          <w:sz w:val="18"/>
          <w:szCs w:val="18"/>
        </w:rPr>
      </w:pPr>
    </w:p>
    <w:p w14:paraId="0D4606AC" w14:textId="77777777" w:rsidR="005B203D" w:rsidRDefault="005B203D">
      <w:pPr>
        <w:widowControl w:val="0"/>
        <w:ind w:right="-30"/>
        <w:rPr>
          <w:rFonts w:ascii="Gadugi" w:hAnsi="Gadugi" w:cs="Gadugi"/>
          <w:sz w:val="18"/>
          <w:szCs w:val="18"/>
        </w:rPr>
      </w:pPr>
    </w:p>
    <w:p w14:paraId="527ABEAA" w14:textId="77777777" w:rsidR="005B203D" w:rsidRDefault="005B203D">
      <w:pPr>
        <w:widowControl w:val="0"/>
        <w:ind w:right="-30"/>
        <w:rPr>
          <w:rFonts w:ascii="Gadugi" w:hAnsi="Gadugi" w:cs="Gadugi"/>
          <w:sz w:val="18"/>
          <w:szCs w:val="18"/>
        </w:rPr>
      </w:pPr>
    </w:p>
    <w:p w14:paraId="49F152DA" w14:textId="77777777" w:rsidR="005B203D" w:rsidRDefault="00E60DC2">
      <w:pPr>
        <w:widowControl w:val="0"/>
        <w:ind w:right="-30"/>
        <w:jc w:val="center"/>
        <w:rPr>
          <w:rFonts w:ascii="Gadugi" w:hAnsi="Gadugi" w:cs="Gadugi"/>
          <w:b/>
          <w:bCs/>
          <w:sz w:val="18"/>
          <w:szCs w:val="18"/>
        </w:rPr>
      </w:pPr>
      <w:r>
        <w:rPr>
          <w:rFonts w:ascii="Gadugi" w:hAnsi="Gadugi" w:cs="Gadugi"/>
          <w:b/>
          <w:bCs/>
          <w:sz w:val="18"/>
          <w:szCs w:val="18"/>
        </w:rPr>
        <w:t>ANEXO V</w:t>
      </w:r>
      <w:bookmarkStart w:id="41" w:name="_Hlk195192677"/>
    </w:p>
    <w:p w14:paraId="4A045FE5" w14:textId="77777777" w:rsidR="005B203D" w:rsidRDefault="005B203D">
      <w:pPr>
        <w:widowControl w:val="0"/>
        <w:ind w:right="-30"/>
        <w:jc w:val="center"/>
        <w:rPr>
          <w:rFonts w:ascii="Gadugi" w:hAnsi="Gadugi" w:cs="Gadugi"/>
          <w:b/>
          <w:bCs/>
          <w:sz w:val="18"/>
          <w:szCs w:val="18"/>
        </w:rPr>
      </w:pPr>
    </w:p>
    <w:p w14:paraId="24DFA0D8" w14:textId="77777777" w:rsidR="005B203D" w:rsidRDefault="00E60DC2">
      <w:pPr>
        <w:jc w:val="center"/>
        <w:rPr>
          <w:rFonts w:ascii="Gadugi" w:hAnsi="Gadugi" w:cs="Gadugi"/>
          <w:sz w:val="18"/>
          <w:szCs w:val="18"/>
        </w:rPr>
      </w:pPr>
      <w:bookmarkStart w:id="42" w:name="_Hlk204264885"/>
      <w:r>
        <w:rPr>
          <w:rFonts w:ascii="Gadugi" w:hAnsi="Gadugi" w:cs="Gadugi"/>
          <w:b/>
          <w:sz w:val="18"/>
          <w:szCs w:val="18"/>
        </w:rPr>
        <w:t>ESTADO DO RIO GRANDE DO SUL</w:t>
      </w:r>
    </w:p>
    <w:p w14:paraId="322A5157" w14:textId="77777777" w:rsidR="005B203D" w:rsidRDefault="00E60DC2">
      <w:pPr>
        <w:jc w:val="center"/>
        <w:rPr>
          <w:rFonts w:ascii="Gadugi" w:hAnsi="Gadugi" w:cs="Gadugi"/>
          <w:sz w:val="18"/>
          <w:szCs w:val="18"/>
        </w:rPr>
      </w:pPr>
      <w:r>
        <w:rPr>
          <w:rFonts w:ascii="Gadugi" w:hAnsi="Gadugi" w:cs="Gadugi"/>
          <w:b/>
          <w:sz w:val="18"/>
          <w:szCs w:val="18"/>
        </w:rPr>
        <w:t>PREFEITURA MUNICIPAL DE SANTA BÁRBARA DO SUL</w:t>
      </w:r>
    </w:p>
    <w:p w14:paraId="1C7F4C67" w14:textId="77777777" w:rsidR="005B203D" w:rsidRDefault="00E60DC2">
      <w:pPr>
        <w:jc w:val="center"/>
        <w:rPr>
          <w:rFonts w:ascii="Gadugi" w:hAnsi="Gadugi" w:cs="Gadugi"/>
          <w:sz w:val="18"/>
          <w:szCs w:val="18"/>
        </w:rPr>
      </w:pPr>
      <w:r>
        <w:rPr>
          <w:rFonts w:ascii="Gadugi" w:hAnsi="Gadugi" w:cs="Gadugi"/>
          <w:b/>
          <w:sz w:val="18"/>
          <w:szCs w:val="18"/>
        </w:rPr>
        <w:t>AVISO DE LICITAÇÃO</w:t>
      </w:r>
    </w:p>
    <w:p w14:paraId="5AA2BE11" w14:textId="77777777" w:rsidR="005B203D" w:rsidRDefault="005B203D">
      <w:pPr>
        <w:jc w:val="both"/>
        <w:rPr>
          <w:rFonts w:ascii="Gadugi" w:hAnsi="Gadugi" w:cs="Gadugi"/>
          <w:sz w:val="18"/>
          <w:szCs w:val="18"/>
        </w:rPr>
      </w:pPr>
    </w:p>
    <w:p w14:paraId="30628A49" w14:textId="284D1541" w:rsidR="005B203D" w:rsidRDefault="00E60DC2">
      <w:pPr>
        <w:spacing w:line="480" w:lineRule="auto"/>
        <w:jc w:val="both"/>
        <w:rPr>
          <w:rFonts w:ascii="Gadugi" w:hAnsi="Gadugi" w:cs="Gadugi"/>
          <w:sz w:val="18"/>
          <w:szCs w:val="18"/>
        </w:rPr>
      </w:pPr>
      <w:r>
        <w:rPr>
          <w:rFonts w:ascii="Gadugi" w:hAnsi="Gadugi" w:cs="Gadugi"/>
          <w:sz w:val="18"/>
          <w:szCs w:val="18"/>
          <w:shd w:val="clear" w:color="auto" w:fill="FFFFFF"/>
        </w:rPr>
        <w:t xml:space="preserve">Torno público </w:t>
      </w:r>
      <w:r w:rsidR="00401211">
        <w:rPr>
          <w:rFonts w:ascii="Gadugi" w:hAnsi="Gadugi" w:cs="Gadugi"/>
          <w:sz w:val="18"/>
          <w:szCs w:val="18"/>
          <w:shd w:val="clear" w:color="auto" w:fill="FFFFFF"/>
        </w:rPr>
        <w:t>a retificação</w:t>
      </w:r>
      <w:r>
        <w:rPr>
          <w:rFonts w:ascii="Gadugi" w:hAnsi="Gadugi" w:cs="Gadugi"/>
          <w:sz w:val="18"/>
          <w:szCs w:val="18"/>
          <w:shd w:val="clear" w:color="auto" w:fill="FFFFFF"/>
        </w:rPr>
        <w:t xml:space="preserve"> do </w:t>
      </w:r>
      <w:r>
        <w:rPr>
          <w:rFonts w:ascii="Gadugi" w:hAnsi="Gadugi" w:cs="Gadugi"/>
          <w:b/>
          <w:sz w:val="18"/>
          <w:szCs w:val="18"/>
          <w:shd w:val="clear" w:color="auto" w:fill="FFFFFF"/>
        </w:rPr>
        <w:t xml:space="preserve">Processo Licitatório n° </w:t>
      </w:r>
      <w:r w:rsidR="002B40B9">
        <w:rPr>
          <w:rFonts w:ascii="Gadugi" w:hAnsi="Gadugi" w:cs="Gadugi"/>
          <w:b/>
          <w:sz w:val="18"/>
          <w:szCs w:val="18"/>
          <w:shd w:val="clear" w:color="auto" w:fill="FFFFFF"/>
        </w:rPr>
        <w:t>208/2025</w:t>
      </w:r>
      <w:r>
        <w:rPr>
          <w:rFonts w:ascii="Gadugi" w:hAnsi="Gadugi" w:cs="Gadugi"/>
          <w:sz w:val="18"/>
          <w:szCs w:val="18"/>
          <w:shd w:val="clear" w:color="auto" w:fill="FFFFFF"/>
        </w:rPr>
        <w:t xml:space="preserve">, na modalidade </w:t>
      </w:r>
      <w:r>
        <w:rPr>
          <w:rFonts w:ascii="Gadugi" w:hAnsi="Gadugi" w:cs="Gadugi"/>
          <w:b/>
          <w:sz w:val="18"/>
          <w:szCs w:val="18"/>
          <w:shd w:val="clear" w:color="auto" w:fill="FFFFFF"/>
        </w:rPr>
        <w:t>PREGÃO ELETRÔNICO Nº 0</w:t>
      </w:r>
      <w:r w:rsidR="00F831C7">
        <w:rPr>
          <w:rFonts w:ascii="Gadugi" w:hAnsi="Gadugi" w:cs="Gadugi"/>
          <w:b/>
          <w:sz w:val="18"/>
          <w:szCs w:val="18"/>
          <w:shd w:val="clear" w:color="auto" w:fill="FFFFFF"/>
        </w:rPr>
        <w:t>42/2025</w:t>
      </w:r>
      <w:r>
        <w:rPr>
          <w:rFonts w:ascii="Gadugi" w:hAnsi="Gadugi" w:cs="Gadugi"/>
          <w:sz w:val="18"/>
          <w:szCs w:val="18"/>
          <w:shd w:val="clear" w:color="auto" w:fill="FFFFFF"/>
        </w:rPr>
        <w:t xml:space="preserve">, </w:t>
      </w:r>
      <w:r>
        <w:rPr>
          <w:rFonts w:ascii="Gadugi" w:hAnsi="Gadugi" w:cs="Gadugi"/>
          <w:sz w:val="18"/>
          <w:szCs w:val="18"/>
        </w:rPr>
        <w:t>REGISTRO DE PREÇOS PARA</w:t>
      </w:r>
      <w:r>
        <w:rPr>
          <w:rFonts w:ascii="Gadugi" w:hAnsi="Gadugi" w:cs="Gadugi"/>
          <w:b/>
          <w:bCs/>
          <w:i/>
          <w:iCs/>
          <w:sz w:val="18"/>
          <w:szCs w:val="18"/>
        </w:rPr>
        <w:t xml:space="preserve"> </w:t>
      </w:r>
      <w:r w:rsidR="00F96489">
        <w:rPr>
          <w:rFonts w:ascii="Gadugi" w:hAnsi="Gadugi" w:cs="Gadugi"/>
          <w:b/>
          <w:bCs/>
          <w:i/>
          <w:iCs/>
          <w:sz w:val="18"/>
          <w:szCs w:val="18"/>
        </w:rPr>
        <w:t xml:space="preserve">AQUISIÇÃO DE </w:t>
      </w:r>
      <w:r w:rsidR="00F831C7">
        <w:rPr>
          <w:rFonts w:ascii="Gadugi" w:hAnsi="Gadugi" w:cs="Gadugi"/>
          <w:b/>
          <w:bCs/>
          <w:i/>
          <w:iCs/>
          <w:sz w:val="18"/>
          <w:szCs w:val="18"/>
        </w:rPr>
        <w:t>EQUIPAMENTOS DE INFORMÁTICA</w:t>
      </w:r>
      <w:r>
        <w:rPr>
          <w:rFonts w:ascii="Gadugi" w:hAnsi="Gadugi" w:cs="Gadugi"/>
          <w:b/>
          <w:bCs/>
          <w:i/>
          <w:sz w:val="18"/>
          <w:szCs w:val="18"/>
          <w:u w:val="single"/>
        </w:rPr>
        <w:t>,</w:t>
      </w:r>
      <w:r>
        <w:rPr>
          <w:rFonts w:ascii="Gadugi" w:hAnsi="Gadugi" w:cs="Gadugi"/>
          <w:sz w:val="18"/>
          <w:szCs w:val="18"/>
        </w:rPr>
        <w:t xml:space="preserve"> </w:t>
      </w:r>
      <w:r w:rsidR="00401211" w:rsidRPr="00401211">
        <w:rPr>
          <w:rFonts w:ascii="Gadugi" w:hAnsi="Gadugi" w:cs="Gadugi"/>
          <w:sz w:val="18"/>
          <w:szCs w:val="18"/>
        </w:rPr>
        <w:t>onde se l</w:t>
      </w:r>
      <w:r w:rsidR="00401211" w:rsidRPr="00401211">
        <w:rPr>
          <w:rFonts w:ascii="Gadugi" w:hAnsi="Gadugi" w:cs="Gadugi" w:hint="eastAsia"/>
          <w:sz w:val="18"/>
          <w:szCs w:val="18"/>
        </w:rPr>
        <w:t>ê</w:t>
      </w:r>
      <w:r w:rsidR="00401211" w:rsidRPr="00401211">
        <w:rPr>
          <w:rFonts w:ascii="Gadugi" w:hAnsi="Gadugi" w:cs="Gadugi"/>
          <w:sz w:val="18"/>
          <w:szCs w:val="18"/>
        </w:rPr>
        <w:t>, cabo categoria 5s, leia-se: cabo categoria</w:t>
      </w:r>
      <w:r w:rsidR="00401211" w:rsidRPr="00401211">
        <w:rPr>
          <w:rFonts w:ascii="Gadugi" w:hAnsi="Gadugi" w:cs="Gadugi" w:hint="eastAsia"/>
          <w:sz w:val="18"/>
          <w:szCs w:val="18"/>
        </w:rPr>
        <w:t> </w:t>
      </w:r>
      <w:r w:rsidR="00401211" w:rsidRPr="00401211">
        <w:rPr>
          <w:rFonts w:ascii="Gadugi" w:hAnsi="Gadugi" w:cs="Gadugi"/>
          <w:sz w:val="18"/>
          <w:szCs w:val="18"/>
        </w:rPr>
        <w:t>5e</w:t>
      </w:r>
      <w:r w:rsidR="00401211">
        <w:rPr>
          <w:rFonts w:ascii="Gadugi" w:hAnsi="Gadugi" w:cs="Gadugi"/>
          <w:sz w:val="18"/>
          <w:szCs w:val="18"/>
        </w:rPr>
        <w:t xml:space="preserve">. </w:t>
      </w:r>
      <w:r>
        <w:rPr>
          <w:rFonts w:ascii="Gadugi" w:hAnsi="Gadugi" w:cs="Gadugi"/>
          <w:sz w:val="18"/>
          <w:szCs w:val="18"/>
          <w:shd w:val="clear" w:color="auto" w:fill="FFFFFF"/>
        </w:rPr>
        <w:t xml:space="preserve">Início das </w:t>
      </w:r>
      <w:r>
        <w:rPr>
          <w:rFonts w:ascii="Gadugi" w:hAnsi="Gadugi" w:cs="Gadugi"/>
          <w:b/>
          <w:sz w:val="18"/>
          <w:szCs w:val="18"/>
          <w:shd w:val="clear" w:color="auto" w:fill="FFFFFF"/>
        </w:rPr>
        <w:t>Propostas:</w:t>
      </w:r>
      <w:r>
        <w:rPr>
          <w:rFonts w:ascii="Gadugi" w:hAnsi="Gadugi" w:cs="Gadugi"/>
          <w:b/>
          <w:sz w:val="18"/>
          <w:szCs w:val="18"/>
        </w:rPr>
        <w:t xml:space="preserve"> 08:00h do dia </w:t>
      </w:r>
      <w:r w:rsidR="002B40B9">
        <w:rPr>
          <w:rFonts w:ascii="Gadugi" w:hAnsi="Gadugi" w:cs="Gadugi"/>
          <w:b/>
          <w:sz w:val="18"/>
          <w:szCs w:val="18"/>
        </w:rPr>
        <w:t>1</w:t>
      </w:r>
      <w:r w:rsidR="00877DD7">
        <w:rPr>
          <w:rFonts w:ascii="Gadugi" w:hAnsi="Gadugi" w:cs="Gadugi"/>
          <w:b/>
          <w:sz w:val="18"/>
          <w:szCs w:val="18"/>
        </w:rPr>
        <w:t>9</w:t>
      </w:r>
      <w:r>
        <w:rPr>
          <w:rFonts w:ascii="Gadugi" w:hAnsi="Gadugi" w:cs="Gadugi"/>
          <w:b/>
          <w:sz w:val="18"/>
          <w:szCs w:val="18"/>
        </w:rPr>
        <w:t>/0</w:t>
      </w:r>
      <w:r w:rsidR="002B40B9">
        <w:rPr>
          <w:rFonts w:ascii="Gadugi" w:hAnsi="Gadugi" w:cs="Gadugi"/>
          <w:b/>
          <w:sz w:val="18"/>
          <w:szCs w:val="18"/>
        </w:rPr>
        <w:t>8</w:t>
      </w:r>
      <w:r>
        <w:rPr>
          <w:rFonts w:ascii="Gadugi" w:hAnsi="Gadugi" w:cs="Gadugi"/>
          <w:b/>
          <w:sz w:val="18"/>
          <w:szCs w:val="18"/>
        </w:rPr>
        <w:t xml:space="preserve">/2025 até as 08:00h do dia </w:t>
      </w:r>
      <w:r w:rsidR="002B40B9">
        <w:rPr>
          <w:rFonts w:ascii="Gadugi" w:hAnsi="Gadugi" w:cs="Gadugi"/>
          <w:b/>
          <w:sz w:val="18"/>
          <w:szCs w:val="18"/>
        </w:rPr>
        <w:t>2</w:t>
      </w:r>
      <w:r w:rsidR="00877DD7">
        <w:rPr>
          <w:rFonts w:ascii="Gadugi" w:hAnsi="Gadugi" w:cs="Gadugi"/>
          <w:b/>
          <w:sz w:val="18"/>
          <w:szCs w:val="18"/>
        </w:rPr>
        <w:t>9</w:t>
      </w:r>
      <w:r>
        <w:rPr>
          <w:rFonts w:ascii="Gadugi" w:hAnsi="Gadugi" w:cs="Gadugi"/>
          <w:b/>
          <w:sz w:val="18"/>
          <w:szCs w:val="18"/>
        </w:rPr>
        <w:t>/0</w:t>
      </w:r>
      <w:r w:rsidR="0099712C">
        <w:rPr>
          <w:rFonts w:ascii="Gadugi" w:hAnsi="Gadugi" w:cs="Gadugi"/>
          <w:b/>
          <w:sz w:val="18"/>
          <w:szCs w:val="18"/>
        </w:rPr>
        <w:t>8</w:t>
      </w:r>
      <w:r>
        <w:rPr>
          <w:rFonts w:ascii="Gadugi" w:hAnsi="Gadugi" w:cs="Gadugi"/>
          <w:b/>
          <w:sz w:val="18"/>
          <w:szCs w:val="18"/>
        </w:rPr>
        <w:t xml:space="preserve">/2025. Início da sessão Pública: às 08:01hs do dia </w:t>
      </w:r>
      <w:r w:rsidR="00877DD7">
        <w:rPr>
          <w:rFonts w:ascii="Gadugi" w:hAnsi="Gadugi" w:cs="Gadugi"/>
          <w:b/>
          <w:sz w:val="18"/>
          <w:szCs w:val="18"/>
        </w:rPr>
        <w:t>29</w:t>
      </w:r>
      <w:r w:rsidR="0099712C">
        <w:rPr>
          <w:rFonts w:ascii="Gadugi" w:hAnsi="Gadugi" w:cs="Gadugi"/>
          <w:b/>
          <w:sz w:val="18"/>
          <w:szCs w:val="18"/>
        </w:rPr>
        <w:t>/08</w:t>
      </w:r>
      <w:r>
        <w:rPr>
          <w:rFonts w:ascii="Gadugi" w:hAnsi="Gadugi" w:cs="Gadugi"/>
          <w:b/>
          <w:sz w:val="18"/>
          <w:szCs w:val="18"/>
        </w:rPr>
        <w:t>/2025</w:t>
      </w:r>
      <w:r>
        <w:rPr>
          <w:rFonts w:ascii="Gadugi" w:hAnsi="Gadugi" w:cs="Gadugi"/>
          <w:sz w:val="18"/>
          <w:szCs w:val="18"/>
          <w:shd w:val="clear" w:color="auto" w:fill="FFFFFF"/>
        </w:rPr>
        <w:t xml:space="preserve">, todos via portal </w:t>
      </w:r>
      <w:hyperlink r:id="rId34" w:tooltip="https://pregaobanrisul.com.br/">
        <w:r w:rsidR="00D01032">
          <w:rPr>
            <w:rFonts w:ascii="Gadugi" w:hAnsi="Gadugi" w:cs="Gadugi"/>
            <w:sz w:val="18"/>
            <w:szCs w:val="18"/>
            <w:u w:val="single"/>
            <w:shd w:val="clear" w:color="auto" w:fill="FFFFFF"/>
          </w:rPr>
          <w:t>www.portaldecompraspublicas.com.br</w:t>
        </w:r>
      </w:hyperlink>
      <w:r>
        <w:rPr>
          <w:rFonts w:ascii="Gadugi" w:hAnsi="Gadugi" w:cs="Gadugi"/>
          <w:bCs/>
          <w:iCs/>
          <w:sz w:val="18"/>
          <w:szCs w:val="18"/>
          <w:shd w:val="clear" w:color="auto" w:fill="FFFFFF"/>
        </w:rPr>
        <w:t xml:space="preserve"> no horário de </w:t>
      </w:r>
      <w:r>
        <w:rPr>
          <w:rFonts w:ascii="Gadugi" w:hAnsi="Gadugi" w:cs="Gadugi"/>
          <w:bCs/>
          <w:iCs/>
          <w:sz w:val="18"/>
          <w:szCs w:val="18"/>
        </w:rPr>
        <w:t>Brasília – DF.</w:t>
      </w:r>
      <w:r>
        <w:rPr>
          <w:rFonts w:ascii="Gadugi" w:hAnsi="Gadugi" w:cs="Gadugi"/>
          <w:sz w:val="18"/>
          <w:szCs w:val="18"/>
        </w:rPr>
        <w:t xml:space="preserve"> O Edital e informações complementares encontram-se a disposição dos interessados, junto à Comissão de Licitações, sito a Av. Eduardo de Brito, 101, Fone: 0xx 55 3372 3200, no horário de expediente e nos Sites: </w:t>
      </w:r>
      <w:hyperlink r:id="rId35" w:tooltip="https://pregaobanrisul.com.br/">
        <w:r w:rsidR="00D01032">
          <w:rPr>
            <w:rFonts w:ascii="Gadugi" w:hAnsi="Gadugi" w:cs="Gadugi"/>
            <w:sz w:val="18"/>
            <w:szCs w:val="18"/>
            <w:u w:val="single"/>
          </w:rPr>
          <w:t>www.portaldecompraspublicas.com.br</w:t>
        </w:r>
      </w:hyperlink>
      <w:r>
        <w:rPr>
          <w:rFonts w:ascii="Gadugi" w:hAnsi="Gadugi" w:cs="Gadugi"/>
          <w:sz w:val="18"/>
          <w:szCs w:val="18"/>
        </w:rPr>
        <w:t xml:space="preserve"> </w:t>
      </w:r>
      <w:r>
        <w:rPr>
          <w:rStyle w:val="Hyperlink1"/>
          <w:rFonts w:ascii="Gadugi" w:hAnsi="Gadugi" w:cs="Gadugi"/>
          <w:iCs/>
          <w:color w:val="auto"/>
          <w:sz w:val="18"/>
          <w:szCs w:val="18"/>
        </w:rPr>
        <w:t xml:space="preserve">e  </w:t>
      </w:r>
      <w:hyperlink r:id="rId36" w:tooltip="http://www.santabarbaradosul.rs.gov.br/">
        <w:r>
          <w:rPr>
            <w:rFonts w:ascii="Gadugi" w:hAnsi="Gadugi" w:cs="Gadugi"/>
            <w:sz w:val="18"/>
            <w:szCs w:val="18"/>
            <w:u w:val="single"/>
          </w:rPr>
          <w:t>www.santabarbaradosul.rs.gov.br</w:t>
        </w:r>
      </w:hyperlink>
      <w:r>
        <w:rPr>
          <w:rStyle w:val="Hyperlink1"/>
          <w:rFonts w:ascii="Gadugi" w:hAnsi="Gadugi" w:cs="Gadugi"/>
          <w:color w:val="auto"/>
          <w:sz w:val="18"/>
          <w:szCs w:val="18"/>
        </w:rPr>
        <w:t>.</w:t>
      </w:r>
    </w:p>
    <w:p w14:paraId="4F5FF2E0" w14:textId="77777777" w:rsidR="005B203D" w:rsidRDefault="00E60DC2">
      <w:pPr>
        <w:spacing w:line="480" w:lineRule="auto"/>
        <w:jc w:val="both"/>
        <w:rPr>
          <w:rFonts w:ascii="Gadugi" w:hAnsi="Gadugi" w:cs="Gadugi"/>
          <w:sz w:val="18"/>
          <w:szCs w:val="18"/>
        </w:rPr>
      </w:pPr>
      <w:r>
        <w:rPr>
          <w:rStyle w:val="Hyperlink1"/>
          <w:rFonts w:ascii="Gadugi" w:hAnsi="Gadugi" w:cs="Gadugi"/>
          <w:i/>
          <w:color w:val="auto"/>
          <w:sz w:val="18"/>
          <w:szCs w:val="18"/>
          <w:u w:val="none"/>
        </w:rPr>
        <w:t>Emitido por Marivete Martins dos Santos- Pregoeira</w:t>
      </w:r>
    </w:p>
    <w:p w14:paraId="2EF56BD8" w14:textId="77777777" w:rsidR="005B203D" w:rsidRDefault="005B203D">
      <w:pPr>
        <w:spacing w:line="480" w:lineRule="auto"/>
        <w:jc w:val="both"/>
        <w:rPr>
          <w:rFonts w:ascii="Gadugi" w:hAnsi="Gadugi" w:cs="Gadugi"/>
          <w:sz w:val="18"/>
          <w:szCs w:val="18"/>
        </w:rPr>
      </w:pPr>
    </w:p>
    <w:p w14:paraId="18370999" w14:textId="77777777" w:rsidR="005B203D" w:rsidRDefault="005B203D">
      <w:pPr>
        <w:spacing w:line="480" w:lineRule="auto"/>
        <w:jc w:val="both"/>
        <w:rPr>
          <w:rFonts w:ascii="Gadugi" w:hAnsi="Gadugi" w:cs="Gadugi"/>
          <w:sz w:val="18"/>
          <w:szCs w:val="18"/>
        </w:rPr>
      </w:pPr>
    </w:p>
    <w:p w14:paraId="1277FB0A" w14:textId="00655E20" w:rsidR="005B203D" w:rsidRDefault="00E60DC2">
      <w:pPr>
        <w:spacing w:line="480" w:lineRule="auto"/>
        <w:jc w:val="right"/>
        <w:rPr>
          <w:rFonts w:ascii="Gadugi" w:hAnsi="Gadugi" w:cs="Gadugi"/>
          <w:sz w:val="18"/>
          <w:szCs w:val="18"/>
        </w:rPr>
      </w:pPr>
      <w:r>
        <w:rPr>
          <w:rFonts w:ascii="Gadugi" w:hAnsi="Gadugi" w:cs="Gadugi"/>
          <w:sz w:val="18"/>
          <w:szCs w:val="18"/>
          <w:shd w:val="clear" w:color="auto" w:fill="FFFFFF"/>
        </w:rPr>
        <w:t xml:space="preserve">Santa Bárbara do Sul, RS </w:t>
      </w:r>
      <w:r w:rsidR="002B40B9">
        <w:rPr>
          <w:rFonts w:ascii="Gadugi" w:hAnsi="Gadugi" w:cs="Gadugi"/>
          <w:sz w:val="18"/>
          <w:szCs w:val="18"/>
          <w:shd w:val="clear" w:color="auto" w:fill="FFFFFF"/>
        </w:rPr>
        <w:t>1</w:t>
      </w:r>
      <w:r w:rsidR="00877DD7">
        <w:rPr>
          <w:rFonts w:ascii="Gadugi" w:hAnsi="Gadugi" w:cs="Gadugi"/>
          <w:sz w:val="18"/>
          <w:szCs w:val="18"/>
          <w:shd w:val="clear" w:color="auto" w:fill="FFFFFF"/>
        </w:rPr>
        <w:t>8</w:t>
      </w:r>
      <w:r w:rsidR="002B40B9">
        <w:rPr>
          <w:rFonts w:ascii="Gadugi" w:hAnsi="Gadugi" w:cs="Gadugi"/>
          <w:sz w:val="18"/>
          <w:szCs w:val="18"/>
          <w:shd w:val="clear" w:color="auto" w:fill="FFFFFF"/>
        </w:rPr>
        <w:t xml:space="preserve"> de agosto</w:t>
      </w:r>
      <w:r>
        <w:rPr>
          <w:rFonts w:ascii="Gadugi" w:hAnsi="Gadugi" w:cs="Gadugi"/>
          <w:sz w:val="18"/>
          <w:szCs w:val="18"/>
          <w:shd w:val="clear" w:color="auto" w:fill="FFFFFF"/>
        </w:rPr>
        <w:t xml:space="preserve"> de 2025</w:t>
      </w:r>
    </w:p>
    <w:p w14:paraId="1FE67AE9" w14:textId="77777777" w:rsidR="005B203D" w:rsidRDefault="005B203D">
      <w:pPr>
        <w:spacing w:line="480" w:lineRule="auto"/>
        <w:jc w:val="both"/>
        <w:rPr>
          <w:rFonts w:ascii="Gadugi" w:hAnsi="Gadugi" w:cs="Gadugi"/>
          <w:sz w:val="18"/>
          <w:szCs w:val="18"/>
        </w:rPr>
      </w:pPr>
    </w:p>
    <w:p w14:paraId="68061309" w14:textId="77777777" w:rsidR="005B203D" w:rsidRDefault="005B203D">
      <w:pPr>
        <w:spacing w:line="480" w:lineRule="auto"/>
        <w:jc w:val="both"/>
        <w:rPr>
          <w:rFonts w:ascii="Gadugi" w:hAnsi="Gadugi" w:cs="Gadugi"/>
          <w:sz w:val="18"/>
          <w:szCs w:val="18"/>
        </w:rPr>
      </w:pPr>
    </w:p>
    <w:p w14:paraId="4C152AAB" w14:textId="77777777" w:rsidR="005B203D" w:rsidRDefault="005B203D">
      <w:pPr>
        <w:spacing w:line="480" w:lineRule="auto"/>
        <w:jc w:val="both"/>
        <w:rPr>
          <w:rFonts w:ascii="Gadugi" w:hAnsi="Gadugi" w:cs="Gadugi"/>
          <w:sz w:val="18"/>
          <w:szCs w:val="18"/>
        </w:rPr>
      </w:pPr>
    </w:p>
    <w:p w14:paraId="6312B943" w14:textId="77777777" w:rsidR="005B203D" w:rsidRDefault="00E60DC2">
      <w:pPr>
        <w:jc w:val="center"/>
        <w:rPr>
          <w:rFonts w:ascii="Gadugi" w:hAnsi="Gadugi" w:cs="Gadugi"/>
          <w:i/>
          <w:iCs/>
          <w:sz w:val="18"/>
          <w:szCs w:val="18"/>
        </w:rPr>
      </w:pPr>
      <w:r>
        <w:rPr>
          <w:rFonts w:ascii="Gadugi" w:hAnsi="Gadugi" w:cs="Gadugi"/>
          <w:i/>
          <w:iCs/>
          <w:sz w:val="18"/>
          <w:szCs w:val="18"/>
        </w:rPr>
        <w:t>Leandro Caraffini Veneral</w:t>
      </w:r>
    </w:p>
    <w:p w14:paraId="605A22B1" w14:textId="77777777" w:rsidR="005B203D" w:rsidRDefault="00E60DC2">
      <w:pPr>
        <w:spacing w:line="480" w:lineRule="auto"/>
        <w:jc w:val="center"/>
        <w:rPr>
          <w:rFonts w:ascii="Gadugi" w:hAnsi="Gadugi" w:cs="Gadugi"/>
          <w:i/>
          <w:iCs/>
          <w:sz w:val="18"/>
          <w:szCs w:val="18"/>
        </w:rPr>
      </w:pPr>
      <w:r>
        <w:rPr>
          <w:rFonts w:ascii="Gadugi" w:hAnsi="Gadugi" w:cs="Gadugi"/>
          <w:i/>
          <w:iCs/>
          <w:sz w:val="18"/>
          <w:szCs w:val="18"/>
        </w:rPr>
        <w:t>Prefeito</w:t>
      </w:r>
      <w:bookmarkEnd w:id="41"/>
    </w:p>
    <w:bookmarkEnd w:id="42"/>
    <w:p w14:paraId="7CF1DAF4" w14:textId="77777777" w:rsidR="005B203D" w:rsidRDefault="005B203D">
      <w:pPr>
        <w:jc w:val="center"/>
        <w:rPr>
          <w:rFonts w:ascii="Gadugi" w:hAnsi="Gadugi" w:cs="Gadugi"/>
          <w:i/>
          <w:iCs/>
          <w:sz w:val="18"/>
          <w:szCs w:val="18"/>
        </w:rPr>
      </w:pPr>
    </w:p>
    <w:p w14:paraId="6569D01A" w14:textId="77777777" w:rsidR="005B203D" w:rsidRDefault="005B203D">
      <w:pPr>
        <w:jc w:val="both"/>
        <w:rPr>
          <w:rFonts w:ascii="Gadugi" w:hAnsi="Gadugi" w:cs="Gadugi"/>
          <w:sz w:val="18"/>
          <w:szCs w:val="18"/>
        </w:rPr>
      </w:pPr>
    </w:p>
    <w:p w14:paraId="27617340" w14:textId="77777777" w:rsidR="005B203D" w:rsidRDefault="005B203D">
      <w:pPr>
        <w:spacing w:before="288" w:after="288"/>
        <w:ind w:firstLine="567"/>
        <w:jc w:val="center"/>
        <w:rPr>
          <w:rFonts w:ascii="Gadugi" w:hAnsi="Gadugi" w:cs="Gadugi"/>
          <w:sz w:val="18"/>
          <w:szCs w:val="18"/>
        </w:rPr>
      </w:pPr>
    </w:p>
    <w:p w14:paraId="608F371D" w14:textId="77777777" w:rsidR="005B203D" w:rsidRDefault="005B203D">
      <w:pPr>
        <w:spacing w:before="288" w:after="288"/>
        <w:ind w:firstLine="567"/>
        <w:jc w:val="center"/>
        <w:rPr>
          <w:rFonts w:ascii="Gadugi" w:hAnsi="Gadugi" w:cs="Gadugi"/>
          <w:sz w:val="18"/>
          <w:szCs w:val="18"/>
        </w:rPr>
      </w:pPr>
    </w:p>
    <w:p w14:paraId="71423DB5" w14:textId="77777777" w:rsidR="005B203D" w:rsidRDefault="005B203D">
      <w:pPr>
        <w:spacing w:before="288" w:after="288"/>
        <w:ind w:firstLine="567"/>
        <w:jc w:val="center"/>
        <w:rPr>
          <w:rFonts w:ascii="Gadugi" w:hAnsi="Gadugi" w:cs="Gadugi"/>
          <w:sz w:val="18"/>
          <w:szCs w:val="18"/>
        </w:rPr>
      </w:pPr>
    </w:p>
    <w:p w14:paraId="1546315B" w14:textId="77777777" w:rsidR="005B203D" w:rsidRDefault="005B203D">
      <w:pPr>
        <w:rPr>
          <w:rFonts w:ascii="Gadugi" w:hAnsi="Gadugi" w:cs="Gadugi"/>
          <w:sz w:val="18"/>
          <w:szCs w:val="18"/>
        </w:rPr>
      </w:pPr>
    </w:p>
    <w:p w14:paraId="40E0396A" w14:textId="77777777" w:rsidR="005B203D" w:rsidRDefault="005B203D">
      <w:pPr>
        <w:rPr>
          <w:rFonts w:ascii="Gadugi" w:hAnsi="Gadugi" w:cs="Gadugi"/>
          <w:sz w:val="18"/>
          <w:szCs w:val="18"/>
        </w:rPr>
      </w:pPr>
    </w:p>
    <w:p w14:paraId="75076AAD" w14:textId="77777777" w:rsidR="005B203D" w:rsidRDefault="005B203D">
      <w:pPr>
        <w:rPr>
          <w:rFonts w:ascii="Gadugi" w:hAnsi="Gadugi" w:cs="Gadugi"/>
          <w:sz w:val="18"/>
          <w:szCs w:val="18"/>
        </w:rPr>
      </w:pPr>
    </w:p>
    <w:p w14:paraId="38946084" w14:textId="77777777" w:rsidR="005B203D" w:rsidRDefault="005B203D">
      <w:pPr>
        <w:rPr>
          <w:rFonts w:ascii="Gadugi" w:hAnsi="Gadugi" w:cs="Gadugi"/>
          <w:sz w:val="18"/>
          <w:szCs w:val="18"/>
        </w:rPr>
      </w:pPr>
    </w:p>
    <w:p w14:paraId="2F47708F" w14:textId="77777777" w:rsidR="005B203D" w:rsidRDefault="005B203D">
      <w:pPr>
        <w:rPr>
          <w:rFonts w:ascii="Gadugi" w:hAnsi="Gadugi" w:cs="Gadugi"/>
          <w:sz w:val="18"/>
          <w:szCs w:val="18"/>
        </w:rPr>
      </w:pPr>
    </w:p>
    <w:p w14:paraId="62B5F829" w14:textId="77777777" w:rsidR="005B203D" w:rsidRDefault="005B203D">
      <w:pPr>
        <w:rPr>
          <w:rFonts w:ascii="Gadugi" w:hAnsi="Gadugi" w:cs="Gadugi"/>
          <w:sz w:val="18"/>
          <w:szCs w:val="18"/>
        </w:rPr>
      </w:pPr>
    </w:p>
    <w:p w14:paraId="79FE3168" w14:textId="77777777" w:rsidR="005B203D" w:rsidRDefault="005B203D">
      <w:pPr>
        <w:rPr>
          <w:rFonts w:ascii="Gadugi" w:hAnsi="Gadugi" w:cs="Gadugi"/>
          <w:sz w:val="18"/>
          <w:szCs w:val="18"/>
        </w:rPr>
      </w:pPr>
    </w:p>
    <w:p w14:paraId="27BA4DEE" w14:textId="77777777" w:rsidR="005B203D" w:rsidRDefault="005B203D">
      <w:pPr>
        <w:rPr>
          <w:rFonts w:ascii="Gadugi" w:hAnsi="Gadugi" w:cs="Gadugi"/>
          <w:sz w:val="18"/>
          <w:szCs w:val="18"/>
        </w:rPr>
      </w:pPr>
    </w:p>
    <w:p w14:paraId="314C73B6" w14:textId="77777777" w:rsidR="005B203D" w:rsidRDefault="005B203D">
      <w:pPr>
        <w:rPr>
          <w:rFonts w:ascii="Gadugi" w:hAnsi="Gadugi" w:cs="Gadugi"/>
          <w:sz w:val="18"/>
          <w:szCs w:val="18"/>
        </w:rPr>
      </w:pPr>
    </w:p>
    <w:p w14:paraId="5CFFD532" w14:textId="77777777" w:rsidR="005B203D" w:rsidRDefault="005B203D">
      <w:pPr>
        <w:rPr>
          <w:rFonts w:ascii="Gadugi" w:hAnsi="Gadugi" w:cs="Gadugi"/>
          <w:sz w:val="18"/>
          <w:szCs w:val="18"/>
        </w:rPr>
      </w:pPr>
    </w:p>
    <w:p w14:paraId="5DA2D553" w14:textId="77777777" w:rsidR="005B203D" w:rsidRDefault="005B203D">
      <w:pPr>
        <w:rPr>
          <w:rFonts w:ascii="Gadugi" w:hAnsi="Gadugi" w:cs="Gadugi"/>
          <w:sz w:val="18"/>
          <w:szCs w:val="18"/>
        </w:rPr>
      </w:pPr>
    </w:p>
    <w:p w14:paraId="4ADEBC26" w14:textId="77777777" w:rsidR="005B203D" w:rsidRDefault="005B203D">
      <w:pPr>
        <w:rPr>
          <w:rFonts w:ascii="Gadugi" w:hAnsi="Gadugi" w:cs="Gadugi"/>
          <w:sz w:val="18"/>
          <w:szCs w:val="18"/>
        </w:rPr>
      </w:pPr>
    </w:p>
    <w:p w14:paraId="5DE4E654" w14:textId="77777777" w:rsidR="005B203D" w:rsidRDefault="00E60DC2">
      <w:pPr>
        <w:jc w:val="center"/>
        <w:rPr>
          <w:rFonts w:ascii="Gadugi" w:hAnsi="Gadugi" w:cs="Gadugi"/>
          <w:sz w:val="18"/>
          <w:szCs w:val="18"/>
        </w:rPr>
      </w:pPr>
      <w:r>
        <w:rPr>
          <w:rFonts w:ascii="Gadugi" w:hAnsi="Gadugi" w:cs="Gadugi"/>
          <w:b/>
          <w:bCs/>
          <w:sz w:val="18"/>
          <w:szCs w:val="18"/>
        </w:rPr>
        <w:t>ANEXO VI</w:t>
      </w:r>
    </w:p>
    <w:p w14:paraId="31650D44" w14:textId="77777777" w:rsidR="005B203D" w:rsidRDefault="00E60DC2">
      <w:pPr>
        <w:spacing w:before="200" w:after="200"/>
        <w:jc w:val="center"/>
        <w:rPr>
          <w:rFonts w:ascii="Gadugi" w:hAnsi="Gadugi" w:cs="Gadugi"/>
          <w:sz w:val="18"/>
          <w:szCs w:val="18"/>
        </w:rPr>
      </w:pPr>
      <w:r>
        <w:rPr>
          <w:rFonts w:ascii="Gadugi" w:eastAsia="Arial" w:hAnsi="Gadugi" w:cs="Gadugi"/>
          <w:b/>
          <w:sz w:val="18"/>
          <w:szCs w:val="18"/>
        </w:rPr>
        <w:t>AUTORIZAÇÃO</w:t>
      </w:r>
    </w:p>
    <w:p w14:paraId="0CBAC0FF" w14:textId="77777777" w:rsidR="005B203D" w:rsidRDefault="005B203D">
      <w:pPr>
        <w:spacing w:before="200" w:after="200"/>
        <w:ind w:firstLine="2835"/>
        <w:jc w:val="both"/>
        <w:rPr>
          <w:rFonts w:ascii="Gadugi" w:hAnsi="Gadugi" w:cs="Gadugi"/>
          <w:sz w:val="18"/>
          <w:szCs w:val="18"/>
        </w:rPr>
      </w:pPr>
    </w:p>
    <w:p w14:paraId="738AC190" w14:textId="3DA62799" w:rsidR="005B203D" w:rsidRDefault="00E60DC2">
      <w:pPr>
        <w:spacing w:line="480" w:lineRule="auto"/>
        <w:jc w:val="both"/>
        <w:rPr>
          <w:rFonts w:ascii="Gadugi" w:hAnsi="Gadugi" w:cs="Gadugi"/>
          <w:sz w:val="18"/>
          <w:szCs w:val="18"/>
        </w:rPr>
      </w:pPr>
      <w:r>
        <w:rPr>
          <w:rFonts w:ascii="Gadugi" w:eastAsia="Arial" w:hAnsi="Gadugi" w:cs="Gadugi"/>
          <w:sz w:val="18"/>
          <w:szCs w:val="18"/>
        </w:rPr>
        <w:t xml:space="preserve">Considerando o Pedido de Compras anexos ao processo, </w:t>
      </w:r>
      <w:r>
        <w:rPr>
          <w:rFonts w:ascii="Gadugi" w:eastAsia="Arial" w:hAnsi="Gadugi" w:cs="Gadugi"/>
          <w:b/>
          <w:sz w:val="18"/>
          <w:szCs w:val="18"/>
        </w:rPr>
        <w:t xml:space="preserve">AUTORIZO </w:t>
      </w:r>
      <w:r>
        <w:rPr>
          <w:rFonts w:ascii="Gadugi" w:eastAsia="Arial" w:hAnsi="Gadugi" w:cs="Gadugi"/>
          <w:sz w:val="18"/>
          <w:szCs w:val="18"/>
        </w:rPr>
        <w:t xml:space="preserve">a Equipe de Licitações através de pregoeiro (a) instituída pela </w:t>
      </w:r>
      <w:r>
        <w:rPr>
          <w:rFonts w:ascii="Gadugi" w:eastAsia="Arial" w:hAnsi="Gadugi" w:cs="Gadugi"/>
          <w:b/>
          <w:sz w:val="18"/>
          <w:szCs w:val="18"/>
        </w:rPr>
        <w:t>Portaria n. 355/2025</w:t>
      </w:r>
      <w:r>
        <w:rPr>
          <w:rFonts w:ascii="Gadugi" w:eastAsia="Arial" w:hAnsi="Gadugi" w:cs="Gadugi"/>
          <w:sz w:val="18"/>
          <w:szCs w:val="18"/>
        </w:rPr>
        <w:t xml:space="preserve"> em consonância ao disposto na </w:t>
      </w:r>
      <w:r>
        <w:rPr>
          <w:rFonts w:ascii="Gadugi" w:eastAsia="Arial" w:hAnsi="Gadugi" w:cs="Gadugi"/>
          <w:b/>
          <w:sz w:val="18"/>
          <w:szCs w:val="18"/>
        </w:rPr>
        <w:t>Lei Federal nº 14.133</w:t>
      </w:r>
      <w:r>
        <w:rPr>
          <w:rFonts w:ascii="Gadugi" w:eastAsia="Arial" w:hAnsi="Gadugi" w:cs="Gadugi"/>
          <w:sz w:val="18"/>
          <w:szCs w:val="18"/>
        </w:rPr>
        <w:t xml:space="preserve">, de 01 de abril de 2021, com suas alterações, a abrir processo licitatório próprio para </w:t>
      </w:r>
      <w:r>
        <w:rPr>
          <w:rFonts w:ascii="Gadugi" w:hAnsi="Gadugi" w:cs="Gadugi"/>
          <w:i/>
          <w:iCs/>
          <w:sz w:val="18"/>
          <w:szCs w:val="18"/>
        </w:rPr>
        <w:t>REGISTRO DE PREÇOS PARA</w:t>
      </w:r>
      <w:r>
        <w:rPr>
          <w:rFonts w:ascii="Gadugi" w:hAnsi="Gadugi" w:cs="Gadugi"/>
          <w:b/>
          <w:bCs/>
          <w:i/>
          <w:iCs/>
          <w:sz w:val="18"/>
          <w:szCs w:val="18"/>
          <w:u w:val="single"/>
        </w:rPr>
        <w:t xml:space="preserve"> </w:t>
      </w:r>
      <w:r w:rsidR="00F96489">
        <w:rPr>
          <w:rFonts w:ascii="Gadugi" w:hAnsi="Gadugi" w:cs="Gadugi"/>
          <w:b/>
          <w:bCs/>
          <w:i/>
          <w:iCs/>
          <w:sz w:val="18"/>
          <w:szCs w:val="18"/>
          <w:u w:val="single"/>
        </w:rPr>
        <w:t xml:space="preserve">AQUISIÇÃO DE </w:t>
      </w:r>
      <w:r w:rsidR="00F831C7">
        <w:rPr>
          <w:rFonts w:ascii="Gadugi" w:hAnsi="Gadugi" w:cs="Gadugi"/>
          <w:b/>
          <w:bCs/>
          <w:i/>
          <w:iCs/>
          <w:sz w:val="18"/>
          <w:szCs w:val="18"/>
          <w:u w:val="single"/>
        </w:rPr>
        <w:t>EQUIPAMENTOS DE INFORMÁTICA</w:t>
      </w:r>
      <w:r>
        <w:rPr>
          <w:rFonts w:ascii="Gadugi" w:eastAsia="Arial" w:hAnsi="Gadugi" w:cs="Gadugi"/>
          <w:sz w:val="18"/>
          <w:szCs w:val="18"/>
        </w:rPr>
        <w:t xml:space="preserve"> </w:t>
      </w:r>
      <w:r>
        <w:rPr>
          <w:rFonts w:ascii="Gadugi" w:eastAsia="Arial" w:hAnsi="Gadugi" w:cs="Gadugi"/>
          <w:sz w:val="18"/>
          <w:szCs w:val="18"/>
          <w:shd w:val="clear" w:color="auto" w:fill="FFFFFF"/>
        </w:rPr>
        <w:t>conforme pesquisa de preços efetuados pelo Setor de compras, c</w:t>
      </w:r>
      <w:r>
        <w:rPr>
          <w:rFonts w:ascii="Gadugi" w:eastAsia="Arial" w:hAnsi="Gadugi" w:cs="Gadugi"/>
          <w:sz w:val="18"/>
          <w:szCs w:val="18"/>
        </w:rPr>
        <w:t>om fiel observância à legislação e formalidades pertinentes em vigor, devendo ser mantido prévio entendimento com a Secretaria Municipal de  Fazenda, para verificar a existência de disponibilidade orçamentária.</w:t>
      </w:r>
    </w:p>
    <w:p w14:paraId="2D30A3BB" w14:textId="77777777" w:rsidR="005B203D" w:rsidRDefault="00E60DC2">
      <w:pPr>
        <w:spacing w:before="200" w:after="200"/>
        <w:ind w:firstLine="2835"/>
        <w:jc w:val="both"/>
        <w:rPr>
          <w:rFonts w:ascii="Gadugi" w:hAnsi="Gadugi" w:cs="Gadugi"/>
          <w:sz w:val="18"/>
          <w:szCs w:val="18"/>
        </w:rPr>
      </w:pPr>
      <w:r>
        <w:rPr>
          <w:rFonts w:ascii="Gadugi" w:hAnsi="Gadugi" w:cs="Gadugi"/>
          <w:sz w:val="18"/>
          <w:szCs w:val="18"/>
        </w:rPr>
        <w:br/>
      </w:r>
    </w:p>
    <w:p w14:paraId="3E05FE7F" w14:textId="15A87A15" w:rsidR="005B203D" w:rsidRDefault="00E60DC2">
      <w:pPr>
        <w:spacing w:before="200" w:after="200"/>
        <w:jc w:val="right"/>
        <w:rPr>
          <w:rFonts w:ascii="Gadugi" w:hAnsi="Gadugi" w:cs="Gadugi"/>
          <w:sz w:val="18"/>
          <w:szCs w:val="18"/>
        </w:rPr>
      </w:pPr>
      <w:r>
        <w:rPr>
          <w:rFonts w:ascii="Gadugi" w:eastAsia="Arial" w:hAnsi="Gadugi" w:cs="Gadugi"/>
          <w:sz w:val="18"/>
          <w:szCs w:val="18"/>
          <w:shd w:val="clear" w:color="auto" w:fill="FFFFFF"/>
        </w:rPr>
        <w:t xml:space="preserve">Santa Bárbara do Sul, </w:t>
      </w:r>
      <w:r w:rsidR="002B40B9">
        <w:rPr>
          <w:rFonts w:ascii="Gadugi" w:eastAsia="Arial" w:hAnsi="Gadugi" w:cs="Gadugi"/>
          <w:sz w:val="18"/>
          <w:szCs w:val="18"/>
          <w:shd w:val="clear" w:color="auto" w:fill="FFFFFF"/>
        </w:rPr>
        <w:t>11 de agosto</w:t>
      </w:r>
      <w:r>
        <w:rPr>
          <w:rFonts w:ascii="Gadugi" w:eastAsia="Arial" w:hAnsi="Gadugi" w:cs="Gadugi"/>
          <w:sz w:val="18"/>
          <w:szCs w:val="18"/>
          <w:shd w:val="clear" w:color="auto" w:fill="FFFFFF"/>
        </w:rPr>
        <w:t xml:space="preserve"> de 2025</w:t>
      </w:r>
    </w:p>
    <w:p w14:paraId="07012582" w14:textId="77777777" w:rsidR="005B203D" w:rsidRDefault="005B203D">
      <w:pPr>
        <w:spacing w:before="200" w:after="200"/>
        <w:jc w:val="right"/>
        <w:rPr>
          <w:rFonts w:ascii="Gadugi" w:hAnsi="Gadugi" w:cs="Gadugi"/>
          <w:sz w:val="18"/>
          <w:szCs w:val="18"/>
        </w:rPr>
      </w:pPr>
    </w:p>
    <w:p w14:paraId="520897C2" w14:textId="77777777" w:rsidR="005B203D" w:rsidRDefault="005B203D">
      <w:pPr>
        <w:spacing w:before="200" w:after="200"/>
        <w:jc w:val="both"/>
        <w:rPr>
          <w:rFonts w:ascii="Gadugi" w:hAnsi="Gadugi" w:cs="Gadugi"/>
          <w:sz w:val="18"/>
          <w:szCs w:val="18"/>
        </w:rPr>
      </w:pPr>
    </w:p>
    <w:p w14:paraId="2EB2DBC6" w14:textId="77777777" w:rsidR="005B203D" w:rsidRDefault="00E60DC2">
      <w:pPr>
        <w:spacing w:before="200" w:after="200"/>
        <w:jc w:val="both"/>
        <w:rPr>
          <w:rFonts w:ascii="Gadugi" w:hAnsi="Gadugi" w:cs="Gadugi"/>
          <w:sz w:val="18"/>
          <w:szCs w:val="18"/>
        </w:rPr>
      </w:pPr>
      <w:r>
        <w:rPr>
          <w:rFonts w:ascii="Gadugi" w:hAnsi="Gadugi" w:cs="Gadugi"/>
          <w:sz w:val="18"/>
          <w:szCs w:val="18"/>
        </w:rPr>
        <w:br/>
      </w:r>
    </w:p>
    <w:p w14:paraId="1EA5FCCB" w14:textId="77777777" w:rsidR="005B203D" w:rsidRDefault="00E60DC2">
      <w:pPr>
        <w:jc w:val="center"/>
        <w:rPr>
          <w:rFonts w:ascii="Gadugi" w:hAnsi="Gadugi" w:cs="Gadugi"/>
          <w:i/>
          <w:iCs/>
          <w:sz w:val="18"/>
          <w:szCs w:val="18"/>
        </w:rPr>
      </w:pPr>
      <w:r>
        <w:rPr>
          <w:rFonts w:ascii="Gadugi" w:hAnsi="Gadugi" w:cs="Gadugi"/>
          <w:i/>
          <w:iCs/>
          <w:sz w:val="18"/>
          <w:szCs w:val="18"/>
        </w:rPr>
        <w:t>Leandro Caraffini Veneral</w:t>
      </w:r>
    </w:p>
    <w:p w14:paraId="60DFC49F" w14:textId="77777777" w:rsidR="005B203D" w:rsidRDefault="00E60DC2">
      <w:pPr>
        <w:jc w:val="center"/>
        <w:rPr>
          <w:rFonts w:ascii="Gadugi" w:hAnsi="Gadugi" w:cs="Gadugi"/>
          <w:bCs/>
          <w:i/>
          <w:iCs/>
          <w:sz w:val="18"/>
          <w:szCs w:val="18"/>
        </w:rPr>
      </w:pPr>
      <w:r>
        <w:rPr>
          <w:rFonts w:ascii="Gadugi" w:hAnsi="Gadugi" w:cs="Gadugi"/>
          <w:i/>
          <w:iCs/>
          <w:sz w:val="18"/>
          <w:szCs w:val="18"/>
        </w:rPr>
        <w:t>Prefeito</w:t>
      </w:r>
    </w:p>
    <w:p w14:paraId="0386EF8B" w14:textId="77777777" w:rsidR="005B203D" w:rsidRDefault="005B203D">
      <w:pPr>
        <w:rPr>
          <w:rFonts w:ascii="Gadugi" w:hAnsi="Gadugi" w:cs="Gadugi"/>
          <w:i/>
          <w:iCs/>
          <w:sz w:val="18"/>
          <w:szCs w:val="18"/>
        </w:rPr>
      </w:pPr>
    </w:p>
    <w:p w14:paraId="6AA04A8F" w14:textId="77777777" w:rsidR="005B203D" w:rsidRDefault="005B203D">
      <w:pPr>
        <w:rPr>
          <w:rFonts w:ascii="Gadugi" w:hAnsi="Gadugi" w:cs="Gadugi"/>
          <w:sz w:val="18"/>
          <w:szCs w:val="18"/>
        </w:rPr>
      </w:pPr>
    </w:p>
    <w:p w14:paraId="22595074" w14:textId="77777777" w:rsidR="005B203D" w:rsidRDefault="005B203D">
      <w:pPr>
        <w:rPr>
          <w:rFonts w:ascii="Gadugi" w:hAnsi="Gadugi" w:cs="Gadugi"/>
          <w:sz w:val="18"/>
          <w:szCs w:val="18"/>
        </w:rPr>
      </w:pPr>
    </w:p>
    <w:p w14:paraId="57703952" w14:textId="77777777" w:rsidR="005B203D" w:rsidRDefault="005B203D">
      <w:pPr>
        <w:rPr>
          <w:rFonts w:ascii="Gadugi" w:hAnsi="Gadugi" w:cs="Gadugi"/>
          <w:sz w:val="18"/>
          <w:szCs w:val="18"/>
        </w:rPr>
      </w:pPr>
    </w:p>
    <w:p w14:paraId="0753EE10" w14:textId="77777777" w:rsidR="005B203D" w:rsidRDefault="005B203D">
      <w:pPr>
        <w:rPr>
          <w:rFonts w:ascii="Gadugi" w:hAnsi="Gadugi" w:cs="Gadugi"/>
          <w:sz w:val="18"/>
          <w:szCs w:val="18"/>
        </w:rPr>
      </w:pPr>
    </w:p>
    <w:p w14:paraId="39E0852C" w14:textId="77777777" w:rsidR="005B203D" w:rsidRDefault="005B203D">
      <w:pPr>
        <w:rPr>
          <w:rFonts w:ascii="Gadugi" w:hAnsi="Gadugi" w:cs="Gadugi"/>
          <w:sz w:val="18"/>
          <w:szCs w:val="18"/>
        </w:rPr>
      </w:pPr>
    </w:p>
    <w:p w14:paraId="7561CD03" w14:textId="77777777" w:rsidR="005B203D" w:rsidRDefault="005B203D">
      <w:pPr>
        <w:rPr>
          <w:rFonts w:ascii="Gadugi" w:hAnsi="Gadugi" w:cs="Gadugi"/>
          <w:sz w:val="18"/>
          <w:szCs w:val="18"/>
        </w:rPr>
      </w:pPr>
    </w:p>
    <w:p w14:paraId="4402D8BC" w14:textId="77777777" w:rsidR="005B203D" w:rsidRDefault="005B203D">
      <w:pPr>
        <w:rPr>
          <w:rFonts w:ascii="Gadugi" w:hAnsi="Gadugi" w:cs="Gadugi"/>
          <w:sz w:val="18"/>
          <w:szCs w:val="18"/>
        </w:rPr>
      </w:pPr>
    </w:p>
    <w:p w14:paraId="3C418CD3" w14:textId="77777777" w:rsidR="005B203D" w:rsidRDefault="005B203D">
      <w:pPr>
        <w:jc w:val="both"/>
        <w:rPr>
          <w:rFonts w:ascii="Gadugi" w:hAnsi="Gadugi" w:cs="Gadugi"/>
          <w:sz w:val="18"/>
          <w:szCs w:val="18"/>
        </w:rPr>
      </w:pPr>
    </w:p>
    <w:p w14:paraId="39C43D0A" w14:textId="77777777" w:rsidR="005B203D" w:rsidRDefault="005B203D">
      <w:pPr>
        <w:jc w:val="both"/>
        <w:rPr>
          <w:rFonts w:ascii="Gadugi" w:hAnsi="Gadugi" w:cs="Gadugi"/>
          <w:sz w:val="18"/>
          <w:szCs w:val="18"/>
        </w:rPr>
      </w:pPr>
    </w:p>
    <w:p w14:paraId="38667FED" w14:textId="77777777" w:rsidR="005B203D" w:rsidRDefault="005B203D">
      <w:pPr>
        <w:jc w:val="both"/>
        <w:rPr>
          <w:rFonts w:ascii="Gadugi" w:hAnsi="Gadugi" w:cs="Gadugi"/>
          <w:sz w:val="18"/>
          <w:szCs w:val="18"/>
        </w:rPr>
      </w:pPr>
    </w:p>
    <w:p w14:paraId="4F467206" w14:textId="77777777" w:rsidR="005B203D" w:rsidRDefault="005B203D">
      <w:pPr>
        <w:jc w:val="both"/>
        <w:rPr>
          <w:rFonts w:ascii="Gadugi" w:hAnsi="Gadugi" w:cs="Gadugi"/>
          <w:sz w:val="18"/>
          <w:szCs w:val="18"/>
        </w:rPr>
      </w:pPr>
    </w:p>
    <w:p w14:paraId="5C914298" w14:textId="77777777" w:rsidR="005B203D" w:rsidRDefault="005B203D">
      <w:pPr>
        <w:jc w:val="both"/>
        <w:rPr>
          <w:rFonts w:ascii="Gadugi" w:hAnsi="Gadugi" w:cs="Gadugi"/>
          <w:sz w:val="18"/>
          <w:szCs w:val="18"/>
        </w:rPr>
      </w:pPr>
    </w:p>
    <w:p w14:paraId="4BB4A912" w14:textId="77777777" w:rsidR="005B203D" w:rsidRDefault="005B203D">
      <w:pPr>
        <w:jc w:val="both"/>
        <w:rPr>
          <w:rFonts w:ascii="Gadugi" w:hAnsi="Gadugi" w:cs="Gadugi"/>
          <w:sz w:val="18"/>
          <w:szCs w:val="18"/>
        </w:rPr>
      </w:pPr>
    </w:p>
    <w:p w14:paraId="6CC6E7EF" w14:textId="77777777" w:rsidR="005B203D" w:rsidRDefault="005B203D">
      <w:pPr>
        <w:jc w:val="both"/>
        <w:rPr>
          <w:rFonts w:ascii="Gadugi" w:hAnsi="Gadugi" w:cs="Gadugi"/>
          <w:sz w:val="18"/>
          <w:szCs w:val="18"/>
        </w:rPr>
      </w:pPr>
    </w:p>
    <w:p w14:paraId="25BCB835" w14:textId="77777777" w:rsidR="005B203D" w:rsidRDefault="005B203D">
      <w:pPr>
        <w:jc w:val="both"/>
        <w:rPr>
          <w:rFonts w:ascii="Gadugi" w:hAnsi="Gadugi" w:cs="Gadugi"/>
          <w:sz w:val="18"/>
          <w:szCs w:val="18"/>
        </w:rPr>
      </w:pPr>
    </w:p>
    <w:p w14:paraId="53F390CF" w14:textId="77777777" w:rsidR="005B203D" w:rsidRDefault="005B203D">
      <w:pPr>
        <w:jc w:val="both"/>
        <w:rPr>
          <w:rFonts w:ascii="Gadugi" w:hAnsi="Gadugi" w:cs="Gadugi"/>
          <w:sz w:val="18"/>
          <w:szCs w:val="18"/>
        </w:rPr>
      </w:pPr>
    </w:p>
    <w:p w14:paraId="420740F2" w14:textId="77777777" w:rsidR="005B203D" w:rsidRDefault="005B203D">
      <w:pPr>
        <w:jc w:val="both"/>
        <w:rPr>
          <w:rFonts w:ascii="Gadugi" w:hAnsi="Gadugi" w:cs="Gadugi"/>
          <w:sz w:val="18"/>
          <w:szCs w:val="18"/>
        </w:rPr>
      </w:pPr>
    </w:p>
    <w:p w14:paraId="2B536566" w14:textId="77777777" w:rsidR="005B203D" w:rsidRDefault="005B203D">
      <w:pPr>
        <w:jc w:val="both"/>
        <w:rPr>
          <w:rFonts w:ascii="Gadugi" w:hAnsi="Gadugi" w:cs="Gadugi"/>
          <w:sz w:val="18"/>
          <w:szCs w:val="18"/>
        </w:rPr>
      </w:pPr>
    </w:p>
    <w:p w14:paraId="3965B998" w14:textId="77777777" w:rsidR="005B203D" w:rsidRDefault="005B203D">
      <w:pPr>
        <w:jc w:val="both"/>
        <w:rPr>
          <w:rFonts w:ascii="Gadugi" w:hAnsi="Gadugi" w:cs="Gadugi"/>
          <w:sz w:val="18"/>
          <w:szCs w:val="18"/>
        </w:rPr>
      </w:pPr>
    </w:p>
    <w:p w14:paraId="0E8DD743" w14:textId="77777777" w:rsidR="005B203D" w:rsidRDefault="005B203D">
      <w:pPr>
        <w:jc w:val="both"/>
        <w:rPr>
          <w:rFonts w:ascii="Gadugi" w:hAnsi="Gadugi" w:cs="Gadugi"/>
          <w:sz w:val="18"/>
          <w:szCs w:val="18"/>
        </w:rPr>
      </w:pPr>
    </w:p>
    <w:sectPr w:rsidR="005B203D">
      <w:headerReference w:type="default" r:id="rId37"/>
      <w:footerReference w:type="default" r:id="rId38"/>
      <w:headerReference w:type="first" r:id="rId39"/>
      <w:footerReference w:type="first" r:id="rId40"/>
      <w:pgSz w:w="11906" w:h="16838"/>
      <w:pgMar w:top="1366" w:right="1134" w:bottom="1134" w:left="1134"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6AB87" w14:textId="77777777" w:rsidR="00E60DC2" w:rsidRDefault="00E60DC2">
      <w:r>
        <w:separator/>
      </w:r>
    </w:p>
  </w:endnote>
  <w:endnote w:type="continuationSeparator" w:id="0">
    <w:p w14:paraId="072D9104" w14:textId="77777777" w:rsidR="00E60DC2" w:rsidRDefault="00E6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roman"/>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OpenSymbol">
    <w:altName w:val="Cambria"/>
    <w:charset w:val="00"/>
    <w:family w:val="roman"/>
    <w:pitch w:val="variable"/>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72216" w14:textId="77777777" w:rsidR="005B203D" w:rsidRDefault="00E60DC2">
    <w:r>
      <w:rPr>
        <w:noProof/>
      </w:rPr>
      <w:drawing>
        <wp:anchor distT="0" distB="0" distL="114300" distR="114300" simplePos="0" relativeHeight="60" behindDoc="0" locked="0" layoutInCell="0" allowOverlap="1" wp14:anchorId="3CFDA74E" wp14:editId="6A08218B">
          <wp:simplePos x="0" y="0"/>
          <wp:positionH relativeFrom="margin">
            <wp:posOffset>932815</wp:posOffset>
          </wp:positionH>
          <wp:positionV relativeFrom="paragraph">
            <wp:posOffset>-415290</wp:posOffset>
          </wp:positionV>
          <wp:extent cx="3639820" cy="692785"/>
          <wp:effectExtent l="0" t="0" r="0" b="0"/>
          <wp:wrapTight wrapText="bothSides">
            <wp:wrapPolygon edited="0">
              <wp:start x="-1" y="0"/>
              <wp:lineTo x="-1" y="21228"/>
              <wp:lineTo x="21475" y="21228"/>
              <wp:lineTo x="21475" y="0"/>
              <wp:lineTo x="-1" y="0"/>
            </wp:wrapPolygon>
          </wp:wrapTight>
          <wp:docPr id="5"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3"/>
                  <pic:cNvPicPr>
                    <a:picLocks noChangeAspect="1" noChangeArrowheads="1"/>
                  </pic:cNvPicPr>
                </pic:nvPicPr>
                <pic:blipFill>
                  <a:blip r:embed="rId1"/>
                  <a:stretch>
                    <a:fillRect/>
                  </a:stretch>
                </pic:blipFill>
                <pic:spPr bwMode="auto">
                  <a:xfrm>
                    <a:off x="0" y="0"/>
                    <a:ext cx="3639820" cy="692785"/>
                  </a:xfrm>
                  <a:prstGeom prst="rect">
                    <a:avLst/>
                  </a:prstGeom>
                  <a:noFill/>
                </pic:spPr>
              </pic:pic>
            </a:graphicData>
          </a:graphic>
        </wp:anchor>
      </w:drawing>
    </w:r>
  </w:p>
  <w:p w14:paraId="67A36BF9" w14:textId="77777777" w:rsidR="005B203D" w:rsidRDefault="005B203D">
    <w:pPr>
      <w:pStyle w:val="Normal1"/>
      <w:rPr>
        <w:rFonts w:ascii="Arial" w:hAnsi="Arial" w:cs="Arial"/>
        <w:sz w:val="14"/>
        <w:szCs w:val="14"/>
      </w:rPr>
    </w:pPr>
    <w:bookmarkStart w:id="43" w:name="_Hlk135299703"/>
    <w:bookmarkEnd w:id="43"/>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476FD" w14:textId="77777777" w:rsidR="005B203D" w:rsidRDefault="00E60DC2">
    <w:r>
      <w:rPr>
        <w:noProof/>
      </w:rPr>
      <w:drawing>
        <wp:anchor distT="0" distB="0" distL="0" distR="114300" simplePos="0" relativeHeight="61" behindDoc="0" locked="0" layoutInCell="0" allowOverlap="1" wp14:anchorId="61DE585A" wp14:editId="29F068C3">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75" y="21228"/>
              <wp:lineTo x="21475" y="0"/>
              <wp:lineTo x="-1" y="0"/>
            </wp:wrapPolygon>
          </wp:wrapTight>
          <wp:docPr id="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3"/>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5FD5AB1D" w14:textId="77777777" w:rsidR="005B203D" w:rsidRDefault="00E60DC2">
    <w:r>
      <w:rPr>
        <w:noProof/>
      </w:rPr>
      <w:drawing>
        <wp:anchor distT="0" distB="0" distL="0" distR="114300" simplePos="0" relativeHeight="62" behindDoc="0" locked="0" layoutInCell="0" allowOverlap="1" wp14:anchorId="06EFC22E" wp14:editId="36F9212C">
          <wp:simplePos x="0" y="0"/>
          <wp:positionH relativeFrom="margin">
            <wp:align>left</wp:align>
          </wp:positionH>
          <wp:positionV relativeFrom="paragraph">
            <wp:posOffset>9427210</wp:posOffset>
          </wp:positionV>
          <wp:extent cx="5400040" cy="1027430"/>
          <wp:effectExtent l="0" t="0" r="0" b="0"/>
          <wp:wrapTight wrapText="bothSides">
            <wp:wrapPolygon edited="0">
              <wp:start x="-1" y="0"/>
              <wp:lineTo x="-1" y="21228"/>
              <wp:lineTo x="21475" y="21228"/>
              <wp:lineTo x="21475" y="0"/>
              <wp:lineTo x="-1" y="0"/>
            </wp:wrapPolygon>
          </wp:wrapTight>
          <wp:docPr id="7"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ura2"/>
                  <pic:cNvPicPr>
                    <a:picLocks noChangeAspect="1" noChangeArrowheads="1"/>
                  </pic:cNvPicPr>
                </pic:nvPicPr>
                <pic:blipFill>
                  <a:blip r:embed="rId1"/>
                  <a:stretch>
                    <a:fillRect/>
                  </a:stretch>
                </pic:blipFill>
                <pic:spPr bwMode="auto">
                  <a:xfrm>
                    <a:off x="0" y="0"/>
                    <a:ext cx="5400040" cy="1027430"/>
                  </a:xfrm>
                  <a:prstGeom prst="rect">
                    <a:avLst/>
                  </a:prstGeom>
                  <a:noFill/>
                </pic:spPr>
              </pic:pic>
            </a:graphicData>
          </a:graphic>
        </wp:anchor>
      </w:drawing>
    </w:r>
  </w:p>
  <w:p w14:paraId="23126442" w14:textId="77777777" w:rsidR="005B203D" w:rsidRDefault="005B203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06FB8" w14:textId="77777777" w:rsidR="00E60DC2" w:rsidRDefault="00E60DC2">
      <w:r>
        <w:separator/>
      </w:r>
    </w:p>
  </w:footnote>
  <w:footnote w:type="continuationSeparator" w:id="0">
    <w:p w14:paraId="33FC7263" w14:textId="77777777" w:rsidR="00E60DC2" w:rsidRDefault="00E6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945EA" w14:textId="77777777" w:rsidR="005B203D" w:rsidRDefault="00E60DC2">
    <w:pPr>
      <w:pStyle w:val="Cabealho"/>
      <w:jc w:val="right"/>
      <w:rPr>
        <w:rFonts w:ascii="Arial" w:hAnsi="Arial" w:cs="Arial"/>
        <w:sz w:val="20"/>
        <w:szCs w:val="20"/>
      </w:rPr>
    </w:pPr>
    <w:r>
      <w:rPr>
        <w:rFonts w:ascii="Arial" w:hAnsi="Arial" w:cs="Arial"/>
        <w:noProof/>
        <w:sz w:val="20"/>
        <w:szCs w:val="20"/>
      </w:rPr>
      <w:drawing>
        <wp:anchor distT="0" distB="0" distL="114300" distR="114300" simplePos="0" relativeHeight="30" behindDoc="1" locked="0" layoutInCell="0" allowOverlap="1" wp14:anchorId="265AC593" wp14:editId="035A5F10">
          <wp:simplePos x="0" y="0"/>
          <wp:positionH relativeFrom="margin">
            <wp:posOffset>1457325</wp:posOffset>
          </wp:positionH>
          <wp:positionV relativeFrom="paragraph">
            <wp:posOffset>131445</wp:posOffset>
          </wp:positionV>
          <wp:extent cx="3837940" cy="742950"/>
          <wp:effectExtent l="0" t="0" r="0" b="0"/>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pic:cNvPicPr>
                    <a:picLocks noChangeAspect="1" noChangeArrowheads="1"/>
                  </pic:cNvPicPr>
                </pic:nvPicPr>
                <pic:blipFill>
                  <a:blip r:embed="rId1"/>
                  <a:stretch>
                    <a:fillRect/>
                  </a:stretch>
                </pic:blipFill>
                <pic:spPr bwMode="auto">
                  <a:xfrm>
                    <a:off x="0" y="0"/>
                    <a:ext cx="3837940" cy="742950"/>
                  </a:xfrm>
                  <a:prstGeom prst="rect">
                    <a:avLst/>
                  </a:prstGeom>
                  <a:noFill/>
                </pic:spPr>
              </pic:pic>
            </a:graphicData>
          </a:graphic>
        </wp:anchor>
      </w:drawing>
    </w:r>
  </w:p>
  <w:p w14:paraId="18ABE66C" w14:textId="77777777" w:rsidR="005B203D" w:rsidRDefault="005B203D"/>
  <w:p w14:paraId="15B36A7E" w14:textId="77777777" w:rsidR="005B203D" w:rsidRDefault="005B203D">
    <w:pPr>
      <w:pStyle w:val="Cabealho"/>
      <w:jc w:val="right"/>
      <w:rPr>
        <w:rFonts w:ascii="Arial" w:hAnsi="Arial" w:cs="Arial"/>
        <w:sz w:val="20"/>
        <w:szCs w:val="20"/>
      </w:rPr>
    </w:pPr>
  </w:p>
  <w:p w14:paraId="1F093287" w14:textId="77777777" w:rsidR="005B203D" w:rsidRDefault="005B203D">
    <w:pPr>
      <w:pStyle w:val="Cabealho"/>
      <w:jc w:val="right"/>
      <w:rPr>
        <w:rFonts w:ascii="Arial" w:hAnsi="Arial" w:cs="Arial"/>
        <w:sz w:val="20"/>
        <w:szCs w:val="20"/>
      </w:rPr>
    </w:pPr>
  </w:p>
  <w:p w14:paraId="3EE414D9" w14:textId="77777777" w:rsidR="005B203D" w:rsidRDefault="005B203D">
    <w:pPr>
      <w:pStyle w:val="Cabealho"/>
      <w:jc w:val="right"/>
      <w:rPr>
        <w:rFonts w:ascii="Gadugi" w:hAnsi="Gadugi" w:cs="Gadugi"/>
        <w:b/>
        <w:bCs/>
        <w:sz w:val="18"/>
        <w:szCs w:val="18"/>
      </w:rPr>
    </w:pPr>
  </w:p>
  <w:p w14:paraId="4F009E53" w14:textId="77777777" w:rsidR="005B203D" w:rsidRDefault="005B203D">
    <w:pPr>
      <w:pStyle w:val="Cabealho"/>
      <w:rPr>
        <w:rFonts w:ascii="Gadugi" w:hAnsi="Gadugi" w:cs="Gadugi"/>
        <w:b/>
        <w:bCs/>
        <w:sz w:val="18"/>
        <w:szCs w:val="18"/>
      </w:rPr>
    </w:pPr>
  </w:p>
  <w:p w14:paraId="65C6B9A8" w14:textId="191267F7" w:rsidR="005B203D" w:rsidRDefault="00E60DC2">
    <w:pPr>
      <w:pStyle w:val="Cabealho"/>
      <w:jc w:val="right"/>
      <w:rPr>
        <w:rFonts w:ascii="Gadugi" w:hAnsi="Gadugi" w:cs="Gadugi"/>
        <w:b/>
        <w:bCs/>
        <w:sz w:val="18"/>
        <w:szCs w:val="18"/>
      </w:rPr>
    </w:pPr>
    <w:r>
      <w:rPr>
        <w:rFonts w:ascii="Gadugi" w:hAnsi="Gadugi" w:cs="Gadugi"/>
        <w:b/>
        <w:bCs/>
        <w:sz w:val="18"/>
        <w:szCs w:val="18"/>
      </w:rPr>
      <w:t xml:space="preserve">PREGÃO ELETRÔNICO Nº </w:t>
    </w:r>
    <w:r w:rsidR="00D01032">
      <w:rPr>
        <w:rFonts w:ascii="Gadugi" w:hAnsi="Gadugi" w:cs="Gadugi"/>
        <w:b/>
        <w:bCs/>
        <w:sz w:val="18"/>
        <w:szCs w:val="18"/>
      </w:rPr>
      <w:t>42</w:t>
    </w:r>
    <w:r w:rsidR="00F96489">
      <w:rPr>
        <w:rFonts w:ascii="Gadugi" w:hAnsi="Gadugi" w:cs="Gadugi"/>
        <w:b/>
        <w:bCs/>
        <w:sz w:val="18"/>
        <w:szCs w:val="18"/>
      </w:rPr>
      <w:t>/2025</w:t>
    </w:r>
  </w:p>
  <w:p w14:paraId="13CD4444" w14:textId="5AFD14F0" w:rsidR="005B203D" w:rsidRDefault="00E60DC2">
    <w:pPr>
      <w:pStyle w:val="Cabealho"/>
      <w:jc w:val="right"/>
      <w:rPr>
        <w:rFonts w:ascii="Cambria" w:hAnsi="Cambria" w:cs="Cambria"/>
        <w:sz w:val="18"/>
        <w:szCs w:val="18"/>
      </w:rPr>
    </w:pPr>
    <w:r>
      <w:rPr>
        <w:rFonts w:ascii="Gadugi" w:hAnsi="Gadugi" w:cs="Gadugi"/>
        <w:b/>
        <w:bCs/>
        <w:sz w:val="18"/>
        <w:szCs w:val="18"/>
      </w:rPr>
      <w:t xml:space="preserve">REGISTRO DE PREÇO Nº </w:t>
    </w:r>
    <w:r w:rsidR="00D01032">
      <w:rPr>
        <w:rFonts w:ascii="Gadugi" w:hAnsi="Gadugi" w:cs="Gadugi"/>
        <w:b/>
        <w:bCs/>
        <w:sz w:val="18"/>
        <w:szCs w:val="18"/>
      </w:rPr>
      <w:t>34</w:t>
    </w:r>
    <w:r>
      <w:rPr>
        <w:rFonts w:ascii="Gadugi" w:hAnsi="Gadugi" w:cs="Gadugi"/>
        <w:b/>
        <w:bCs/>
        <w:sz w:val="18"/>
        <w:szCs w:val="18"/>
      </w:rPr>
      <w:t xml:space="preserve">/2025                   </w:t>
    </w:r>
    <w:r>
      <w:rPr>
        <w:rFonts w:ascii="Cambria" w:hAnsi="Cambria" w:cs="Cambria"/>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B8F16" w14:textId="77777777" w:rsidR="005B203D" w:rsidRDefault="00E60DC2">
    <w:r>
      <w:rPr>
        <w:noProof/>
      </w:rPr>
      <w:drawing>
        <wp:anchor distT="0" distB="0" distL="114300" distR="114300" simplePos="0" relativeHeight="31" behindDoc="1" locked="0" layoutInCell="0" allowOverlap="1" wp14:anchorId="54FBB2E7" wp14:editId="570B26DA">
          <wp:simplePos x="0" y="0"/>
          <wp:positionH relativeFrom="margin">
            <wp:posOffset>936625</wp:posOffset>
          </wp:positionH>
          <wp:positionV relativeFrom="paragraph">
            <wp:posOffset>635</wp:posOffset>
          </wp:positionV>
          <wp:extent cx="4366260" cy="845185"/>
          <wp:effectExtent l="0" t="0" r="0" b="0"/>
          <wp:wrapSquare wrapText="bothSides"/>
          <wp:docPr id="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
                  <pic:cNvPicPr>
                    <a:picLocks noChangeAspect="1" noChangeArrowheads="1"/>
                  </pic:cNvPicPr>
                </pic:nvPicPr>
                <pic:blipFill>
                  <a:blip r:embed="rId1"/>
                  <a:stretch>
                    <a:fillRect/>
                  </a:stretch>
                </pic:blipFill>
                <pic:spPr bwMode="auto">
                  <a:xfrm>
                    <a:off x="0" y="0"/>
                    <a:ext cx="4366260" cy="845185"/>
                  </a:xfrm>
                  <a:prstGeom prst="rect">
                    <a:avLst/>
                  </a:prstGeom>
                  <a:noFill/>
                </pic:spPr>
              </pic:pic>
            </a:graphicData>
          </a:graphic>
        </wp:anchor>
      </w:drawing>
    </w:r>
  </w:p>
  <w:p w14:paraId="06CD1D08" w14:textId="77777777" w:rsidR="005B203D" w:rsidRDefault="005B203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B7CAD"/>
    <w:multiLevelType w:val="multilevel"/>
    <w:tmpl w:val="ACCEDC78"/>
    <w:lvl w:ilvl="0">
      <w:start w:val="1"/>
      <w:numFmt w:val="bullet"/>
      <w:pStyle w:val="Commarcadores5"/>
      <w:lvlText w:val=""/>
      <w:lvlJc w:val="left"/>
      <w:pPr>
        <w:tabs>
          <w:tab w:val="num" w:pos="1492"/>
        </w:tabs>
        <w:ind w:left="1492"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3174B7E"/>
    <w:multiLevelType w:val="multilevel"/>
    <w:tmpl w:val="AD82C15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 w15:restartNumberingAfterBreak="0">
    <w:nsid w:val="031F777F"/>
    <w:multiLevelType w:val="multilevel"/>
    <w:tmpl w:val="34DC4F8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0A4F2261"/>
    <w:multiLevelType w:val="multilevel"/>
    <w:tmpl w:val="4E24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D5C9E"/>
    <w:multiLevelType w:val="multilevel"/>
    <w:tmpl w:val="B7F4887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1B582B24"/>
    <w:multiLevelType w:val="multilevel"/>
    <w:tmpl w:val="5F34C3F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15:restartNumberingAfterBreak="0">
    <w:nsid w:val="1E9A2F72"/>
    <w:multiLevelType w:val="multilevel"/>
    <w:tmpl w:val="EAF0876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83F2E10"/>
    <w:multiLevelType w:val="multilevel"/>
    <w:tmpl w:val="BCD84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E169C6"/>
    <w:multiLevelType w:val="multilevel"/>
    <w:tmpl w:val="5C14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4F72F6"/>
    <w:multiLevelType w:val="multilevel"/>
    <w:tmpl w:val="4ECC4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040228"/>
    <w:multiLevelType w:val="multilevel"/>
    <w:tmpl w:val="BE00976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15:restartNumberingAfterBreak="0">
    <w:nsid w:val="3D5239D7"/>
    <w:multiLevelType w:val="multilevel"/>
    <w:tmpl w:val="3F0C24C6"/>
    <w:lvl w:ilvl="0">
      <w:start w:val="5"/>
      <w:numFmt w:val="decimal"/>
      <w:lvlText w:val="%1"/>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552" w:hanging="72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2" w15:restartNumberingAfterBreak="0">
    <w:nsid w:val="3EA639EB"/>
    <w:multiLevelType w:val="multilevel"/>
    <w:tmpl w:val="3466AE66"/>
    <w:lvl w:ilvl="0">
      <w:start w:val="1"/>
      <w:numFmt w:val="decimal"/>
      <w:lvlText w:val="%1."/>
      <w:lvlJc w:val="left"/>
      <w:pPr>
        <w:tabs>
          <w:tab w:val="num" w:pos="0"/>
        </w:tabs>
        <w:ind w:left="7731" w:hanging="360"/>
      </w:pPr>
      <w:rPr>
        <w:b/>
      </w:rPr>
    </w:lvl>
    <w:lvl w:ilvl="1">
      <w:start w:val="1"/>
      <w:numFmt w:val="decimal"/>
      <w:lvlText w:val="%1.%2."/>
      <w:lvlJc w:val="left"/>
      <w:pPr>
        <w:tabs>
          <w:tab w:val="num" w:pos="0"/>
        </w:tabs>
        <w:ind w:left="999" w:hanging="432"/>
      </w:pPr>
      <w:rPr>
        <w:rFonts w:ascii="Cambria" w:eastAsia="Cambria" w:hAnsi="Cambria" w:cs="Cambria"/>
        <w:b w:val="0"/>
        <w:i w:val="0"/>
        <w:strike w:val="0"/>
        <w:dstrike w:val="0"/>
        <w:color w:val="auto"/>
        <w:sz w:val="18"/>
        <w:szCs w:val="20"/>
        <w:u w:val="none"/>
      </w:rPr>
    </w:lvl>
    <w:lvl w:ilvl="2">
      <w:start w:val="1"/>
      <w:numFmt w:val="decimal"/>
      <w:lvlText w:val="%1.%2.%3."/>
      <w:lvlJc w:val="left"/>
      <w:pPr>
        <w:tabs>
          <w:tab w:val="num" w:pos="0"/>
        </w:tabs>
        <w:ind w:left="1638" w:hanging="504"/>
      </w:pPr>
      <w:rPr>
        <w:rFonts w:ascii="Cambria" w:eastAsia="Cambria" w:hAnsi="Cambria" w:cs="Cambria"/>
        <w:b w:val="0"/>
        <w:i w:val="0"/>
        <w:strike w:val="0"/>
        <w:dstrike w:val="0"/>
        <w:color w:val="auto"/>
        <w:sz w:val="18"/>
        <w:szCs w:val="20"/>
      </w:rPr>
    </w:lvl>
    <w:lvl w:ilvl="3">
      <w:start w:val="1"/>
      <w:numFmt w:val="decimal"/>
      <w:lvlText w:val="%1.%2.%3.%4."/>
      <w:lvlJc w:val="left"/>
      <w:pPr>
        <w:tabs>
          <w:tab w:val="num" w:pos="0"/>
        </w:tabs>
        <w:ind w:left="648" w:hanging="648"/>
      </w:pPr>
      <w:rPr>
        <w:rFonts w:ascii="Cambria" w:eastAsia="Cambria" w:hAnsi="Cambria" w:cs="Cambria"/>
        <w:b w:val="0"/>
        <w:sz w:val="18"/>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95A3F8C"/>
    <w:multiLevelType w:val="multilevel"/>
    <w:tmpl w:val="3CD8B96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15:restartNumberingAfterBreak="0">
    <w:nsid w:val="501E59D4"/>
    <w:multiLevelType w:val="multilevel"/>
    <w:tmpl w:val="BD4E132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15:restartNumberingAfterBreak="0">
    <w:nsid w:val="66093569"/>
    <w:multiLevelType w:val="multilevel"/>
    <w:tmpl w:val="7BE0D62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15:restartNumberingAfterBreak="0">
    <w:nsid w:val="68B64D9B"/>
    <w:multiLevelType w:val="multilevel"/>
    <w:tmpl w:val="059471D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68EC7C24"/>
    <w:multiLevelType w:val="multilevel"/>
    <w:tmpl w:val="956490B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15:restartNumberingAfterBreak="0">
    <w:nsid w:val="73666793"/>
    <w:multiLevelType w:val="multilevel"/>
    <w:tmpl w:val="95CA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3729F7"/>
    <w:multiLevelType w:val="multilevel"/>
    <w:tmpl w:val="582C16AA"/>
    <w:lvl w:ilvl="0">
      <w:start w:val="1"/>
      <w:numFmt w:val="decimal"/>
      <w:lvlText w:val="%1."/>
      <w:lvlJc w:val="left"/>
      <w:pPr>
        <w:tabs>
          <w:tab w:val="num" w:pos="0"/>
        </w:tabs>
        <w:ind w:left="360" w:hanging="360"/>
      </w:pPr>
      <w:rPr>
        <w:b/>
        <w:color w:val="auto"/>
      </w:rPr>
    </w:lvl>
    <w:lvl w:ilvl="1">
      <w:start w:val="1"/>
      <w:numFmt w:val="decimal"/>
      <w:lvlText w:val="%1.%2."/>
      <w:lvlJc w:val="left"/>
      <w:pPr>
        <w:tabs>
          <w:tab w:val="num" w:pos="0"/>
        </w:tabs>
        <w:ind w:left="1283" w:hanging="432"/>
      </w:pPr>
      <w:rPr>
        <w:sz w:val="20"/>
        <w:szCs w:val="20"/>
      </w:rPr>
    </w:lvl>
    <w:lvl w:ilvl="2">
      <w:start w:val="1"/>
      <w:numFmt w:val="decimal"/>
      <w:pStyle w:val="Nvel3"/>
      <w:lvlText w:val="%1.%2.%3."/>
      <w:lvlJc w:val="left"/>
      <w:pPr>
        <w:tabs>
          <w:tab w:val="num" w:pos="0"/>
        </w:tabs>
        <w:ind w:left="1497"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7D753493"/>
    <w:multiLevelType w:val="multilevel"/>
    <w:tmpl w:val="34AC2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872044"/>
    <w:multiLevelType w:val="multilevel"/>
    <w:tmpl w:val="5A90C82E"/>
    <w:lvl w:ilvl="0">
      <w:start w:val="1"/>
      <w:numFmt w:val="decimal"/>
      <w:pStyle w:val="Nivel01"/>
      <w:lvlText w:val="%1."/>
      <w:lvlJc w:val="left"/>
      <w:pPr>
        <w:tabs>
          <w:tab w:val="num" w:pos="0"/>
        </w:tabs>
        <w:ind w:left="7731" w:hanging="360"/>
      </w:pPr>
      <w:rPr>
        <w:rFonts w:hint="default"/>
        <w:b/>
      </w:rPr>
    </w:lvl>
    <w:lvl w:ilvl="1">
      <w:start w:val="1"/>
      <w:numFmt w:val="decimal"/>
      <w:pStyle w:val="Nivel2"/>
      <w:lvlText w:val="%1.%2."/>
      <w:lvlJc w:val="left"/>
      <w:pPr>
        <w:tabs>
          <w:tab w:val="num" w:pos="0"/>
        </w:tabs>
        <w:ind w:left="999" w:hanging="432"/>
      </w:pPr>
      <w:rPr>
        <w:rFonts w:ascii="Gadugi" w:eastAsia="Gadugi" w:hAnsi="Gadugi" w:cs="Gadugi" w:hint="default"/>
        <w:b w:val="0"/>
        <w:i w:val="0"/>
        <w:strike w:val="0"/>
        <w:dstrike w:val="0"/>
        <w:color w:val="auto"/>
        <w:sz w:val="18"/>
        <w:szCs w:val="18"/>
        <w:u w:val="none"/>
      </w:rPr>
    </w:lvl>
    <w:lvl w:ilvl="2">
      <w:start w:val="1"/>
      <w:numFmt w:val="decimal"/>
      <w:pStyle w:val="Nivel3"/>
      <w:lvlText w:val="%1.%2.%3."/>
      <w:lvlJc w:val="left"/>
      <w:pPr>
        <w:tabs>
          <w:tab w:val="num" w:pos="0"/>
        </w:tabs>
        <w:ind w:left="1638" w:hanging="504"/>
      </w:pPr>
      <w:rPr>
        <w:rFonts w:ascii="Gadugi" w:eastAsia="Gadugi" w:hAnsi="Gadugi" w:cs="Gadugi" w:hint="default"/>
        <w:b w:val="0"/>
        <w:i w:val="0"/>
        <w:strike w:val="0"/>
        <w:dstrike w:val="0"/>
        <w:color w:val="auto"/>
        <w:sz w:val="18"/>
        <w:szCs w:val="20"/>
      </w:rPr>
    </w:lvl>
    <w:lvl w:ilvl="3">
      <w:start w:val="1"/>
      <w:numFmt w:val="decimal"/>
      <w:lvlText w:val="%1.%2.%3.%4."/>
      <w:lvlJc w:val="left"/>
      <w:pPr>
        <w:tabs>
          <w:tab w:val="num" w:pos="0"/>
        </w:tabs>
        <w:ind w:left="648" w:hanging="648"/>
      </w:pPr>
      <w:rPr>
        <w:rFonts w:ascii="Gadugi" w:eastAsia="Gadugi" w:hAnsi="Gadugi" w:cs="Gadugi" w:hint="default"/>
        <w:b w:val="0"/>
        <w:sz w:val="18"/>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16cid:durableId="1217739141">
    <w:abstractNumId w:val="0"/>
  </w:num>
  <w:num w:numId="2" w16cid:durableId="1996756648">
    <w:abstractNumId w:val="21"/>
  </w:num>
  <w:num w:numId="3" w16cid:durableId="1483235474">
    <w:abstractNumId w:val="19"/>
  </w:num>
  <w:num w:numId="4" w16cid:durableId="521481463">
    <w:abstractNumId w:val="12"/>
  </w:num>
  <w:num w:numId="5" w16cid:durableId="724254110">
    <w:abstractNumId w:val="16"/>
  </w:num>
  <w:num w:numId="6" w16cid:durableId="211040822">
    <w:abstractNumId w:val="14"/>
  </w:num>
  <w:num w:numId="7" w16cid:durableId="1069038242">
    <w:abstractNumId w:val="13"/>
  </w:num>
  <w:num w:numId="8" w16cid:durableId="2133866615">
    <w:abstractNumId w:val="2"/>
  </w:num>
  <w:num w:numId="9" w16cid:durableId="134225382">
    <w:abstractNumId w:val="5"/>
  </w:num>
  <w:num w:numId="10" w16cid:durableId="452987707">
    <w:abstractNumId w:val="10"/>
  </w:num>
  <w:num w:numId="11" w16cid:durableId="1122457499">
    <w:abstractNumId w:val="15"/>
  </w:num>
  <w:num w:numId="12" w16cid:durableId="1185441350">
    <w:abstractNumId w:val="4"/>
  </w:num>
  <w:num w:numId="13" w16cid:durableId="1992637934">
    <w:abstractNumId w:val="1"/>
  </w:num>
  <w:num w:numId="14" w16cid:durableId="1688679637">
    <w:abstractNumId w:val="17"/>
  </w:num>
  <w:num w:numId="15" w16cid:durableId="1165826851">
    <w:abstractNumId w:val="6"/>
  </w:num>
  <w:num w:numId="16" w16cid:durableId="1478036441">
    <w:abstractNumId w:val="18"/>
  </w:num>
  <w:num w:numId="17" w16cid:durableId="1008679690">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6832279">
    <w:abstractNumId w:val="9"/>
  </w:num>
  <w:num w:numId="19" w16cid:durableId="645545324">
    <w:abstractNumId w:val="7"/>
  </w:num>
  <w:num w:numId="20" w16cid:durableId="1211838903">
    <w:abstractNumId w:val="3"/>
  </w:num>
  <w:num w:numId="21" w16cid:durableId="1061178640">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9897677">
    <w:abstractNumId w:val="8"/>
  </w:num>
  <w:num w:numId="23" w16cid:durableId="1172985642">
    <w:abstractNumId w:val="20"/>
  </w:num>
  <w:num w:numId="24" w16cid:durableId="99567523">
    <w:abstractNumId w:val="11"/>
  </w:num>
  <w:num w:numId="25" w16cid:durableId="1157067282">
    <w:abstractNumId w:val="2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B203D"/>
    <w:rsid w:val="00024723"/>
    <w:rsid w:val="00165DD5"/>
    <w:rsid w:val="002B40B9"/>
    <w:rsid w:val="0036372D"/>
    <w:rsid w:val="003A59AD"/>
    <w:rsid w:val="00401211"/>
    <w:rsid w:val="00424A72"/>
    <w:rsid w:val="00573B91"/>
    <w:rsid w:val="00595833"/>
    <w:rsid w:val="005B203D"/>
    <w:rsid w:val="005B62C0"/>
    <w:rsid w:val="005C00F9"/>
    <w:rsid w:val="0062644A"/>
    <w:rsid w:val="006C4D1F"/>
    <w:rsid w:val="006E2A11"/>
    <w:rsid w:val="007E5E43"/>
    <w:rsid w:val="00843AAA"/>
    <w:rsid w:val="008524DD"/>
    <w:rsid w:val="00877DD7"/>
    <w:rsid w:val="0099712C"/>
    <w:rsid w:val="00A074FC"/>
    <w:rsid w:val="00B66EA7"/>
    <w:rsid w:val="00BC1B3B"/>
    <w:rsid w:val="00CB6588"/>
    <w:rsid w:val="00CC09F2"/>
    <w:rsid w:val="00D01032"/>
    <w:rsid w:val="00D24E50"/>
    <w:rsid w:val="00D51D46"/>
    <w:rsid w:val="00DE0D4D"/>
    <w:rsid w:val="00E60DC2"/>
    <w:rsid w:val="00E614EB"/>
    <w:rsid w:val="00E7777D"/>
    <w:rsid w:val="00E96505"/>
    <w:rsid w:val="00F831C7"/>
    <w:rsid w:val="00F96489"/>
    <w:rsid w:val="00FB0B2F"/>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AA3FEB3"/>
  <w15:docId w15:val="{974033ED-2226-422F-9367-A04E918C8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ja-JP"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h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har"/>
    <w:uiPriority w:val="9"/>
    <w:unhideWhenUsed/>
    <w:qFormat/>
    <w:pPr>
      <w:keepNext/>
      <w:keepLines/>
      <w:spacing w:before="320" w:after="200"/>
      <w:outlineLvl w:val="8"/>
    </w:pPr>
    <w:rPr>
      <w:rFonts w:ascii="Arial" w:eastAsia="Arial" w:hAnsi="Arial" w:cs="Arial"/>
      <w:i/>
      <w:i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5Char">
    <w:name w:val="Heading 5 Char"/>
    <w:basedOn w:val="Fontepargpadro"/>
    <w:uiPriority w:val="9"/>
    <w:qFormat/>
    <w:rPr>
      <w:rFonts w:ascii="Arial" w:eastAsia="Arial" w:hAnsi="Arial" w:cs="Arial"/>
      <w:b/>
      <w:bCs/>
      <w:sz w:val="24"/>
      <w:szCs w:val="24"/>
    </w:rPr>
  </w:style>
  <w:style w:type="character" w:customStyle="1" w:styleId="Heading7Char">
    <w:name w:val="Heading 7 Char"/>
    <w:basedOn w:val="Fontepargpadro"/>
    <w:uiPriority w:val="9"/>
    <w:qFormat/>
    <w:rPr>
      <w:rFonts w:ascii="Arial" w:eastAsia="Arial" w:hAnsi="Arial" w:cs="Arial"/>
      <w:b/>
      <w:bCs/>
      <w:i/>
      <w:iCs/>
      <w:sz w:val="22"/>
      <w:szCs w:val="22"/>
    </w:rPr>
  </w:style>
  <w:style w:type="character" w:customStyle="1" w:styleId="Heading8Char">
    <w:name w:val="Heading 8 Char"/>
    <w:basedOn w:val="Fontepargpadro"/>
    <w:uiPriority w:val="9"/>
    <w:qFormat/>
    <w:rPr>
      <w:rFonts w:ascii="Arial" w:eastAsia="Arial" w:hAnsi="Arial" w:cs="Arial"/>
      <w:i/>
      <w:iCs/>
      <w:sz w:val="22"/>
      <w:szCs w:val="22"/>
    </w:rPr>
  </w:style>
  <w:style w:type="character" w:customStyle="1" w:styleId="Heading9Char">
    <w:name w:val="Heading 9 Char"/>
    <w:basedOn w:val="Fontepargpadro"/>
    <w:uiPriority w:val="9"/>
    <w:qFormat/>
    <w:rPr>
      <w:rFonts w:ascii="Arial" w:eastAsia="Arial" w:hAnsi="Arial" w:cs="Arial"/>
      <w:i/>
      <w:iCs/>
      <w:sz w:val="21"/>
      <w:szCs w:val="21"/>
    </w:rPr>
  </w:style>
  <w:style w:type="character" w:customStyle="1" w:styleId="SubtitleChar">
    <w:name w:val="Subtitle Char"/>
    <w:basedOn w:val="Fontepargpadro"/>
    <w:uiPriority w:val="11"/>
    <w:qFormat/>
    <w:rPr>
      <w:sz w:val="24"/>
      <w:szCs w:val="24"/>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Caracteresdenotadefim">
    <w:name w:val="Caracteres de nota de fim"/>
    <w:uiPriority w:val="99"/>
    <w:semiHidden/>
    <w:unhideWhenUsed/>
    <w:qFormat/>
    <w:rPr>
      <w:vertAlign w:val="superscript"/>
    </w:rPr>
  </w:style>
  <w:style w:type="character" w:customStyle="1" w:styleId="Caracteresdenotadefimuser">
    <w:name w:val="Caracteres de nota de fim (user)"/>
    <w:qFormat/>
    <w:rPr>
      <w:vertAlign w:val="superscript"/>
    </w:rPr>
  </w:style>
  <w:style w:type="character" w:styleId="Refdenotadefim">
    <w:name w:val="endnote reference"/>
    <w:rPr>
      <w:vertAlign w:val="superscript"/>
    </w:rPr>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semiHidden/>
    <w:unhideWhenUsed/>
    <w:qFormat/>
    <w:rPr>
      <w:color w:val="800080" w:themeColor="followedHyperlink"/>
      <w:u w:val="single"/>
    </w:rPr>
  </w:style>
  <w:style w:type="character" w:styleId="nfase">
    <w:name w:val="Emphasis"/>
    <w:basedOn w:val="Fontepargpadro"/>
    <w:qFormat/>
    <w:rPr>
      <w:i/>
      <w:iCs/>
    </w:rPr>
  </w:style>
  <w:style w:type="character" w:customStyle="1" w:styleId="Caracteresdenotaderodap">
    <w:name w:val="Caracteres de nota de rodapé"/>
    <w:uiPriority w:val="99"/>
    <w:unhideWhenUsed/>
    <w:qFormat/>
    <w:rPr>
      <w:vertAlign w:val="superscript"/>
    </w:rPr>
  </w:style>
  <w:style w:type="character" w:customStyle="1" w:styleId="Caracteresdenotaderodapuser">
    <w:name w:val="Caracteres de nota de rodapé (user)"/>
    <w:qFormat/>
    <w:rPr>
      <w:vertAlign w:val="superscript"/>
    </w:rPr>
  </w:style>
  <w:style w:type="character" w:styleId="Refdenotaderodap">
    <w:name w:val="footnote reference"/>
    <w:rPr>
      <w:vertAlign w:val="superscript"/>
    </w:rPr>
  </w:style>
  <w:style w:type="character" w:customStyle="1" w:styleId="Hyperlink1">
    <w:name w:val="Hyperlink1"/>
    <w:basedOn w:val="Fontepargpadro"/>
    <w:uiPriority w:val="99"/>
    <w:unhideWhenUsed/>
    <w:qFormat/>
    <w:rPr>
      <w:color w:val="0000FF" w:themeColor="hyperlink"/>
      <w:u w:val="single"/>
    </w:rPr>
  </w:style>
  <w:style w:type="character" w:customStyle="1" w:styleId="Heading1Char">
    <w:name w:val="Heading 1 Char"/>
    <w:basedOn w:val="Fontepargpadro"/>
    <w:uiPriority w:val="9"/>
    <w:qFormat/>
    <w:rPr>
      <w:rFonts w:ascii="Arial" w:eastAsia="Arial" w:hAnsi="Arial" w:cs="Arial"/>
      <w:sz w:val="40"/>
      <w:szCs w:val="40"/>
    </w:rPr>
  </w:style>
  <w:style w:type="character" w:customStyle="1" w:styleId="Heading2Char">
    <w:name w:val="Heading 2 Char"/>
    <w:basedOn w:val="Fontepargpadro"/>
    <w:uiPriority w:val="9"/>
    <w:qFormat/>
    <w:rPr>
      <w:rFonts w:ascii="Arial" w:eastAsia="Arial" w:hAnsi="Arial" w:cs="Arial"/>
      <w:sz w:val="34"/>
    </w:rPr>
  </w:style>
  <w:style w:type="character" w:customStyle="1" w:styleId="Heading3Char">
    <w:name w:val="Heading 3 Char"/>
    <w:basedOn w:val="Fontepargpadro"/>
    <w:uiPriority w:val="9"/>
    <w:qFormat/>
    <w:rPr>
      <w:rFonts w:ascii="Arial" w:eastAsia="Arial" w:hAnsi="Arial" w:cs="Arial"/>
      <w:sz w:val="30"/>
      <w:szCs w:val="30"/>
    </w:rPr>
  </w:style>
  <w:style w:type="character" w:customStyle="1" w:styleId="Heading4Char">
    <w:name w:val="Heading 4 Char"/>
    <w:basedOn w:val="Fontepargpadro"/>
    <w:uiPriority w:val="9"/>
    <w:qFormat/>
    <w:rPr>
      <w:rFonts w:ascii="Arial" w:eastAsia="Arial" w:hAnsi="Arial" w:cs="Arial"/>
      <w:b/>
      <w:bCs/>
      <w:sz w:val="26"/>
      <w:szCs w:val="26"/>
    </w:rPr>
  </w:style>
  <w:style w:type="character" w:customStyle="1" w:styleId="Ttulo5Char">
    <w:name w:val="Título 5 Char"/>
    <w:basedOn w:val="Fontepargpadro"/>
    <w:link w:val="Ttulo5"/>
    <w:uiPriority w:val="9"/>
    <w:qFormat/>
    <w:rPr>
      <w:rFonts w:ascii="Arial" w:eastAsia="Arial" w:hAnsi="Arial" w:cs="Arial"/>
      <w:b/>
      <w:bCs/>
      <w:sz w:val="24"/>
      <w:szCs w:val="24"/>
    </w:rPr>
  </w:style>
  <w:style w:type="character" w:customStyle="1" w:styleId="Heading6Char">
    <w:name w:val="Heading 6 Char"/>
    <w:basedOn w:val="Fontepargpadro"/>
    <w:uiPriority w:val="9"/>
    <w:qFormat/>
    <w:rPr>
      <w:rFonts w:ascii="Arial" w:eastAsia="Arial" w:hAnsi="Arial" w:cs="Arial"/>
      <w:b/>
      <w:bCs/>
      <w:sz w:val="22"/>
      <w:szCs w:val="22"/>
    </w:rPr>
  </w:style>
  <w:style w:type="character" w:customStyle="1" w:styleId="Ttulo7Char">
    <w:name w:val="Título 7 Char"/>
    <w:basedOn w:val="Fontepargpadro"/>
    <w:link w:val="Ttulo7"/>
    <w:uiPriority w:val="9"/>
    <w:qFormat/>
    <w:rPr>
      <w:rFonts w:ascii="Arial" w:eastAsia="Arial" w:hAnsi="Arial" w:cs="Arial"/>
      <w:b/>
      <w:bCs/>
      <w:i/>
      <w:iCs/>
      <w:sz w:val="22"/>
      <w:szCs w:val="22"/>
    </w:rPr>
  </w:style>
  <w:style w:type="character" w:customStyle="1" w:styleId="Ttulo8Char">
    <w:name w:val="Título 8 Char"/>
    <w:basedOn w:val="Fontepargpadro"/>
    <w:link w:val="Ttulo8"/>
    <w:uiPriority w:val="9"/>
    <w:qFormat/>
    <w:rPr>
      <w:rFonts w:ascii="Arial" w:eastAsia="Arial" w:hAnsi="Arial" w:cs="Arial"/>
      <w:i/>
      <w:iCs/>
      <w:sz w:val="22"/>
      <w:szCs w:val="22"/>
    </w:rPr>
  </w:style>
  <w:style w:type="character" w:customStyle="1" w:styleId="Ttulo9Char">
    <w:name w:val="Título 9 Char"/>
    <w:basedOn w:val="Fontepargpadro"/>
    <w:link w:val="Ttulo9"/>
    <w:uiPriority w:val="9"/>
    <w:qFormat/>
    <w:rPr>
      <w:rFonts w:ascii="Arial" w:eastAsia="Arial" w:hAnsi="Arial" w:cs="Arial"/>
      <w:i/>
      <w:iCs/>
      <w:sz w:val="21"/>
      <w:szCs w:val="21"/>
    </w:rPr>
  </w:style>
  <w:style w:type="character" w:customStyle="1" w:styleId="TitleChar">
    <w:name w:val="Title Char"/>
    <w:basedOn w:val="Fontepargpadro"/>
    <w:uiPriority w:val="10"/>
    <w:qFormat/>
    <w:rPr>
      <w:sz w:val="48"/>
      <w:szCs w:val="48"/>
    </w:rPr>
  </w:style>
  <w:style w:type="character" w:customStyle="1" w:styleId="SubttuloChar">
    <w:name w:val="Subtítulo Char"/>
    <w:basedOn w:val="Fontepargpadro"/>
    <w:link w:val="Subttulo"/>
    <w:uiPriority w:val="11"/>
    <w:qFormat/>
    <w:rPr>
      <w:sz w:val="24"/>
      <w:szCs w:val="24"/>
    </w:rPr>
  </w:style>
  <w:style w:type="character" w:customStyle="1" w:styleId="CitaoIntensaChar">
    <w:name w:val="Citação Intensa Char"/>
    <w:link w:val="CitaoIntensa"/>
    <w:uiPriority w:val="30"/>
    <w:qFormat/>
    <w:rPr>
      <w:i/>
    </w:rPr>
  </w:style>
  <w:style w:type="character" w:customStyle="1" w:styleId="HeaderChar">
    <w:name w:val="Header Char"/>
    <w:basedOn w:val="Fontepargpadro"/>
    <w:uiPriority w:val="99"/>
    <w:qFormat/>
  </w:style>
  <w:style w:type="character" w:customStyle="1" w:styleId="FooterChar">
    <w:name w:val="Footer Char"/>
    <w:basedOn w:val="Fontepargpadro"/>
    <w:uiPriority w:val="99"/>
    <w:qFormat/>
  </w:style>
  <w:style w:type="character" w:customStyle="1" w:styleId="CaptionChar">
    <w:name w:val="Caption Char"/>
    <w:uiPriority w:val="99"/>
    <w:qFormat/>
  </w:style>
  <w:style w:type="character" w:customStyle="1" w:styleId="TextodenotaderodapChar">
    <w:name w:val="Texto de nota de rodapé Char"/>
    <w:link w:val="Textodenotaderodap"/>
    <w:uiPriority w:val="99"/>
    <w:qFormat/>
    <w:rPr>
      <w:sz w:val="18"/>
    </w:rPr>
  </w:style>
  <w:style w:type="character" w:customStyle="1" w:styleId="TextodenotadefimChar">
    <w:name w:val="Texto de nota de fim Char"/>
    <w:link w:val="Textodenotadefim"/>
    <w:uiPriority w:val="99"/>
    <w:qFormat/>
    <w:rPr>
      <w:sz w:val="20"/>
    </w:r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character" w:customStyle="1" w:styleId="normalchar1">
    <w:name w:val="normal__char1"/>
    <w:qFormat/>
    <w:rPr>
      <w:rFonts w:ascii="Arial" w:hAnsi="Arial" w:cs="Arial"/>
      <w:sz w:val="24"/>
      <w:szCs w:val="24"/>
      <w:u w:val="none"/>
    </w:rPr>
  </w:style>
  <w:style w:type="character" w:customStyle="1" w:styleId="apple-style-span">
    <w:name w:val="apple-style-span"/>
    <w:basedOn w:val="Fontepargpadro"/>
    <w:qFormat/>
  </w:style>
  <w:style w:type="character" w:customStyle="1" w:styleId="CitaoChar">
    <w:name w:val="Citação Char"/>
    <w:link w:val="Citao"/>
    <w:qFormat/>
    <w:rPr>
      <w:rFonts w:ascii="Arial" w:eastAsia="Calibri" w:hAnsi="Arial" w:cs="Tahoma"/>
      <w:i/>
      <w:iCs/>
      <w:color w:val="000000"/>
      <w:szCs w:val="24"/>
      <w:shd w:val="clear" w:color="auto" w:fill="FFFFCC"/>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sz w:val="52"/>
      <w:szCs w:val="52"/>
      <w:lang w:eastAsia="pt-BR"/>
    </w:rPr>
  </w:style>
  <w:style w:type="character" w:customStyle="1" w:styleId="Ttulo1Char">
    <w:name w:val="Título 1 Char"/>
    <w:basedOn w:val="Fontepargpadro"/>
    <w:link w:val="Ttulo1"/>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sz w:val="52"/>
      <w:szCs w:val="52"/>
      <w:lang w:eastAsia="pt-BR"/>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character" w:customStyle="1" w:styleId="Nivel1Char">
    <w:name w:val="Nivel1 Char"/>
    <w:basedOn w:val="Ttulo1Char"/>
    <w:link w:val="Nivel1"/>
    <w:qFormat/>
    <w:rPr>
      <w:rFonts w:ascii="Arial" w:eastAsiaTheme="majorEastAsia" w:hAnsi="Arial" w:cs="Arial"/>
      <w:b/>
      <w:bCs w:val="0"/>
      <w:color w:val="365F91" w:themeColor="accent1" w:themeShade="BF"/>
      <w:sz w:val="28"/>
      <w:szCs w:val="28"/>
      <w:lang w:eastAsia="pt-BR"/>
    </w:rPr>
  </w:style>
  <w:style w:type="character" w:customStyle="1" w:styleId="Nivel4Char">
    <w:name w:val="Nivel 4 Char"/>
    <w:basedOn w:val="Fontepargpadro"/>
    <w:link w:val="Nivel4"/>
    <w:qFormat/>
    <w:rPr>
      <w:rFonts w:ascii="Arial" w:eastAsiaTheme="minorEastAsia" w:hAnsi="Arial" w:cs="Arial"/>
      <w:lang w:eastAsia="pt-BR"/>
    </w:rPr>
  </w:style>
  <w:style w:type="character" w:customStyle="1" w:styleId="cp0020corpodespachochar1">
    <w:name w:val="cp_0020corpodespacho__char1"/>
    <w:qFormat/>
    <w:rPr>
      <w:rFonts w:ascii="Times New Roman" w:hAnsi="Times New Roman" w:cs="Times New Roman"/>
      <w:sz w:val="26"/>
      <w:szCs w:val="26"/>
      <w:u w:val="none"/>
    </w:rPr>
  </w:style>
  <w:style w:type="character" w:customStyle="1" w:styleId="em0020ementachar1">
    <w:name w:val="em_0020ementa__char1"/>
    <w:qFormat/>
    <w:rPr>
      <w:rFonts w:ascii="Times New Roman" w:hAnsi="Times New Roman" w:cs="Times New Roman"/>
      <w:sz w:val="28"/>
      <w:szCs w:val="28"/>
      <w:u w:val="none"/>
    </w:rPr>
  </w:style>
  <w:style w:type="character" w:customStyle="1" w:styleId="Manoel">
    <w:name w:val="Manoel"/>
    <w:qFormat/>
    <w:rPr>
      <w:rFonts w:ascii="Arial" w:hAnsi="Arial" w:cs="Arial"/>
      <w:color w:val="7030A0"/>
      <w:sz w:val="20"/>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character" w:customStyle="1" w:styleId="highlight">
    <w:name w:val="highlight"/>
    <w:basedOn w:val="Fontepargpadro"/>
    <w:qFormat/>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rPr>
      <w:rFonts w:ascii="Arial" w:eastAsiaTheme="minorEastAsia" w:hAnsi="Arial" w:cs="Arial"/>
      <w:color w:val="000000"/>
      <w:lang w:eastAsia="pt-BR"/>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character" w:customStyle="1" w:styleId="markedcontent">
    <w:name w:val="markedcontent"/>
    <w:basedOn w:val="Fontepargpadro"/>
    <w:qFormat/>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character" w:customStyle="1" w:styleId="Nvel2-RedChar">
    <w:name w:val="Nível 2 -Red Char"/>
    <w:basedOn w:val="Nivel2Char"/>
    <w:link w:val="Nvel2-Red"/>
    <w:qFormat/>
    <w:rPr>
      <w:rFonts w:ascii="Arial" w:eastAsiaTheme="minorEastAsia" w:hAnsi="Arial" w:cs="Arial"/>
      <w:i/>
      <w:iCs/>
      <w:color w:val="FF0000"/>
      <w:lang w:eastAsia="pt-BR"/>
    </w:rPr>
  </w:style>
  <w:style w:type="character" w:customStyle="1" w:styleId="Nivel3Char">
    <w:name w:val="Nivel 3 Char"/>
    <w:basedOn w:val="Fontepargpadro"/>
    <w:link w:val="Nivel3"/>
    <w:qFormat/>
    <w:rPr>
      <w:rFonts w:ascii="Arial" w:eastAsiaTheme="minorEastAsia" w:hAnsi="Arial" w:cs="Arial"/>
      <w:color w:val="000000"/>
      <w:lang w:eastAsia="pt-BR"/>
    </w:rPr>
  </w:style>
  <w:style w:type="character" w:customStyle="1" w:styleId="Nvel3-RChar">
    <w:name w:val="Nível 3-R Char"/>
    <w:basedOn w:val="Nivel3Char"/>
    <w:link w:val="Nvel3-R"/>
    <w:qFormat/>
    <w:rPr>
      <w:rFonts w:ascii="Arial" w:eastAsiaTheme="minorEastAsia" w:hAnsi="Arial" w:cs="Arial"/>
      <w:i/>
      <w:iCs/>
      <w:color w:val="FF0000"/>
      <w:lang w:eastAsia="pt-BR"/>
    </w:rPr>
  </w:style>
  <w:style w:type="character" w:customStyle="1" w:styleId="Nvel4-RChar">
    <w:name w:val="Nível 4-R Char"/>
    <w:basedOn w:val="Nivel4Char"/>
    <w:link w:val="Nvel4-R"/>
    <w:qFormat/>
    <w:rPr>
      <w:rFonts w:ascii="Arial" w:eastAsiaTheme="minorEastAsia" w:hAnsi="Arial" w:cs="Arial"/>
      <w:i/>
      <w:iCs/>
      <w:color w:val="FF0000"/>
      <w:lang w:eastAsia="pt-BR"/>
    </w:rPr>
  </w:style>
  <w:style w:type="character" w:customStyle="1" w:styleId="Nvel1-SemNumChar">
    <w:name w:val="Nível 1-Sem Num Char"/>
    <w:basedOn w:val="Nivel01Char"/>
    <w:link w:val="Nvel1-SemNum"/>
    <w:qFormat/>
    <w:rPr>
      <w:rFonts w:ascii="Arial" w:eastAsiaTheme="majorEastAsia" w:hAnsi="Arial" w:cs="Arial"/>
      <w:b/>
      <w:bCs/>
      <w:color w:val="17365D" w:themeColor="text2" w:themeShade="BF"/>
      <w:spacing w:val="5"/>
      <w:sz w:val="52"/>
      <w:szCs w:val="52"/>
      <w:lang w:eastAsia="pt-BR"/>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Hiperlink">
    <w:name w:val="Hiperlink"/>
    <w:qFormat/>
    <w:rPr>
      <w:color w:val="0000FF"/>
      <w:u w:val="single"/>
    </w:rPr>
  </w:style>
  <w:style w:type="character" w:customStyle="1" w:styleId="Corpodetexto2Char">
    <w:name w:val="Corpo de texto 2 Char"/>
    <w:basedOn w:val="Fontepargpadro"/>
    <w:link w:val="Corpodetexto2"/>
    <w:uiPriority w:val="99"/>
    <w:semiHidden/>
    <w:qFormat/>
    <w:rsid w:val="005500C9"/>
    <w:rPr>
      <w:rFonts w:ascii="Ecofont_Spranq_eco_Sans" w:eastAsiaTheme="minorEastAsia" w:hAnsi="Ecofont_Spranq_eco_Sans" w:cs="Tahoma"/>
      <w:sz w:val="24"/>
      <w:szCs w:val="24"/>
      <w:lang w:eastAsia="pt-BR"/>
    </w:rPr>
  </w:style>
  <w:style w:type="character" w:customStyle="1" w:styleId="Marcadores">
    <w:name w:val="Marcadores"/>
    <w:qFormat/>
    <w:rPr>
      <w:rFonts w:ascii="OpenSymbol" w:eastAsia="OpenSymbol" w:hAnsi="OpenSymbol" w:cs="OpenSymbol"/>
    </w:rPr>
  </w:style>
  <w:style w:type="character" w:customStyle="1" w:styleId="Marcadoresuser">
    <w:name w:val="Marcadores (user)"/>
    <w:qFormat/>
    <w:rPr>
      <w:rFonts w:ascii="OpenSymbol" w:eastAsia="OpenSymbol" w:hAnsi="OpenSymbol" w:cs="OpenSymbol"/>
    </w:rPr>
  </w:style>
  <w:style w:type="character" w:styleId="Hyperlink">
    <w:name w:val="Hyperlink"/>
    <w:rPr>
      <w:color w:val="000080"/>
      <w:u w:val="single"/>
    </w:rPr>
  </w:style>
  <w:style w:type="paragraph" w:customStyle="1" w:styleId="Ttulo10">
    <w:name w:val="Título1"/>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nhideWhenUsed/>
    <w:pPr>
      <w:spacing w:beforeAutospacing="1" w:afterAutospacing="1"/>
    </w:pPr>
    <w:rPr>
      <w:rFonts w:ascii="Times New Roman" w:eastAsia="Times New Roman" w:hAnsi="Times New Roman" w:cs="Times New Roman"/>
    </w:rPr>
  </w:style>
  <w:style w:type="paragraph" w:styleId="Lista">
    <w:name w:val="List"/>
    <w:basedOn w:val="Corpodetexto"/>
    <w:rPr>
      <w:rFonts w:cs="Lucida Sans"/>
    </w:rPr>
  </w:style>
  <w:style w:type="paragraph" w:styleId="Legenda">
    <w:name w:val="caption"/>
    <w:basedOn w:val="Normal"/>
    <w:next w:val="Normal"/>
    <w:uiPriority w:val="35"/>
    <w:semiHidden/>
    <w:unhideWhenUsed/>
    <w:qFormat/>
    <w:pPr>
      <w:spacing w:line="276" w:lineRule="auto"/>
    </w:pPr>
    <w:rPr>
      <w:b/>
      <w:bCs/>
      <w:color w:val="4F81BD" w:themeColor="accent1"/>
      <w:sz w:val="18"/>
      <w:szCs w:val="18"/>
    </w:rPr>
  </w:style>
  <w:style w:type="paragraph" w:customStyle="1" w:styleId="ndice">
    <w:name w:val="Índice"/>
    <w:basedOn w:val="Normal"/>
    <w:qFormat/>
    <w:pPr>
      <w:suppressLineNumbers/>
    </w:pPr>
    <w:rPr>
      <w:rFonts w:cs="Lucida Sans"/>
    </w:rPr>
  </w:style>
  <w:style w:type="paragraph" w:styleId="Ttulo">
    <w:name w:val="Title"/>
    <w:basedOn w:val="Normal"/>
    <w:next w:val="Corpodetexto"/>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paragraph" w:customStyle="1" w:styleId="ndiceuser">
    <w:name w:val="Índice (user)"/>
    <w:basedOn w:val="Normal"/>
    <w:qFormat/>
    <w:pPr>
      <w:suppressLineNumbers/>
    </w:pPr>
    <w:rPr>
      <w:rFonts w:cs="Lucida Sans"/>
    </w:rPr>
  </w:style>
  <w:style w:type="paragraph" w:styleId="Ttulodendiceremissivo">
    <w:name w:val="index heading"/>
    <w:basedOn w:val="Ttulo10"/>
  </w:style>
  <w:style w:type="paragraph" w:styleId="CabealhodoSumrio">
    <w:name w:val="TOC Heading"/>
    <w:uiPriority w:val="39"/>
    <w:unhideWhenUsed/>
    <w:qFormat/>
  </w:style>
  <w:style w:type="paragraph" w:styleId="Sumrio2">
    <w:name w:val="toc 2"/>
    <w:basedOn w:val="Normal"/>
    <w:next w:val="Normal"/>
    <w:uiPriority w:val="39"/>
    <w:unhideWhenUsed/>
    <w:qFormat/>
    <w:pPr>
      <w:spacing w:after="57"/>
      <w:ind w:left="283"/>
    </w:pPr>
  </w:style>
  <w:style w:type="paragraph" w:styleId="Sumrio9">
    <w:name w:val="toc 9"/>
    <w:basedOn w:val="Normal"/>
    <w:next w:val="Normal"/>
    <w:uiPriority w:val="39"/>
    <w:unhideWhenUsed/>
    <w:qFormat/>
    <w:pPr>
      <w:spacing w:after="57"/>
      <w:ind w:left="2268"/>
    </w:pPr>
  </w:style>
  <w:style w:type="paragraph" w:styleId="Sumrio6">
    <w:name w:val="toc 6"/>
    <w:basedOn w:val="Normal"/>
    <w:next w:val="Normal"/>
    <w:uiPriority w:val="39"/>
    <w:unhideWhenUsed/>
    <w:pPr>
      <w:spacing w:after="57"/>
      <w:ind w:left="1417"/>
    </w:p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uiPriority w:val="39"/>
    <w:unhideWhenUsed/>
    <w:pPr>
      <w:spacing w:after="57"/>
      <w:ind w:left="1134"/>
    </w:pPr>
  </w:style>
  <w:style w:type="paragraph" w:styleId="ndicedeilustraes">
    <w:name w:val="table of figures"/>
    <w:basedOn w:val="Normal"/>
    <w:next w:val="Normal"/>
    <w:uiPriority w:val="99"/>
    <w:unhideWhenUsed/>
  </w:style>
  <w:style w:type="paragraph" w:styleId="Commarcadores5">
    <w:name w:val="List Bullet 5"/>
    <w:basedOn w:val="Normal"/>
    <w:pPr>
      <w:numPr>
        <w:numId w:val="1"/>
      </w:numPr>
      <w:contextualSpacing/>
    </w:pPr>
  </w:style>
  <w:style w:type="paragraph" w:styleId="Textodenotadefim">
    <w:name w:val="endnote text"/>
    <w:basedOn w:val="Normal"/>
    <w:link w:val="TextodenotadefimChar"/>
    <w:uiPriority w:val="99"/>
    <w:semiHidden/>
    <w:unhideWhenUsed/>
    <w:qFormat/>
    <w:rPr>
      <w:sz w:val="20"/>
    </w:rPr>
  </w:style>
  <w:style w:type="paragraph" w:styleId="NormalWeb">
    <w:name w:val="Normal (Web)"/>
    <w:basedOn w:val="Normal"/>
    <w:uiPriority w:val="99"/>
    <w:qFormat/>
    <w:pPr>
      <w:spacing w:beforeAutospacing="1" w:afterAutospacing="1"/>
    </w:pPr>
    <w:rPr>
      <w:rFonts w:ascii="Times New Roman" w:hAnsi="Times New Roman" w:cs="Times New Roman"/>
    </w:rPr>
  </w:style>
  <w:style w:type="paragraph" w:styleId="Sumrio4">
    <w:name w:val="toc 4"/>
    <w:basedOn w:val="Normal"/>
    <w:next w:val="Normal"/>
    <w:uiPriority w:val="39"/>
    <w:unhideWhenUsed/>
    <w:pPr>
      <w:spacing w:after="57"/>
      <w:ind w:left="850"/>
    </w:pPr>
  </w:style>
  <w:style w:type="paragraph" w:styleId="Sumrio8">
    <w:name w:val="toc 8"/>
    <w:basedOn w:val="Normal"/>
    <w:next w:val="Normal"/>
    <w:uiPriority w:val="39"/>
    <w:unhideWhenUsed/>
    <w:qFormat/>
    <w:pPr>
      <w:spacing w:after="57"/>
      <w:ind w:left="1984"/>
    </w:p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uiPriority w:val="39"/>
    <w:unhideWhenUsed/>
    <w:qFormat/>
    <w:pPr>
      <w:spacing w:after="57"/>
      <w:ind w:left="1701"/>
    </w:pPr>
  </w:style>
  <w:style w:type="paragraph" w:styleId="Sumrio3">
    <w:name w:val="toc 3"/>
    <w:basedOn w:val="Normal"/>
    <w:next w:val="Normal"/>
    <w:uiPriority w:val="39"/>
    <w:unhideWhenUsed/>
    <w:qFormat/>
    <w:pPr>
      <w:spacing w:after="57"/>
      <w:ind w:left="567"/>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spacing w:before="200" w:after="200"/>
    </w:pPr>
  </w:style>
  <w:style w:type="paragraph" w:styleId="Textodenotaderodap">
    <w:name w:val="footnote text"/>
    <w:basedOn w:val="Normal"/>
    <w:link w:val="TextodenotaderodapChar"/>
    <w:uiPriority w:val="99"/>
    <w:semiHidden/>
    <w:unhideWhenUsed/>
    <w:qFormat/>
    <w:pPr>
      <w:spacing w:after="40"/>
    </w:pPr>
    <w:rPr>
      <w:sz w:val="18"/>
    </w:rPr>
  </w:style>
  <w:style w:type="paragraph" w:styleId="Sumrio1">
    <w:name w:val="toc 1"/>
    <w:basedOn w:val="Normal"/>
    <w:next w:val="Normal"/>
    <w:uiPriority w:val="39"/>
    <w:unhideWhenUsed/>
    <w:qFormat/>
    <w:pPr>
      <w:tabs>
        <w:tab w:val="left" w:pos="426"/>
        <w:tab w:val="right" w:leader="dot" w:pos="9628"/>
      </w:tabs>
      <w:spacing w:after="100"/>
    </w:pPr>
    <w:rPr>
      <w:rFonts w:ascii="Arial" w:eastAsia="Times New Roman" w:hAnsi="Arial"/>
      <w:sz w:val="20"/>
    </w:rPr>
  </w:style>
  <w:style w:type="paragraph" w:styleId="SemEspaamento">
    <w:name w:val="No Spacing"/>
    <w:uiPriority w:val="1"/>
    <w:qFormat/>
    <w:rPr>
      <w:rFonts w:eastAsiaTheme="minorEastAsia"/>
    </w:rPr>
  </w:style>
  <w:style w:type="paragraph" w:styleId="CitaoIntensa">
    <w:name w:val="Intense Quote"/>
    <w:basedOn w:val="Normal"/>
    <w:next w:val="Normal"/>
    <w:link w:val="CitaoIntensa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PargrafodaLista">
    <w:name w:val="List Paragraph"/>
    <w:basedOn w:val="Normal"/>
    <w:link w:val="PargrafodaListaChar"/>
    <w:uiPriority w:val="1"/>
    <w:qFormat/>
    <w:pPr>
      <w:ind w:left="720"/>
      <w:contextualSpacing/>
    </w:pPr>
  </w:style>
  <w:style w:type="paragraph" w:customStyle="1" w:styleId="Nvel2">
    <w:name w:val="Nível 2"/>
    <w:basedOn w:val="Normal"/>
    <w:next w:val="Normal"/>
    <w:qFormat/>
    <w:pPr>
      <w:spacing w:after="120"/>
      <w:jc w:val="both"/>
    </w:pPr>
    <w:rPr>
      <w:rFonts w:ascii="Arial" w:hAnsi="Arial" w:cs="Times New Roman"/>
      <w:b/>
      <w:szCs w:val="20"/>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Notaexplicativa">
    <w:name w:val="Nota explicativa"/>
    <w:basedOn w:val="Citao"/>
    <w:link w:val="NotaexplicativaChar"/>
    <w:qFormat/>
    <w:rPr>
      <w:szCs w:val="20"/>
    </w:rPr>
  </w:style>
  <w:style w:type="paragraph" w:customStyle="1" w:styleId="Nivel01">
    <w:name w:val="Nivel 01"/>
    <w:basedOn w:val="Ttulo1"/>
    <w:next w:val="Normal"/>
    <w:link w:val="Nivel01Char"/>
    <w:qFormat/>
    <w:pPr>
      <w:numPr>
        <w:numId w:val="2"/>
      </w:numPr>
      <w:tabs>
        <w:tab w:val="left" w:pos="567"/>
      </w:tabs>
      <w:spacing w:before="288" w:after="288" w:line="312" w:lineRule="auto"/>
      <w:jc w:val="both"/>
    </w:pPr>
    <w:rPr>
      <w:rFonts w:ascii="Arial" w:hAnsi="Arial" w:cs="Arial"/>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sz w:val="52"/>
      <w:szCs w:val="52"/>
    </w:rPr>
  </w:style>
  <w:style w:type="paragraph" w:customStyle="1" w:styleId="PADRO">
    <w:name w:val="PADRÃO"/>
    <w:qFormat/>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Autospacing="1" w:afterAutospacing="1"/>
    </w:pPr>
    <w:rPr>
      <w:rFonts w:ascii="Times New Roman" w:eastAsia="Times New Roman" w:hAnsi="Times New Roman" w:cs="Times New Roman"/>
    </w:rPr>
  </w:style>
  <w:style w:type="paragraph" w:customStyle="1" w:styleId="Nivel1">
    <w:name w:val="Nivel1"/>
    <w:basedOn w:val="Ttulo1"/>
    <w:link w:val="Nivel1Char"/>
    <w:qFormat/>
    <w:pPr>
      <w:spacing w:line="276" w:lineRule="auto"/>
      <w:ind w:left="357" w:hanging="357"/>
      <w:jc w:val="both"/>
    </w:pPr>
    <w:rPr>
      <w:rFonts w:ascii="Arial" w:hAnsi="Arial" w:cs="Arial"/>
      <w:bCs w:val="0"/>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2"/>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851"/>
    </w:pPr>
  </w:style>
  <w:style w:type="paragraph" w:customStyle="1" w:styleId="textbody">
    <w:name w:val="textbody"/>
    <w:basedOn w:val="Normal"/>
    <w:qFormat/>
    <w:pPr>
      <w:spacing w:beforeAutospacing="1"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paragraph" w:customStyle="1" w:styleId="Reviso1">
    <w:name w:val="Revisão1"/>
    <w:uiPriority w:val="99"/>
    <w:semiHidden/>
    <w:qFormat/>
    <w:rPr>
      <w:rFonts w:ascii="Ecofont_Spranq_eco_Sans" w:eastAsia="Times New Roman" w:hAnsi="Ecofont_Spranq_eco_Sans" w:cs="Tahoma"/>
      <w:sz w:val="24"/>
      <w:szCs w:val="24"/>
      <w:lang w:eastAsia="pt-BR"/>
    </w:rPr>
  </w:style>
  <w:style w:type="paragraph" w:customStyle="1" w:styleId="texto1">
    <w:name w:val="texto1"/>
    <w:basedOn w:val="Normal"/>
    <w:qFormat/>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paragraph" w:customStyle="1" w:styleId="xwestern">
    <w:name w:val="x_western"/>
    <w:basedOn w:val="Normal"/>
    <w:qFormat/>
    <w:pPr>
      <w:spacing w:beforeAutospacing="1"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Autospacing="1" w:afterAutospacing="1"/>
    </w:pPr>
    <w:rPr>
      <w:rFonts w:ascii="Times New Roman" w:eastAsia="Times New Roman" w:hAnsi="Times New Roman" w:cs="Times New Roman"/>
    </w:rPr>
  </w:style>
  <w:style w:type="paragraph" w:customStyle="1" w:styleId="textojustificado">
    <w:name w:val="texto_justificado"/>
    <w:basedOn w:val="Normal"/>
    <w:qFormat/>
    <w:pPr>
      <w:spacing w:beforeAutospacing="1" w:afterAutospacing="1"/>
    </w:pPr>
    <w:rPr>
      <w:rFonts w:ascii="Times New Roman" w:eastAsia="Times New Roman" w:hAnsi="Times New Roman" w:cs="Times New Roman"/>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eastAsia="Calibri"/>
      <w:i/>
      <w:iCs/>
      <w:color w:val="000000"/>
      <w:sz w:val="20"/>
      <w:lang w:eastAsia="zh-CN"/>
    </w:rPr>
  </w:style>
  <w:style w:type="paragraph" w:customStyle="1" w:styleId="corpo">
    <w:name w:val="corpo"/>
    <w:basedOn w:val="Normal"/>
    <w:qFormat/>
    <w:pPr>
      <w:spacing w:beforeAutospacing="1" w:afterAutospacing="1"/>
    </w:pPr>
    <w:rPr>
      <w:rFonts w:ascii="Times New Roman" w:eastAsia="Times New Roman" w:hAnsi="Times New Roman" w:cs="Times New Roman"/>
    </w:rPr>
  </w:style>
  <w:style w:type="paragraph" w:customStyle="1" w:styleId="itemnivel2">
    <w:name w:val="item_nivel2"/>
    <w:basedOn w:val="Normal"/>
    <w:qFormat/>
    <w:pPr>
      <w:spacing w:beforeAutospacing="1" w:afterAutospacing="1"/>
    </w:pPr>
    <w:rPr>
      <w:rFonts w:ascii="Times New Roman" w:eastAsia="Times New Roman" w:hAnsi="Times New Roman" w:cs="Times New Roman"/>
    </w:rPr>
  </w:style>
  <w:style w:type="paragraph" w:customStyle="1" w:styleId="itemnivel1">
    <w:name w:val="item_nivel1"/>
    <w:basedOn w:val="Normal"/>
    <w:qFormat/>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qFormat/>
    <w:pPr>
      <w:spacing w:beforeAutospacing="1" w:afterAutospacing="1"/>
    </w:pPr>
    <w:rPr>
      <w:rFonts w:ascii="Times New Roman" w:eastAsia="Times New Roman" w:hAnsi="Times New Roman" w:cs="Times New Roman"/>
    </w:rPr>
  </w:style>
  <w:style w:type="paragraph" w:customStyle="1" w:styleId="Standard">
    <w:name w:val="Standard"/>
    <w:qFormat/>
    <w:rPr>
      <w:rFonts w:ascii="Liberation Serif" w:eastAsia="NSimSun" w:hAnsi="Liberation Serif" w:cs="Lucida Sans"/>
      <w:sz w:val="24"/>
      <w:szCs w:val="24"/>
      <w:lang w:eastAsia="zh-CN" w:bidi="hi-IN"/>
    </w:rPr>
  </w:style>
  <w:style w:type="paragraph" w:customStyle="1" w:styleId="Textbody0">
    <w:name w:val="Text body"/>
    <w:basedOn w:val="Standard"/>
    <w:qFormat/>
    <w:pPr>
      <w:spacing w:after="140" w:line="276" w:lineRule="auto"/>
    </w:p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paragraph" w:customStyle="1" w:styleId="dou-paragraph">
    <w:name w:val="dou-paragraph"/>
    <w:basedOn w:val="Normal"/>
    <w:qFormat/>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paragraph" w:customStyle="1" w:styleId="Nvel4-R">
    <w:name w:val="Nível 4-R"/>
    <w:basedOn w:val="Nivel4"/>
    <w:link w:val="Nvel4-RChar"/>
    <w:qFormat/>
    <w:rPr>
      <w:i/>
      <w:iCs/>
      <w:color w:val="FF0000"/>
    </w:rPr>
  </w:style>
  <w:style w:type="paragraph" w:customStyle="1" w:styleId="Nvel1-SemNum">
    <w:name w:val="Nível 1-Sem Num"/>
    <w:basedOn w:val="Nivel01"/>
    <w:link w:val="Nvel1-SemNumChar"/>
    <w:qFormat/>
    <w:pPr>
      <w:numPr>
        <w:numId w:val="0"/>
      </w:numPr>
      <w:ind w:left="360"/>
      <w:outlineLvl w:val="1"/>
    </w:pPr>
  </w:style>
  <w:style w:type="paragraph" w:customStyle="1" w:styleId="citao2">
    <w:name w:val="citação 2"/>
    <w:basedOn w:val="Citao"/>
    <w:link w:val="citao2Char"/>
    <w:qFormat/>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paragraph" w:customStyle="1" w:styleId="Nvel1-SemNumPreto">
    <w:name w:val="Nível 1-Sem Num Preto"/>
    <w:qFormat/>
    <w:pPr>
      <w:keepNext/>
      <w:keepLines/>
      <w:tabs>
        <w:tab w:val="left" w:pos="567"/>
      </w:tabs>
      <w:spacing w:before="240" w:after="120" w:line="276" w:lineRule="auto"/>
      <w:jc w:val="both"/>
      <w:outlineLvl w:val="1"/>
    </w:pPr>
    <w:rPr>
      <w:rFonts w:ascii="Arial" w:eastAsia="Arial" w:hAnsi="Arial" w:cs="Arial"/>
      <w:b/>
      <w:bCs/>
      <w:lang w:eastAsia="zh-CN" w:bidi="hi-IN"/>
    </w:rPr>
  </w:style>
  <w:style w:type="paragraph" w:customStyle="1" w:styleId="Nvel3">
    <w:name w:val="Nível 3"/>
    <w:qFormat/>
    <w:pPr>
      <w:numPr>
        <w:ilvl w:val="2"/>
        <w:numId w:val="3"/>
      </w:numPr>
      <w:spacing w:before="120" w:after="120" w:line="276" w:lineRule="auto"/>
      <w:ind w:left="284" w:firstLine="0"/>
      <w:jc w:val="both"/>
    </w:pPr>
    <w:rPr>
      <w:rFonts w:ascii="Arial" w:eastAsia="Times New Roman" w:hAnsi="Arial" w:cs="Arial"/>
      <w:lang w:eastAsia="pt-BR"/>
    </w:rPr>
  </w:style>
  <w:style w:type="paragraph" w:customStyle="1" w:styleId="Nvel4">
    <w:name w:val="Nível 4"/>
    <w:basedOn w:val="Nvel3"/>
    <w:qFormat/>
    <w:pPr>
      <w:ind w:left="567"/>
    </w:pPr>
  </w:style>
  <w:style w:type="paragraph" w:customStyle="1" w:styleId="N11">
    <w:name w:val="N 1.1"/>
    <w:qFormat/>
    <w:pPr>
      <w:spacing w:before="240" w:after="240"/>
      <w:jc w:val="both"/>
    </w:pPr>
    <w:rPr>
      <w:rFonts w:ascii="Arial" w:eastAsia="Calibri" w:hAnsi="Arial"/>
      <w:sz w:val="24"/>
      <w:szCs w:val="22"/>
      <w:lang w:eastAsia="en-US"/>
    </w:rPr>
  </w:style>
  <w:style w:type="paragraph" w:styleId="Corpodetexto2">
    <w:name w:val="Body Text 2"/>
    <w:basedOn w:val="Normal"/>
    <w:link w:val="Corpodetexto2Char"/>
    <w:uiPriority w:val="99"/>
    <w:semiHidden/>
    <w:unhideWhenUsed/>
    <w:qFormat/>
    <w:rsid w:val="005500C9"/>
    <w:pPr>
      <w:spacing w:after="120" w:line="480" w:lineRule="auto"/>
    </w:p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 w:type="numbering" w:customStyle="1" w:styleId="Semlista1">
    <w:name w:val="Sem lista1"/>
    <w:uiPriority w:val="99"/>
    <w:semiHidden/>
    <w:unhideWhenUsed/>
    <w:qFormat/>
  </w:style>
  <w:style w:type="table" w:styleId="SimplesTabela1">
    <w:name w:val="Plain Table 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styleId="SimplesTabela2">
    <w:name w:val="Plain Table 2"/>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tblPr>
      <w:tblStyleRowBandSize w:val="1"/>
      <w:tblStyleColBandSize w:val="1"/>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4">
    <w:name w:val="Plain Table 4"/>
    <w:basedOn w:val="Tabelanormal"/>
    <w:uiPriority w:val="99"/>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Simples5">
    <w:name w:val="Plain Table 5"/>
    <w:basedOn w:val="Tabelanormal"/>
    <w:uiPriority w:val="99"/>
    <w:tblPr>
      <w:tblStyleRowBandSize w:val="1"/>
      <w:tblStyleColBandSize w:val="1"/>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styleId="TabeladeGrade1Clara">
    <w:name w:val="Grid Table 1 Light"/>
    <w:basedOn w:val="Tabe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TabeladeGrade2">
    <w:name w:val="Grid Table 2"/>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3">
    <w:name w:val="Grid Table 3"/>
    <w:basedOn w:val="Tabe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4">
    <w:name w:val="Grid Table 4"/>
    <w:basedOn w:val="Tabe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styleId="TabeladeGrade5Escura">
    <w:name w:val="Grid Table 5 Dark"/>
    <w:basedOn w:val="Tabe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styleId="TabeladeGrade6Colorida">
    <w:name w:val="Grid Table 6 Colorful"/>
    <w:basedOn w:val="Tabe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fill="CBCBCB" w:themeFill="text1" w:themeFillTint="34"/>
      </w:tcPr>
    </w:tblStylePr>
    <w:tblStylePr w:type="band1Horz">
      <w:rPr>
        <w:color w:val="7F7F7F" w:themeColor="text1" w:themeTint="80" w:themeShade="95"/>
        <w:sz w:val="22"/>
      </w:rPr>
      <w:tblPr/>
      <w:tcPr>
        <w:shd w:val="clear" w:color="CBCBCB" w:fill="CBCBCB" w:themeFill="text1" w:themeFillTint="34"/>
      </w:tcPr>
    </w:tblStylePr>
    <w:tblStylePr w:type="band2Horz">
      <w:rPr>
        <w:color w:val="7F7F7F" w:themeColor="text1" w:themeTint="80" w:themeShade="95"/>
        <w:sz w:val="22"/>
      </w:rPr>
    </w:tblStylePr>
  </w:style>
  <w:style w:type="table" w:styleId="TabeladeGrade7Colorida">
    <w:name w:val="Grid Table 7 Colorful"/>
    <w:basedOn w:val="Tabe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themeShade="95"/>
        <w:sz w:val="22"/>
      </w:rPr>
      <w:tblPr/>
      <w:tcPr>
        <w:shd w:val="clear" w:color="F2F2F2" w:fill="F2F2F2" w:themeFill="text1" w:themeFillTint="0D"/>
      </w:tcPr>
    </w:tblStylePr>
    <w:tblStylePr w:type="band2Horz">
      <w:rPr>
        <w:color w:val="7F7F7F" w:themeColor="text1" w:themeTint="80" w:themeShade="95"/>
        <w:sz w:val="22"/>
      </w:rPr>
    </w:tblStylePr>
  </w:style>
  <w:style w:type="table" w:styleId="TabeladeLista1Clara">
    <w:name w:val="List Table 1 Light"/>
    <w:basedOn w:val="Tabelanormal"/>
    <w:uiPriority w:val="99"/>
    <w:tblPr>
      <w:tblStyleRowBandSize w:val="1"/>
      <w:tblStyleColBandSize w:val="1"/>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styleId="TabeladeLista2">
    <w:name w:val="List Table 2"/>
    <w:basedOn w:val="Tabe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3">
    <w:name w:val="List Table 3"/>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TabeladeLista4">
    <w:name w:val="List Table 4"/>
    <w:basedOn w:val="Tabe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styleId="TabeladeLista5Escura">
    <w:name w:val="List Table 5 Dark"/>
    <w:basedOn w:val="Tabe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styleId="TabeladeLista6Colorida">
    <w:name w:val="List Table 6 Colorful"/>
    <w:basedOn w:val="Tabe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styleId="TabeladeLista7Colorida">
    <w:name w:val="List Table 7 Colorful"/>
    <w:basedOn w:val="Tabelanormal"/>
    <w:uiPriority w:val="99"/>
    <w:tblPr>
      <w:tblStyleRowBandSize w:val="1"/>
      <w:tblStyleColBandSize w:val="1"/>
      <w:tblBorders>
        <w:right w:val="single" w:sz="4" w:space="0" w:color="7F7F7F" w:themeColor="text1" w:themeTint="80"/>
      </w:tblBorders>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themeShade="95"/>
        <w:sz w:val="22"/>
      </w:rPr>
      <w:tblPr/>
      <w:tcPr>
        <w:shd w:val="clear" w:color="BFBFBF" w:fill="BFBFBF" w:themeFill="text1" w:themeFillTint="40"/>
      </w:tcPr>
    </w:tblStylePr>
    <w:tblStylePr w:type="band2Horz">
      <w:rPr>
        <w:color w:val="7F7F7F" w:themeColor="text1" w:themeTint="80" w:themeShade="95"/>
        <w:sz w:val="22"/>
      </w:rPr>
    </w:tblStylePr>
  </w:style>
  <w:style w:type="table" w:styleId="Tabelacomgrade">
    <w:name w:val="Table Grid"/>
    <w:basedOn w:val="Tabe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SimplesTabela11">
    <w:name w:val="Simples Tabela 11"/>
    <w:basedOn w:val="Tabe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2F2F2" w:fill="F2F2F2" w:themeFill="text1" w:themeFillTint="0D"/>
      </w:tcPr>
    </w:tblStylePr>
    <w:tblStylePr w:type="band1Horz">
      <w:tblPr/>
      <w:tcPr>
        <w:shd w:val="clear" w:color="F2F2F2" w:fill="F2F2F2" w:themeFill="text1" w:themeFillTint="0D"/>
      </w:tcPr>
    </w:tblStylePr>
  </w:style>
  <w:style w:type="table" w:customStyle="1" w:styleId="SimplesTabela21">
    <w:name w:val="Simples Tabela 21"/>
    <w:basedOn w:val="Tabe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SimplesTabela31">
    <w:name w:val="Simples Tabela 31"/>
    <w:basedOn w:val="Tabelanormal"/>
    <w:uiPriority w:val="99"/>
    <w:qFormat/>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41">
    <w:name w:val="Tabela Simples 41"/>
    <w:basedOn w:val="Tabelanormal"/>
    <w:uiPriority w:val="99"/>
    <w:qFormat/>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Simples51">
    <w:name w:val="Tabela Simples 51"/>
    <w:basedOn w:val="Tabelanormal"/>
    <w:uiPriority w:val="99"/>
    <w:qFormat/>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2F2F2" w:fill="F2F2F2" w:themeFill="text1" w:themeFillTint="0D"/>
      </w:tcPr>
    </w:tblStylePr>
    <w:tblStylePr w:type="band1Horz">
      <w:rPr>
        <w:sz w:val="22"/>
      </w:rPr>
      <w:tblPr/>
      <w:tcPr>
        <w:shd w:val="clear" w:color="F2F2F2" w:fill="F2F2F2" w:themeFill="text1" w:themeFillTint="0D"/>
      </w:tcPr>
    </w:tblStylePr>
  </w:style>
  <w:style w:type="table" w:customStyle="1" w:styleId="TabeladeGrade1Clara1">
    <w:name w:val="Tabela de Grade 1 Clara1"/>
    <w:basedOn w:val="Tabelanormal"/>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Tabelanormal"/>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Tabelanormal"/>
    <w:uiPriority w:val="99"/>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Tabelanormal"/>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TabeladeGrade21">
    <w:name w:val="Tabela de Grade 21"/>
    <w:basedOn w:val="Tabelanormal"/>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2-Accent1">
    <w:name w:val="Grid Table 2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2-Accent2">
    <w:name w:val="Grid Table 2 - Accent 2"/>
    <w:basedOn w:val="Tabelanormal"/>
    <w:uiPriority w:val="99"/>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2-Accent3">
    <w:name w:val="Grid Table 2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2-Accent4">
    <w:name w:val="Grid Table 2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2-Accent5">
    <w:name w:val="Grid Table 2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2-Accent6">
    <w:name w:val="Grid Table 2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31">
    <w:name w:val="Tabela de Grade 31"/>
    <w:basedOn w:val="Tabelanormal"/>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3-Accent1">
    <w:name w:val="Grid Table 3 - Accent 1"/>
    <w:basedOn w:val="Tabelanormal"/>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5F1" w:fill="DAE5F1" w:themeFill="accent1" w:themeFillTint="34"/>
      </w:tcPr>
    </w:tblStylePr>
    <w:tblStylePr w:type="band1Horz">
      <w:rPr>
        <w:sz w:val="22"/>
      </w:rPr>
      <w:tblPr/>
      <w:tcPr>
        <w:shd w:val="clear" w:color="DAE5F1" w:fill="DAE5F1" w:themeFill="accent1" w:themeFillTint="34"/>
      </w:tcPr>
    </w:tblStylePr>
  </w:style>
  <w:style w:type="table" w:customStyle="1" w:styleId="GridTable3-Accent2">
    <w:name w:val="Grid Table 3 - Accent 2"/>
    <w:basedOn w:val="Tabelanormal"/>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3-Accent3">
    <w:name w:val="Grid Table 3 - Accent 3"/>
    <w:basedOn w:val="Tabelanormal"/>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3-Accent4">
    <w:name w:val="Grid Table 3 - Accent 4"/>
    <w:basedOn w:val="Tabelanormal"/>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3-Accent5">
    <w:name w:val="Grid Table 3 - Accent 5"/>
    <w:basedOn w:val="Tabelanormal"/>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3-Accent6">
    <w:name w:val="Grid Table 3 - Accent 6"/>
    <w:basedOn w:val="Tabelanormal"/>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41">
    <w:name w:val="Tabela de Grade 41"/>
    <w:basedOn w:val="Tabelanormal"/>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CBCBCB" w:fill="CBCBCB" w:themeFill="text1" w:themeFillTint="34"/>
      </w:tcPr>
    </w:tblStylePr>
    <w:tblStylePr w:type="band1Horz">
      <w:rPr>
        <w:sz w:val="22"/>
      </w:rPr>
      <w:tblPr/>
      <w:tcPr>
        <w:shd w:val="clear" w:color="CBCBCB" w:fill="CBCBCB" w:themeFill="text1" w:themeFillTint="34"/>
      </w:tcPr>
    </w:tblStylePr>
  </w:style>
  <w:style w:type="table" w:customStyle="1" w:styleId="GridTable4-Accent1">
    <w:name w:val="Grid Table 4 - Accent 1"/>
    <w:basedOn w:val="Tabelanormal"/>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AC2"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DCE6F2" w:fill="DCE6F2" w:themeFill="accent1" w:themeFillTint="32"/>
      </w:tcPr>
    </w:tblStylePr>
    <w:tblStylePr w:type="band1Horz">
      <w:rPr>
        <w:sz w:val="22"/>
      </w:rPr>
      <w:tblPr/>
      <w:tcPr>
        <w:shd w:val="clear" w:color="DCE6F2" w:fill="DCE6F2" w:themeFill="accent1" w:themeFillTint="32"/>
      </w:tcPr>
    </w:tblStylePr>
  </w:style>
  <w:style w:type="table" w:customStyle="1" w:styleId="GridTable4-Accent2">
    <w:name w:val="Grid Table 4 - Accent 2"/>
    <w:basedOn w:val="Tabelanormal"/>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695"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2DCDC" w:fill="F2DCDC" w:themeFill="accent2" w:themeFillTint="32"/>
      </w:tcPr>
    </w:tblStylePr>
    <w:tblStylePr w:type="band1Horz">
      <w:rPr>
        <w:sz w:val="22"/>
      </w:rPr>
      <w:tblPr/>
      <w:tcPr>
        <w:shd w:val="clear" w:color="F2DCDC" w:fill="F2DCDC" w:themeFill="accent2" w:themeFillTint="32"/>
      </w:tcPr>
    </w:tblStylePr>
  </w:style>
  <w:style w:type="table" w:customStyle="1" w:styleId="GridTable4-Accent3">
    <w:name w:val="Grid Table 4 - Accent 3"/>
    <w:basedOn w:val="Tabelanormal"/>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ABB59"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EAF1DC" w:fill="EAF1DC" w:themeFill="accent3" w:themeFillTint="34"/>
      </w:tcPr>
    </w:tblStylePr>
    <w:tblStylePr w:type="band1Horz">
      <w:rPr>
        <w:sz w:val="22"/>
      </w:rPr>
      <w:tblPr/>
      <w:tcPr>
        <w:shd w:val="clear" w:color="EAF1DC" w:fill="EAF1DC" w:themeFill="accent3" w:themeFillTint="34"/>
      </w:tcPr>
    </w:tblStylePr>
  </w:style>
  <w:style w:type="table" w:customStyle="1" w:styleId="GridTable4-Accent4">
    <w:name w:val="Grid Table 4 - Accent 4"/>
    <w:basedOn w:val="Tabelanormal"/>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E5DFEC" w:fill="E5DFEC" w:themeFill="accent4" w:themeFillTint="34"/>
      </w:tcPr>
    </w:tblStylePr>
    <w:tblStylePr w:type="band1Horz">
      <w:rPr>
        <w:sz w:val="22"/>
      </w:rPr>
      <w:tblPr/>
      <w:tcPr>
        <w:shd w:val="clear" w:color="E5DFEC" w:fill="E5DFEC" w:themeFill="accent4" w:themeFillTint="34"/>
      </w:tcPr>
    </w:tblStylePr>
  </w:style>
  <w:style w:type="table" w:customStyle="1" w:styleId="GridTable4-Accent5">
    <w:name w:val="Grid Table 4 - Accent 5"/>
    <w:basedOn w:val="Tabelanormal"/>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DAEEF3" w:fill="DAEEF3" w:themeFill="accent5" w:themeFillTint="34"/>
      </w:tcPr>
    </w:tblStylePr>
    <w:tblStylePr w:type="band1Horz">
      <w:rPr>
        <w:sz w:val="22"/>
      </w:rPr>
      <w:tblPr/>
      <w:tcPr>
        <w:shd w:val="clear" w:color="DAEEF3" w:fill="DAEEF3" w:themeFill="accent5" w:themeFillTint="34"/>
      </w:tcPr>
    </w:tblStylePr>
  </w:style>
  <w:style w:type="table" w:customStyle="1" w:styleId="GridTable4-Accent6">
    <w:name w:val="Grid Table 4 - Accent 6"/>
    <w:basedOn w:val="Tabelanormal"/>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DE9D8" w:fill="FDE9D8" w:themeFill="accent6" w:themeFillTint="34"/>
      </w:tcPr>
    </w:tblStylePr>
    <w:tblStylePr w:type="band1Horz">
      <w:rPr>
        <w:sz w:val="22"/>
      </w:rPr>
      <w:tblPr/>
      <w:tcPr>
        <w:shd w:val="clear" w:color="FDE9D8" w:fill="FDE9D8" w:themeFill="accent6" w:themeFillTint="34"/>
      </w:tcPr>
    </w:tblStylePr>
  </w:style>
  <w:style w:type="table" w:customStyle="1" w:styleId="TabeladeGrade5Escura1">
    <w:name w:val="Tabela de Grade 5 Escura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000000" w:fill="000000" w:themeFill="text1"/>
      </w:tcPr>
    </w:tblStylePr>
    <w:tblStylePr w:type="lastRow">
      <w:rPr>
        <w:b/>
        <w:sz w:val="22"/>
      </w:rPr>
      <w:tblPr/>
      <w:tcPr>
        <w:tcBorders>
          <w:top w:val="single" w:sz="4" w:space="0" w:color="FFFFFF" w:themeColor="light1"/>
        </w:tcBorders>
        <w:shd w:val="clear" w:color="000000" w:fill="000000" w:themeFill="text1"/>
      </w:tcPr>
    </w:tblStylePr>
    <w:tblStylePr w:type="firstCol">
      <w:rPr>
        <w:b/>
        <w:sz w:val="22"/>
      </w:rPr>
      <w:tblPr/>
      <w:tcPr>
        <w:shd w:val="clear" w:color="000000" w:fill="000000" w:themeFill="text1"/>
      </w:tcPr>
    </w:tblStylePr>
    <w:tblStylePr w:type="lastCol">
      <w:rPr>
        <w:b/>
        <w:sz w:val="22"/>
      </w:rPr>
      <w:tblPr/>
      <w:tcPr>
        <w:shd w:val="clear" w:color="000000" w:fill="000000" w:themeFill="text1"/>
      </w:tcPr>
    </w:tblStylePr>
    <w:tblStylePr w:type="band1Vert">
      <w:tblPr/>
      <w:tcPr>
        <w:shd w:val="clear" w:color="8A8A8A" w:fill="8A8A8A" w:themeFill="text1" w:themeFillTint="75"/>
      </w:tcPr>
    </w:tblStylePr>
    <w:tblStylePr w:type="band1Horz">
      <w:tblPr/>
      <w:tcPr>
        <w:shd w:val="clear" w:color="8A8A8A" w:fill="8A8A8A" w:themeFill="text1" w:themeFillTint="75"/>
      </w:tcPr>
    </w:tblStylePr>
  </w:style>
  <w:style w:type="table" w:customStyle="1" w:styleId="GridTable5Dark-Accent1">
    <w:name w:val="Grid Table 5 Dark- Accent 1"/>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F81BD" w:fill="4F81BD" w:themeFill="accent1"/>
      </w:tcPr>
    </w:tblStylePr>
    <w:tblStylePr w:type="lastRow">
      <w:rPr>
        <w:b/>
        <w:sz w:val="22"/>
      </w:rPr>
      <w:tblPr/>
      <w:tcPr>
        <w:tcBorders>
          <w:top w:val="single" w:sz="4" w:space="0" w:color="FFFFFF" w:themeColor="light1"/>
        </w:tcBorders>
        <w:shd w:val="clear" w:color="4F81BD" w:fill="4F81BD" w:themeFill="accent1"/>
      </w:tcPr>
    </w:tblStylePr>
    <w:tblStylePr w:type="firstCol">
      <w:rPr>
        <w:b/>
        <w:sz w:val="22"/>
      </w:rPr>
      <w:tblPr/>
      <w:tcPr>
        <w:shd w:val="clear" w:color="4F81BD" w:fill="4F81BD" w:themeFill="accent1"/>
      </w:tcPr>
    </w:tblStylePr>
    <w:tblStylePr w:type="lastCol">
      <w:rPr>
        <w:b/>
        <w:sz w:val="22"/>
      </w:rPr>
      <w:tblPr/>
      <w:tcPr>
        <w:shd w:val="clear" w:color="4F81BD" w:fill="4F81BD" w:themeFill="accent1"/>
      </w:tcPr>
    </w:tblStylePr>
    <w:tblStylePr w:type="band1Vert">
      <w:tblPr/>
      <w:tcPr>
        <w:shd w:val="clear" w:color="AEC4E0" w:fill="AEC4E0" w:themeFill="accent1" w:themeFillTint="75"/>
      </w:tcPr>
    </w:tblStylePr>
    <w:tblStylePr w:type="band1Horz">
      <w:tblPr/>
      <w:tcPr>
        <w:shd w:val="clear" w:color="AEC4E0" w:fill="AEC4E0" w:themeFill="accent1" w:themeFillTint="75"/>
      </w:tcPr>
    </w:tblStylePr>
  </w:style>
  <w:style w:type="table" w:customStyle="1" w:styleId="GridTable5Dark-Accent2">
    <w:name w:val="Grid Table 5 Dark - Accent 2"/>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C0504D" w:fill="C0504D" w:themeFill="accent2"/>
      </w:tcPr>
    </w:tblStylePr>
    <w:tblStylePr w:type="lastRow">
      <w:rPr>
        <w:b/>
        <w:sz w:val="22"/>
      </w:rPr>
      <w:tblPr/>
      <w:tcPr>
        <w:tcBorders>
          <w:top w:val="single" w:sz="4" w:space="0" w:color="FFFFFF" w:themeColor="light1"/>
        </w:tcBorders>
        <w:shd w:val="clear" w:color="C0504D" w:fill="C0504D" w:themeFill="accent2"/>
      </w:tcPr>
    </w:tblStylePr>
    <w:tblStylePr w:type="firstCol">
      <w:rPr>
        <w:b/>
        <w:sz w:val="22"/>
      </w:rPr>
      <w:tblPr/>
      <w:tcPr>
        <w:shd w:val="clear" w:color="C0504D" w:fill="C0504D" w:themeFill="accent2"/>
      </w:tcPr>
    </w:tblStylePr>
    <w:tblStylePr w:type="lastCol">
      <w:rPr>
        <w:b/>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9BBB59" w:fill="9BBB59" w:themeFill="accent3"/>
      </w:tcPr>
    </w:tblStylePr>
    <w:tblStylePr w:type="lastRow">
      <w:rPr>
        <w:b/>
        <w:sz w:val="22"/>
      </w:rPr>
      <w:tblPr/>
      <w:tcPr>
        <w:tcBorders>
          <w:top w:val="single" w:sz="4" w:space="0" w:color="FFFFFF" w:themeColor="light1"/>
        </w:tcBorders>
        <w:shd w:val="clear" w:color="9BBB59" w:fill="9BBB59" w:themeFill="accent3"/>
      </w:tcPr>
    </w:tblStylePr>
    <w:tblStylePr w:type="firstCol">
      <w:rPr>
        <w:b/>
        <w:sz w:val="22"/>
      </w:rPr>
      <w:tblPr/>
      <w:tcPr>
        <w:shd w:val="clear" w:color="9BBB59" w:fill="9BBB59" w:themeFill="accent3"/>
      </w:tcPr>
    </w:tblStylePr>
    <w:tblStylePr w:type="lastCol">
      <w:rPr>
        <w:b/>
        <w:sz w:val="22"/>
      </w:rPr>
      <w:tblPr/>
      <w:tcPr>
        <w:shd w:val="clear" w:color="9BBB59" w:fill="9BBB59" w:themeFill="accent3"/>
      </w:tcPr>
    </w:tblStylePr>
    <w:tblStylePr w:type="band1Vert">
      <w:tblPr/>
      <w:tcPr>
        <w:shd w:val="clear" w:color="D0DFB2" w:fill="D0DFB2" w:themeFill="accent3" w:themeFillTint="75"/>
      </w:tcPr>
    </w:tblStylePr>
    <w:tblStylePr w:type="band1Horz">
      <w:tblPr/>
      <w:tcPr>
        <w:shd w:val="clear" w:color="D0DFB2" w:fill="D0DFB2" w:themeFill="accent3" w:themeFillTint="75"/>
      </w:tcPr>
    </w:tblStylePr>
  </w:style>
  <w:style w:type="table" w:customStyle="1" w:styleId="GridTable5Dark-Accent4">
    <w:name w:val="Grid Table 5 Dark- Accent 4"/>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8064A2" w:fill="8064A2" w:themeFill="accent4"/>
      </w:tcPr>
    </w:tblStylePr>
    <w:tblStylePr w:type="lastRow">
      <w:rPr>
        <w:b/>
        <w:sz w:val="22"/>
      </w:rPr>
      <w:tblPr/>
      <w:tcPr>
        <w:tcBorders>
          <w:top w:val="single" w:sz="4" w:space="0" w:color="FFFFFF" w:themeColor="light1"/>
        </w:tcBorders>
        <w:shd w:val="clear" w:color="8064A2" w:fill="8064A2" w:themeFill="accent4"/>
      </w:tcPr>
    </w:tblStylePr>
    <w:tblStylePr w:type="firstCol">
      <w:rPr>
        <w:b/>
        <w:sz w:val="22"/>
      </w:rPr>
      <w:tblPr/>
      <w:tcPr>
        <w:shd w:val="clear" w:color="8064A2" w:fill="8064A2" w:themeFill="accent4"/>
      </w:tcPr>
    </w:tblStylePr>
    <w:tblStylePr w:type="lastCol">
      <w:rPr>
        <w:b/>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Tabelanormal"/>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4BACC6" w:fill="4BACC6" w:themeFill="accent5"/>
      </w:tcPr>
    </w:tblStylePr>
    <w:tblStylePr w:type="lastRow">
      <w:rPr>
        <w:b/>
        <w:sz w:val="22"/>
      </w:rPr>
      <w:tblPr/>
      <w:tcPr>
        <w:tcBorders>
          <w:top w:val="single" w:sz="4" w:space="0" w:color="FFFFFF" w:themeColor="light1"/>
        </w:tcBorders>
        <w:shd w:val="clear" w:color="4BACC6" w:fill="4BACC6" w:themeFill="accent5"/>
      </w:tcPr>
    </w:tblStylePr>
    <w:tblStylePr w:type="firstCol">
      <w:rPr>
        <w:b/>
        <w:sz w:val="22"/>
      </w:rPr>
      <w:tblPr/>
      <w:tcPr>
        <w:shd w:val="clear" w:color="4BACC6" w:fill="4BACC6" w:themeFill="accent5"/>
      </w:tcPr>
    </w:tblStylePr>
    <w:tblStylePr w:type="lastCol">
      <w:rPr>
        <w:b/>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Tabelanormal"/>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sz w:val="22"/>
      </w:rPr>
      <w:tblPr/>
      <w:tcPr>
        <w:shd w:val="clear" w:color="F79646" w:fill="F79646" w:themeFill="accent6"/>
      </w:tcPr>
    </w:tblStylePr>
    <w:tblStylePr w:type="lastRow">
      <w:rPr>
        <w:b/>
        <w:sz w:val="22"/>
      </w:rPr>
      <w:tblPr/>
      <w:tcPr>
        <w:tcBorders>
          <w:top w:val="single" w:sz="4" w:space="0" w:color="FFFFFF" w:themeColor="light1"/>
        </w:tcBorders>
        <w:shd w:val="clear" w:color="F79646" w:fill="F79646" w:themeFill="accent6"/>
      </w:tcPr>
    </w:tblStylePr>
    <w:tblStylePr w:type="firstCol">
      <w:rPr>
        <w:b/>
        <w:sz w:val="22"/>
      </w:rPr>
      <w:tblPr/>
      <w:tcPr>
        <w:shd w:val="clear" w:color="F79646" w:fill="F79646" w:themeFill="accent6"/>
      </w:tcPr>
    </w:tblStylePr>
    <w:tblStylePr w:type="lastCol">
      <w:rPr>
        <w:b/>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TabeladeGrade6Colorida1">
    <w:name w:val="Tabela de Grade 6 Colorida1"/>
    <w:basedOn w:val="Tabelanormal"/>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fill="CBCBCB" w:themeFill="text1" w:themeFillTint="34"/>
      </w:tcPr>
    </w:tblStylePr>
    <w:tblStylePr w:type="band1Horz">
      <w:rPr>
        <w:color w:val="7F7F7F" w:themeColor="text1" w:themeTint="80"/>
        <w:sz w:val="22"/>
      </w:rPr>
      <w:tblPr/>
      <w:tcPr>
        <w:shd w:val="clear" w:color="CBCBCB"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Tabelanormal"/>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Tabelanormal"/>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Tabelanormal"/>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Tabelanormal"/>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Tabelanormal"/>
    <w:uiPriority w:val="99"/>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fill="FDE9D8" w:themeFill="accent6" w:themeFillTint="34"/>
      </w:tcPr>
    </w:tblStylePr>
    <w:tblStylePr w:type="band1Horz">
      <w:rPr>
        <w:color w:val="266678" w:themeColor="accent5" w:themeShade="94"/>
        <w:sz w:val="22"/>
      </w:rPr>
      <w:tblPr/>
      <w:tcPr>
        <w:shd w:val="clear" w:color="FDE9D8" w:fill="FDE9D8" w:themeFill="accent6" w:themeFillTint="34"/>
      </w:tcPr>
    </w:tblStylePr>
    <w:tblStylePr w:type="band2Horz">
      <w:rPr>
        <w:color w:val="266678" w:themeColor="accent5" w:themeShade="94"/>
        <w:sz w:val="22"/>
      </w:rPr>
    </w:tblStylePr>
  </w:style>
  <w:style w:type="table" w:customStyle="1" w:styleId="TabeladeGrade7Colorida1">
    <w:name w:val="Tabela de Grade 7 Colorida1"/>
    <w:basedOn w:val="Tabelanorma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b/>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F2F2F2" w:fill="F2F2F2" w:themeFill="text1" w:themeFillTint="0D"/>
      </w:tcPr>
    </w:tblStylePr>
    <w:tblStylePr w:type="band1Horz">
      <w:rPr>
        <w:color w:val="7F7F7F" w:themeColor="text1" w:themeTint="80"/>
        <w:sz w:val="22"/>
      </w:rPr>
      <w:tblPr/>
      <w:tcPr>
        <w:shd w:val="clear" w:color="F2F2F2"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Tabelanormal"/>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A6BFDD" w:themeColor="accent1" w:themeTint="80"/>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A6BFDD" w:themeColor="accent1" w:themeTint="80"/>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AE5F1" w:fill="DAE5F1" w:themeFill="accent1" w:themeFillTint="34"/>
      </w:tcPr>
    </w:tblStylePr>
    <w:tblStylePr w:type="band1Horz">
      <w:rPr>
        <w:color w:val="A6BFDD" w:themeColor="accent1" w:themeTint="80"/>
        <w:sz w:val="22"/>
      </w:rPr>
      <w:tblPr/>
      <w:tcPr>
        <w:shd w:val="clear" w:color="DA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Tabelanormal"/>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Tabelanormal"/>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b/>
        <w:color w:val="9BBB59" w:themeColor="accent3"/>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BBB59" w:themeColor="accent3"/>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9BBB59" w:themeColor="accent3"/>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AF1DC" w:fill="EAF1DC" w:themeFill="accent3" w:themeFillTint="34"/>
      </w:tcPr>
    </w:tblStylePr>
    <w:tblStylePr w:type="band1Horz">
      <w:rPr>
        <w:color w:val="9BBB59" w:themeColor="accent3"/>
        <w:sz w:val="22"/>
      </w:rPr>
      <w:tblPr/>
      <w:tcPr>
        <w:shd w:val="clear" w:color="EAF1DC"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Tabelanormal"/>
    <w:uiPriority w:val="99"/>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Tabelanormal"/>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66678" w:themeColor="accent5" w:themeShade="94"/>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266678" w:themeColor="accent5" w:themeShade="94"/>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Tabelanormal"/>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05307" w:themeColor="accent6" w:themeShade="94"/>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B05307" w:themeColor="accent6" w:themeShade="94"/>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9D8" w:fill="FDE9D8" w:themeFill="accent6" w:themeFillTint="34"/>
      </w:tcPr>
    </w:tblStylePr>
    <w:tblStylePr w:type="band1Horz">
      <w:rPr>
        <w:color w:val="B05307" w:themeColor="accent6" w:themeShade="94"/>
        <w:sz w:val="22"/>
      </w:rPr>
      <w:tblPr/>
      <w:tcPr>
        <w:shd w:val="clear" w:color="FDE9D8" w:fill="FDE9D8" w:themeFill="accent6" w:themeFillTint="34"/>
      </w:tcPr>
    </w:tblStylePr>
    <w:tblStylePr w:type="band2Horz">
      <w:rPr>
        <w:color w:val="B05307" w:themeColor="accent6" w:themeShade="94"/>
        <w:sz w:val="22"/>
      </w:rPr>
    </w:tblStylePr>
  </w:style>
  <w:style w:type="table" w:customStyle="1" w:styleId="TabeladeLista1Clara1">
    <w:name w:val="Tabela de Lista 1 Clara1"/>
    <w:basedOn w:val="Tabelanormal"/>
    <w:uiPriority w:val="99"/>
    <w:qFormat/>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BFBFBF" w:fill="BFBFBF" w:themeFill="text1" w:themeFillTint="40"/>
      </w:tcPr>
    </w:tblStylePr>
    <w:tblStylePr w:type="band1Horz">
      <w:tblPr/>
      <w:tcPr>
        <w:shd w:val="clear" w:color="BFBFBF" w:fill="BFBFBF" w:themeFill="text1" w:themeFillTint="40"/>
      </w:tcPr>
    </w:tblStylePr>
  </w:style>
  <w:style w:type="table" w:customStyle="1" w:styleId="ListTable1Light-Accent1">
    <w:name w:val="List Table 1 Light - Accent 1"/>
    <w:basedOn w:val="Tabelanormal"/>
    <w:uiPriority w:val="99"/>
    <w:qFormat/>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Tabelanormal"/>
    <w:qFormat/>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FD2D2" w:fill="EFD2D2" w:themeFill="accent2" w:themeFillTint="40"/>
      </w:tcPr>
    </w:tblStylePr>
    <w:tblStylePr w:type="band1Horz">
      <w:tblPr/>
      <w:tcPr>
        <w:shd w:val="clear" w:color="EFD2D2" w:fill="EFD2D2" w:themeFill="accent2" w:themeFillTint="40"/>
      </w:tcPr>
    </w:tblStylePr>
  </w:style>
  <w:style w:type="table" w:customStyle="1" w:styleId="ListTable1Light-Accent3">
    <w:name w:val="List Table 1 Light - Accent 3"/>
    <w:basedOn w:val="Tabelanormal"/>
    <w:uiPriority w:val="99"/>
    <w:qFormat/>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E5EED5" w:fill="E5EED5" w:themeFill="accent3" w:themeFillTint="40"/>
      </w:tcPr>
    </w:tblStylePr>
    <w:tblStylePr w:type="band1Horz">
      <w:tblPr/>
      <w:tcPr>
        <w:shd w:val="clear" w:color="E5EED5" w:fill="E5EED5" w:themeFill="accent3" w:themeFillTint="40"/>
      </w:tcPr>
    </w:tblStylePr>
  </w:style>
  <w:style w:type="table" w:customStyle="1" w:styleId="ListTable1Light-Accent4">
    <w:name w:val="List Table 1 Light - Accent 4"/>
    <w:basedOn w:val="Tabelanormal"/>
    <w:qFormat/>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Tabelanormal"/>
    <w:uiPriority w:val="99"/>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Tabelanormal"/>
    <w:uiPriority w:val="99"/>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DE4D0" w:fill="FDE4D0" w:themeFill="accent6" w:themeFillTint="40"/>
      </w:tcPr>
    </w:tblStylePr>
    <w:tblStylePr w:type="band1Horz">
      <w:tblPr/>
      <w:tcPr>
        <w:shd w:val="clear" w:color="FDE4D0" w:fill="FDE4D0" w:themeFill="accent6" w:themeFillTint="40"/>
      </w:tcPr>
    </w:tblStylePr>
  </w:style>
  <w:style w:type="table" w:customStyle="1" w:styleId="TabeladeLista21">
    <w:name w:val="Tabela de Lista 21"/>
    <w:basedOn w:val="Tabelanormal"/>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2-Accent1">
    <w:name w:val="List Table 2 - Accent 1"/>
    <w:basedOn w:val="Tabelanormal"/>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2-Accent2">
    <w:name w:val="List Table 2 - Accent 2"/>
    <w:basedOn w:val="Tabelanormal"/>
    <w:uiPriority w:val="99"/>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2-Accent3">
    <w:name w:val="List Table 2 - Accent 3"/>
    <w:basedOn w:val="Tabelanormal"/>
    <w:uiPriority w:val="99"/>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2-Accent4">
    <w:name w:val="List Table 2 - Accent 4"/>
    <w:basedOn w:val="Tabelanormal"/>
    <w:uiPriority w:val="99"/>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2-Accent5">
    <w:name w:val="List Table 2 - Accent 5"/>
    <w:basedOn w:val="Tabelanormal"/>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2-Accent6">
    <w:name w:val="List Table 2 - Accent 6"/>
    <w:basedOn w:val="Tabelanormal"/>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31">
    <w:name w:val="Tabela de Lista 31"/>
    <w:basedOn w:val="Tabelanormal"/>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anormal"/>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sz w:val="22"/>
      </w:rPr>
      <w:tblPr/>
      <w:tcPr>
        <w:shd w:val="clear" w:color="D99695"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Tabelanormal"/>
    <w:uiPriority w:val="99"/>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sz w:val="22"/>
      </w:rPr>
      <w:tblPr/>
      <w:tcPr>
        <w:shd w:val="clear" w:color="C3D69B"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Tabelanormal"/>
    <w:uiPriority w:val="99"/>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sz w:val="22"/>
      </w:rPr>
      <w:tblPr/>
      <w:tcPr>
        <w:shd w:val="clear" w:color="B2A1C6"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Tabelanormal"/>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sz w:val="22"/>
      </w:rPr>
      <w:tblPr/>
      <w:tcPr>
        <w:shd w:val="clear" w:color="92CCDC"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Tabelanormal"/>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sz w:val="22"/>
      </w:rPr>
      <w:tblPr/>
      <w:tcPr>
        <w:shd w:val="clear" w:color="FAC090"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customStyle="1" w:styleId="TabeladeLista41">
    <w:name w:val="Tabela de Lista 41"/>
    <w:basedOn w:val="Tabelanormal"/>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sz w:val="22"/>
      </w:rPr>
      <w:tblPr/>
      <w:tcPr>
        <w:shd w:val="clear" w:color="000000"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BFBFBF" w:fill="BFBFBF" w:themeFill="text1" w:themeFillTint="40"/>
      </w:tcPr>
    </w:tblStylePr>
    <w:tblStylePr w:type="band1Horz">
      <w:rPr>
        <w:sz w:val="22"/>
      </w:rPr>
      <w:tblPr/>
      <w:tcPr>
        <w:shd w:val="clear" w:color="BFBFBF" w:fill="BFBFBF" w:themeFill="text1" w:themeFillTint="40"/>
      </w:tcPr>
    </w:tblStylePr>
  </w:style>
  <w:style w:type="table" w:customStyle="1" w:styleId="ListTable4-Accent1">
    <w:name w:val="List Table 4 - Accent 1"/>
    <w:basedOn w:val="Tabelanormal"/>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sz w:val="22"/>
      </w:rPr>
      <w:tblPr/>
      <w:tcPr>
        <w:shd w:val="clear" w:color="4F81BD"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D2DFEE" w:fill="D2DFEE" w:themeFill="accent1" w:themeFillTint="40"/>
      </w:tcPr>
    </w:tblStylePr>
    <w:tblStylePr w:type="band1Horz">
      <w:rPr>
        <w:sz w:val="22"/>
      </w:rPr>
      <w:tblPr/>
      <w:tcPr>
        <w:shd w:val="clear" w:color="D2DFEE" w:fill="D2DFEE" w:themeFill="accent1" w:themeFillTint="40"/>
      </w:tcPr>
    </w:tblStylePr>
  </w:style>
  <w:style w:type="table" w:customStyle="1" w:styleId="ListTable4-Accent2">
    <w:name w:val="List Table 4 - Accent 2"/>
    <w:basedOn w:val="Tabelanormal"/>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sz w:val="22"/>
      </w:rPr>
      <w:tblPr/>
      <w:tcPr>
        <w:shd w:val="clear" w:color="C0504D"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EFD2D2" w:fill="EFD2D2" w:themeFill="accent2" w:themeFillTint="40"/>
      </w:tcPr>
    </w:tblStylePr>
    <w:tblStylePr w:type="band1Horz">
      <w:rPr>
        <w:sz w:val="22"/>
      </w:rPr>
      <w:tblPr/>
      <w:tcPr>
        <w:shd w:val="clear" w:color="EFD2D2" w:fill="EFD2D2" w:themeFill="accent2" w:themeFillTint="40"/>
      </w:tcPr>
    </w:tblStylePr>
  </w:style>
  <w:style w:type="table" w:customStyle="1" w:styleId="ListTable4-Accent3">
    <w:name w:val="List Table 4 - Accent 3"/>
    <w:basedOn w:val="Tabelanormal"/>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sz w:val="22"/>
      </w:rPr>
      <w:tblPr/>
      <w:tcPr>
        <w:shd w:val="clear" w:color="9BBB59"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E5EED5" w:fill="E5EED5" w:themeFill="accent3" w:themeFillTint="40"/>
      </w:tcPr>
    </w:tblStylePr>
    <w:tblStylePr w:type="band1Horz">
      <w:rPr>
        <w:sz w:val="22"/>
      </w:rPr>
      <w:tblPr/>
      <w:tcPr>
        <w:shd w:val="clear" w:color="E5EED5" w:fill="E5EED5" w:themeFill="accent3" w:themeFillTint="40"/>
      </w:tcPr>
    </w:tblStylePr>
  </w:style>
  <w:style w:type="table" w:customStyle="1" w:styleId="ListTable4-Accent4">
    <w:name w:val="List Table 4 - Accent 4"/>
    <w:basedOn w:val="Tabelanormal"/>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sz w:val="22"/>
      </w:rPr>
      <w:tblPr/>
      <w:tcPr>
        <w:shd w:val="clear" w:color="8064A2"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DFD8E7" w:fill="DFD8E7" w:themeFill="accent4" w:themeFillTint="40"/>
      </w:tcPr>
    </w:tblStylePr>
    <w:tblStylePr w:type="band1Horz">
      <w:rPr>
        <w:sz w:val="22"/>
      </w:rPr>
      <w:tblPr/>
      <w:tcPr>
        <w:shd w:val="clear" w:color="DFD8E7" w:fill="DFD8E7" w:themeFill="accent4" w:themeFillTint="40"/>
      </w:tcPr>
    </w:tblStylePr>
  </w:style>
  <w:style w:type="table" w:customStyle="1" w:styleId="ListTable4-Accent5">
    <w:name w:val="List Table 4 - Accent 5"/>
    <w:basedOn w:val="Tabelanormal"/>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sz w:val="22"/>
      </w:rPr>
      <w:tblPr/>
      <w:tcPr>
        <w:shd w:val="clear" w:color="4BACC6"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D1EAF0" w:fill="D1EAF0" w:themeFill="accent5" w:themeFillTint="40"/>
      </w:tcPr>
    </w:tblStylePr>
    <w:tblStylePr w:type="band1Horz">
      <w:rPr>
        <w:sz w:val="22"/>
      </w:rPr>
      <w:tblPr/>
      <w:tcPr>
        <w:shd w:val="clear" w:color="D1EAF0" w:fill="D1EAF0" w:themeFill="accent5" w:themeFillTint="40"/>
      </w:tcPr>
    </w:tblStylePr>
  </w:style>
  <w:style w:type="table" w:customStyle="1" w:styleId="ListTable4-Accent6">
    <w:name w:val="List Table 4 - Accent 6"/>
    <w:basedOn w:val="Tabelanormal"/>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sz w:val="22"/>
      </w:rPr>
      <w:tblPr/>
      <w:tcPr>
        <w:shd w:val="clear" w:color="F79646"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DE4D0" w:fill="FDE4D0" w:themeFill="accent6" w:themeFillTint="40"/>
      </w:tcPr>
    </w:tblStylePr>
    <w:tblStylePr w:type="band1Horz">
      <w:rPr>
        <w:sz w:val="22"/>
      </w:rPr>
      <w:tblPr/>
      <w:tcPr>
        <w:shd w:val="clear" w:color="FDE4D0" w:fill="FDE4D0" w:themeFill="accent6" w:themeFillTint="40"/>
      </w:tcPr>
    </w:tblStylePr>
  </w:style>
  <w:style w:type="table" w:customStyle="1" w:styleId="TabeladeLista5Escura1">
    <w:name w:val="Tabela de Lista 5 Escura1"/>
    <w:basedOn w:val="Tabelanormal"/>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F7F7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F7F7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fill="7F7F7F" w:themeFill="text1" w:themeFillTint="80"/>
      </w:tcPr>
    </w:tblStylePr>
    <w:tblStylePr w:type="band2Horz">
      <w:tblPr/>
      <w:tcPr>
        <w:tcBorders>
          <w:top w:val="single" w:sz="4" w:space="0" w:color="FFFFFF" w:themeColor="light1"/>
          <w:bottom w:val="single" w:sz="4" w:space="0" w:color="FFFFFF" w:themeColor="light1"/>
        </w:tcBorders>
        <w:shd w:val="clear" w:color="7F7F7F" w:fill="7F7F7F" w:themeFill="text1" w:themeFillTint="80"/>
      </w:tcPr>
    </w:tblStylePr>
  </w:style>
  <w:style w:type="table" w:customStyle="1" w:styleId="ListTable5Dark-Accent1">
    <w:name w:val="List Table 5 Dark - Accent 1"/>
    <w:basedOn w:val="Tabelanormal"/>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Tabelanormal"/>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6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6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fill="D99695" w:themeFill="accent2" w:themeFillTint="97"/>
      </w:tcPr>
    </w:tblStylePr>
  </w:style>
  <w:style w:type="table" w:customStyle="1" w:styleId="ListTable5Dark-Accent3">
    <w:name w:val="List Table 5 Dark - Accent 3"/>
    <w:basedOn w:val="Tabelanormal"/>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B"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B"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fill="C3D69B" w:themeFill="accent3" w:themeFillTint="98"/>
      </w:tcPr>
    </w:tblStylePr>
  </w:style>
  <w:style w:type="table" w:customStyle="1" w:styleId="ListTable5Dark-Accent4">
    <w:name w:val="List Table 5 Dark - Accent 4"/>
    <w:basedOn w:val="Tabelanormal"/>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Tabelanormal"/>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Tabelanormal"/>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TabeladeLista6Colorida1">
    <w:name w:val="Tabela de Lista 6 Colorida1"/>
    <w:basedOn w:val="Tabelanormal"/>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FBFBF" w:fill="BFBFBF" w:themeFill="text1" w:themeFillTint="40"/>
      </w:tcPr>
    </w:tblStylePr>
    <w:tblStylePr w:type="band1Horz">
      <w:rPr>
        <w:color w:val="000000" w:themeColor="text1"/>
        <w:sz w:val="22"/>
      </w:rPr>
      <w:tblPr/>
      <w:tcPr>
        <w:shd w:val="clear" w:color="BFBFBF"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Tabelanormal"/>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Tabelanormal"/>
    <w:uiPriority w:val="99"/>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Tabelanormal"/>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Tabelanormal"/>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Tabelanormal"/>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Tabelanormal"/>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TabeladeLista7Colorida1">
    <w:name w:val="Tabela de Lista 7 Colorida1"/>
    <w:basedOn w:val="Tabelanormal"/>
    <w:uiPriority w:val="99"/>
    <w:qFormat/>
    <w:tblPr>
      <w:tblBorders>
        <w:right w:val="single" w:sz="4" w:space="0" w:color="7F7F7F" w:themeColor="text1" w:themeTint="80"/>
      </w:tblBorders>
    </w:tblPr>
    <w:tblStylePr w:type="firstRow">
      <w:rPr>
        <w:i/>
        <w:color w:val="7F7F7F" w:themeColor="text1" w:themeTint="80"/>
        <w:sz w:val="22"/>
      </w:rPr>
      <w:tblPr/>
      <w:tcPr>
        <w:tcBorders>
          <w:top w:val="none" w:sz="4" w:space="0" w:color="000000"/>
          <w:left w:val="none" w:sz="4" w:space="0" w:color="000000"/>
          <w:bottom w:val="single" w:sz="4" w:space="0" w:color="000000" w:themeColor="text1"/>
          <w:right w:val="none" w:sz="4" w:space="0" w:color="000000"/>
        </w:tcBorders>
        <w:shd w:val="clear" w:color="FFFFFF" w:fill="FFFFFF" w:themeFill="light1"/>
      </w:tcPr>
    </w:tblStylePr>
    <w:tblStylePr w:type="lastRow">
      <w:rPr>
        <w:i/>
        <w:color w:val="7F7F7F" w:themeColor="text1" w:themeTint="80"/>
        <w:sz w:val="22"/>
      </w:rPr>
      <w:tblPr/>
      <w:tcPr>
        <w:tcBorders>
          <w:top w:val="single" w:sz="4" w:space="0" w:color="000000" w:themeColor="tex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7F7F7F" w:themeColor="text1" w:themeTint="80"/>
        <w:sz w:val="22"/>
      </w:rPr>
      <w:tblPr/>
      <w:tcPr>
        <w:tcBorders>
          <w:top w:val="none" w:sz="4" w:space="0" w:color="000000"/>
          <w:left w:val="none" w:sz="4" w:space="0" w:color="000000"/>
          <w:bottom w:val="none" w:sz="4" w:space="0" w:color="000000"/>
          <w:right w:val="single" w:sz="4" w:space="0" w:color="000000" w:themeColor="text1"/>
        </w:tcBorders>
        <w:shd w:val="clear" w:color="FFFFFF" w:fill="auto"/>
      </w:tcPr>
    </w:tblStylePr>
    <w:tblStylePr w:type="lastCol">
      <w:rPr>
        <w:i/>
        <w:color w:val="7F7F7F" w:themeColor="text1" w:themeTint="80"/>
        <w:sz w:val="22"/>
      </w:rPr>
      <w:tblPr/>
      <w:tcPr>
        <w:tcBorders>
          <w:top w:val="none" w:sz="4" w:space="0" w:color="000000"/>
          <w:left w:val="single" w:sz="4" w:space="0" w:color="000000" w:themeColor="text1"/>
          <w:bottom w:val="none" w:sz="4" w:space="0" w:color="000000"/>
          <w:right w:val="none" w:sz="4" w:space="0" w:color="000000"/>
        </w:tcBorders>
        <w:shd w:val="clear" w:color="FFFFFF" w:fill="auto"/>
      </w:tcPr>
    </w:tblStylePr>
    <w:tblStylePr w:type="band1Vert">
      <w:tblPr/>
      <w:tcPr>
        <w:shd w:val="clear" w:color="BFBFBF" w:fill="BFBFBF" w:themeFill="text1" w:themeFillTint="40"/>
      </w:tcPr>
    </w:tblStylePr>
    <w:tblStylePr w:type="band1Horz">
      <w:rPr>
        <w:color w:val="7F7F7F" w:themeColor="text1" w:themeTint="80"/>
        <w:sz w:val="22"/>
      </w:rPr>
      <w:tblPr/>
      <w:tcPr>
        <w:shd w:val="clear" w:color="BFBFBF"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Tabelanormal"/>
    <w:uiPriority w:val="99"/>
    <w:qFormat/>
    <w:tblPr>
      <w:tblBorders>
        <w:right w:val="single" w:sz="4" w:space="0" w:color="4F81BD" w:themeColor="accent1"/>
      </w:tblBorders>
    </w:tblPr>
    <w:tblStylePr w:type="firstRow">
      <w:rPr>
        <w:i/>
        <w:color w:val="2A4A70" w:themeColor="accent1" w:themeShade="94"/>
        <w:sz w:val="22"/>
      </w:rPr>
      <w:tblPr/>
      <w:tcPr>
        <w:tcBorders>
          <w:top w:val="none" w:sz="4" w:space="0" w:color="000000"/>
          <w:left w:val="none" w:sz="4" w:space="0" w:color="000000"/>
          <w:bottom w:val="single" w:sz="4" w:space="0" w:color="4F81BD" w:themeColor="accent1"/>
          <w:right w:val="none" w:sz="4" w:space="0" w:color="000000"/>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2A4A70" w:themeColor="accent1" w:themeShade="94"/>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i/>
        <w:color w:val="2A4A70" w:themeColor="accent1" w:themeShade="94"/>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Tabelanormal"/>
    <w:uiPriority w:val="99"/>
    <w:qFormat/>
    <w:tblPr>
      <w:tblBorders>
        <w:right w:val="single" w:sz="4" w:space="0" w:color="D99695" w:themeColor="accent2" w:themeTint="97"/>
      </w:tblBorders>
    </w:tblPr>
    <w:tblStylePr w:type="firstRow">
      <w:rPr>
        <w:i/>
        <w:color w:val="DA9796" w:themeColor="accent2" w:themeTint="96"/>
        <w:sz w:val="22"/>
      </w:rPr>
      <w:tblPr/>
      <w:tcPr>
        <w:tcBorders>
          <w:top w:val="none" w:sz="4" w:space="0" w:color="000000"/>
          <w:left w:val="none" w:sz="4" w:space="0" w:color="000000"/>
          <w:bottom w:val="single" w:sz="4" w:space="0" w:color="C0504D" w:themeColor="accent2"/>
          <w:right w:val="none" w:sz="4" w:space="0" w:color="000000"/>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DA9796" w:themeColor="accent2" w:themeTint="96"/>
        <w:sz w:val="22"/>
      </w:rPr>
      <w:tblPr/>
      <w:tcPr>
        <w:tcBorders>
          <w:top w:val="none" w:sz="4" w:space="0" w:color="000000"/>
          <w:left w:val="none" w:sz="4" w:space="0" w:color="000000"/>
          <w:bottom w:val="none" w:sz="4" w:space="0" w:color="000000"/>
          <w:right w:val="single" w:sz="4" w:space="0" w:color="C0504D" w:themeColor="accent2"/>
        </w:tcBorders>
        <w:shd w:val="clear" w:color="FFFFFF" w:fill="auto"/>
      </w:tcPr>
    </w:tblStylePr>
    <w:tblStylePr w:type="lastCol">
      <w:rPr>
        <w:i/>
        <w:color w:val="DA9796" w:themeColor="accent2" w:themeTint="96"/>
        <w:sz w:val="22"/>
      </w:rPr>
      <w:tblPr/>
      <w:tcPr>
        <w:tcBorders>
          <w:top w:val="none" w:sz="4" w:space="0" w:color="000000"/>
          <w:left w:val="single" w:sz="4" w:space="0" w:color="C0504D" w:themeColor="accent2"/>
          <w:bottom w:val="none" w:sz="4" w:space="0" w:color="000000"/>
          <w:right w:val="none" w:sz="4" w:space="0" w:color="000000"/>
        </w:tcBorders>
        <w:shd w:val="clear" w:color="FFFFFF" w:fill="auto"/>
      </w:tcPr>
    </w:tblStylePr>
    <w:tblStylePr w:type="band1Vert">
      <w:tblPr/>
      <w:tcPr>
        <w:shd w:val="clear" w:color="EFD2D2" w:fill="EFD2D2" w:themeFill="accent2" w:themeFillTint="40"/>
      </w:tcPr>
    </w:tblStylePr>
    <w:tblStylePr w:type="band1Horz">
      <w:rPr>
        <w:color w:val="DA9796" w:themeColor="accent2" w:themeTint="96"/>
        <w:sz w:val="22"/>
      </w:rPr>
      <w:tblPr/>
      <w:tcPr>
        <w:shd w:val="clear" w:color="EFD2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Tabelanormal"/>
    <w:uiPriority w:val="99"/>
    <w:qFormat/>
    <w:tblPr>
      <w:tblBorders>
        <w:right w:val="single" w:sz="4" w:space="0" w:color="C3D69B" w:themeColor="accent3" w:themeTint="98"/>
      </w:tblBorders>
    </w:tblPr>
    <w:tblStylePr w:type="firstRow">
      <w:rPr>
        <w:i/>
        <w:color w:val="C2D69B" w:themeColor="accent3" w:themeTint="99"/>
        <w:sz w:val="22"/>
      </w:rPr>
      <w:tblPr/>
      <w:tcPr>
        <w:tcBorders>
          <w:top w:val="none" w:sz="4" w:space="0" w:color="000000"/>
          <w:left w:val="none" w:sz="4" w:space="0" w:color="000000"/>
          <w:bottom w:val="single" w:sz="4" w:space="0" w:color="9BBB59" w:themeColor="accent3"/>
          <w:right w:val="none" w:sz="4" w:space="0" w:color="000000"/>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C2D69B" w:themeColor="accent3" w:themeTint="99"/>
        <w:sz w:val="22"/>
      </w:rPr>
      <w:tblPr/>
      <w:tcPr>
        <w:tcBorders>
          <w:top w:val="none" w:sz="4" w:space="0" w:color="000000"/>
          <w:left w:val="none" w:sz="4" w:space="0" w:color="000000"/>
          <w:bottom w:val="none" w:sz="4" w:space="0" w:color="000000"/>
          <w:right w:val="single" w:sz="4" w:space="0" w:color="9BBB59" w:themeColor="accent3"/>
        </w:tcBorders>
        <w:shd w:val="clear" w:color="FFFFFF" w:fill="auto"/>
      </w:tcPr>
    </w:tblStylePr>
    <w:tblStylePr w:type="lastCol">
      <w:rPr>
        <w:i/>
        <w:color w:val="C2D69B" w:themeColor="accent3" w:themeTint="99"/>
        <w:sz w:val="22"/>
      </w:rPr>
      <w:tblPr/>
      <w:tcPr>
        <w:tcBorders>
          <w:top w:val="none" w:sz="4" w:space="0" w:color="000000"/>
          <w:left w:val="single" w:sz="4" w:space="0" w:color="9BBB59" w:themeColor="accent3"/>
          <w:bottom w:val="none" w:sz="4" w:space="0" w:color="000000"/>
          <w:right w:val="none" w:sz="4" w:space="0" w:color="000000"/>
        </w:tcBorders>
        <w:shd w:val="clear" w:color="FFFFFF" w:fill="auto"/>
      </w:tcPr>
    </w:tblStylePr>
    <w:tblStylePr w:type="band1Vert">
      <w:tblPr/>
      <w:tcPr>
        <w:shd w:val="clear" w:color="E5EED5" w:fill="E5EED5" w:themeFill="accent3" w:themeFillTint="40"/>
      </w:tcPr>
    </w:tblStylePr>
    <w:tblStylePr w:type="band1Horz">
      <w:rPr>
        <w:color w:val="C2D69B" w:themeColor="accent3" w:themeTint="99"/>
        <w:sz w:val="22"/>
      </w:rPr>
      <w:tblPr/>
      <w:tcPr>
        <w:shd w:val="clear" w:color="E5EE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Tabelanormal"/>
    <w:uiPriority w:val="99"/>
    <w:qFormat/>
    <w:tblPr>
      <w:tblBorders>
        <w:right w:val="single" w:sz="4" w:space="0" w:color="B2A1C6" w:themeColor="accent4" w:themeTint="9A"/>
      </w:tblBorders>
    </w:tblPr>
    <w:tblStylePr w:type="firstRow">
      <w:rPr>
        <w:i/>
        <w:color w:val="B2A1C7" w:themeColor="accent4" w:themeTint="99"/>
        <w:sz w:val="22"/>
      </w:rPr>
      <w:tblPr/>
      <w:tcPr>
        <w:tcBorders>
          <w:top w:val="none" w:sz="4" w:space="0" w:color="000000"/>
          <w:left w:val="none" w:sz="4" w:space="0" w:color="000000"/>
          <w:bottom w:val="single" w:sz="4" w:space="0" w:color="8064A2" w:themeColor="accent4"/>
          <w:right w:val="none" w:sz="4" w:space="0" w:color="000000"/>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B2A1C7" w:themeColor="accent4" w:themeTint="99"/>
        <w:sz w:val="22"/>
      </w:rPr>
      <w:tblPr/>
      <w:tcPr>
        <w:tcBorders>
          <w:top w:val="none" w:sz="4" w:space="0" w:color="000000"/>
          <w:left w:val="none" w:sz="4" w:space="0" w:color="000000"/>
          <w:bottom w:val="none" w:sz="4" w:space="0" w:color="000000"/>
          <w:right w:val="single" w:sz="4" w:space="0" w:color="8064A2" w:themeColor="accent4"/>
        </w:tcBorders>
        <w:shd w:val="clear" w:color="FFFFFF" w:fill="auto"/>
      </w:tcPr>
    </w:tblStylePr>
    <w:tblStylePr w:type="lastCol">
      <w:rPr>
        <w:i/>
        <w:color w:val="B2A1C7" w:themeColor="accent4" w:themeTint="99"/>
        <w:sz w:val="22"/>
      </w:rPr>
      <w:tblPr/>
      <w:tcPr>
        <w:tcBorders>
          <w:top w:val="none" w:sz="4" w:space="0" w:color="000000"/>
          <w:left w:val="single" w:sz="4" w:space="0" w:color="8064A2" w:themeColor="accent4"/>
          <w:bottom w:val="none" w:sz="4" w:space="0" w:color="000000"/>
          <w:right w:val="none" w:sz="4" w:space="0" w:color="000000"/>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Tabelanormal"/>
    <w:uiPriority w:val="99"/>
    <w:qFormat/>
    <w:tblPr>
      <w:tblBorders>
        <w:right w:val="single" w:sz="4" w:space="0" w:color="92CCDC" w:themeColor="accent5" w:themeTint="9A"/>
      </w:tblBorders>
    </w:tblPr>
    <w:tblStylePr w:type="firstRow">
      <w:rPr>
        <w:i/>
        <w:color w:val="92CDDC" w:themeColor="accent5" w:themeTint="99"/>
        <w:sz w:val="22"/>
      </w:rPr>
      <w:tblPr/>
      <w:tcPr>
        <w:tcBorders>
          <w:top w:val="none" w:sz="4" w:space="0" w:color="000000"/>
          <w:left w:val="none" w:sz="4" w:space="0" w:color="000000"/>
          <w:bottom w:val="single" w:sz="4" w:space="0" w:color="4BACC6" w:themeColor="accent5"/>
          <w:right w:val="none" w:sz="4" w:space="0" w:color="000000"/>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92CDDC" w:themeColor="accent5" w:themeTint="99"/>
        <w:sz w:val="22"/>
      </w:rPr>
      <w:tblPr/>
      <w:tcPr>
        <w:tcBorders>
          <w:top w:val="none" w:sz="4" w:space="0" w:color="000000"/>
          <w:left w:val="none" w:sz="4" w:space="0" w:color="000000"/>
          <w:bottom w:val="none" w:sz="4" w:space="0" w:color="000000"/>
          <w:right w:val="single" w:sz="4" w:space="0" w:color="4BACC6" w:themeColor="accent5"/>
        </w:tcBorders>
        <w:shd w:val="clear" w:color="FFFFFF" w:fill="auto"/>
      </w:tcPr>
    </w:tblStylePr>
    <w:tblStylePr w:type="lastCol">
      <w:rPr>
        <w:i/>
        <w:color w:val="92CDDC" w:themeColor="accent5" w:themeTint="99"/>
        <w:sz w:val="22"/>
      </w:rPr>
      <w:tblPr/>
      <w:tcPr>
        <w:tcBorders>
          <w:top w:val="none" w:sz="4" w:space="0" w:color="000000"/>
          <w:left w:val="single" w:sz="4" w:space="0" w:color="4BACC6" w:themeColor="accent5"/>
          <w:bottom w:val="none" w:sz="4" w:space="0" w:color="000000"/>
          <w:right w:val="none" w:sz="4" w:space="0" w:color="000000"/>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Tabelanormal"/>
    <w:uiPriority w:val="99"/>
    <w:qFormat/>
    <w:tblPr>
      <w:tblBorders>
        <w:right w:val="single" w:sz="4" w:space="0" w:color="FAC090" w:themeColor="accent6" w:themeTint="98"/>
      </w:tblBorders>
    </w:tblPr>
    <w:tblStylePr w:type="firstRow">
      <w:rPr>
        <w:i/>
        <w:color w:val="FABF8F" w:themeColor="accent6" w:themeTint="99"/>
        <w:sz w:val="22"/>
      </w:rPr>
      <w:tblPr/>
      <w:tcPr>
        <w:tcBorders>
          <w:top w:val="none" w:sz="4" w:space="0" w:color="000000"/>
          <w:left w:val="none" w:sz="4" w:space="0" w:color="000000"/>
          <w:bottom w:val="single" w:sz="4" w:space="0" w:color="F79646" w:themeColor="accent6"/>
          <w:right w:val="none" w:sz="4" w:space="0" w:color="000000"/>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one" w:sz="4" w:space="0" w:color="000000"/>
          <w:bottom w:val="none" w:sz="4" w:space="0" w:color="000000"/>
          <w:right w:val="none" w:sz="4" w:space="0" w:color="000000"/>
        </w:tcBorders>
        <w:shd w:val="clear" w:color="FFFFFF" w:fill="FFFFFF" w:themeFill="light1"/>
      </w:tcPr>
    </w:tblStylePr>
    <w:tblStylePr w:type="firstCol">
      <w:pPr>
        <w:jc w:val="right"/>
      </w:pPr>
      <w:rPr>
        <w:i/>
        <w:color w:val="FABF8F" w:themeColor="accent6" w:themeTint="99"/>
        <w:sz w:val="22"/>
      </w:rPr>
      <w:tblPr/>
      <w:tcPr>
        <w:tcBorders>
          <w:top w:val="none" w:sz="4" w:space="0" w:color="000000"/>
          <w:left w:val="none" w:sz="4" w:space="0" w:color="000000"/>
          <w:bottom w:val="none" w:sz="4" w:space="0" w:color="000000"/>
          <w:right w:val="single" w:sz="4" w:space="0" w:color="F79646" w:themeColor="accent6"/>
        </w:tcBorders>
        <w:shd w:val="clear" w:color="FFFFFF" w:fill="auto"/>
      </w:tcPr>
    </w:tblStylePr>
    <w:tblStylePr w:type="lastCol">
      <w:rPr>
        <w:i/>
        <w:color w:val="FABF8F" w:themeColor="accent6" w:themeTint="99"/>
        <w:sz w:val="22"/>
      </w:rPr>
      <w:tblPr/>
      <w:tcPr>
        <w:tcBorders>
          <w:top w:val="none" w:sz="4" w:space="0" w:color="000000"/>
          <w:left w:val="single" w:sz="4" w:space="0" w:color="F79646" w:themeColor="accent6"/>
          <w:bottom w:val="none" w:sz="4" w:space="0" w:color="000000"/>
          <w:right w:val="none" w:sz="4" w:space="0" w:color="000000"/>
        </w:tcBorders>
        <w:shd w:val="clear" w:color="FFFFFF" w:fill="auto"/>
      </w:tcPr>
    </w:tblStylePr>
    <w:tblStylePr w:type="band1Vert">
      <w:tblPr/>
      <w:tcPr>
        <w:shd w:val="clear" w:color="FDE4D0" w:fill="FDE4D0" w:themeFill="accent6" w:themeFillTint="40"/>
      </w:tcPr>
    </w:tblStylePr>
    <w:tblStylePr w:type="band1Horz">
      <w:rPr>
        <w:color w:val="FABF8F" w:themeColor="accent6" w:themeTint="99"/>
        <w:sz w:val="22"/>
      </w:rPr>
      <w:tblPr/>
      <w:tcPr>
        <w:shd w:val="clear" w:color="FDE4D0" w:fill="FDE4D0" w:themeFill="accent6" w:themeFillTint="40"/>
      </w:tcPr>
    </w:tblStylePr>
    <w:tblStylePr w:type="band2Horz">
      <w:rPr>
        <w:color w:val="FABF8F" w:themeColor="accent6" w:themeTint="99"/>
        <w:sz w:val="22"/>
      </w:rPr>
    </w:tblStylePr>
  </w:style>
  <w:style w:type="table" w:customStyle="1" w:styleId="Lined-Accent">
    <w:name w:val="Lined - Accent"/>
    <w:basedOn w:val="Tabelanormal"/>
    <w:uiPriority w:val="99"/>
    <w:qFormat/>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Lined-Accent1">
    <w:name w:val="Lined - Accent 1"/>
    <w:basedOn w:val="Tabelanormal"/>
    <w:uiPriority w:val="99"/>
    <w:qFormat/>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Lined-Accent2">
    <w:name w:val="Lined - Accent 2"/>
    <w:basedOn w:val="Tabelanormal"/>
    <w:uiPriority w:val="99"/>
    <w:qFormat/>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Lined-Accent3">
    <w:name w:val="Lined - Accent 3"/>
    <w:basedOn w:val="Tabelanormal"/>
    <w:uiPriority w:val="99"/>
    <w:qFormat/>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Lined-Accent4">
    <w:name w:val="Lined - Accent 4"/>
    <w:basedOn w:val="Tabelanormal"/>
    <w:uiPriority w:val="99"/>
    <w:qFormat/>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Lined-Accent5">
    <w:name w:val="Lined - Accent 5"/>
    <w:basedOn w:val="Tabelanormal"/>
    <w:uiPriority w:val="99"/>
    <w:qFormat/>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Lined-Accent6">
    <w:name w:val="Lined - Accent 6"/>
    <w:basedOn w:val="Tabelanormal"/>
    <w:uiPriority w:val="99"/>
    <w:qFormat/>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Lined-Accent">
    <w:name w:val="Bordered &amp; Lined - Accent"/>
    <w:basedOn w:val="Tabelanormal"/>
    <w:uiPriority w:val="99"/>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sz w:val="22"/>
      </w:rPr>
      <w:tblPr/>
      <w:tcPr>
        <w:shd w:val="clear" w:color="7F7F7F" w:fill="7F7F7F" w:themeFill="text1" w:themeFillTint="80"/>
      </w:tcPr>
    </w:tblStylePr>
    <w:tblStylePr w:type="lastRow">
      <w:rPr>
        <w:sz w:val="22"/>
      </w:rPr>
      <w:tblPr/>
      <w:tcPr>
        <w:shd w:val="clear" w:color="7F7F7F" w:fill="7F7F7F" w:themeFill="text1" w:themeFillTint="80"/>
      </w:tcPr>
    </w:tblStylePr>
    <w:tblStylePr w:type="firstCol">
      <w:rPr>
        <w:sz w:val="22"/>
      </w:rPr>
      <w:tblPr/>
      <w:tcPr>
        <w:shd w:val="clear" w:color="7F7F7F" w:fill="7F7F7F" w:themeFill="text1" w:themeFillTint="80"/>
      </w:tcPr>
    </w:tblStylePr>
    <w:tblStylePr w:type="lastCol">
      <w:rPr>
        <w:sz w:val="22"/>
      </w:rPr>
      <w:tblPr/>
      <w:tcPr>
        <w:shd w:val="clear" w:color="7F7F7F" w:fill="7F7F7F" w:themeFill="text1" w:themeFillTint="80"/>
      </w:tcPr>
    </w:tblStylePr>
    <w:tblStylePr w:type="band1Vert">
      <w:rPr>
        <w:sz w:val="22"/>
      </w:rPr>
    </w:tblStylePr>
    <w:tblStylePr w:type="band2Vert">
      <w:rPr>
        <w:sz w:val="22"/>
      </w:rPr>
      <w:tblPr/>
      <w:tcPr>
        <w:shd w:val="clear" w:color="F2F2F2" w:fill="F2F2F2" w:themeFill="text1" w:themeFillTint="0D"/>
      </w:tcPr>
    </w:tblStylePr>
    <w:tblStylePr w:type="band1Horz">
      <w:rPr>
        <w:sz w:val="22"/>
      </w:rPr>
    </w:tblStylePr>
    <w:tblStylePr w:type="band2Horz">
      <w:rPr>
        <w:sz w:val="22"/>
      </w:rPr>
      <w:tblPr/>
      <w:tcPr>
        <w:shd w:val="clear" w:color="F2F2F2" w:fill="F2F2F2" w:themeFill="text1" w:themeFillTint="0D"/>
      </w:tcPr>
    </w:tblStylePr>
  </w:style>
  <w:style w:type="table" w:customStyle="1" w:styleId="BorderedLined-Accent1">
    <w:name w:val="Bordered &amp; Lined - Accent 1"/>
    <w:basedOn w:val="Tabelanormal"/>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sz w:val="22"/>
      </w:rPr>
      <w:tblPr/>
      <w:tcPr>
        <w:shd w:val="clear" w:color="5D8AC2" w:fill="5D8AC2" w:themeFill="accent1" w:themeFillTint="EA"/>
      </w:tcPr>
    </w:tblStylePr>
    <w:tblStylePr w:type="lastRow">
      <w:rPr>
        <w:sz w:val="22"/>
      </w:rPr>
      <w:tblPr/>
      <w:tcPr>
        <w:shd w:val="clear" w:color="5D8AC2" w:fill="5D8AC2" w:themeFill="accent1" w:themeFillTint="EA"/>
      </w:tcPr>
    </w:tblStylePr>
    <w:tblStylePr w:type="firstCol">
      <w:rPr>
        <w:sz w:val="22"/>
      </w:rPr>
      <w:tblPr/>
      <w:tcPr>
        <w:shd w:val="clear" w:color="5D8AC2" w:fill="5D8AC2" w:themeFill="accent1" w:themeFillTint="EA"/>
      </w:tcPr>
    </w:tblStylePr>
    <w:tblStylePr w:type="lastCol">
      <w:rPr>
        <w:sz w:val="22"/>
      </w:rPr>
      <w:tblPr/>
      <w:tcPr>
        <w:shd w:val="clear" w:color="5D8AC2" w:fill="5D8AC2" w:themeFill="accent1" w:themeFillTint="EA"/>
      </w:tcPr>
    </w:tblStylePr>
    <w:tblStylePr w:type="band1Vert">
      <w:rPr>
        <w:sz w:val="22"/>
      </w:rPr>
    </w:tblStylePr>
    <w:tblStylePr w:type="band2Vert">
      <w:rPr>
        <w:sz w:val="22"/>
      </w:rPr>
      <w:tblPr/>
      <w:tcPr>
        <w:shd w:val="clear" w:color="C7D7EA" w:fill="C7D7EA" w:themeFill="accent1" w:themeFillTint="50"/>
      </w:tcPr>
    </w:tblStylePr>
    <w:tblStylePr w:type="band1Horz">
      <w:rPr>
        <w:sz w:val="22"/>
      </w:rPr>
    </w:tblStylePr>
    <w:tblStylePr w:type="band2Horz">
      <w:rPr>
        <w:sz w:val="22"/>
      </w:rPr>
      <w:tblPr/>
      <w:tcPr>
        <w:shd w:val="clear" w:color="C7D7EA" w:fill="C7D7EA" w:themeFill="accent1" w:themeFillTint="50"/>
      </w:tcPr>
    </w:tblStylePr>
  </w:style>
  <w:style w:type="table" w:customStyle="1" w:styleId="BorderedLined-Accent2">
    <w:name w:val="Bordered &amp; Lined - Accent 2"/>
    <w:basedOn w:val="Tabelanormal"/>
    <w:uiPriority w:val="99"/>
    <w:qFormat/>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sz w:val="22"/>
      </w:rPr>
      <w:tblPr/>
      <w:tcPr>
        <w:shd w:val="clear" w:color="D99695" w:fill="D99695" w:themeFill="accent2" w:themeFillTint="97"/>
      </w:tcPr>
    </w:tblStylePr>
    <w:tblStylePr w:type="lastRow">
      <w:rPr>
        <w:sz w:val="22"/>
      </w:rPr>
      <w:tblPr/>
      <w:tcPr>
        <w:shd w:val="clear" w:color="D99695" w:fill="D99695" w:themeFill="accent2" w:themeFillTint="97"/>
      </w:tcPr>
    </w:tblStylePr>
    <w:tblStylePr w:type="firstCol">
      <w:rPr>
        <w:sz w:val="22"/>
      </w:rPr>
      <w:tblPr/>
      <w:tcPr>
        <w:shd w:val="clear" w:color="D99695" w:fill="D99695" w:themeFill="accent2" w:themeFillTint="97"/>
      </w:tcPr>
    </w:tblStylePr>
    <w:tblStylePr w:type="lastCol">
      <w:rPr>
        <w:sz w:val="22"/>
      </w:rPr>
      <w:tblPr/>
      <w:tcPr>
        <w:shd w:val="clear" w:color="D99695" w:fill="D99695" w:themeFill="accent2" w:themeFillTint="97"/>
      </w:tcPr>
    </w:tblStylePr>
    <w:tblStylePr w:type="band1Vert">
      <w:rPr>
        <w:sz w:val="22"/>
      </w:rPr>
    </w:tblStylePr>
    <w:tblStylePr w:type="band2Vert">
      <w:rPr>
        <w:sz w:val="22"/>
      </w:rPr>
      <w:tblPr/>
      <w:tcPr>
        <w:shd w:val="clear" w:color="F2DCDC" w:fill="F2DCDC" w:themeFill="accent2" w:themeFillTint="32"/>
      </w:tcPr>
    </w:tblStylePr>
    <w:tblStylePr w:type="band1Horz">
      <w:rPr>
        <w:sz w:val="22"/>
      </w:rPr>
    </w:tblStylePr>
    <w:tblStylePr w:type="band2Horz">
      <w:rPr>
        <w:sz w:val="22"/>
      </w:rPr>
      <w:tblPr/>
      <w:tcPr>
        <w:shd w:val="clear" w:color="F2DCDC" w:fill="F2DCDC" w:themeFill="accent2" w:themeFillTint="32"/>
      </w:tcPr>
    </w:tblStylePr>
  </w:style>
  <w:style w:type="table" w:customStyle="1" w:styleId="BorderedLined-Accent3">
    <w:name w:val="Bordered &amp; Lined - Accent 3"/>
    <w:basedOn w:val="Tabelanormal"/>
    <w:uiPriority w:val="99"/>
    <w:qFormat/>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sz w:val="22"/>
      </w:rPr>
      <w:tblPr/>
      <w:tcPr>
        <w:shd w:val="clear" w:color="9ABB59" w:fill="9ABB59" w:themeFill="accent3" w:themeFillTint="FE"/>
      </w:tcPr>
    </w:tblStylePr>
    <w:tblStylePr w:type="lastRow">
      <w:rPr>
        <w:sz w:val="22"/>
      </w:rPr>
      <w:tblPr/>
      <w:tcPr>
        <w:shd w:val="clear" w:color="9ABB59" w:fill="9ABB59" w:themeFill="accent3" w:themeFillTint="FE"/>
      </w:tcPr>
    </w:tblStylePr>
    <w:tblStylePr w:type="firstCol">
      <w:rPr>
        <w:sz w:val="22"/>
      </w:rPr>
      <w:tblPr/>
      <w:tcPr>
        <w:shd w:val="clear" w:color="9ABB59" w:fill="9ABB59" w:themeFill="accent3" w:themeFillTint="FE"/>
      </w:tcPr>
    </w:tblStylePr>
    <w:tblStylePr w:type="lastCol">
      <w:rPr>
        <w:sz w:val="22"/>
      </w:rPr>
      <w:tblPr/>
      <w:tcPr>
        <w:shd w:val="clear" w:color="9ABB59" w:fill="9ABB59" w:themeFill="accent3" w:themeFillTint="FE"/>
      </w:tcPr>
    </w:tblStylePr>
    <w:tblStylePr w:type="band1Vert">
      <w:rPr>
        <w:sz w:val="22"/>
      </w:rPr>
    </w:tblStylePr>
    <w:tblStylePr w:type="band2Vert">
      <w:rPr>
        <w:sz w:val="22"/>
      </w:rPr>
      <w:tblPr/>
      <w:tcPr>
        <w:shd w:val="clear" w:color="EAF1DC" w:fill="EAF1DC" w:themeFill="accent3" w:themeFillTint="34"/>
      </w:tcPr>
    </w:tblStylePr>
    <w:tblStylePr w:type="band1Horz">
      <w:rPr>
        <w:sz w:val="22"/>
      </w:rPr>
    </w:tblStylePr>
    <w:tblStylePr w:type="band2Horz">
      <w:rPr>
        <w:sz w:val="22"/>
      </w:rPr>
      <w:tblPr/>
      <w:tcPr>
        <w:shd w:val="clear" w:color="EAF1DC" w:fill="EAF1DC" w:themeFill="accent3" w:themeFillTint="34"/>
      </w:tcPr>
    </w:tblStylePr>
  </w:style>
  <w:style w:type="table" w:customStyle="1" w:styleId="BorderedLined-Accent4">
    <w:name w:val="Bordered &amp; Lined - Accent 4"/>
    <w:basedOn w:val="Tabelanormal"/>
    <w:uiPriority w:val="99"/>
    <w:qFormat/>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sz w:val="22"/>
      </w:rPr>
      <w:tblPr/>
      <w:tcPr>
        <w:shd w:val="clear" w:color="B2A1C6" w:fill="B2A1C6" w:themeFill="accent4" w:themeFillTint="9A"/>
      </w:tcPr>
    </w:tblStylePr>
    <w:tblStylePr w:type="lastRow">
      <w:rPr>
        <w:sz w:val="22"/>
      </w:rPr>
      <w:tblPr/>
      <w:tcPr>
        <w:shd w:val="clear" w:color="B2A1C6" w:fill="B2A1C6" w:themeFill="accent4" w:themeFillTint="9A"/>
      </w:tcPr>
    </w:tblStylePr>
    <w:tblStylePr w:type="firstCol">
      <w:rPr>
        <w:sz w:val="22"/>
      </w:rPr>
      <w:tblPr/>
      <w:tcPr>
        <w:shd w:val="clear" w:color="B2A1C6" w:fill="B2A1C6" w:themeFill="accent4" w:themeFillTint="9A"/>
      </w:tcPr>
    </w:tblStylePr>
    <w:tblStylePr w:type="lastCol">
      <w:rPr>
        <w:sz w:val="22"/>
      </w:rPr>
      <w:tblPr/>
      <w:tcPr>
        <w:shd w:val="clear" w:color="B2A1C6" w:fill="B2A1C6" w:themeFill="accent4" w:themeFillTint="9A"/>
      </w:tcPr>
    </w:tblStylePr>
    <w:tblStylePr w:type="band1Vert">
      <w:rPr>
        <w:sz w:val="22"/>
      </w:rPr>
    </w:tblStylePr>
    <w:tblStylePr w:type="band2Vert">
      <w:rPr>
        <w:sz w:val="22"/>
      </w:rPr>
      <w:tblPr/>
      <w:tcPr>
        <w:shd w:val="clear" w:color="E5DFEC" w:fill="E5DFEC" w:themeFill="accent4" w:themeFillTint="34"/>
      </w:tcPr>
    </w:tblStylePr>
    <w:tblStylePr w:type="band1Horz">
      <w:rPr>
        <w:sz w:val="22"/>
      </w:rPr>
    </w:tblStylePr>
    <w:tblStylePr w:type="band2Horz">
      <w:rPr>
        <w:sz w:val="22"/>
      </w:rPr>
      <w:tblPr/>
      <w:tcPr>
        <w:shd w:val="clear" w:color="E5DFEC" w:fill="E5DFEC" w:themeFill="accent4" w:themeFillTint="34"/>
      </w:tcPr>
    </w:tblStylePr>
  </w:style>
  <w:style w:type="table" w:customStyle="1" w:styleId="BorderedLined-Accent5">
    <w:name w:val="Bordered &amp; Lined - Accent 5"/>
    <w:basedOn w:val="Tabelanormal"/>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sz w:val="22"/>
      </w:rPr>
      <w:tblPr/>
      <w:tcPr>
        <w:shd w:val="clear" w:color="4BACC6" w:fill="4BACC6" w:themeFill="accent5"/>
      </w:tcPr>
    </w:tblStylePr>
    <w:tblStylePr w:type="lastRow">
      <w:rPr>
        <w:sz w:val="22"/>
      </w:rPr>
      <w:tblPr/>
      <w:tcPr>
        <w:shd w:val="clear" w:color="4BACC6" w:fill="4BACC6" w:themeFill="accent5"/>
      </w:tcPr>
    </w:tblStylePr>
    <w:tblStylePr w:type="firstCol">
      <w:rPr>
        <w:sz w:val="22"/>
      </w:rPr>
      <w:tblPr/>
      <w:tcPr>
        <w:shd w:val="clear" w:color="4BACC6" w:fill="4BACC6" w:themeFill="accent5"/>
      </w:tcPr>
    </w:tblStylePr>
    <w:tblStylePr w:type="lastCol">
      <w:rPr>
        <w:sz w:val="22"/>
      </w:rPr>
      <w:tblPr/>
      <w:tcPr>
        <w:shd w:val="clear" w:color="4BACC6" w:fill="4BACC6" w:themeFill="accent5"/>
      </w:tcPr>
    </w:tblStylePr>
    <w:tblStylePr w:type="band1Vert">
      <w:rPr>
        <w:sz w:val="22"/>
      </w:rPr>
    </w:tblStylePr>
    <w:tblStylePr w:type="band2Vert">
      <w:rPr>
        <w:sz w:val="22"/>
      </w:rPr>
      <w:tblPr/>
      <w:tcPr>
        <w:shd w:val="clear" w:color="DAEEF3" w:fill="DAEEF3" w:themeFill="accent5" w:themeFillTint="34"/>
      </w:tcPr>
    </w:tblStylePr>
    <w:tblStylePr w:type="band1Horz">
      <w:rPr>
        <w:sz w:val="22"/>
      </w:rPr>
    </w:tblStylePr>
    <w:tblStylePr w:type="band2Horz">
      <w:rPr>
        <w:sz w:val="22"/>
      </w:rPr>
      <w:tblPr/>
      <w:tcPr>
        <w:shd w:val="clear" w:color="DAEEF3" w:fill="DAEEF3" w:themeFill="accent5" w:themeFillTint="34"/>
      </w:tcPr>
    </w:tblStylePr>
  </w:style>
  <w:style w:type="table" w:customStyle="1" w:styleId="BorderedLined-Accent6">
    <w:name w:val="Bordered &amp; Lined - Accent 6"/>
    <w:basedOn w:val="Tabelanormal"/>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sz w:val="22"/>
      </w:rPr>
      <w:tblPr/>
      <w:tcPr>
        <w:shd w:val="clear" w:color="F79646" w:fill="F79646" w:themeFill="accent6"/>
      </w:tcPr>
    </w:tblStylePr>
    <w:tblStylePr w:type="lastRow">
      <w:rPr>
        <w:sz w:val="22"/>
      </w:rPr>
      <w:tblPr/>
      <w:tcPr>
        <w:shd w:val="clear" w:color="F79646" w:fill="F79646" w:themeFill="accent6"/>
      </w:tcPr>
    </w:tblStylePr>
    <w:tblStylePr w:type="firstCol">
      <w:rPr>
        <w:sz w:val="22"/>
      </w:rPr>
      <w:tblPr/>
      <w:tcPr>
        <w:shd w:val="clear" w:color="F79646" w:fill="F79646" w:themeFill="accent6"/>
      </w:tcPr>
    </w:tblStylePr>
    <w:tblStylePr w:type="lastCol">
      <w:rPr>
        <w:sz w:val="22"/>
      </w:rPr>
      <w:tblPr/>
      <w:tcPr>
        <w:shd w:val="clear" w:color="F79646" w:fill="F79646" w:themeFill="accent6"/>
      </w:tcPr>
    </w:tblStylePr>
    <w:tblStylePr w:type="band1Vert">
      <w:rPr>
        <w:sz w:val="22"/>
      </w:rPr>
    </w:tblStylePr>
    <w:tblStylePr w:type="band2Vert">
      <w:rPr>
        <w:sz w:val="22"/>
      </w:rPr>
      <w:tblPr/>
      <w:tcPr>
        <w:shd w:val="clear" w:color="FDE9D8" w:fill="FDE9D8" w:themeFill="accent6" w:themeFillTint="34"/>
      </w:tcPr>
    </w:tblStylePr>
    <w:tblStylePr w:type="band1Horz">
      <w:rPr>
        <w:sz w:val="22"/>
      </w:rPr>
    </w:tblStylePr>
    <w:tblStylePr w:type="band2Horz">
      <w:rPr>
        <w:sz w:val="22"/>
      </w:rPr>
      <w:tblPr/>
      <w:tcPr>
        <w:shd w:val="clear" w:color="FDE9D8" w:fill="FDE9D8" w:themeFill="accent6" w:themeFillTint="34"/>
      </w:tcPr>
    </w:tblStylePr>
  </w:style>
  <w:style w:type="table" w:customStyle="1" w:styleId="Bordered">
    <w:name w:val="Bordered"/>
    <w:basedOn w:val="Tabelanormal"/>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elanormal"/>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elanormal"/>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elanormal"/>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elanormal"/>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elanormal"/>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elanormal"/>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styleId="MenoPendente">
    <w:name w:val="Unresolved Mention"/>
    <w:basedOn w:val="Fontepargpadro"/>
    <w:uiPriority w:val="99"/>
    <w:semiHidden/>
    <w:unhideWhenUsed/>
    <w:rsid w:val="00E777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1903">
      <w:bodyDiv w:val="1"/>
      <w:marLeft w:val="0"/>
      <w:marRight w:val="0"/>
      <w:marTop w:val="0"/>
      <w:marBottom w:val="0"/>
      <w:divBdr>
        <w:top w:val="none" w:sz="0" w:space="0" w:color="auto"/>
        <w:left w:val="none" w:sz="0" w:space="0" w:color="auto"/>
        <w:bottom w:val="none" w:sz="0" w:space="0" w:color="auto"/>
        <w:right w:val="none" w:sz="0" w:space="0" w:color="auto"/>
      </w:divBdr>
    </w:div>
    <w:div w:id="166599361">
      <w:bodyDiv w:val="1"/>
      <w:marLeft w:val="0"/>
      <w:marRight w:val="0"/>
      <w:marTop w:val="0"/>
      <w:marBottom w:val="0"/>
      <w:divBdr>
        <w:top w:val="none" w:sz="0" w:space="0" w:color="auto"/>
        <w:left w:val="none" w:sz="0" w:space="0" w:color="auto"/>
        <w:bottom w:val="none" w:sz="0" w:space="0" w:color="auto"/>
        <w:right w:val="none" w:sz="0" w:space="0" w:color="auto"/>
      </w:divBdr>
    </w:div>
    <w:div w:id="458569165">
      <w:bodyDiv w:val="1"/>
      <w:marLeft w:val="0"/>
      <w:marRight w:val="0"/>
      <w:marTop w:val="0"/>
      <w:marBottom w:val="0"/>
      <w:divBdr>
        <w:top w:val="none" w:sz="0" w:space="0" w:color="auto"/>
        <w:left w:val="none" w:sz="0" w:space="0" w:color="auto"/>
        <w:bottom w:val="none" w:sz="0" w:space="0" w:color="auto"/>
        <w:right w:val="none" w:sz="0" w:space="0" w:color="auto"/>
      </w:divBdr>
    </w:div>
    <w:div w:id="586230645">
      <w:bodyDiv w:val="1"/>
      <w:marLeft w:val="0"/>
      <w:marRight w:val="0"/>
      <w:marTop w:val="0"/>
      <w:marBottom w:val="0"/>
      <w:divBdr>
        <w:top w:val="none" w:sz="0" w:space="0" w:color="auto"/>
        <w:left w:val="none" w:sz="0" w:space="0" w:color="auto"/>
        <w:bottom w:val="none" w:sz="0" w:space="0" w:color="auto"/>
        <w:right w:val="none" w:sz="0" w:space="0" w:color="auto"/>
      </w:divBdr>
    </w:div>
    <w:div w:id="694813462">
      <w:bodyDiv w:val="1"/>
      <w:marLeft w:val="0"/>
      <w:marRight w:val="0"/>
      <w:marTop w:val="0"/>
      <w:marBottom w:val="0"/>
      <w:divBdr>
        <w:top w:val="none" w:sz="0" w:space="0" w:color="auto"/>
        <w:left w:val="none" w:sz="0" w:space="0" w:color="auto"/>
        <w:bottom w:val="none" w:sz="0" w:space="0" w:color="auto"/>
        <w:right w:val="none" w:sz="0" w:space="0" w:color="auto"/>
      </w:divBdr>
    </w:div>
    <w:div w:id="1078407149">
      <w:bodyDiv w:val="1"/>
      <w:marLeft w:val="0"/>
      <w:marRight w:val="0"/>
      <w:marTop w:val="0"/>
      <w:marBottom w:val="0"/>
      <w:divBdr>
        <w:top w:val="none" w:sz="0" w:space="0" w:color="auto"/>
        <w:left w:val="none" w:sz="0" w:space="0" w:color="auto"/>
        <w:bottom w:val="none" w:sz="0" w:space="0" w:color="auto"/>
        <w:right w:val="none" w:sz="0" w:space="0" w:color="auto"/>
      </w:divBdr>
    </w:div>
    <w:div w:id="1212501036">
      <w:bodyDiv w:val="1"/>
      <w:marLeft w:val="0"/>
      <w:marRight w:val="0"/>
      <w:marTop w:val="0"/>
      <w:marBottom w:val="0"/>
      <w:divBdr>
        <w:top w:val="none" w:sz="0" w:space="0" w:color="auto"/>
        <w:left w:val="none" w:sz="0" w:space="0" w:color="auto"/>
        <w:bottom w:val="none" w:sz="0" w:space="0" w:color="auto"/>
        <w:right w:val="none" w:sz="0" w:space="0" w:color="auto"/>
      </w:divBdr>
    </w:div>
    <w:div w:id="1692875977">
      <w:bodyDiv w:val="1"/>
      <w:marLeft w:val="0"/>
      <w:marRight w:val="0"/>
      <w:marTop w:val="0"/>
      <w:marBottom w:val="0"/>
      <w:divBdr>
        <w:top w:val="none" w:sz="0" w:space="0" w:color="auto"/>
        <w:left w:val="none" w:sz="0" w:space="0" w:color="auto"/>
        <w:bottom w:val="none" w:sz="0" w:space="0" w:color="auto"/>
        <w:right w:val="none" w:sz="0" w:space="0" w:color="auto"/>
      </w:divBdr>
    </w:div>
    <w:div w:id="1752771207">
      <w:bodyDiv w:val="1"/>
      <w:marLeft w:val="0"/>
      <w:marRight w:val="0"/>
      <w:marTop w:val="0"/>
      <w:marBottom w:val="0"/>
      <w:divBdr>
        <w:top w:val="none" w:sz="0" w:space="0" w:color="auto"/>
        <w:left w:val="none" w:sz="0" w:space="0" w:color="auto"/>
        <w:bottom w:val="none" w:sz="0" w:space="0" w:color="auto"/>
        <w:right w:val="none" w:sz="0" w:space="0" w:color="auto"/>
      </w:divBdr>
    </w:div>
    <w:div w:id="1882933978">
      <w:bodyDiv w:val="1"/>
      <w:marLeft w:val="0"/>
      <w:marRight w:val="0"/>
      <w:marTop w:val="0"/>
      <w:marBottom w:val="0"/>
      <w:divBdr>
        <w:top w:val="none" w:sz="0" w:space="0" w:color="auto"/>
        <w:left w:val="none" w:sz="0" w:space="0" w:color="auto"/>
        <w:bottom w:val="none" w:sz="0" w:space="0" w:color="auto"/>
        <w:right w:val="none" w:sz="0" w:space="0" w:color="auto"/>
      </w:divBdr>
    </w:div>
    <w:div w:id="2002149075">
      <w:bodyDiv w:val="1"/>
      <w:marLeft w:val="0"/>
      <w:marRight w:val="0"/>
      <w:marTop w:val="0"/>
      <w:marBottom w:val="0"/>
      <w:divBdr>
        <w:top w:val="none" w:sz="0" w:space="0" w:color="auto"/>
        <w:left w:val="none" w:sz="0" w:space="0" w:color="auto"/>
        <w:bottom w:val="none" w:sz="0" w:space="0" w:color="auto"/>
        <w:right w:val="none" w:sz="0" w:space="0" w:color="auto"/>
      </w:divBdr>
    </w:div>
    <w:div w:id="2024503499">
      <w:bodyDiv w:val="1"/>
      <w:marLeft w:val="0"/>
      <w:marRight w:val="0"/>
      <w:marTop w:val="0"/>
      <w:marBottom w:val="0"/>
      <w:divBdr>
        <w:top w:val="none" w:sz="0" w:space="0" w:color="auto"/>
        <w:left w:val="none" w:sz="0" w:space="0" w:color="auto"/>
        <w:bottom w:val="none" w:sz="0" w:space="0" w:color="auto"/>
        <w:right w:val="none" w:sz="0" w:space="0" w:color="auto"/>
      </w:divBdr>
    </w:div>
    <w:div w:id="2031949694">
      <w:bodyDiv w:val="1"/>
      <w:marLeft w:val="0"/>
      <w:marRight w:val="0"/>
      <w:marTop w:val="0"/>
      <w:marBottom w:val="0"/>
      <w:divBdr>
        <w:top w:val="none" w:sz="0" w:space="0" w:color="auto"/>
        <w:left w:val="none" w:sz="0" w:space="0" w:color="auto"/>
        <w:bottom w:val="none" w:sz="0" w:space="0" w:color="auto"/>
        <w:right w:val="none" w:sz="0" w:space="0" w:color="auto"/>
      </w:divBdr>
    </w:div>
    <w:div w:id="2111198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s://www.portaltransparencia.gov.br/sancoes/ceis" TargetMode="External"/><Relationship Id="rId26" Type="http://schemas.openxmlformats.org/officeDocument/2006/relationships/hyperlink" Target="http://www.santabarbaradosul.rs.gov.br/" TargetMode="External"/><Relationship Id="rId39"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pregaobanrisul.com.b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_ato2007-2010/2009/lei/l12187.htm" TargetMode="External"/><Relationship Id="rId20" Type="http://schemas.openxmlformats.org/officeDocument/2006/relationships/hyperlink" Target="https://www.planalto.gov.br/ccivil_03/leis/l8429.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egaobanrisul.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pregaobanrisul.com.br/"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santabarbaradosul.rs.gov.br/" TargetMode="External"/><Relationship Id="rId10" Type="http://schemas.openxmlformats.org/officeDocument/2006/relationships/endnotes" Target="endnotes.xml"/><Relationship Id="rId19" Type="http://schemas.openxmlformats.org/officeDocument/2006/relationships/hyperlink" Target="https://www.portaltransparencia.gov.br/sancoes/cnep" TargetMode="External"/><Relationship Id="rId31" Type="http://schemas.openxmlformats.org/officeDocument/2006/relationships/hyperlink" Target="mailto:licita@santabarbaradosul.rs.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pregaobanrisul.com.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santabarbaradosul.rs.gov.br/" TargetMode="External"/><Relationship Id="rId3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Props1.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docProps/app.xml><?xml version="1.0" encoding="utf-8"?>
<Properties xmlns="http://schemas.openxmlformats.org/officeDocument/2006/extended-properties" xmlns:vt="http://schemas.openxmlformats.org/officeDocument/2006/docPropsVTypes">
  <Template>Normal.dotm</Template>
  <TotalTime>1338</TotalTime>
  <Pages>41</Pages>
  <Words>24935</Words>
  <Characters>134653</Characters>
  <Application>Microsoft Office Word</Application>
  <DocSecurity>0</DocSecurity>
  <Lines>1122</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dc:creator>
  <dc:description/>
  <cp:lastModifiedBy>licitacao</cp:lastModifiedBy>
  <cp:revision>142</cp:revision>
  <cp:lastPrinted>2025-08-18T14:02:00Z</cp:lastPrinted>
  <dcterms:created xsi:type="dcterms:W3CDTF">2024-02-15T20:07:00Z</dcterms:created>
  <dcterms:modified xsi:type="dcterms:W3CDTF">2025-08-18T14:02:00Z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ICV">
    <vt:lpwstr>31095916759F41F785D3FDA5FAC73A08_13</vt:lpwstr>
  </property>
  <property fmtid="{D5CDD505-2E9C-101B-9397-08002B2CF9AE}" pid="4" name="KSOProductBuildVer">
    <vt:lpwstr>1046-12.2.0.13306</vt:lpwstr>
  </property>
  <property fmtid="{D5CDD505-2E9C-101B-9397-08002B2CF9AE}" pid="5" name="MediaServiceImageTags">
    <vt:lpwstr/>
  </property>
</Properties>
</file>