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AFC69D" w14:textId="77777777" w:rsidR="00575174" w:rsidRDefault="00575174">
      <w:pPr>
        <w:rPr>
          <w:rFonts w:ascii="Gadugi" w:hAnsi="Gadugi" w:cs="Gadugi"/>
          <w:sz w:val="18"/>
          <w:szCs w:val="18"/>
        </w:rPr>
      </w:pPr>
    </w:p>
    <w:p w14:paraId="3B635D69" w14:textId="77777777" w:rsidR="00575174" w:rsidRDefault="00575174">
      <w:pPr>
        <w:jc w:val="center"/>
        <w:rPr>
          <w:rFonts w:ascii="Gadugi" w:hAnsi="Gadugi" w:cs="Gadugi"/>
          <w:sz w:val="18"/>
          <w:szCs w:val="18"/>
        </w:rPr>
      </w:pPr>
    </w:p>
    <w:p w14:paraId="6E035FF5" w14:textId="77777777" w:rsidR="00575174" w:rsidRDefault="00575174">
      <w:pPr>
        <w:rPr>
          <w:rFonts w:ascii="Gadugi" w:hAnsi="Gadugi" w:cs="Gadugi"/>
          <w:sz w:val="18"/>
          <w:szCs w:val="18"/>
        </w:rPr>
      </w:pPr>
    </w:p>
    <w:p w14:paraId="1285198A" w14:textId="77777777" w:rsidR="00575174" w:rsidRDefault="00575174">
      <w:pPr>
        <w:jc w:val="center"/>
        <w:rPr>
          <w:rFonts w:ascii="Gadugi" w:hAnsi="Gadugi" w:cs="Gadugi"/>
          <w:sz w:val="18"/>
          <w:szCs w:val="18"/>
        </w:rPr>
      </w:pPr>
    </w:p>
    <w:p w14:paraId="6309E907" w14:textId="395E6614" w:rsidR="00575174" w:rsidRDefault="002F1A19" w:rsidP="007659FC">
      <w:pPr>
        <w:jc w:val="center"/>
        <w:rPr>
          <w:b/>
          <w:bCs/>
        </w:rPr>
      </w:pPr>
      <w:r>
        <w:rPr>
          <w:noProof/>
        </w:rPr>
        <w:pict w14:anchorId="696D525F">
          <v:rect id="Forma1" o:spid="_x0000_s1026" style="position:absolute;left:0;text-align:left;margin-left:41.6pt;margin-top:7.85pt;width:405pt;height:273.45pt;z-index:32;visibility:visible;mso-wrap-style:square;mso-wrap-distance-left:1.15pt;mso-wrap-distance-top:1.15pt;mso-wrap-distance-right:1.15pt;mso-wrap-distance-bottom:1.15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" filled="f" strokecolor="#4a7ebb" strokeweight=".79mm">
            <v:stroke joinstyle="round"/>
          </v:rect>
        </w:pict>
      </w:r>
    </w:p>
    <w:p w14:paraId="0E3D9820" w14:textId="2416B83C" w:rsidR="00575174" w:rsidRPr="007659FC" w:rsidRDefault="009F4508">
      <w:pPr>
        <w:jc w:val="center"/>
        <w:rPr>
          <w:rFonts w:ascii="Times New Roman" w:hAnsi="Times New Roman" w:cs="Times New Roman"/>
          <w:b/>
          <w:bCs/>
          <w:sz w:val="18"/>
          <w:szCs w:val="18"/>
          <w:u w:val="single"/>
        </w:rPr>
      </w:pPr>
      <w:r w:rsidRPr="007659FC">
        <w:rPr>
          <w:rFonts w:ascii="Times New Roman" w:hAnsi="Times New Roman" w:cs="Times New Roman"/>
          <w:b/>
          <w:bCs/>
          <w:sz w:val="18"/>
          <w:szCs w:val="18"/>
        </w:rPr>
        <w:t xml:space="preserve">Pregão Eletrônico nº </w:t>
      </w:r>
      <w:r w:rsidR="007659FC">
        <w:rPr>
          <w:rFonts w:ascii="Times New Roman" w:hAnsi="Times New Roman" w:cs="Times New Roman"/>
          <w:b/>
          <w:bCs/>
          <w:sz w:val="18"/>
          <w:szCs w:val="18"/>
        </w:rPr>
        <w:t>75/2025</w:t>
      </w:r>
    </w:p>
    <w:p w14:paraId="6C01AA49" w14:textId="68EEAA2A" w:rsidR="00575174" w:rsidRPr="007659FC" w:rsidRDefault="009F4508">
      <w:pPr>
        <w:jc w:val="center"/>
        <w:rPr>
          <w:rFonts w:ascii="Times New Roman" w:hAnsi="Times New Roman" w:cs="Times New Roman"/>
          <w:b/>
          <w:bCs/>
          <w:sz w:val="18"/>
          <w:szCs w:val="18"/>
        </w:rPr>
      </w:pPr>
      <w:r w:rsidRPr="007659FC">
        <w:rPr>
          <w:rFonts w:ascii="Times New Roman" w:hAnsi="Times New Roman" w:cs="Times New Roman"/>
          <w:b/>
          <w:bCs/>
          <w:sz w:val="18"/>
          <w:szCs w:val="18"/>
        </w:rPr>
        <w:t xml:space="preserve">Registro de Preços nº </w:t>
      </w:r>
      <w:r w:rsidR="007659FC">
        <w:rPr>
          <w:rFonts w:ascii="Times New Roman" w:hAnsi="Times New Roman" w:cs="Times New Roman"/>
          <w:b/>
          <w:bCs/>
          <w:sz w:val="18"/>
          <w:szCs w:val="18"/>
        </w:rPr>
        <w:t>59/2025</w:t>
      </w:r>
    </w:p>
    <w:p w14:paraId="16EEA83C" w14:textId="77777777" w:rsidR="00575174" w:rsidRPr="007659FC" w:rsidRDefault="00575174">
      <w:pPr>
        <w:rPr>
          <w:rFonts w:ascii="Times New Roman" w:hAnsi="Times New Roman" w:cs="Times New Roman"/>
          <w:sz w:val="18"/>
          <w:szCs w:val="18"/>
        </w:rPr>
      </w:pPr>
    </w:p>
    <w:p w14:paraId="5CB8C70F" w14:textId="77777777" w:rsidR="00575174" w:rsidRPr="007659FC" w:rsidRDefault="009F4508">
      <w:pPr>
        <w:jc w:val="center"/>
        <w:rPr>
          <w:rFonts w:ascii="Times New Roman" w:hAnsi="Times New Roman" w:cs="Times New Roman"/>
          <w:sz w:val="18"/>
          <w:szCs w:val="18"/>
        </w:rPr>
      </w:pPr>
      <w:r w:rsidRPr="007659FC">
        <w:rPr>
          <w:rFonts w:ascii="Times New Roman" w:hAnsi="Times New Roman" w:cs="Times New Roman"/>
          <w:b/>
          <w:bCs/>
          <w:sz w:val="18"/>
          <w:szCs w:val="18"/>
        </w:rPr>
        <w:t>OBJETO</w:t>
      </w:r>
    </w:p>
    <w:p w14:paraId="52132F47" w14:textId="5218B124" w:rsidR="00575174" w:rsidRDefault="007659FC" w:rsidP="007659FC">
      <w:pPr>
        <w:ind w:left="2124" w:firstLine="708"/>
        <w:rPr>
          <w:rFonts w:ascii="Times New Roman" w:hAnsi="Times New Roman" w:cs="Times New Roman"/>
          <w:sz w:val="18"/>
          <w:szCs w:val="18"/>
        </w:rPr>
      </w:pPr>
      <w:r w:rsidRPr="007659FC">
        <w:rPr>
          <w:rFonts w:ascii="Times New Roman" w:hAnsi="Times New Roman" w:cs="Times New Roman"/>
          <w:sz w:val="18"/>
          <w:szCs w:val="18"/>
        </w:rPr>
        <w:t>AQUISI</w:t>
      </w:r>
      <w:r w:rsidRPr="007659FC">
        <w:rPr>
          <w:rFonts w:ascii="Times New Roman" w:hAnsi="Times New Roman" w:cs="Times New Roman" w:hint="eastAsia"/>
          <w:sz w:val="18"/>
          <w:szCs w:val="18"/>
        </w:rPr>
        <w:t>ÇÃ</w:t>
      </w:r>
      <w:r w:rsidRPr="007659FC">
        <w:rPr>
          <w:rFonts w:ascii="Times New Roman" w:hAnsi="Times New Roman" w:cs="Times New Roman"/>
          <w:sz w:val="18"/>
          <w:szCs w:val="18"/>
        </w:rPr>
        <w:t>O DE PNEUS PARA TIGGO (235/55R 18)</w:t>
      </w:r>
    </w:p>
    <w:p w14:paraId="6702F1CC" w14:textId="77777777" w:rsidR="007659FC" w:rsidRPr="007659FC" w:rsidRDefault="007659FC" w:rsidP="007659FC">
      <w:pPr>
        <w:ind w:left="2124" w:firstLine="708"/>
        <w:rPr>
          <w:rFonts w:ascii="Times New Roman" w:hAnsi="Times New Roman" w:cs="Times New Roman"/>
          <w:sz w:val="18"/>
          <w:szCs w:val="18"/>
        </w:rPr>
      </w:pPr>
    </w:p>
    <w:p w14:paraId="450986BE" w14:textId="77777777" w:rsidR="00575174" w:rsidRPr="007659FC" w:rsidRDefault="009F4508">
      <w:pPr>
        <w:jc w:val="center"/>
        <w:rPr>
          <w:rFonts w:ascii="Times New Roman" w:hAnsi="Times New Roman" w:cs="Times New Roman"/>
          <w:sz w:val="18"/>
          <w:szCs w:val="18"/>
        </w:rPr>
      </w:pPr>
      <w:r w:rsidRPr="007659FC">
        <w:rPr>
          <w:rFonts w:ascii="Times New Roman" w:hAnsi="Times New Roman" w:cs="Times New Roman"/>
          <w:b/>
          <w:bCs/>
          <w:sz w:val="18"/>
          <w:szCs w:val="18"/>
        </w:rPr>
        <w:t>VALOR TOTAL DA CONTRATAÇÃO</w:t>
      </w:r>
    </w:p>
    <w:p w14:paraId="1982F999" w14:textId="4BA74741" w:rsidR="00575174" w:rsidRPr="007659FC" w:rsidRDefault="00AE26D8">
      <w:pPr>
        <w:jc w:val="center"/>
        <w:rPr>
          <w:rFonts w:ascii="Times New Roman" w:hAnsi="Times New Roman" w:cs="Times New Roman"/>
          <w:b/>
          <w:bCs/>
          <w:sz w:val="18"/>
          <w:szCs w:val="18"/>
        </w:rPr>
      </w:pPr>
      <w:r w:rsidRPr="007659FC">
        <w:rPr>
          <w:rFonts w:ascii="Times New Roman" w:hAnsi="Times New Roman" w:cs="Times New Roman"/>
          <w:b/>
          <w:bCs/>
          <w:sz w:val="18"/>
          <w:szCs w:val="18"/>
        </w:rPr>
        <w:t xml:space="preserve">R$ </w:t>
      </w:r>
      <w:r w:rsidR="007659FC">
        <w:rPr>
          <w:rFonts w:ascii="Times New Roman" w:hAnsi="Times New Roman" w:cs="Times New Roman"/>
          <w:b/>
          <w:bCs/>
          <w:sz w:val="18"/>
          <w:szCs w:val="18"/>
        </w:rPr>
        <w:t>14.753,76</w:t>
      </w:r>
    </w:p>
    <w:p w14:paraId="42884400" w14:textId="77777777" w:rsidR="00575174" w:rsidRPr="007659FC" w:rsidRDefault="00575174">
      <w:pPr>
        <w:rPr>
          <w:rFonts w:ascii="Times New Roman" w:hAnsi="Times New Roman" w:cs="Times New Roman"/>
          <w:sz w:val="18"/>
          <w:szCs w:val="18"/>
        </w:rPr>
      </w:pPr>
    </w:p>
    <w:p w14:paraId="00A58441" w14:textId="77777777" w:rsidR="00575174" w:rsidRPr="007659FC" w:rsidRDefault="009F4508">
      <w:pPr>
        <w:jc w:val="center"/>
        <w:rPr>
          <w:rFonts w:ascii="Times New Roman" w:hAnsi="Times New Roman" w:cs="Times New Roman"/>
          <w:sz w:val="18"/>
          <w:szCs w:val="18"/>
        </w:rPr>
      </w:pPr>
      <w:r w:rsidRPr="007659FC">
        <w:rPr>
          <w:rFonts w:ascii="Times New Roman" w:hAnsi="Times New Roman" w:cs="Times New Roman"/>
          <w:b/>
          <w:bCs/>
          <w:sz w:val="18"/>
          <w:szCs w:val="18"/>
        </w:rPr>
        <w:t>DATA DA SESSÃO PÚBLICA</w:t>
      </w:r>
    </w:p>
    <w:p w14:paraId="68CF5354" w14:textId="31020026" w:rsidR="00575174" w:rsidRPr="007659FC" w:rsidRDefault="007659FC">
      <w:pPr>
        <w:jc w:val="center"/>
        <w:rPr>
          <w:rFonts w:ascii="Times New Roman" w:hAnsi="Times New Roman" w:cs="Times New Roman"/>
          <w:sz w:val="18"/>
          <w:szCs w:val="18"/>
        </w:rPr>
      </w:pPr>
      <w:r>
        <w:rPr>
          <w:rFonts w:ascii="Times New Roman" w:hAnsi="Times New Roman" w:cs="Times New Roman"/>
          <w:b/>
          <w:bCs/>
          <w:sz w:val="18"/>
          <w:szCs w:val="18"/>
        </w:rPr>
        <w:t>10/12</w:t>
      </w:r>
      <w:r w:rsidR="00AE26D8" w:rsidRPr="007659FC">
        <w:rPr>
          <w:rFonts w:ascii="Times New Roman" w:hAnsi="Times New Roman" w:cs="Times New Roman"/>
          <w:b/>
          <w:bCs/>
          <w:sz w:val="18"/>
          <w:szCs w:val="18"/>
        </w:rPr>
        <w:t>/2025</w:t>
      </w:r>
      <w:r w:rsidR="009F4508" w:rsidRPr="007659FC">
        <w:rPr>
          <w:rFonts w:ascii="Times New Roman" w:hAnsi="Times New Roman" w:cs="Times New Roman"/>
          <w:sz w:val="18"/>
          <w:szCs w:val="18"/>
        </w:rPr>
        <w:t xml:space="preserve">às </w:t>
      </w:r>
      <w:r w:rsidR="009F4508" w:rsidRPr="007659FC">
        <w:rPr>
          <w:rFonts w:ascii="Times New Roman" w:hAnsi="Times New Roman" w:cs="Times New Roman"/>
          <w:b/>
          <w:bCs/>
          <w:sz w:val="18"/>
          <w:szCs w:val="18"/>
        </w:rPr>
        <w:t>08h (horário de Brasília)</w:t>
      </w:r>
    </w:p>
    <w:p w14:paraId="74BCB3AD" w14:textId="77777777" w:rsidR="00575174" w:rsidRPr="007659FC" w:rsidRDefault="00575174">
      <w:pPr>
        <w:rPr>
          <w:rFonts w:ascii="Times New Roman" w:hAnsi="Times New Roman" w:cs="Times New Roman"/>
          <w:sz w:val="18"/>
          <w:szCs w:val="18"/>
        </w:rPr>
      </w:pPr>
    </w:p>
    <w:p w14:paraId="0645EA50" w14:textId="77777777" w:rsidR="00575174" w:rsidRPr="007659FC" w:rsidRDefault="009F4508">
      <w:pPr>
        <w:jc w:val="center"/>
        <w:rPr>
          <w:rFonts w:ascii="Times New Roman" w:hAnsi="Times New Roman" w:cs="Times New Roman"/>
          <w:sz w:val="18"/>
          <w:szCs w:val="18"/>
        </w:rPr>
      </w:pPr>
      <w:r w:rsidRPr="007659FC">
        <w:rPr>
          <w:rFonts w:ascii="Times New Roman" w:hAnsi="Times New Roman" w:cs="Times New Roman"/>
          <w:b/>
          <w:bCs/>
          <w:caps/>
          <w:sz w:val="18"/>
          <w:szCs w:val="18"/>
        </w:rPr>
        <w:t>Critério de Julgamento:</w:t>
      </w:r>
    </w:p>
    <w:p w14:paraId="433AB948" w14:textId="77777777" w:rsidR="00575174" w:rsidRPr="007659FC" w:rsidRDefault="009F4508">
      <w:pPr>
        <w:jc w:val="center"/>
        <w:rPr>
          <w:rFonts w:ascii="Times New Roman" w:hAnsi="Times New Roman" w:cs="Times New Roman"/>
          <w:sz w:val="18"/>
          <w:szCs w:val="18"/>
        </w:rPr>
      </w:pPr>
      <w:r w:rsidRPr="007659FC">
        <w:rPr>
          <w:rFonts w:ascii="Times New Roman" w:hAnsi="Times New Roman" w:cs="Times New Roman"/>
          <w:sz w:val="18"/>
          <w:szCs w:val="18"/>
        </w:rPr>
        <w:t>Menor Preço POR ITEM</w:t>
      </w:r>
    </w:p>
    <w:p w14:paraId="2071D763" w14:textId="77777777" w:rsidR="00575174" w:rsidRPr="007659FC" w:rsidRDefault="00575174" w:rsidP="007659FC">
      <w:pPr>
        <w:rPr>
          <w:rFonts w:ascii="Times New Roman" w:hAnsi="Times New Roman" w:cs="Times New Roman"/>
          <w:sz w:val="18"/>
          <w:szCs w:val="18"/>
        </w:rPr>
      </w:pPr>
    </w:p>
    <w:p w14:paraId="4A60BA8B" w14:textId="77777777" w:rsidR="00575174" w:rsidRPr="007659FC" w:rsidRDefault="009F4508">
      <w:pPr>
        <w:jc w:val="center"/>
        <w:rPr>
          <w:rFonts w:ascii="Times New Roman" w:hAnsi="Times New Roman" w:cs="Times New Roman"/>
          <w:sz w:val="18"/>
          <w:szCs w:val="18"/>
        </w:rPr>
      </w:pPr>
      <w:r w:rsidRPr="007659FC">
        <w:rPr>
          <w:rFonts w:ascii="Times New Roman" w:hAnsi="Times New Roman" w:cs="Times New Roman"/>
          <w:b/>
          <w:bCs/>
          <w:caps/>
          <w:sz w:val="18"/>
          <w:szCs w:val="18"/>
        </w:rPr>
        <w:t>Modo de disputa:</w:t>
      </w:r>
    </w:p>
    <w:p w14:paraId="7BE14E91" w14:textId="77777777" w:rsidR="00575174" w:rsidRPr="007659FC" w:rsidRDefault="009F4508">
      <w:pPr>
        <w:jc w:val="center"/>
        <w:rPr>
          <w:rFonts w:ascii="Times New Roman" w:hAnsi="Times New Roman" w:cs="Times New Roman"/>
          <w:sz w:val="18"/>
          <w:szCs w:val="18"/>
        </w:rPr>
      </w:pPr>
      <w:r w:rsidRPr="007659FC">
        <w:rPr>
          <w:rFonts w:ascii="Times New Roman" w:hAnsi="Times New Roman" w:cs="Times New Roman"/>
          <w:sz w:val="18"/>
          <w:szCs w:val="18"/>
        </w:rPr>
        <w:t>Aberto</w:t>
      </w:r>
    </w:p>
    <w:p w14:paraId="6C9C259F" w14:textId="77777777" w:rsidR="00575174" w:rsidRPr="007659FC" w:rsidRDefault="00575174" w:rsidP="007659FC">
      <w:pPr>
        <w:rPr>
          <w:rFonts w:ascii="Times New Roman" w:hAnsi="Times New Roman" w:cs="Times New Roman"/>
          <w:sz w:val="18"/>
          <w:szCs w:val="18"/>
        </w:rPr>
      </w:pPr>
    </w:p>
    <w:p w14:paraId="3D5C33CE" w14:textId="77777777" w:rsidR="00575174" w:rsidRPr="007659FC" w:rsidRDefault="009F4508">
      <w:pPr>
        <w:jc w:val="center"/>
        <w:rPr>
          <w:rFonts w:ascii="Times New Roman" w:hAnsi="Times New Roman" w:cs="Times New Roman"/>
          <w:sz w:val="18"/>
          <w:szCs w:val="18"/>
        </w:rPr>
      </w:pPr>
      <w:r w:rsidRPr="007659FC">
        <w:rPr>
          <w:rFonts w:ascii="Times New Roman" w:hAnsi="Times New Roman" w:cs="Times New Roman"/>
          <w:b/>
          <w:bCs/>
          <w:sz w:val="18"/>
          <w:szCs w:val="18"/>
        </w:rPr>
        <w:t>PLATAFORMA:</w:t>
      </w:r>
    </w:p>
    <w:p w14:paraId="153C472C" w14:textId="77777777" w:rsidR="00575174" w:rsidRPr="007659FC" w:rsidRDefault="002F1A19">
      <w:pPr>
        <w:jc w:val="center"/>
        <w:rPr>
          <w:rFonts w:ascii="Times New Roman" w:hAnsi="Times New Roman" w:cs="Times New Roman"/>
          <w:sz w:val="18"/>
          <w:szCs w:val="18"/>
        </w:rPr>
      </w:pPr>
      <w:hyperlink r:id="rId11">
        <w:r w:rsidR="009F4508" w:rsidRPr="007659FC">
          <w:rPr>
            <w:rStyle w:val="Hyperlink"/>
            <w:rFonts w:ascii="Times New Roman" w:hAnsi="Times New Roman" w:cs="Times New Roman"/>
            <w:sz w:val="18"/>
            <w:szCs w:val="18"/>
          </w:rPr>
          <w:t>https://pregaobanrisul.com.br/</w:t>
        </w:r>
      </w:hyperlink>
    </w:p>
    <w:p w14:paraId="73B9A1C5" w14:textId="77777777" w:rsidR="00575174" w:rsidRPr="007659FC" w:rsidRDefault="00575174">
      <w:pPr>
        <w:rPr>
          <w:rFonts w:ascii="Times New Roman" w:hAnsi="Times New Roman" w:cs="Times New Roman"/>
          <w:sz w:val="18"/>
          <w:szCs w:val="18"/>
        </w:rPr>
      </w:pPr>
    </w:p>
    <w:p w14:paraId="337FF642" w14:textId="77777777" w:rsidR="00575174" w:rsidRPr="007659FC" w:rsidRDefault="009F4508">
      <w:pPr>
        <w:jc w:val="center"/>
        <w:rPr>
          <w:rFonts w:ascii="Times New Roman" w:hAnsi="Times New Roman" w:cs="Times New Roman"/>
          <w:sz w:val="18"/>
          <w:szCs w:val="18"/>
        </w:rPr>
      </w:pPr>
      <w:r w:rsidRPr="007659FC">
        <w:rPr>
          <w:rFonts w:ascii="Times New Roman" w:hAnsi="Times New Roman" w:cs="Times New Roman"/>
          <w:b/>
          <w:bCs/>
          <w:sz w:val="18"/>
          <w:szCs w:val="18"/>
        </w:rPr>
        <w:t xml:space="preserve">PREGOEIRA </w:t>
      </w:r>
    </w:p>
    <w:p w14:paraId="4F1706D6" w14:textId="379AD117" w:rsidR="00575174" w:rsidRPr="007659FC" w:rsidRDefault="00AE26D8">
      <w:pPr>
        <w:jc w:val="center"/>
        <w:rPr>
          <w:rFonts w:ascii="Times New Roman" w:hAnsi="Times New Roman" w:cs="Times New Roman"/>
          <w:sz w:val="18"/>
          <w:szCs w:val="18"/>
        </w:rPr>
      </w:pPr>
      <w:r w:rsidRPr="007659FC">
        <w:rPr>
          <w:rFonts w:ascii="Times New Roman" w:hAnsi="Times New Roman" w:cs="Times New Roman"/>
          <w:sz w:val="18"/>
          <w:szCs w:val="18"/>
        </w:rPr>
        <w:t>VIVIAN LIMA VARGAS</w:t>
      </w:r>
    </w:p>
    <w:p w14:paraId="376DDF96" w14:textId="77777777" w:rsidR="00575174" w:rsidRPr="007659FC" w:rsidRDefault="00575174">
      <w:pPr>
        <w:rPr>
          <w:rFonts w:ascii="Times New Roman" w:hAnsi="Times New Roman" w:cs="Times New Roman"/>
          <w:sz w:val="18"/>
          <w:szCs w:val="18"/>
        </w:rPr>
      </w:pPr>
    </w:p>
    <w:p w14:paraId="0D2755E9" w14:textId="77777777" w:rsidR="00575174" w:rsidRPr="007659FC" w:rsidRDefault="009F4508">
      <w:pPr>
        <w:jc w:val="center"/>
        <w:rPr>
          <w:rFonts w:ascii="Times New Roman" w:hAnsi="Times New Roman" w:cs="Times New Roman"/>
          <w:sz w:val="18"/>
          <w:szCs w:val="18"/>
        </w:rPr>
      </w:pPr>
      <w:r w:rsidRPr="007659FC">
        <w:rPr>
          <w:rFonts w:ascii="Times New Roman" w:hAnsi="Times New Roman" w:cs="Times New Roman"/>
          <w:b/>
          <w:bCs/>
          <w:sz w:val="18"/>
          <w:szCs w:val="18"/>
        </w:rPr>
        <w:t>EXCLUSIVO EPP E ME</w:t>
      </w:r>
    </w:p>
    <w:p w14:paraId="39178C02" w14:textId="77777777" w:rsidR="00575174" w:rsidRDefault="00575174">
      <w:pPr>
        <w:jc w:val="center"/>
        <w:rPr>
          <w:rFonts w:ascii="Gadugi" w:hAnsi="Gadugi" w:cs="Gadugi"/>
          <w:bCs/>
          <w:sz w:val="18"/>
          <w:szCs w:val="18"/>
          <w:highlight w:val="yellow"/>
        </w:rPr>
      </w:pPr>
    </w:p>
    <w:p w14:paraId="576303B0" w14:textId="77777777" w:rsidR="00575174" w:rsidRDefault="00575174">
      <w:pPr>
        <w:rPr>
          <w:rFonts w:ascii="Gadugi" w:hAnsi="Gadugi" w:cs="Gadugi"/>
          <w:b/>
          <w:bCs/>
          <w:sz w:val="18"/>
          <w:szCs w:val="18"/>
        </w:rPr>
      </w:pPr>
    </w:p>
    <w:p w14:paraId="7383C2BF" w14:textId="77777777" w:rsidR="007659FC" w:rsidRDefault="007659FC">
      <w:pPr>
        <w:rPr>
          <w:rFonts w:ascii="Gadugi" w:hAnsi="Gadugi" w:cs="Gadugi"/>
          <w:b/>
          <w:bCs/>
          <w:sz w:val="18"/>
          <w:szCs w:val="18"/>
        </w:rPr>
      </w:pPr>
    </w:p>
    <w:p w14:paraId="0019437A" w14:textId="34CC8C8B" w:rsidR="00575174" w:rsidRPr="007659FC" w:rsidRDefault="009F4508" w:rsidP="007659FC">
      <w:pPr>
        <w:ind w:firstLine="567"/>
        <w:jc w:val="center"/>
        <w:rPr>
          <w:rFonts w:ascii="Gadugi" w:hAnsi="Gadugi" w:cs="Gadugi"/>
          <w:b/>
          <w:sz w:val="20"/>
          <w:szCs w:val="20"/>
        </w:rPr>
      </w:pPr>
      <w:r>
        <w:rPr>
          <w:rFonts w:ascii="Gadugi" w:hAnsi="Gadugi" w:cs="Gadugi"/>
          <w:b/>
          <w:sz w:val="20"/>
          <w:szCs w:val="20"/>
        </w:rPr>
        <w:lastRenderedPageBreak/>
        <w:t>PREFEITURA MUNICIPAL DE SANTA BÁRBARA DO SUL/RS</w:t>
      </w:r>
    </w:p>
    <w:p w14:paraId="643E5C9C" w14:textId="16ED8809" w:rsidR="00575174" w:rsidRDefault="009F4508">
      <w:pPr>
        <w:ind w:firstLine="567"/>
        <w:jc w:val="center"/>
        <w:rPr>
          <w:rFonts w:ascii="Gadugi" w:hAnsi="Gadugi" w:cs="Gadugi"/>
          <w:b/>
          <w:bCs/>
          <w:sz w:val="20"/>
          <w:szCs w:val="20"/>
        </w:rPr>
      </w:pPr>
      <w:r>
        <w:rPr>
          <w:b/>
          <w:bCs/>
          <w:sz w:val="20"/>
          <w:szCs w:val="20"/>
        </w:rPr>
        <w:t xml:space="preserve">Pregão Eletrônico nº </w:t>
      </w:r>
      <w:r w:rsidR="007659FC">
        <w:rPr>
          <w:b/>
          <w:bCs/>
          <w:sz w:val="20"/>
          <w:szCs w:val="20"/>
        </w:rPr>
        <w:t>75/2025</w:t>
      </w:r>
    </w:p>
    <w:p w14:paraId="4773BCD7" w14:textId="23B80520" w:rsidR="00575174" w:rsidRDefault="009F4508">
      <w:pPr>
        <w:ind w:firstLine="567"/>
        <w:jc w:val="center"/>
        <w:rPr>
          <w:rFonts w:ascii="Gadugi" w:hAnsi="Gadugi" w:cs="Gadugi"/>
          <w:b/>
          <w:bCs/>
          <w:sz w:val="20"/>
          <w:szCs w:val="20"/>
        </w:rPr>
      </w:pPr>
      <w:r>
        <w:rPr>
          <w:b/>
          <w:bCs/>
          <w:sz w:val="20"/>
          <w:szCs w:val="20"/>
        </w:rPr>
        <w:t xml:space="preserve">(Processo Administrativo n° </w:t>
      </w:r>
      <w:r w:rsidR="007659FC">
        <w:rPr>
          <w:b/>
          <w:bCs/>
          <w:sz w:val="20"/>
          <w:szCs w:val="20"/>
        </w:rPr>
        <w:t>278/2025</w:t>
      </w:r>
    </w:p>
    <w:p w14:paraId="3E20685C" w14:textId="4250DBC2" w:rsidR="00575174" w:rsidRDefault="009F4508">
      <w:pPr>
        <w:ind w:firstLine="567"/>
        <w:jc w:val="center"/>
        <w:rPr>
          <w:rFonts w:ascii="Gadugi" w:hAnsi="Gadugi" w:cs="Gadugi"/>
          <w:b/>
          <w:bCs/>
          <w:sz w:val="20"/>
          <w:szCs w:val="20"/>
        </w:rPr>
      </w:pPr>
      <w:r>
        <w:rPr>
          <w:b/>
          <w:bCs/>
          <w:sz w:val="20"/>
          <w:szCs w:val="20"/>
        </w:rPr>
        <w:t xml:space="preserve">(Registro de Preços nº </w:t>
      </w:r>
      <w:r w:rsidR="007659FC">
        <w:rPr>
          <w:b/>
          <w:bCs/>
          <w:sz w:val="20"/>
          <w:szCs w:val="20"/>
        </w:rPr>
        <w:t>59/2025</w:t>
      </w:r>
    </w:p>
    <w:p w14:paraId="7C506C9B" w14:textId="77777777" w:rsidR="00575174" w:rsidRDefault="00575174">
      <w:pPr>
        <w:jc w:val="both"/>
        <w:rPr>
          <w:rFonts w:ascii="Gadugi" w:hAnsi="Gadugi" w:cs="Gadugi"/>
          <w:b/>
          <w:sz w:val="18"/>
          <w:szCs w:val="18"/>
        </w:rPr>
      </w:pPr>
    </w:p>
    <w:p w14:paraId="346378AF" w14:textId="37CAC102" w:rsidR="00575174" w:rsidRDefault="009F4508">
      <w:pPr>
        <w:pStyle w:val="Nivel2"/>
        <w:numPr>
          <w:ilvl w:val="0"/>
          <w:numId w:val="0"/>
        </w:numPr>
        <w:spacing w:before="0" w:after="0" w:line="240" w:lineRule="auto"/>
        <w:ind w:firstLine="709"/>
        <w:rPr>
          <w:rFonts w:ascii="Gadugi" w:hAnsi="Gadugi" w:cs="Gadugi"/>
          <w:sz w:val="18"/>
          <w:szCs w:val="18"/>
        </w:rPr>
      </w:pPr>
      <w:r>
        <w:rPr>
          <w:rFonts w:ascii="Gadugi" w:hAnsi="Gadugi" w:cs="Gadugi"/>
          <w:sz w:val="18"/>
          <w:szCs w:val="18"/>
        </w:rPr>
        <w:t>Torna-se público que a Prefeitura Municipal de Santa Bárbara do Sul/RS, por meio do Setor de Licitações, sediado na Avenida Eduardo de Brito, nº 101, Bairro Cerutti, no município de Santa Bárbara do Sul/RS, CEP 98.240-000, realizará licitação,</w:t>
      </w:r>
      <w:r>
        <w:rPr>
          <w:rFonts w:ascii="Gadugi" w:hAnsi="Gadugi" w:cs="Gadugi"/>
          <w:color w:val="000000" w:themeColor="text1"/>
          <w:sz w:val="18"/>
          <w:szCs w:val="18"/>
        </w:rPr>
        <w:t xml:space="preserve"> </w:t>
      </w:r>
      <w:r>
        <w:rPr>
          <w:rFonts w:ascii="Gadugi" w:hAnsi="Gadugi" w:cs="Gadugi"/>
          <w:sz w:val="18"/>
          <w:szCs w:val="18"/>
        </w:rPr>
        <w:t xml:space="preserve">para </w:t>
      </w:r>
      <w:r w:rsidR="00F4120B">
        <w:rPr>
          <w:rFonts w:ascii="Gadugi" w:hAnsi="Gadugi" w:cs="Gadugi"/>
          <w:color w:val="auto"/>
          <w:sz w:val="18"/>
          <w:szCs w:val="18"/>
        </w:rPr>
        <w:t>AQUISIÇÃO DE PNEUS PARA TIGGO (235/55R 18)</w:t>
      </w:r>
      <w:r>
        <w:rPr>
          <w:rFonts w:ascii="Gadugi" w:hAnsi="Gadugi" w:cs="Gadugi"/>
          <w:color w:val="000000" w:themeColor="text1"/>
          <w:sz w:val="18"/>
          <w:szCs w:val="18"/>
        </w:rPr>
        <w:t>,</w:t>
      </w:r>
      <w:r>
        <w:rPr>
          <w:rFonts w:ascii="Gadugi" w:hAnsi="Gadugi" w:cs="Gadugi"/>
          <w:b/>
          <w:bCs/>
          <w:color w:val="000000" w:themeColor="text1"/>
          <w:sz w:val="18"/>
          <w:szCs w:val="18"/>
        </w:rPr>
        <w:t xml:space="preserve"> </w:t>
      </w:r>
      <w:r>
        <w:rPr>
          <w:rFonts w:ascii="Gadugi" w:hAnsi="Gadugi" w:cs="Gadugi"/>
          <w:sz w:val="18"/>
          <w:szCs w:val="18"/>
        </w:rPr>
        <w:t>na modalidade PREGÃO, na forma ELETRÔNICA,</w:t>
      </w:r>
      <w:r>
        <w:rPr>
          <w:rFonts w:ascii="Gadugi" w:eastAsia="Times New Roman" w:hAnsi="Gadugi" w:cs="Gadugi"/>
          <w:sz w:val="18"/>
          <w:szCs w:val="18"/>
        </w:rPr>
        <w:t xml:space="preserve"> </w:t>
      </w:r>
      <w:r>
        <w:rPr>
          <w:rFonts w:ascii="Gadugi" w:hAnsi="Gadugi" w:cs="Gadugi"/>
          <w:sz w:val="18"/>
          <w:szCs w:val="18"/>
        </w:rPr>
        <w:t xml:space="preserve">nos termos da </w:t>
      </w:r>
      <w:hyperlink r:id="rId12" w:tooltip="http://www.planalto.gov.br/ccivil_03/_ato2019-2022/2021/lei/L14133.htm">
        <w:r>
          <w:rPr>
            <w:rStyle w:val="Hyperlink"/>
            <w:rFonts w:ascii="Gadugi" w:hAnsi="Gadugi" w:cs="Gadugi"/>
            <w:sz w:val="18"/>
            <w:szCs w:val="18"/>
          </w:rPr>
          <w:t>Lei nº 14.133, de 1º de abril de 2021</w:t>
        </w:r>
      </w:hyperlink>
      <w:r>
        <w:rPr>
          <w:rFonts w:ascii="Gadugi" w:hAnsi="Gadugi" w:cs="Gadugi"/>
          <w:sz w:val="18"/>
          <w:szCs w:val="18"/>
        </w:rPr>
        <w:t>, do Decreto nº 5.456, de 05 de setembro de 2023, e demais legislações aplicáveis e, ainda, de acordo com as condições estabelecidas neste Edital</w:t>
      </w:r>
      <w:r>
        <w:rPr>
          <w:rFonts w:ascii="Gadugi" w:eastAsia="Times New Roman" w:hAnsi="Gadugi" w:cs="Gadugi"/>
          <w:sz w:val="18"/>
          <w:szCs w:val="18"/>
        </w:rPr>
        <w:t>.</w:t>
      </w:r>
    </w:p>
    <w:p w14:paraId="6719AD82" w14:textId="77777777" w:rsidR="00575174" w:rsidRDefault="00575174">
      <w:pPr>
        <w:pStyle w:val="Nivel2"/>
        <w:numPr>
          <w:ilvl w:val="0"/>
          <w:numId w:val="0"/>
        </w:numPr>
        <w:spacing w:before="0" w:after="0" w:line="240" w:lineRule="auto"/>
        <w:ind w:firstLine="709"/>
        <w:rPr>
          <w:rFonts w:ascii="Times New Roman" w:hAnsi="Times New Roman" w:cs="Times New Roman"/>
          <w:color w:val="auto"/>
        </w:rPr>
      </w:pPr>
    </w:p>
    <w:p w14:paraId="5F224F8F" w14:textId="77777777" w:rsidR="00575174" w:rsidRDefault="009F4508">
      <w:pPr>
        <w:pStyle w:val="Nivel01"/>
        <w:spacing w:before="0" w:after="0" w:line="240" w:lineRule="auto"/>
        <w:ind w:left="0" w:firstLine="0"/>
        <w:rPr>
          <w:rFonts w:ascii="Times New Roman" w:hAnsi="Times New Roman" w:cs="Times New Roman"/>
          <w:color w:val="auto"/>
        </w:rPr>
      </w:pPr>
      <w:bookmarkStart w:id="0" w:name="_Toc135469223"/>
      <w:r>
        <w:rPr>
          <w:rFonts w:ascii="Times New Roman" w:hAnsi="Times New Roman" w:cs="Times New Roman"/>
          <w:color w:val="auto"/>
          <w:lang w:eastAsia="en-US"/>
        </w:rPr>
        <w:t>DO OBJETO</w:t>
      </w:r>
      <w:bookmarkEnd w:id="0"/>
    </w:p>
    <w:p w14:paraId="4252FA0A" w14:textId="38C1C296" w:rsidR="00575174" w:rsidRDefault="009F4508">
      <w:pPr>
        <w:pStyle w:val="Nivel01"/>
        <w:numPr>
          <w:ilvl w:val="1"/>
          <w:numId w:val="2"/>
        </w:numPr>
        <w:spacing w:before="0" w:after="0" w:line="240" w:lineRule="auto"/>
        <w:ind w:left="0" w:firstLine="0"/>
        <w:rPr>
          <w:rFonts w:ascii="Times New Roman" w:hAnsi="Times New Roman" w:cs="Times New Roman"/>
          <w:color w:val="auto"/>
        </w:rPr>
      </w:pPr>
      <w:r>
        <w:rPr>
          <w:rFonts w:ascii="Times New Roman" w:hAnsi="Times New Roman" w:cs="Times New Roman"/>
          <w:color w:val="auto"/>
        </w:rPr>
        <w:t xml:space="preserve">O objeto da presente licitação é Registro de Preço para </w:t>
      </w:r>
      <w:bookmarkStart w:id="1" w:name="_Hlk214267767"/>
      <w:r w:rsidR="007659FC">
        <w:rPr>
          <w:rFonts w:ascii="Gadugi" w:hAnsi="Gadugi" w:cs="Gadugi"/>
          <w:b w:val="0"/>
          <w:bCs w:val="0"/>
          <w:color w:val="auto"/>
          <w:sz w:val="18"/>
          <w:szCs w:val="18"/>
        </w:rPr>
        <w:t>AQUISIÇÃO DE PNEUS PARA TIGGO (235/55R 18)</w:t>
      </w:r>
      <w:bookmarkEnd w:id="1"/>
      <w:r w:rsidR="007659FC">
        <w:rPr>
          <w:rFonts w:ascii="Gadugi" w:hAnsi="Gadugi" w:cs="Gadugi"/>
          <w:b w:val="0"/>
          <w:bCs w:val="0"/>
          <w:color w:val="auto"/>
          <w:sz w:val="18"/>
          <w:szCs w:val="18"/>
        </w:rPr>
        <w:t xml:space="preserve"> </w:t>
      </w:r>
      <w:r>
        <w:rPr>
          <w:rFonts w:ascii="Times New Roman" w:hAnsi="Times New Roman" w:cs="Times New Roman"/>
          <w:color w:val="auto"/>
        </w:rPr>
        <w:t>conforme condições, quantidades e exigências estabelecidas neste Edital e seus anexos.</w:t>
      </w:r>
    </w:p>
    <w:p w14:paraId="044F2A5A" w14:textId="77777777" w:rsidR="00575174" w:rsidRDefault="009F4508">
      <w:pPr>
        <w:pStyle w:val="Nvel2-Red"/>
        <w:numPr>
          <w:ilvl w:val="0"/>
          <w:numId w:val="0"/>
        </w:numPr>
        <w:spacing w:before="0" w:after="0" w:line="240" w:lineRule="auto"/>
        <w:ind w:firstLine="708"/>
        <w:rPr>
          <w:rFonts w:ascii="Times New Roman" w:hAnsi="Times New Roman" w:cs="Times New Roman"/>
          <w:color w:val="auto"/>
        </w:rPr>
      </w:pPr>
      <w:r>
        <w:rPr>
          <w:rFonts w:ascii="Times New Roman" w:hAnsi="Times New Roman" w:cs="Times New Roman"/>
          <w:color w:val="auto"/>
        </w:rPr>
        <w:t>A licitação não será dividida em itens, conforme tabela constante do Termo de Referência, facultando-se aos licitantes a participação se for de seu interesse.</w:t>
      </w:r>
    </w:p>
    <w:p w14:paraId="6C187491" w14:textId="77777777" w:rsidR="00575174" w:rsidRDefault="00575174">
      <w:pPr>
        <w:pStyle w:val="Nvel2-Red"/>
        <w:numPr>
          <w:ilvl w:val="0"/>
          <w:numId w:val="0"/>
        </w:numPr>
        <w:spacing w:before="0" w:after="0" w:line="240" w:lineRule="auto"/>
        <w:rPr>
          <w:rFonts w:ascii="Times New Roman" w:hAnsi="Times New Roman" w:cs="Times New Roman"/>
          <w:color w:val="auto"/>
        </w:rPr>
      </w:pPr>
    </w:p>
    <w:p w14:paraId="013CCF86" w14:textId="77777777" w:rsidR="00575174" w:rsidRDefault="009F4508">
      <w:pPr>
        <w:pStyle w:val="Nivel01"/>
        <w:spacing w:before="0" w:after="0" w:line="240" w:lineRule="auto"/>
        <w:ind w:left="0" w:firstLine="0"/>
        <w:rPr>
          <w:rFonts w:ascii="Times New Roman" w:hAnsi="Times New Roman" w:cs="Times New Roman"/>
          <w:color w:val="auto"/>
        </w:rPr>
      </w:pPr>
      <w:bookmarkStart w:id="2" w:name="_Toc135469224"/>
      <w:r>
        <w:rPr>
          <w:rFonts w:ascii="Times New Roman" w:hAnsi="Times New Roman" w:cs="Times New Roman"/>
          <w:color w:val="auto"/>
        </w:rPr>
        <w:t xml:space="preserve">DO REGISTRO DE PREÇOS </w:t>
      </w:r>
      <w:bookmarkEnd w:id="2"/>
    </w:p>
    <w:p w14:paraId="14F1EA13" w14:textId="77777777" w:rsidR="00575174" w:rsidRDefault="009F4508">
      <w:pPr>
        <w:pStyle w:val="Nivel01"/>
        <w:numPr>
          <w:ilvl w:val="1"/>
          <w:numId w:val="2"/>
        </w:numPr>
        <w:spacing w:before="0" w:after="0" w:line="240" w:lineRule="auto"/>
        <w:ind w:left="0" w:firstLine="0"/>
        <w:rPr>
          <w:rFonts w:ascii="Times New Roman" w:hAnsi="Times New Roman" w:cs="Times New Roman"/>
          <w:b w:val="0"/>
          <w:bCs w:val="0"/>
          <w:color w:val="auto"/>
        </w:rPr>
      </w:pPr>
      <w:r>
        <w:rPr>
          <w:rFonts w:ascii="Times New Roman" w:hAnsi="Times New Roman" w:cs="Times New Roman"/>
          <w:b w:val="0"/>
          <w:bCs w:val="0"/>
          <w:color w:val="auto"/>
        </w:rPr>
        <w:t>As regras referentes aos órgãos gerenciadores e participantes, bem como eventuais adesões são as que constam da minuta de Ata de Registro de Preços.</w:t>
      </w:r>
    </w:p>
    <w:p w14:paraId="1FAD9CB1" w14:textId="77777777" w:rsidR="00575174" w:rsidRDefault="00575174">
      <w:pPr>
        <w:pStyle w:val="Nivel2"/>
        <w:numPr>
          <w:ilvl w:val="0"/>
          <w:numId w:val="0"/>
        </w:numPr>
        <w:spacing w:before="0" w:after="0" w:line="240" w:lineRule="auto"/>
        <w:rPr>
          <w:rFonts w:ascii="Times New Roman" w:hAnsi="Times New Roman" w:cs="Times New Roman"/>
          <w:color w:val="auto"/>
        </w:rPr>
      </w:pPr>
    </w:p>
    <w:p w14:paraId="626103B5" w14:textId="77777777" w:rsidR="00575174" w:rsidRDefault="009F4508">
      <w:pPr>
        <w:pStyle w:val="Nivel2"/>
        <w:numPr>
          <w:ilvl w:val="0"/>
          <w:numId w:val="0"/>
        </w:numPr>
        <w:spacing w:before="0" w:after="0"/>
        <w:rPr>
          <w:rFonts w:ascii="Times New Roman" w:eastAsiaTheme="majorEastAsia" w:hAnsi="Times New Roman" w:cs="Times New Roman"/>
          <w:b/>
          <w:bCs/>
        </w:rPr>
      </w:pPr>
      <w:r>
        <w:rPr>
          <w:rFonts w:ascii="Times New Roman" w:eastAsiaTheme="majorEastAsia" w:hAnsi="Times New Roman" w:cs="Times New Roman"/>
          <w:b/>
          <w:bCs/>
        </w:rPr>
        <w:t>3. DA PARTICIPAÇÃO NA LICITAÇÃO</w:t>
      </w:r>
    </w:p>
    <w:p w14:paraId="3ED8314D" w14:textId="77777777" w:rsidR="00575174" w:rsidRDefault="009F4508">
      <w:pPr>
        <w:pStyle w:val="Nivel2"/>
        <w:numPr>
          <w:ilvl w:val="0"/>
          <w:numId w:val="0"/>
        </w:numPr>
        <w:spacing w:before="0" w:after="0"/>
        <w:rPr>
          <w:rFonts w:ascii="Times New Roman" w:hAnsi="Times New Roman" w:cs="Times New Roman"/>
        </w:rPr>
      </w:pPr>
      <w:r>
        <w:rPr>
          <w:rFonts w:ascii="Times New Roman" w:eastAsiaTheme="majorEastAsia" w:hAnsi="Times New Roman" w:cs="Times New Roman"/>
        </w:rPr>
        <w:t xml:space="preserve">3.1 Poderão participar deste Pregão os interessados que estiverem previamente credenciados ao sistema eletrônico, no site </w:t>
      </w:r>
      <w:hyperlink r:id="rId13">
        <w:r>
          <w:rPr>
            <w:rStyle w:val="Hyperlink"/>
            <w:rFonts w:ascii="Times New Roman" w:hAnsi="Times New Roman" w:cs="Times New Roman"/>
          </w:rPr>
          <w:t>https://pregaobanrisul.com.br/</w:t>
        </w:r>
      </w:hyperlink>
      <w:r>
        <w:rPr>
          <w:rFonts w:ascii="Times New Roman" w:hAnsi="Times New Roman" w:cs="Times New Roman"/>
        </w:rPr>
        <w:t>.</w:t>
      </w:r>
    </w:p>
    <w:p w14:paraId="06E82068" w14:textId="77777777" w:rsidR="00575174" w:rsidRDefault="009F4508">
      <w:pPr>
        <w:pStyle w:val="Nivel2"/>
        <w:numPr>
          <w:ilvl w:val="0"/>
          <w:numId w:val="0"/>
        </w:numPr>
        <w:spacing w:before="0" w:after="0"/>
        <w:rPr>
          <w:rFonts w:ascii="Times New Roman" w:eastAsiaTheme="majorEastAsia" w:hAnsi="Times New Roman" w:cs="Times New Roman"/>
        </w:rPr>
      </w:pPr>
      <w:r>
        <w:rPr>
          <w:rFonts w:ascii="Times New Roman" w:eastAsiaTheme="majorEastAsia" w:hAnsi="Times New Roman" w:cs="Times New Roman"/>
        </w:rPr>
        <w:t>3.2 O licitante responsabiliza-se exclusiva e formalmente pelas transações efetuadas em seu nome, assumindo como firmes e verdadeiras suas propostas e lances, inclusive os atos praticados diretamente ou por seu representante, excluída a responsabilidade do provedor do sistema ou do órgão ou entidade promotora da licitação por eventuais danos decorrentes do uso indevido das credenciais de acesso, ainda que por terceiros.</w:t>
      </w:r>
    </w:p>
    <w:p w14:paraId="122FE98F" w14:textId="77777777" w:rsidR="00575174" w:rsidRDefault="009F4508">
      <w:pPr>
        <w:pStyle w:val="Nivel2"/>
        <w:numPr>
          <w:ilvl w:val="0"/>
          <w:numId w:val="0"/>
        </w:numPr>
        <w:spacing w:before="0" w:after="0"/>
        <w:rPr>
          <w:rFonts w:ascii="Times New Roman" w:eastAsiaTheme="majorEastAsia" w:hAnsi="Times New Roman" w:cs="Times New Roman"/>
        </w:rPr>
      </w:pPr>
      <w:r>
        <w:rPr>
          <w:rFonts w:ascii="Times New Roman" w:eastAsiaTheme="majorEastAsia" w:hAnsi="Times New Roman" w:cs="Times New Roman"/>
        </w:rPr>
        <w:t>3.3 É de responsabilidade do cadastrado conferir a exatidão dos dados nos Sistemas mencionados no item anterior e mantê-los atualizados junto aos órgãos responsáveis, devendo proceder imediatamente à correção ou alteração tão logo identifique incorreção ou desatualização.</w:t>
      </w:r>
    </w:p>
    <w:p w14:paraId="531FDA21" w14:textId="77777777" w:rsidR="00575174" w:rsidRDefault="009F4508">
      <w:pPr>
        <w:pStyle w:val="Nivel2"/>
        <w:numPr>
          <w:ilvl w:val="0"/>
          <w:numId w:val="0"/>
        </w:numPr>
        <w:spacing w:before="0" w:after="0"/>
        <w:rPr>
          <w:rFonts w:ascii="Times New Roman" w:eastAsiaTheme="majorEastAsia" w:hAnsi="Times New Roman" w:cs="Times New Roman"/>
        </w:rPr>
      </w:pPr>
      <w:r>
        <w:rPr>
          <w:rFonts w:ascii="Times New Roman" w:eastAsiaTheme="majorEastAsia" w:hAnsi="Times New Roman" w:cs="Times New Roman"/>
        </w:rPr>
        <w:t>3.4 A não observância do disposto no item anterior poderá ensejar desclassificação no momento da habilitação.</w:t>
      </w:r>
    </w:p>
    <w:p w14:paraId="08001343" w14:textId="77777777" w:rsidR="00575174" w:rsidRDefault="009F4508">
      <w:pPr>
        <w:pStyle w:val="Nivel2"/>
        <w:numPr>
          <w:ilvl w:val="0"/>
          <w:numId w:val="0"/>
        </w:numPr>
        <w:spacing w:before="0" w:after="0"/>
        <w:rPr>
          <w:rFonts w:ascii="Times New Roman" w:eastAsiaTheme="majorEastAsia" w:hAnsi="Times New Roman" w:cs="Times New Roman"/>
        </w:rPr>
      </w:pPr>
      <w:r>
        <w:rPr>
          <w:rFonts w:ascii="Times New Roman" w:eastAsiaTheme="majorEastAsia" w:hAnsi="Times New Roman" w:cs="Times New Roman"/>
        </w:rPr>
        <w:t>3.5 Não poderão disputar esta licitação:</w:t>
      </w:r>
    </w:p>
    <w:p w14:paraId="05EF9AB4" w14:textId="77777777" w:rsidR="00575174" w:rsidRDefault="009F4508">
      <w:pPr>
        <w:pStyle w:val="Nivel2"/>
        <w:numPr>
          <w:ilvl w:val="0"/>
          <w:numId w:val="0"/>
        </w:numPr>
        <w:spacing w:before="0" w:after="0"/>
        <w:ind w:left="720"/>
        <w:rPr>
          <w:rFonts w:ascii="Times New Roman" w:eastAsiaTheme="majorEastAsia" w:hAnsi="Times New Roman" w:cs="Times New Roman"/>
        </w:rPr>
      </w:pPr>
      <w:r>
        <w:rPr>
          <w:rFonts w:ascii="Times New Roman" w:eastAsiaTheme="majorEastAsia" w:hAnsi="Times New Roman" w:cs="Times New Roman"/>
        </w:rPr>
        <w:t>3.5.1 Aqueles que não atendam às condições previstas neste Edital e seus anexos;</w:t>
      </w:r>
    </w:p>
    <w:p w14:paraId="540EA90E" w14:textId="77777777" w:rsidR="00575174" w:rsidRDefault="009F4508">
      <w:pPr>
        <w:pStyle w:val="Nivel2"/>
        <w:numPr>
          <w:ilvl w:val="0"/>
          <w:numId w:val="0"/>
        </w:numPr>
        <w:spacing w:before="0" w:after="0"/>
        <w:ind w:left="720"/>
        <w:rPr>
          <w:rFonts w:ascii="Times New Roman" w:eastAsiaTheme="majorEastAsia" w:hAnsi="Times New Roman" w:cs="Times New Roman"/>
        </w:rPr>
      </w:pPr>
      <w:r>
        <w:rPr>
          <w:rFonts w:ascii="Times New Roman" w:eastAsiaTheme="majorEastAsia" w:hAnsi="Times New Roman" w:cs="Times New Roman"/>
        </w:rPr>
        <w:t>3.5.2 O autor do anteprojeto, do projeto básico ou executivo, pessoa física ou jurídica, quando a licitação versar sobre serviços ou fornecimento de bens a ele relacionados;</w:t>
      </w:r>
    </w:p>
    <w:p w14:paraId="51786ABB" w14:textId="77777777" w:rsidR="00575174" w:rsidRDefault="009F4508">
      <w:pPr>
        <w:pStyle w:val="Nivel2"/>
        <w:numPr>
          <w:ilvl w:val="0"/>
          <w:numId w:val="0"/>
        </w:numPr>
        <w:spacing w:before="0" w:after="0"/>
        <w:ind w:left="720"/>
        <w:rPr>
          <w:rFonts w:ascii="Times New Roman" w:eastAsiaTheme="majorEastAsia" w:hAnsi="Times New Roman" w:cs="Times New Roman"/>
        </w:rPr>
      </w:pPr>
      <w:r>
        <w:rPr>
          <w:rFonts w:ascii="Times New Roman" w:eastAsiaTheme="majorEastAsia" w:hAnsi="Times New Roman" w:cs="Times New Roman"/>
        </w:rPr>
        <w:t>3.5.3 Empresa responsável pela elaboração do projeto básico ou executivo, ou da qual o autor do projeto seja dirigente, gerente, controlador, acionista ou detentor de mais de 5% (cinco por cento) do capital com direito a voto, responsável técnico ou subcontratado, quando a licitação versar sobre serviços ou fornecimento de bens necessários à execução do projeto;</w:t>
      </w:r>
    </w:p>
    <w:p w14:paraId="13A37050" w14:textId="77777777" w:rsidR="00575174" w:rsidRDefault="009F4508">
      <w:pPr>
        <w:pStyle w:val="Nivel2"/>
        <w:numPr>
          <w:ilvl w:val="0"/>
          <w:numId w:val="0"/>
        </w:numPr>
        <w:spacing w:before="0" w:after="0"/>
        <w:ind w:left="720"/>
        <w:rPr>
          <w:rFonts w:ascii="Times New Roman" w:eastAsiaTheme="majorEastAsia" w:hAnsi="Times New Roman" w:cs="Times New Roman"/>
        </w:rPr>
      </w:pPr>
      <w:r>
        <w:rPr>
          <w:rFonts w:ascii="Times New Roman" w:eastAsiaTheme="majorEastAsia" w:hAnsi="Times New Roman" w:cs="Times New Roman"/>
        </w:rPr>
        <w:t>3.5.4 Pessoa física ou jurídica impossibilitada de participar de licitação em decorrência de sanção;</w:t>
      </w:r>
    </w:p>
    <w:p w14:paraId="00186184" w14:textId="77777777" w:rsidR="00575174" w:rsidRDefault="009F4508">
      <w:pPr>
        <w:pStyle w:val="Nivel2"/>
        <w:numPr>
          <w:ilvl w:val="0"/>
          <w:numId w:val="0"/>
        </w:numPr>
        <w:spacing w:before="0" w:after="0"/>
        <w:ind w:left="720"/>
        <w:rPr>
          <w:rFonts w:ascii="Times New Roman" w:eastAsiaTheme="majorEastAsia" w:hAnsi="Times New Roman" w:cs="Times New Roman"/>
        </w:rPr>
      </w:pPr>
      <w:r>
        <w:rPr>
          <w:rFonts w:ascii="Times New Roman" w:eastAsiaTheme="majorEastAsia" w:hAnsi="Times New Roman" w:cs="Times New Roman"/>
        </w:rPr>
        <w:t>3.5.5 Quem mantenha vínculo técnico, comercial, econômico, financeiro, trabalhista ou civil com dirigente do órgão ou entidade contratante ou com agente público que atue na licitação, fiscalização ou gestão do contrato, ou que deles seja cônjuge, companheiro ou parente até o terceiro grau;</w:t>
      </w:r>
    </w:p>
    <w:p w14:paraId="4261BE20" w14:textId="77777777" w:rsidR="00575174" w:rsidRDefault="009F4508">
      <w:pPr>
        <w:pStyle w:val="Nivel2"/>
        <w:numPr>
          <w:ilvl w:val="0"/>
          <w:numId w:val="0"/>
        </w:numPr>
        <w:spacing w:before="0" w:after="0"/>
        <w:ind w:left="720"/>
        <w:rPr>
          <w:rFonts w:ascii="Times New Roman" w:eastAsiaTheme="majorEastAsia" w:hAnsi="Times New Roman" w:cs="Times New Roman"/>
        </w:rPr>
      </w:pPr>
      <w:r>
        <w:rPr>
          <w:rFonts w:ascii="Times New Roman" w:eastAsiaTheme="majorEastAsia" w:hAnsi="Times New Roman" w:cs="Times New Roman"/>
        </w:rPr>
        <w:t>3.5.6 Empresas controladoras, controladas ou coligadas, nos termos da Lei nº 6.404/1976, concorrendo entre si;</w:t>
      </w:r>
    </w:p>
    <w:p w14:paraId="3AC79BCE" w14:textId="77777777" w:rsidR="00575174" w:rsidRDefault="009F4508">
      <w:pPr>
        <w:pStyle w:val="Nivel2"/>
        <w:numPr>
          <w:ilvl w:val="0"/>
          <w:numId w:val="0"/>
        </w:numPr>
        <w:spacing w:before="0" w:after="0"/>
        <w:ind w:left="720"/>
        <w:rPr>
          <w:rFonts w:ascii="Times New Roman" w:eastAsiaTheme="majorEastAsia" w:hAnsi="Times New Roman" w:cs="Times New Roman"/>
        </w:rPr>
      </w:pPr>
      <w:r>
        <w:rPr>
          <w:rFonts w:ascii="Times New Roman" w:eastAsiaTheme="majorEastAsia" w:hAnsi="Times New Roman" w:cs="Times New Roman"/>
        </w:rPr>
        <w:t>3.5.7 Pessoa física ou jurídica que, nos 5 (cinco) anos anteriores à divulgação do edital, tenha sido condenada judicialmente, com trânsito em julgado, por exploração de trabalho infantil, submissão de trabalhadores a condições análogas às de escravo ou contratação de adolescentes nos casos vedados pela legislação trabalhista;</w:t>
      </w:r>
    </w:p>
    <w:p w14:paraId="16B10E92" w14:textId="77777777" w:rsidR="00575174" w:rsidRDefault="009F4508">
      <w:pPr>
        <w:pStyle w:val="Nivel2"/>
        <w:numPr>
          <w:ilvl w:val="0"/>
          <w:numId w:val="0"/>
        </w:numPr>
        <w:spacing w:before="0" w:after="0"/>
        <w:ind w:left="720"/>
        <w:rPr>
          <w:rFonts w:ascii="Times New Roman" w:eastAsiaTheme="majorEastAsia" w:hAnsi="Times New Roman" w:cs="Times New Roman"/>
        </w:rPr>
      </w:pPr>
      <w:r>
        <w:rPr>
          <w:rFonts w:ascii="Times New Roman" w:eastAsiaTheme="majorEastAsia" w:hAnsi="Times New Roman" w:cs="Times New Roman"/>
        </w:rPr>
        <w:t>3.5.8 Agente público do órgão ou entidade licitante;</w:t>
      </w:r>
    </w:p>
    <w:p w14:paraId="2188BDA0" w14:textId="77777777" w:rsidR="00575174" w:rsidRDefault="009F4508">
      <w:pPr>
        <w:pStyle w:val="Nivel2"/>
        <w:numPr>
          <w:ilvl w:val="0"/>
          <w:numId w:val="0"/>
        </w:numPr>
        <w:spacing w:before="0" w:after="0"/>
        <w:ind w:left="720"/>
        <w:rPr>
          <w:rFonts w:ascii="Times New Roman" w:eastAsiaTheme="majorEastAsia" w:hAnsi="Times New Roman" w:cs="Times New Roman"/>
        </w:rPr>
      </w:pPr>
      <w:r>
        <w:rPr>
          <w:rFonts w:ascii="Times New Roman" w:eastAsiaTheme="majorEastAsia" w:hAnsi="Times New Roman" w:cs="Times New Roman"/>
        </w:rPr>
        <w:t>3.5.9 Pessoas jurídicas reunidas em consórcio;</w:t>
      </w:r>
    </w:p>
    <w:p w14:paraId="15DF5AA6" w14:textId="77777777" w:rsidR="00575174" w:rsidRDefault="009F4508">
      <w:pPr>
        <w:pStyle w:val="Nivel2"/>
        <w:numPr>
          <w:ilvl w:val="0"/>
          <w:numId w:val="0"/>
        </w:numPr>
        <w:spacing w:before="0" w:after="0"/>
        <w:ind w:left="720"/>
        <w:rPr>
          <w:rFonts w:ascii="Times New Roman" w:eastAsiaTheme="majorEastAsia" w:hAnsi="Times New Roman" w:cs="Times New Roman"/>
        </w:rPr>
      </w:pPr>
      <w:r>
        <w:rPr>
          <w:rFonts w:ascii="Times New Roman" w:eastAsiaTheme="majorEastAsia" w:hAnsi="Times New Roman" w:cs="Times New Roman"/>
        </w:rPr>
        <w:t>3.5.10 Organizações da Sociedade Civil de Interesse Público – OSCIP, atuando nessa condição;</w:t>
      </w:r>
    </w:p>
    <w:p w14:paraId="34A55CA2" w14:textId="77777777" w:rsidR="00575174" w:rsidRDefault="009F4508">
      <w:pPr>
        <w:pStyle w:val="Nivel2"/>
        <w:numPr>
          <w:ilvl w:val="0"/>
          <w:numId w:val="0"/>
        </w:numPr>
        <w:spacing w:before="0" w:after="0"/>
        <w:ind w:left="720"/>
        <w:rPr>
          <w:rFonts w:ascii="Times New Roman" w:eastAsiaTheme="majorEastAsia" w:hAnsi="Times New Roman" w:cs="Times New Roman"/>
        </w:rPr>
      </w:pPr>
      <w:r>
        <w:rPr>
          <w:rFonts w:ascii="Times New Roman" w:eastAsiaTheme="majorEastAsia" w:hAnsi="Times New Roman" w:cs="Times New Roman"/>
        </w:rPr>
        <w:lastRenderedPageBreak/>
        <w:t>3.5.11 Quem incorrer em situações que configurem conflito de interesses, no exercício ou após o exercício do cargo ou emprego, nos termos da legislação aplicável, conforme § 1º do art. 9º da Lei nº 14.133/2021.</w:t>
      </w:r>
    </w:p>
    <w:p w14:paraId="46DF93E2" w14:textId="77777777" w:rsidR="00575174" w:rsidRDefault="009F4508">
      <w:pPr>
        <w:pStyle w:val="Nivel2"/>
        <w:numPr>
          <w:ilvl w:val="0"/>
          <w:numId w:val="0"/>
        </w:numPr>
        <w:spacing w:before="0" w:after="0"/>
        <w:rPr>
          <w:rFonts w:ascii="Times New Roman" w:eastAsiaTheme="majorEastAsia" w:hAnsi="Times New Roman" w:cs="Times New Roman"/>
        </w:rPr>
      </w:pPr>
      <w:r>
        <w:rPr>
          <w:rFonts w:ascii="Times New Roman" w:eastAsiaTheme="majorEastAsia" w:hAnsi="Times New Roman" w:cs="Times New Roman"/>
        </w:rPr>
        <w:t>3.6 Equiparam-se aos autores do projeto as empresas integrantes do mesmo grupo econômico.</w:t>
      </w:r>
    </w:p>
    <w:p w14:paraId="0A392790" w14:textId="77777777" w:rsidR="00575174" w:rsidRDefault="009F4508">
      <w:pPr>
        <w:pStyle w:val="Nivel2"/>
        <w:numPr>
          <w:ilvl w:val="0"/>
          <w:numId w:val="0"/>
        </w:numPr>
        <w:spacing w:before="0" w:after="0"/>
        <w:rPr>
          <w:rFonts w:ascii="Times New Roman" w:eastAsiaTheme="majorEastAsia" w:hAnsi="Times New Roman" w:cs="Times New Roman"/>
        </w:rPr>
      </w:pPr>
      <w:r>
        <w:rPr>
          <w:rFonts w:ascii="Times New Roman" w:eastAsiaTheme="majorEastAsia" w:hAnsi="Times New Roman" w:cs="Times New Roman"/>
        </w:rPr>
        <w:t>3.7 Em licitações e contratações realizadas no âmbito de projetos e programas parcialmente financiados por agência oficial de cooperação estrangeira ou por organismo financeiro internacional, não poderá participar pessoa física ou jurídica que integre o rol de sancionadas por essas entidades ou que seja declarada inidônea nos termos da Lei nº 14.133/2021.</w:t>
      </w:r>
    </w:p>
    <w:p w14:paraId="4DAF665A" w14:textId="77777777" w:rsidR="00575174" w:rsidRDefault="00575174">
      <w:pPr>
        <w:pStyle w:val="Nivel2"/>
        <w:numPr>
          <w:ilvl w:val="0"/>
          <w:numId w:val="0"/>
        </w:numPr>
        <w:spacing w:before="0" w:after="0" w:line="240" w:lineRule="auto"/>
        <w:rPr>
          <w:rFonts w:ascii="Times New Roman" w:hAnsi="Times New Roman" w:cs="Times New Roman"/>
          <w:color w:val="auto"/>
        </w:rPr>
      </w:pPr>
    </w:p>
    <w:p w14:paraId="5CF65685" w14:textId="77777777" w:rsidR="00575174" w:rsidRDefault="009F4508">
      <w:pPr>
        <w:pStyle w:val="Nvel2-Red"/>
        <w:numPr>
          <w:ilvl w:val="0"/>
          <w:numId w:val="0"/>
        </w:numPr>
        <w:spacing w:before="0" w:after="0"/>
        <w:ind w:left="360"/>
        <w:rPr>
          <w:rFonts w:ascii="Times New Roman" w:eastAsiaTheme="majorEastAsia" w:hAnsi="Times New Roman" w:cs="Times New Roman"/>
          <w:b/>
          <w:bCs/>
          <w:i w:val="0"/>
          <w:iCs w:val="0"/>
          <w:color w:val="auto"/>
        </w:rPr>
      </w:pPr>
      <w:r>
        <w:rPr>
          <w:rFonts w:ascii="Times New Roman" w:eastAsiaTheme="majorEastAsia" w:hAnsi="Times New Roman" w:cs="Times New Roman"/>
          <w:b/>
          <w:bCs/>
          <w:i w:val="0"/>
          <w:iCs w:val="0"/>
          <w:color w:val="auto"/>
        </w:rPr>
        <w:t>4. DA APRESENTAÇÃO DA PROPOSTA E DOS DOCUMENTOS DE HABILITAÇÃO</w:t>
      </w:r>
    </w:p>
    <w:p w14:paraId="7162259F" w14:textId="77777777" w:rsidR="00575174" w:rsidRDefault="009F4508">
      <w:pPr>
        <w:pStyle w:val="Nvel2-Red"/>
        <w:numPr>
          <w:ilvl w:val="0"/>
          <w:numId w:val="0"/>
        </w:numPr>
        <w:spacing w:before="0" w:after="0"/>
        <w:ind w:left="360"/>
        <w:rPr>
          <w:rFonts w:ascii="Times New Roman" w:eastAsiaTheme="majorEastAsia" w:hAnsi="Times New Roman" w:cs="Times New Roman"/>
          <w:i w:val="0"/>
          <w:iCs w:val="0"/>
          <w:color w:val="auto"/>
        </w:rPr>
      </w:pPr>
      <w:r>
        <w:rPr>
          <w:rFonts w:ascii="Times New Roman" w:eastAsiaTheme="majorEastAsia" w:hAnsi="Times New Roman" w:cs="Times New Roman"/>
          <w:i w:val="0"/>
          <w:iCs w:val="0"/>
          <w:color w:val="auto"/>
        </w:rPr>
        <w:t>4.1 Os licitantes encaminharão, exclusivamente por meio do sistema eletrônico, a proposta com o preço ou percentual de desconto, conforme o critério de julgamento adotado neste Edital, até a data e horário estabelecidos para abertura da sessão pública.</w:t>
      </w:r>
    </w:p>
    <w:p w14:paraId="5D4A47E3" w14:textId="77777777" w:rsidR="00575174" w:rsidRDefault="009F4508">
      <w:pPr>
        <w:pStyle w:val="Nvel2-Red"/>
        <w:numPr>
          <w:ilvl w:val="0"/>
          <w:numId w:val="0"/>
        </w:numPr>
        <w:spacing w:before="0" w:after="0"/>
        <w:ind w:left="360"/>
        <w:rPr>
          <w:rFonts w:ascii="Times New Roman" w:eastAsiaTheme="majorEastAsia" w:hAnsi="Times New Roman" w:cs="Times New Roman"/>
          <w:i w:val="0"/>
          <w:iCs w:val="0"/>
          <w:color w:val="auto"/>
        </w:rPr>
      </w:pPr>
      <w:r>
        <w:rPr>
          <w:rFonts w:ascii="Times New Roman" w:eastAsiaTheme="majorEastAsia" w:hAnsi="Times New Roman" w:cs="Times New Roman"/>
          <w:i w:val="0"/>
          <w:iCs w:val="0"/>
          <w:color w:val="auto"/>
        </w:rPr>
        <w:t>4.1.1 No cadastramento da proposta inicial, o licitante declarará, em campo próprio do sistema, que:</w:t>
      </w:r>
    </w:p>
    <w:p w14:paraId="05B4A483" w14:textId="77777777" w:rsidR="00575174" w:rsidRDefault="009F4508">
      <w:pPr>
        <w:pStyle w:val="Nvel2-Red"/>
        <w:numPr>
          <w:ilvl w:val="0"/>
          <w:numId w:val="0"/>
        </w:numPr>
        <w:spacing w:before="0" w:after="0"/>
        <w:ind w:left="720"/>
        <w:rPr>
          <w:rFonts w:ascii="Times New Roman" w:eastAsiaTheme="majorEastAsia" w:hAnsi="Times New Roman" w:cs="Times New Roman"/>
          <w:i w:val="0"/>
          <w:iCs w:val="0"/>
          <w:color w:val="auto"/>
        </w:rPr>
      </w:pPr>
      <w:r>
        <w:rPr>
          <w:rFonts w:ascii="Times New Roman" w:eastAsiaTheme="majorEastAsia" w:hAnsi="Times New Roman" w:cs="Times New Roman"/>
          <w:i w:val="0"/>
          <w:iCs w:val="0"/>
          <w:color w:val="auto"/>
        </w:rPr>
        <w:t>4.1.2 Está ciente e concorda com as condições contidas no edital e seus anexos, bem como que a proposta apresentada compreende todos os custos para atendimento dos direitos trabalhistas assegurados na Constituição Federal, nas leis e normas aplicáveis, nas convenções coletivas de trabalho e nos termos de ajustamento de condutas vigentes na data de entrega, cumprindo plenamente os requisitos de habilitação definidos no instrumento convocatório;</w:t>
      </w:r>
    </w:p>
    <w:p w14:paraId="7E17EF48" w14:textId="77777777" w:rsidR="00575174" w:rsidRDefault="009F4508">
      <w:pPr>
        <w:pStyle w:val="Nvel2-Red"/>
        <w:numPr>
          <w:ilvl w:val="0"/>
          <w:numId w:val="0"/>
        </w:numPr>
        <w:spacing w:before="0" w:after="0"/>
        <w:ind w:left="720"/>
        <w:rPr>
          <w:rFonts w:ascii="Times New Roman" w:eastAsiaTheme="majorEastAsia" w:hAnsi="Times New Roman" w:cs="Times New Roman"/>
          <w:i w:val="0"/>
          <w:iCs w:val="0"/>
          <w:color w:val="auto"/>
        </w:rPr>
      </w:pPr>
      <w:r>
        <w:rPr>
          <w:rFonts w:ascii="Times New Roman" w:eastAsiaTheme="majorEastAsia" w:hAnsi="Times New Roman" w:cs="Times New Roman"/>
          <w:i w:val="0"/>
          <w:iCs w:val="0"/>
          <w:color w:val="auto"/>
        </w:rPr>
        <w:t>4.1.3 Não emprega menor de 18 anos em trabalho noturno, perigoso ou insalubre e não emprega menor de 16 anos, salvo a partir de 14 anos na condição de aprendiz, nos termos do art. 7º, XXXIII, da Constituição;</w:t>
      </w:r>
    </w:p>
    <w:p w14:paraId="7743981C" w14:textId="77777777" w:rsidR="00575174" w:rsidRDefault="009F4508">
      <w:pPr>
        <w:pStyle w:val="Nvel2-Red"/>
        <w:numPr>
          <w:ilvl w:val="0"/>
          <w:numId w:val="0"/>
        </w:numPr>
        <w:spacing w:before="0" w:after="0"/>
        <w:ind w:left="720"/>
        <w:rPr>
          <w:rFonts w:ascii="Times New Roman" w:eastAsiaTheme="majorEastAsia" w:hAnsi="Times New Roman" w:cs="Times New Roman"/>
          <w:i w:val="0"/>
          <w:iCs w:val="0"/>
          <w:color w:val="auto"/>
        </w:rPr>
      </w:pPr>
      <w:r>
        <w:rPr>
          <w:rFonts w:ascii="Times New Roman" w:eastAsiaTheme="majorEastAsia" w:hAnsi="Times New Roman" w:cs="Times New Roman"/>
          <w:i w:val="0"/>
          <w:iCs w:val="0"/>
          <w:color w:val="auto"/>
        </w:rPr>
        <w:t>4.1.4 Não possui empregados executando trabalho degradante ou forçado, conforme os incisos III e IV do art. 1º e o inciso III do art. 5º da Constituição Federal;</w:t>
      </w:r>
    </w:p>
    <w:p w14:paraId="772F6D38" w14:textId="77777777" w:rsidR="00575174" w:rsidRDefault="009F4508">
      <w:pPr>
        <w:pStyle w:val="Nvel2-Red"/>
        <w:numPr>
          <w:ilvl w:val="0"/>
          <w:numId w:val="0"/>
        </w:numPr>
        <w:spacing w:before="0" w:after="0"/>
        <w:ind w:left="720"/>
        <w:rPr>
          <w:rFonts w:ascii="Times New Roman" w:eastAsiaTheme="majorEastAsia" w:hAnsi="Times New Roman" w:cs="Times New Roman"/>
          <w:i w:val="0"/>
          <w:iCs w:val="0"/>
          <w:color w:val="auto"/>
        </w:rPr>
      </w:pPr>
      <w:r>
        <w:rPr>
          <w:rFonts w:ascii="Times New Roman" w:eastAsiaTheme="majorEastAsia" w:hAnsi="Times New Roman" w:cs="Times New Roman"/>
          <w:i w:val="0"/>
          <w:iCs w:val="0"/>
          <w:color w:val="auto"/>
        </w:rPr>
        <w:t>4.1.5 Cumpre as exigências de reserva de cargos para pessoa com deficiência e para reabilitado da Previdência Social, previstas em lei e demais normas específicas.</w:t>
      </w:r>
    </w:p>
    <w:p w14:paraId="717DF1B4" w14:textId="77777777" w:rsidR="00575174" w:rsidRDefault="009F4508">
      <w:pPr>
        <w:pStyle w:val="Nvel2-Red"/>
        <w:numPr>
          <w:ilvl w:val="0"/>
          <w:numId w:val="0"/>
        </w:numPr>
        <w:spacing w:before="0" w:after="0"/>
        <w:ind w:left="360"/>
        <w:rPr>
          <w:rFonts w:ascii="Times New Roman" w:eastAsiaTheme="majorEastAsia" w:hAnsi="Times New Roman" w:cs="Times New Roman"/>
          <w:i w:val="0"/>
          <w:iCs w:val="0"/>
          <w:color w:val="auto"/>
        </w:rPr>
      </w:pPr>
      <w:r>
        <w:rPr>
          <w:rFonts w:ascii="Times New Roman" w:eastAsiaTheme="majorEastAsia" w:hAnsi="Times New Roman" w:cs="Times New Roman"/>
          <w:i w:val="0"/>
          <w:iCs w:val="0"/>
          <w:color w:val="auto"/>
        </w:rPr>
        <w:t>4.2 O licitante organizado em cooperativa deverá declarar, também em campo próprio do sistema, que cumpre os requisitos do art. 16 da Lei nº 14.133/2021.</w:t>
      </w:r>
    </w:p>
    <w:p w14:paraId="07AE8A0B" w14:textId="77777777" w:rsidR="00575174" w:rsidRDefault="009F4508">
      <w:pPr>
        <w:pStyle w:val="Nvel2-Red"/>
        <w:numPr>
          <w:ilvl w:val="0"/>
          <w:numId w:val="0"/>
        </w:numPr>
        <w:spacing w:before="0" w:after="0"/>
        <w:ind w:left="360"/>
        <w:rPr>
          <w:rFonts w:ascii="Times New Roman" w:eastAsiaTheme="majorEastAsia" w:hAnsi="Times New Roman" w:cs="Times New Roman"/>
          <w:i w:val="0"/>
          <w:iCs w:val="0"/>
          <w:color w:val="auto"/>
        </w:rPr>
      </w:pPr>
      <w:r>
        <w:rPr>
          <w:rFonts w:ascii="Times New Roman" w:eastAsiaTheme="majorEastAsia" w:hAnsi="Times New Roman" w:cs="Times New Roman"/>
          <w:i w:val="0"/>
          <w:iCs w:val="0"/>
          <w:color w:val="auto"/>
        </w:rPr>
        <w:t>4.3 O fornecedor enquadrado como microempresa, empresa de pequeno porte ou sociedade cooperativa deverá declarar que cumpre os requisitos do art. 3º da Lei Complementar nº 123/2006, estando apto a usufruir do tratamento favorecido previsto em seus arts. 42 a 49, observado o disposto nos §§ 1º a 3º do art. 4º da Lei nº 14.133/2021.</w:t>
      </w:r>
    </w:p>
    <w:p w14:paraId="4DF28104" w14:textId="77777777" w:rsidR="00575174" w:rsidRDefault="009F4508">
      <w:pPr>
        <w:pStyle w:val="Nvel2-Red"/>
        <w:numPr>
          <w:ilvl w:val="0"/>
          <w:numId w:val="0"/>
        </w:numPr>
        <w:spacing w:before="0" w:after="0"/>
        <w:ind w:left="360"/>
        <w:rPr>
          <w:rFonts w:ascii="Times New Roman" w:eastAsiaTheme="majorEastAsia" w:hAnsi="Times New Roman" w:cs="Times New Roman"/>
          <w:i w:val="0"/>
          <w:iCs w:val="0"/>
          <w:color w:val="auto"/>
        </w:rPr>
      </w:pPr>
      <w:r>
        <w:rPr>
          <w:rFonts w:ascii="Times New Roman" w:eastAsiaTheme="majorEastAsia" w:hAnsi="Times New Roman" w:cs="Times New Roman"/>
          <w:i w:val="0"/>
          <w:iCs w:val="0"/>
          <w:color w:val="auto"/>
        </w:rPr>
        <w:t>4.4 A falsidade das declarações referidas nos itens 4.2 e 4.3 sujeitará o licitante às sanções previstas na Lei nº 14.133/2021 e neste Edital.</w:t>
      </w:r>
    </w:p>
    <w:p w14:paraId="6B4C590E" w14:textId="77777777" w:rsidR="00575174" w:rsidRDefault="009F4508">
      <w:pPr>
        <w:pStyle w:val="Nvel2-Red"/>
        <w:numPr>
          <w:ilvl w:val="0"/>
          <w:numId w:val="0"/>
        </w:numPr>
        <w:spacing w:before="0" w:after="0"/>
        <w:ind w:left="360"/>
        <w:rPr>
          <w:rFonts w:ascii="Times New Roman" w:eastAsiaTheme="majorEastAsia" w:hAnsi="Times New Roman" w:cs="Times New Roman"/>
          <w:i w:val="0"/>
          <w:iCs w:val="0"/>
          <w:color w:val="auto"/>
        </w:rPr>
      </w:pPr>
      <w:r>
        <w:rPr>
          <w:rFonts w:ascii="Times New Roman" w:eastAsiaTheme="majorEastAsia" w:hAnsi="Times New Roman" w:cs="Times New Roman"/>
          <w:i w:val="0"/>
          <w:iCs w:val="0"/>
          <w:color w:val="auto"/>
        </w:rPr>
        <w:t>4.5 Os licitantes poderão retirar ou substituir a proposta ou, quando a fase de habilitação anteceder as fases de apresentação de propostas, lances e julgamento, os documentos de habilitação inseridos no sistema, até a abertura da sessão pública.</w:t>
      </w:r>
    </w:p>
    <w:p w14:paraId="6B016FC9" w14:textId="77777777" w:rsidR="00575174" w:rsidRDefault="009F4508">
      <w:pPr>
        <w:pStyle w:val="Nvel2-Red"/>
        <w:numPr>
          <w:ilvl w:val="0"/>
          <w:numId w:val="0"/>
        </w:numPr>
        <w:spacing w:before="0" w:after="0"/>
        <w:ind w:left="360"/>
        <w:rPr>
          <w:rFonts w:ascii="Times New Roman" w:eastAsiaTheme="majorEastAsia" w:hAnsi="Times New Roman" w:cs="Times New Roman"/>
          <w:i w:val="0"/>
          <w:iCs w:val="0"/>
          <w:color w:val="auto"/>
        </w:rPr>
      </w:pPr>
      <w:r>
        <w:rPr>
          <w:rFonts w:ascii="Times New Roman" w:eastAsiaTheme="majorEastAsia" w:hAnsi="Times New Roman" w:cs="Times New Roman"/>
          <w:i w:val="0"/>
          <w:iCs w:val="0"/>
          <w:color w:val="auto"/>
        </w:rPr>
        <w:t>4.6 Não haverá ordem de classificação na etapa de apresentação da proposta e documentos de habilitação, o que ocorrerá somente após os procedimentos de abertura da sessão pública e da fase de lances.</w:t>
      </w:r>
    </w:p>
    <w:p w14:paraId="312A5C0B" w14:textId="77777777" w:rsidR="00575174" w:rsidRDefault="009F4508">
      <w:pPr>
        <w:pStyle w:val="Nvel2-Red"/>
        <w:numPr>
          <w:ilvl w:val="0"/>
          <w:numId w:val="0"/>
        </w:numPr>
        <w:spacing w:before="0" w:after="0"/>
        <w:ind w:left="360"/>
        <w:rPr>
          <w:rFonts w:ascii="Times New Roman" w:eastAsiaTheme="majorEastAsia" w:hAnsi="Times New Roman" w:cs="Times New Roman"/>
          <w:i w:val="0"/>
          <w:iCs w:val="0"/>
          <w:color w:val="auto"/>
        </w:rPr>
      </w:pPr>
      <w:r>
        <w:rPr>
          <w:rFonts w:ascii="Times New Roman" w:eastAsiaTheme="majorEastAsia" w:hAnsi="Times New Roman" w:cs="Times New Roman"/>
          <w:i w:val="0"/>
          <w:iCs w:val="0"/>
          <w:color w:val="auto"/>
        </w:rPr>
        <w:t>4.7 Serão disponibilizados para acesso público os documentos que compõem a proposta dos licitantes convocados, após a fase de envio de lances.</w:t>
      </w:r>
    </w:p>
    <w:p w14:paraId="4119ECBC" w14:textId="77777777" w:rsidR="00575174" w:rsidRDefault="009F4508">
      <w:pPr>
        <w:pStyle w:val="Nvel2-Red"/>
        <w:numPr>
          <w:ilvl w:val="0"/>
          <w:numId w:val="0"/>
        </w:numPr>
        <w:spacing w:before="0" w:after="0"/>
        <w:ind w:left="360"/>
        <w:rPr>
          <w:rFonts w:ascii="Times New Roman" w:eastAsiaTheme="majorEastAsia" w:hAnsi="Times New Roman" w:cs="Times New Roman"/>
          <w:i w:val="0"/>
          <w:iCs w:val="0"/>
          <w:color w:val="auto"/>
        </w:rPr>
      </w:pPr>
      <w:r>
        <w:rPr>
          <w:rFonts w:ascii="Times New Roman" w:eastAsiaTheme="majorEastAsia" w:hAnsi="Times New Roman" w:cs="Times New Roman"/>
          <w:i w:val="0"/>
          <w:iCs w:val="0"/>
          <w:color w:val="auto"/>
        </w:rPr>
        <w:t>4.8 Desde que disponível no sistema, o licitante poderá parametrizar o valor final mínimo ou o percentual de desconto máximo no cadastramento da proposta, observando:</w:t>
      </w:r>
    </w:p>
    <w:p w14:paraId="1A9BC0DD" w14:textId="77777777" w:rsidR="00575174" w:rsidRDefault="009F4508">
      <w:pPr>
        <w:pStyle w:val="Nvel2-Red"/>
        <w:numPr>
          <w:ilvl w:val="0"/>
          <w:numId w:val="6"/>
        </w:numPr>
        <w:spacing w:before="0" w:after="0"/>
        <w:rPr>
          <w:rFonts w:ascii="Times New Roman" w:eastAsiaTheme="majorEastAsia" w:hAnsi="Times New Roman" w:cs="Times New Roman"/>
          <w:i w:val="0"/>
          <w:iCs w:val="0"/>
          <w:color w:val="auto"/>
        </w:rPr>
      </w:pPr>
      <w:r>
        <w:rPr>
          <w:rFonts w:ascii="Times New Roman" w:eastAsiaTheme="majorEastAsia" w:hAnsi="Times New Roman" w:cs="Times New Roman"/>
          <w:i w:val="0"/>
          <w:iCs w:val="0"/>
          <w:color w:val="auto"/>
        </w:rPr>
        <w:t>4.9 Aplicação do intervalo mínimo de diferença entre lances, incidindo tanto nos intermediários quanto no lance que cobrir a melhor oferta;</w:t>
      </w:r>
    </w:p>
    <w:p w14:paraId="6442AC95" w14:textId="77777777" w:rsidR="00575174" w:rsidRDefault="009F4508">
      <w:pPr>
        <w:pStyle w:val="Nvel2-Red"/>
        <w:numPr>
          <w:ilvl w:val="0"/>
          <w:numId w:val="6"/>
        </w:numPr>
        <w:spacing w:before="0" w:after="0"/>
        <w:rPr>
          <w:rFonts w:ascii="Times New Roman" w:eastAsiaTheme="majorEastAsia" w:hAnsi="Times New Roman" w:cs="Times New Roman"/>
          <w:i w:val="0"/>
          <w:iCs w:val="0"/>
          <w:color w:val="auto"/>
        </w:rPr>
      </w:pPr>
      <w:r>
        <w:rPr>
          <w:rFonts w:ascii="Times New Roman" w:eastAsiaTheme="majorEastAsia" w:hAnsi="Times New Roman" w:cs="Times New Roman"/>
          <w:i w:val="0"/>
          <w:iCs w:val="0"/>
          <w:color w:val="auto"/>
        </w:rPr>
        <w:t>4.9.1 O envio automático de lances pelo sistema, respeitado o valor final mínimo e o intervalo estabelecido.</w:t>
      </w:r>
    </w:p>
    <w:p w14:paraId="6CE3C936" w14:textId="77777777" w:rsidR="00575174" w:rsidRDefault="009F4508">
      <w:pPr>
        <w:pStyle w:val="Nvel2-Red"/>
        <w:numPr>
          <w:ilvl w:val="0"/>
          <w:numId w:val="0"/>
        </w:numPr>
        <w:spacing w:before="0" w:after="0"/>
        <w:ind w:left="360"/>
        <w:rPr>
          <w:rFonts w:ascii="Times New Roman" w:eastAsiaTheme="majorEastAsia" w:hAnsi="Times New Roman" w:cs="Times New Roman"/>
          <w:i w:val="0"/>
          <w:iCs w:val="0"/>
          <w:color w:val="auto"/>
        </w:rPr>
      </w:pPr>
      <w:r>
        <w:rPr>
          <w:rFonts w:ascii="Times New Roman" w:eastAsiaTheme="majorEastAsia" w:hAnsi="Times New Roman" w:cs="Times New Roman"/>
          <w:i w:val="0"/>
          <w:iCs w:val="0"/>
          <w:color w:val="auto"/>
        </w:rPr>
        <w:t>4.10 O valor final mínimo parametrizado poderá ser alterado pelo fornecedor durante a disputa, sendo vedado:</w:t>
      </w:r>
    </w:p>
    <w:p w14:paraId="79AB0AD5" w14:textId="77777777" w:rsidR="00575174" w:rsidRDefault="009F4508">
      <w:pPr>
        <w:pStyle w:val="Nvel2-Red"/>
        <w:numPr>
          <w:ilvl w:val="0"/>
          <w:numId w:val="7"/>
        </w:numPr>
        <w:spacing w:before="0" w:after="0"/>
        <w:rPr>
          <w:rFonts w:ascii="Times New Roman" w:eastAsiaTheme="majorEastAsia" w:hAnsi="Times New Roman" w:cs="Times New Roman"/>
          <w:i w:val="0"/>
          <w:iCs w:val="0"/>
          <w:color w:val="auto"/>
        </w:rPr>
      </w:pPr>
      <w:r>
        <w:rPr>
          <w:rFonts w:ascii="Times New Roman" w:eastAsiaTheme="majorEastAsia" w:hAnsi="Times New Roman" w:cs="Times New Roman"/>
          <w:i w:val="0"/>
          <w:iCs w:val="0"/>
          <w:color w:val="auto"/>
        </w:rPr>
        <w:t>4.10.1 Valor superior a lance já registrado, quando adotado o critério de menor preço.</w:t>
      </w:r>
    </w:p>
    <w:p w14:paraId="31CB9513" w14:textId="77777777" w:rsidR="00575174" w:rsidRDefault="00575174">
      <w:pPr>
        <w:pStyle w:val="Nvel2-Red"/>
        <w:numPr>
          <w:ilvl w:val="0"/>
          <w:numId w:val="0"/>
        </w:numPr>
        <w:spacing w:before="0" w:after="0"/>
        <w:ind w:left="720"/>
        <w:rPr>
          <w:rFonts w:ascii="Times New Roman" w:eastAsiaTheme="majorEastAsia" w:hAnsi="Times New Roman" w:cs="Times New Roman"/>
          <w:i w:val="0"/>
          <w:iCs w:val="0"/>
          <w:color w:val="auto"/>
        </w:rPr>
      </w:pPr>
    </w:p>
    <w:p w14:paraId="6A22D1F1" w14:textId="77777777" w:rsidR="00575174" w:rsidRDefault="009F4508">
      <w:pPr>
        <w:pStyle w:val="Nvel2-Red"/>
        <w:numPr>
          <w:ilvl w:val="0"/>
          <w:numId w:val="0"/>
        </w:numPr>
        <w:spacing w:before="0" w:after="0"/>
        <w:ind w:left="360"/>
        <w:rPr>
          <w:rFonts w:ascii="Times New Roman" w:eastAsiaTheme="majorEastAsia" w:hAnsi="Times New Roman" w:cs="Times New Roman"/>
          <w:i w:val="0"/>
          <w:iCs w:val="0"/>
          <w:color w:val="auto"/>
        </w:rPr>
      </w:pPr>
      <w:r>
        <w:rPr>
          <w:rFonts w:ascii="Times New Roman" w:eastAsiaTheme="majorEastAsia" w:hAnsi="Times New Roman" w:cs="Times New Roman"/>
          <w:i w:val="0"/>
          <w:iCs w:val="0"/>
          <w:color w:val="auto"/>
        </w:rPr>
        <w:t>4.11 O valor final mínimo terá caráter sigiloso para demais fornecedores e para o órgão ou entidade promotora, podendo ser disponibilizado apenas aos órgãos de controle interno e externo.</w:t>
      </w:r>
    </w:p>
    <w:p w14:paraId="54DCF4CC" w14:textId="77777777" w:rsidR="00575174" w:rsidRDefault="009F4508">
      <w:pPr>
        <w:pStyle w:val="Nvel2-Red"/>
        <w:numPr>
          <w:ilvl w:val="0"/>
          <w:numId w:val="0"/>
        </w:numPr>
        <w:spacing w:before="0" w:after="0"/>
        <w:ind w:left="360"/>
        <w:rPr>
          <w:rFonts w:ascii="Times New Roman" w:eastAsiaTheme="majorEastAsia" w:hAnsi="Times New Roman" w:cs="Times New Roman"/>
          <w:i w:val="0"/>
          <w:iCs w:val="0"/>
          <w:color w:val="auto"/>
        </w:rPr>
      </w:pPr>
      <w:r>
        <w:rPr>
          <w:rFonts w:ascii="Times New Roman" w:eastAsiaTheme="majorEastAsia" w:hAnsi="Times New Roman" w:cs="Times New Roman"/>
          <w:i w:val="0"/>
          <w:iCs w:val="0"/>
          <w:color w:val="auto"/>
        </w:rPr>
        <w:t>4.12 Cabe ao licitante acompanhar as operações no sistema eletrônico durante o processo licitatório, responsabilizando-se por eventuais prejuízos decorrentes da inobservância de mensagens emitidas pela Administração ou desconexão.</w:t>
      </w:r>
    </w:p>
    <w:p w14:paraId="3BA825AE" w14:textId="77777777" w:rsidR="00575174" w:rsidRDefault="009F4508">
      <w:pPr>
        <w:pStyle w:val="Nvel2-Red"/>
        <w:numPr>
          <w:ilvl w:val="0"/>
          <w:numId w:val="0"/>
        </w:numPr>
        <w:spacing w:before="0" w:after="0"/>
        <w:ind w:left="360"/>
        <w:rPr>
          <w:rFonts w:ascii="Times New Roman" w:eastAsiaTheme="majorEastAsia" w:hAnsi="Times New Roman" w:cs="Times New Roman"/>
          <w:i w:val="0"/>
          <w:iCs w:val="0"/>
          <w:color w:val="auto"/>
        </w:rPr>
      </w:pPr>
      <w:r>
        <w:rPr>
          <w:rFonts w:ascii="Times New Roman" w:eastAsiaTheme="majorEastAsia" w:hAnsi="Times New Roman" w:cs="Times New Roman"/>
          <w:i w:val="0"/>
          <w:iCs w:val="0"/>
          <w:color w:val="auto"/>
        </w:rPr>
        <w:lastRenderedPageBreak/>
        <w:t>4.13 O licitante deverá comunicar imediatamente ao provedor do sistema qualquer ocorrência que comprometa o sigilo ou a segurança, para bloqueio imediato de acesso.</w:t>
      </w:r>
    </w:p>
    <w:p w14:paraId="3CBA4972" w14:textId="77777777" w:rsidR="00575174" w:rsidRDefault="009F4508">
      <w:pPr>
        <w:pStyle w:val="Nvel2-Red"/>
        <w:numPr>
          <w:ilvl w:val="0"/>
          <w:numId w:val="0"/>
        </w:numPr>
        <w:spacing w:before="0" w:after="0"/>
        <w:ind w:left="360"/>
        <w:rPr>
          <w:rFonts w:ascii="Times New Roman" w:eastAsiaTheme="majorEastAsia" w:hAnsi="Times New Roman" w:cs="Times New Roman"/>
          <w:i w:val="0"/>
          <w:iCs w:val="0"/>
          <w:color w:val="auto"/>
        </w:rPr>
      </w:pPr>
      <w:r>
        <w:rPr>
          <w:rFonts w:ascii="Times New Roman" w:eastAsiaTheme="majorEastAsia" w:hAnsi="Times New Roman" w:cs="Times New Roman"/>
          <w:i w:val="0"/>
          <w:iCs w:val="0"/>
          <w:color w:val="auto"/>
        </w:rPr>
        <w:t>4.14 O licitante deverá observar os requisitos de habilitação e regras de contratação previstos no Anexo I – Termo de Referência.</w:t>
      </w:r>
    </w:p>
    <w:p w14:paraId="51A06DF5" w14:textId="77777777" w:rsidR="00575174" w:rsidRDefault="00575174">
      <w:pPr>
        <w:pStyle w:val="Nvel2-Red"/>
        <w:numPr>
          <w:ilvl w:val="0"/>
          <w:numId w:val="0"/>
        </w:numPr>
        <w:spacing w:before="0" w:after="0" w:line="240" w:lineRule="auto"/>
        <w:ind w:left="360"/>
        <w:rPr>
          <w:rFonts w:ascii="Times New Roman" w:hAnsi="Times New Roman" w:cs="Times New Roman"/>
          <w:i w:val="0"/>
          <w:color w:val="auto"/>
        </w:rPr>
      </w:pPr>
    </w:p>
    <w:p w14:paraId="12A73E27" w14:textId="77777777" w:rsidR="00575174" w:rsidRDefault="009F4508">
      <w:pPr>
        <w:pStyle w:val="Nvel2-Red"/>
        <w:numPr>
          <w:ilvl w:val="0"/>
          <w:numId w:val="0"/>
        </w:numPr>
        <w:spacing w:before="0" w:after="0"/>
        <w:ind w:left="992"/>
        <w:rPr>
          <w:rFonts w:ascii="Times New Roman" w:eastAsiaTheme="majorEastAsia" w:hAnsi="Times New Roman" w:cs="Times New Roman"/>
          <w:b/>
          <w:bCs/>
          <w:i w:val="0"/>
          <w:iCs w:val="0"/>
          <w:color w:val="auto"/>
        </w:rPr>
      </w:pPr>
      <w:r>
        <w:rPr>
          <w:rFonts w:ascii="Times New Roman" w:eastAsiaTheme="majorEastAsia" w:hAnsi="Times New Roman" w:cs="Times New Roman"/>
          <w:b/>
          <w:bCs/>
          <w:i w:val="0"/>
          <w:iCs w:val="0"/>
          <w:color w:val="auto"/>
        </w:rPr>
        <w:t>5. DA PROPOSTA</w:t>
      </w:r>
    </w:p>
    <w:p w14:paraId="35081218" w14:textId="77777777" w:rsidR="00575174" w:rsidRDefault="009F4508">
      <w:pPr>
        <w:pStyle w:val="Nvel2-Red"/>
        <w:numPr>
          <w:ilvl w:val="0"/>
          <w:numId w:val="0"/>
        </w:numPr>
        <w:spacing w:before="0" w:after="0"/>
        <w:ind w:left="992"/>
        <w:rPr>
          <w:rFonts w:ascii="Times New Roman" w:eastAsiaTheme="majorEastAsia" w:hAnsi="Times New Roman" w:cs="Times New Roman"/>
          <w:i w:val="0"/>
          <w:iCs w:val="0"/>
          <w:color w:val="auto"/>
        </w:rPr>
      </w:pPr>
      <w:r>
        <w:rPr>
          <w:rFonts w:ascii="Times New Roman" w:eastAsiaTheme="majorEastAsia" w:hAnsi="Times New Roman" w:cs="Times New Roman"/>
          <w:i w:val="0"/>
          <w:iCs w:val="0"/>
          <w:color w:val="auto"/>
        </w:rPr>
        <w:t>5.1 O licitante deverá enviar sua proposta mediante preenchimento, no sistema eletrônico, dos seguintes campos:</w:t>
      </w:r>
    </w:p>
    <w:p w14:paraId="11AAF7D7" w14:textId="77777777" w:rsidR="00575174" w:rsidRDefault="009F4508">
      <w:pPr>
        <w:pStyle w:val="Nvel2-Red"/>
        <w:numPr>
          <w:ilvl w:val="2"/>
          <w:numId w:val="8"/>
        </w:numPr>
        <w:spacing w:before="0" w:after="0"/>
        <w:rPr>
          <w:rFonts w:ascii="Times New Roman" w:eastAsiaTheme="majorEastAsia" w:hAnsi="Times New Roman" w:cs="Times New Roman"/>
          <w:i w:val="0"/>
          <w:iCs w:val="0"/>
          <w:color w:val="auto"/>
        </w:rPr>
      </w:pPr>
      <w:r>
        <w:rPr>
          <w:rFonts w:ascii="Times New Roman" w:eastAsiaTheme="majorEastAsia" w:hAnsi="Times New Roman" w:cs="Times New Roman"/>
          <w:i w:val="0"/>
          <w:iCs w:val="0"/>
          <w:color w:val="auto"/>
        </w:rPr>
        <w:t>Valor unitário e total do item;</w:t>
      </w:r>
    </w:p>
    <w:p w14:paraId="66F2B3C4" w14:textId="77777777" w:rsidR="00575174" w:rsidRDefault="009F4508">
      <w:pPr>
        <w:pStyle w:val="Nvel2-Red"/>
        <w:numPr>
          <w:ilvl w:val="2"/>
          <w:numId w:val="8"/>
        </w:numPr>
        <w:spacing w:before="0" w:after="0"/>
        <w:ind w:left="992" w:firstLine="424"/>
        <w:rPr>
          <w:rFonts w:ascii="Times New Roman" w:eastAsiaTheme="majorEastAsia" w:hAnsi="Times New Roman" w:cs="Times New Roman"/>
          <w:i w:val="0"/>
          <w:iCs w:val="0"/>
          <w:color w:val="auto"/>
        </w:rPr>
      </w:pPr>
      <w:r>
        <w:rPr>
          <w:rFonts w:ascii="Times New Roman" w:eastAsiaTheme="majorEastAsia" w:hAnsi="Times New Roman" w:cs="Times New Roman"/>
          <w:i w:val="0"/>
          <w:iCs w:val="0"/>
          <w:color w:val="auto"/>
        </w:rPr>
        <w:t>5.1.2 Quantidade total do item.</w:t>
      </w:r>
    </w:p>
    <w:p w14:paraId="07E75D0B" w14:textId="77777777" w:rsidR="00575174" w:rsidRDefault="009F4508">
      <w:pPr>
        <w:pStyle w:val="Nvel2-Red"/>
        <w:numPr>
          <w:ilvl w:val="0"/>
          <w:numId w:val="0"/>
        </w:numPr>
        <w:spacing w:before="0" w:after="0"/>
        <w:ind w:left="992"/>
        <w:rPr>
          <w:rFonts w:ascii="Times New Roman" w:eastAsiaTheme="majorEastAsia" w:hAnsi="Times New Roman" w:cs="Times New Roman"/>
          <w:i w:val="0"/>
          <w:iCs w:val="0"/>
          <w:color w:val="auto"/>
        </w:rPr>
      </w:pPr>
      <w:r>
        <w:rPr>
          <w:rFonts w:ascii="Times New Roman" w:eastAsiaTheme="majorEastAsia" w:hAnsi="Times New Roman" w:cs="Times New Roman"/>
          <w:i w:val="0"/>
          <w:iCs w:val="0"/>
          <w:color w:val="auto"/>
        </w:rPr>
        <w:t>5.2 Todas as especificações do objeto contidas na proposta vinculam o licitante.</w:t>
      </w:r>
    </w:p>
    <w:p w14:paraId="51E9259E" w14:textId="77777777" w:rsidR="00575174" w:rsidRDefault="009F4508">
      <w:pPr>
        <w:pStyle w:val="Nvel2-Red"/>
        <w:numPr>
          <w:ilvl w:val="0"/>
          <w:numId w:val="0"/>
        </w:numPr>
        <w:spacing w:before="0" w:after="0"/>
        <w:ind w:left="992"/>
        <w:rPr>
          <w:rFonts w:ascii="Times New Roman" w:eastAsiaTheme="majorEastAsia" w:hAnsi="Times New Roman" w:cs="Times New Roman"/>
          <w:i w:val="0"/>
          <w:iCs w:val="0"/>
          <w:color w:val="auto"/>
        </w:rPr>
      </w:pPr>
      <w:r>
        <w:rPr>
          <w:rFonts w:ascii="Times New Roman" w:eastAsiaTheme="majorEastAsia" w:hAnsi="Times New Roman" w:cs="Times New Roman"/>
          <w:i w:val="0"/>
          <w:iCs w:val="0"/>
          <w:color w:val="auto"/>
        </w:rPr>
        <w:t>5.3 Nos valores propostos estarão inclusos todos os custos operacionais, encargos previdenciários, trabalhistas, tributários, comerciais e quaisquer outros que incidam direta ou indiretamente na execução do objeto.</w:t>
      </w:r>
    </w:p>
    <w:p w14:paraId="78550832" w14:textId="77777777" w:rsidR="00575174" w:rsidRDefault="009F4508">
      <w:pPr>
        <w:pStyle w:val="Nvel2-Red"/>
        <w:numPr>
          <w:ilvl w:val="0"/>
          <w:numId w:val="0"/>
        </w:numPr>
        <w:spacing w:before="0" w:after="0"/>
        <w:ind w:left="992"/>
        <w:rPr>
          <w:rFonts w:ascii="Times New Roman" w:eastAsiaTheme="majorEastAsia" w:hAnsi="Times New Roman" w:cs="Times New Roman"/>
          <w:i w:val="0"/>
          <w:iCs w:val="0"/>
          <w:color w:val="auto"/>
        </w:rPr>
      </w:pPr>
      <w:r>
        <w:rPr>
          <w:rFonts w:ascii="Times New Roman" w:eastAsiaTheme="majorEastAsia" w:hAnsi="Times New Roman" w:cs="Times New Roman"/>
          <w:i w:val="0"/>
          <w:iCs w:val="0"/>
          <w:color w:val="auto"/>
        </w:rPr>
        <w:t>5.4 Os preços ofertados, na proposta inicial e na etapa de lances, são de exclusiva responsabilidade do licitante, não lhe assistindo direito de pleitear alteração sob alegação de erro, omissão ou outro pretexto.</w:t>
      </w:r>
    </w:p>
    <w:p w14:paraId="71285248" w14:textId="77777777" w:rsidR="00575174" w:rsidRDefault="009F4508">
      <w:pPr>
        <w:pStyle w:val="Nvel2-Red"/>
        <w:numPr>
          <w:ilvl w:val="0"/>
          <w:numId w:val="0"/>
        </w:numPr>
        <w:spacing w:before="0" w:after="0"/>
        <w:ind w:left="992"/>
        <w:rPr>
          <w:rFonts w:ascii="Times New Roman" w:eastAsiaTheme="majorEastAsia" w:hAnsi="Times New Roman" w:cs="Times New Roman"/>
          <w:i w:val="0"/>
          <w:iCs w:val="0"/>
          <w:color w:val="auto"/>
        </w:rPr>
      </w:pPr>
      <w:r>
        <w:rPr>
          <w:rFonts w:ascii="Times New Roman" w:eastAsiaTheme="majorEastAsia" w:hAnsi="Times New Roman" w:cs="Times New Roman"/>
          <w:i w:val="0"/>
          <w:iCs w:val="0"/>
          <w:color w:val="auto"/>
        </w:rPr>
        <w:t>5.5 Se o regime tributário implicar recolhimento de tributos em percentuais variáveis, a cotação adequada será a média dos efetivos recolhimentos da empresa nos últimos doze meses.</w:t>
      </w:r>
    </w:p>
    <w:p w14:paraId="32E9988E" w14:textId="77777777" w:rsidR="00575174" w:rsidRDefault="009F4508">
      <w:pPr>
        <w:pStyle w:val="Nvel2-Red"/>
        <w:numPr>
          <w:ilvl w:val="0"/>
          <w:numId w:val="0"/>
        </w:numPr>
        <w:spacing w:before="0" w:after="0"/>
        <w:ind w:left="992"/>
        <w:rPr>
          <w:rFonts w:ascii="Times New Roman" w:eastAsiaTheme="majorEastAsia" w:hAnsi="Times New Roman" w:cs="Times New Roman"/>
          <w:i w:val="0"/>
          <w:iCs w:val="0"/>
          <w:color w:val="auto"/>
        </w:rPr>
      </w:pPr>
      <w:r>
        <w:rPr>
          <w:rFonts w:ascii="Times New Roman" w:eastAsiaTheme="majorEastAsia" w:hAnsi="Times New Roman" w:cs="Times New Roman"/>
          <w:i w:val="0"/>
          <w:iCs w:val="0"/>
          <w:color w:val="auto"/>
        </w:rPr>
        <w:t>5.6 Independentemente do percentual inserido, serão retidos na fonte os tributos conforme legislação vigente.</w:t>
      </w:r>
    </w:p>
    <w:p w14:paraId="468E57ED" w14:textId="77777777" w:rsidR="00575174" w:rsidRDefault="009F4508">
      <w:pPr>
        <w:pStyle w:val="Nvel2-Red"/>
        <w:numPr>
          <w:ilvl w:val="0"/>
          <w:numId w:val="0"/>
        </w:numPr>
        <w:spacing w:before="0" w:after="0"/>
        <w:ind w:left="992"/>
        <w:rPr>
          <w:rFonts w:ascii="Times New Roman" w:eastAsiaTheme="majorEastAsia" w:hAnsi="Times New Roman" w:cs="Times New Roman"/>
          <w:i w:val="0"/>
          <w:iCs w:val="0"/>
          <w:color w:val="auto"/>
        </w:rPr>
      </w:pPr>
      <w:r>
        <w:rPr>
          <w:rFonts w:ascii="Times New Roman" w:eastAsiaTheme="majorEastAsia" w:hAnsi="Times New Roman" w:cs="Times New Roman"/>
          <w:i w:val="0"/>
          <w:iCs w:val="0"/>
          <w:color w:val="auto"/>
        </w:rPr>
        <w:t>5.7 Nesta licitação, Microempresa e Empresa de Pequeno Porte não poderão se beneficiar do Simples Nacional, visto que os serviços envolvem cessão de mão de obra, conforme art. 17, inciso XII, da LC nº 123/2006.</w:t>
      </w:r>
    </w:p>
    <w:p w14:paraId="5DCFFEDB" w14:textId="77777777" w:rsidR="00575174" w:rsidRDefault="009F4508">
      <w:pPr>
        <w:pStyle w:val="Nvel2-Red"/>
        <w:numPr>
          <w:ilvl w:val="0"/>
          <w:numId w:val="0"/>
        </w:numPr>
        <w:spacing w:before="0" w:after="0"/>
        <w:ind w:left="992"/>
        <w:rPr>
          <w:rFonts w:ascii="Times New Roman" w:eastAsiaTheme="majorEastAsia" w:hAnsi="Times New Roman" w:cs="Times New Roman"/>
          <w:i w:val="0"/>
          <w:iCs w:val="0"/>
          <w:color w:val="auto"/>
        </w:rPr>
      </w:pPr>
      <w:r>
        <w:rPr>
          <w:rFonts w:ascii="Times New Roman" w:eastAsiaTheme="majorEastAsia" w:hAnsi="Times New Roman" w:cs="Times New Roman"/>
          <w:i w:val="0"/>
          <w:iCs w:val="0"/>
          <w:color w:val="auto"/>
        </w:rPr>
        <w:t>5.8 A apresentação da proposta implica a obrigação de cumprir as disposições nela contidas, conforme Termo de Referência, assumindo o compromisso de executar o objeto licitado e fornecer materiais, equipamentos e utensílios necessários, promovendo substituições quando requerido.</w:t>
      </w:r>
    </w:p>
    <w:p w14:paraId="0F70F6A5" w14:textId="77777777" w:rsidR="00575174" w:rsidRDefault="009F4508">
      <w:pPr>
        <w:pStyle w:val="Nvel2-Red"/>
        <w:numPr>
          <w:ilvl w:val="0"/>
          <w:numId w:val="0"/>
        </w:numPr>
        <w:spacing w:before="0" w:after="0"/>
        <w:ind w:left="992" w:firstLine="424"/>
        <w:rPr>
          <w:rFonts w:ascii="Times New Roman" w:eastAsiaTheme="majorEastAsia" w:hAnsi="Times New Roman" w:cs="Times New Roman"/>
          <w:i w:val="0"/>
          <w:iCs w:val="0"/>
          <w:color w:val="auto"/>
        </w:rPr>
      </w:pPr>
      <w:r>
        <w:rPr>
          <w:rFonts w:ascii="Times New Roman" w:eastAsiaTheme="majorEastAsia" w:hAnsi="Times New Roman" w:cs="Times New Roman"/>
          <w:i w:val="0"/>
          <w:iCs w:val="0"/>
          <w:color w:val="auto"/>
        </w:rPr>
        <w:t>5.8.1 O prazo de validade da proposta não será inferior a 60 (sessenta) dias, a contar da data de apresentação.</w:t>
      </w:r>
    </w:p>
    <w:p w14:paraId="7BB2DEAC" w14:textId="77777777" w:rsidR="00575174" w:rsidRDefault="009F4508">
      <w:pPr>
        <w:pStyle w:val="Nvel2-Red"/>
        <w:numPr>
          <w:ilvl w:val="0"/>
          <w:numId w:val="0"/>
        </w:numPr>
        <w:spacing w:before="0" w:after="0"/>
        <w:ind w:left="992" w:firstLine="424"/>
        <w:rPr>
          <w:rFonts w:ascii="Times New Roman" w:eastAsiaTheme="majorEastAsia" w:hAnsi="Times New Roman" w:cs="Times New Roman"/>
          <w:i w:val="0"/>
          <w:iCs w:val="0"/>
          <w:color w:val="auto"/>
        </w:rPr>
      </w:pPr>
      <w:r>
        <w:rPr>
          <w:rFonts w:ascii="Times New Roman" w:eastAsiaTheme="majorEastAsia" w:hAnsi="Times New Roman" w:cs="Times New Roman"/>
          <w:i w:val="0"/>
          <w:iCs w:val="0"/>
          <w:color w:val="auto"/>
        </w:rPr>
        <w:t>5.8.2 Os licitantes devem respeitar os preços máximos estabelecidos nas normas federais de contratação pública.</w:t>
      </w:r>
    </w:p>
    <w:p w14:paraId="1815584F" w14:textId="77777777" w:rsidR="00575174" w:rsidRDefault="009F4508">
      <w:pPr>
        <w:pStyle w:val="Nvel2-Red"/>
        <w:numPr>
          <w:ilvl w:val="0"/>
          <w:numId w:val="0"/>
        </w:numPr>
        <w:spacing w:before="0" w:after="0"/>
        <w:ind w:left="992" w:firstLine="424"/>
        <w:rPr>
          <w:rFonts w:ascii="Times New Roman" w:eastAsiaTheme="majorEastAsia" w:hAnsi="Times New Roman" w:cs="Times New Roman"/>
          <w:i w:val="0"/>
          <w:iCs w:val="0"/>
          <w:color w:val="auto"/>
        </w:rPr>
      </w:pPr>
      <w:r>
        <w:rPr>
          <w:rFonts w:ascii="Times New Roman" w:eastAsiaTheme="majorEastAsia" w:hAnsi="Times New Roman" w:cs="Times New Roman"/>
          <w:i w:val="0"/>
          <w:iCs w:val="0"/>
          <w:color w:val="auto"/>
        </w:rPr>
        <w:t>5.8.3 O descumprimento poderá ensejar responsabilização pelo Tribunal de Contas da União e sanções legais, inclusive ressarcimento ao erário em caso de superfaturamento.</w:t>
      </w:r>
    </w:p>
    <w:p w14:paraId="05E990DD" w14:textId="77777777" w:rsidR="00575174" w:rsidRDefault="00575174">
      <w:pPr>
        <w:pStyle w:val="Nvel2-Red"/>
        <w:numPr>
          <w:ilvl w:val="0"/>
          <w:numId w:val="0"/>
        </w:numPr>
        <w:spacing w:before="0" w:after="0"/>
        <w:ind w:left="992" w:firstLine="424"/>
        <w:rPr>
          <w:rFonts w:ascii="Times New Roman" w:eastAsiaTheme="majorEastAsia" w:hAnsi="Times New Roman" w:cs="Times New Roman"/>
          <w:i w:val="0"/>
          <w:iCs w:val="0"/>
          <w:color w:val="auto"/>
        </w:rPr>
      </w:pPr>
    </w:p>
    <w:p w14:paraId="6C6730AB" w14:textId="77777777" w:rsidR="00575174" w:rsidRDefault="009F4508">
      <w:pPr>
        <w:pStyle w:val="Nivel01"/>
        <w:numPr>
          <w:ilvl w:val="0"/>
          <w:numId w:val="11"/>
        </w:numPr>
        <w:spacing w:before="0" w:after="0" w:line="240" w:lineRule="auto"/>
        <w:ind w:left="1418"/>
        <w:rPr>
          <w:rFonts w:ascii="Times New Roman" w:hAnsi="Times New Roman" w:cs="Times New Roman"/>
          <w:color w:val="auto"/>
        </w:rPr>
      </w:pPr>
      <w:bookmarkStart w:id="3" w:name="_Toc135469228"/>
      <w:r>
        <w:rPr>
          <w:rFonts w:ascii="Times New Roman" w:hAnsi="Times New Roman" w:cs="Times New Roman"/>
          <w:color w:val="auto"/>
        </w:rPr>
        <w:t>DA ABERTURA DA SESSÃO, CLASSIFICAÇÃO DAS PROPOSTAS E FORMULAÇÃO DE LANCES</w:t>
      </w:r>
      <w:bookmarkEnd w:id="3"/>
    </w:p>
    <w:p w14:paraId="4DC30DC6" w14:textId="77777777" w:rsidR="00575174" w:rsidRDefault="009F4508">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A abertura da presente licitação dar-se-á automaticamente em sessão pública, por meio de sistema eletrônico, na data, horário e local indicados neste Edital.</w:t>
      </w:r>
    </w:p>
    <w:p w14:paraId="4EF4564C" w14:textId="77777777" w:rsidR="00575174" w:rsidRDefault="009F4508">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Os licitantes poderão retirar ou substituir a proposta ou os documentos de habilitação, quando for o caso, anteriormente inseridos no sistema, até a abertura da sessão pública.</w:t>
      </w:r>
    </w:p>
    <w:p w14:paraId="0E9F74A2" w14:textId="77777777" w:rsidR="00575174" w:rsidRDefault="009F4508">
      <w:pPr>
        <w:pStyle w:val="Nvel2-Red"/>
        <w:numPr>
          <w:ilvl w:val="2"/>
          <w:numId w:val="2"/>
        </w:numPr>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O sistema disponibilizará campo próprio para troca de mensagens entre o Pregoeiro e os licitantes.</w:t>
      </w:r>
    </w:p>
    <w:p w14:paraId="164A2839" w14:textId="77777777" w:rsidR="00575174" w:rsidRDefault="009F4508">
      <w:pPr>
        <w:pStyle w:val="Nvel2-Red"/>
        <w:numPr>
          <w:ilvl w:val="2"/>
          <w:numId w:val="2"/>
        </w:numPr>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 xml:space="preserve">Iniciada a etapa competitiva, os licitantes deverão encaminhar lances exclusivamente por meio de sistema eletrônico, sendo imediatamente informados do seu recebimento e do valor consignado no registro. </w:t>
      </w:r>
    </w:p>
    <w:p w14:paraId="35F5BD1E" w14:textId="77777777" w:rsidR="00575174" w:rsidRDefault="009F4508">
      <w:pPr>
        <w:pStyle w:val="Nvel2-Red"/>
        <w:numPr>
          <w:ilvl w:val="2"/>
          <w:numId w:val="2"/>
        </w:numPr>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O lance deverá ser ofertado pelo valor unitário do item</w:t>
      </w:r>
    </w:p>
    <w:p w14:paraId="2F64FA65" w14:textId="77777777" w:rsidR="00575174" w:rsidRDefault="009F4508">
      <w:pPr>
        <w:pStyle w:val="Nvel2-Red"/>
        <w:numPr>
          <w:ilvl w:val="2"/>
          <w:numId w:val="2"/>
        </w:numPr>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Os licitantes poderão oferecer lances sucessivos, observando o horário fixado para abertura da sessão e as regras estabelecidas no Edital.</w:t>
      </w:r>
    </w:p>
    <w:p w14:paraId="4FE6CE01" w14:textId="77777777" w:rsidR="00575174" w:rsidRDefault="009F4508">
      <w:pPr>
        <w:pStyle w:val="Nvel2-Red"/>
        <w:numPr>
          <w:ilvl w:val="2"/>
          <w:numId w:val="2"/>
        </w:numPr>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 xml:space="preserve">O licitante somente poderá oferecer lance de valor inferior ao último por ele ofertado e registrado pelo sistema. </w:t>
      </w:r>
    </w:p>
    <w:p w14:paraId="6479E9FB" w14:textId="77777777" w:rsidR="00575174" w:rsidRDefault="009F4508">
      <w:pPr>
        <w:pStyle w:val="Nvel2-Red"/>
        <w:numPr>
          <w:ilvl w:val="2"/>
          <w:numId w:val="2"/>
        </w:numPr>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O intervalo mínimo de diferença de valores ou percentuais entre os lances, que incidirá tanto em relação aos lances intermediários quanto em relação à proposta que cobrir a melhor oferta deverá ser de R$ 0,01.</w:t>
      </w:r>
    </w:p>
    <w:p w14:paraId="3412386C" w14:textId="77777777" w:rsidR="00575174" w:rsidRDefault="009F4508">
      <w:pPr>
        <w:pStyle w:val="Nvel2-Red"/>
        <w:numPr>
          <w:ilvl w:val="2"/>
          <w:numId w:val="2"/>
        </w:numPr>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O licitante poderá, uma única vez, excluir seu último lance ofertado, no intervalo de quinze segundos após o registro no sistema, na hipótese de lance inconsistente ou inexequível.</w:t>
      </w:r>
    </w:p>
    <w:p w14:paraId="3A0B52D6" w14:textId="77777777" w:rsidR="00575174" w:rsidRDefault="009F4508">
      <w:pPr>
        <w:pStyle w:val="Nvel2-Red"/>
        <w:numPr>
          <w:ilvl w:val="2"/>
          <w:numId w:val="2"/>
        </w:numPr>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O procedimento seguirá de acordo com o modo de disputa adotado.</w:t>
      </w:r>
    </w:p>
    <w:p w14:paraId="5F75C025" w14:textId="77777777" w:rsidR="00575174" w:rsidRDefault="009F4508">
      <w:pPr>
        <w:pStyle w:val="Nvel2-Red"/>
        <w:numPr>
          <w:ilvl w:val="2"/>
          <w:numId w:val="2"/>
        </w:numPr>
        <w:spacing w:before="0" w:after="0" w:line="240" w:lineRule="auto"/>
        <w:rPr>
          <w:rFonts w:ascii="Times New Roman" w:hAnsi="Times New Roman" w:cs="Times New Roman"/>
          <w:b/>
          <w:i w:val="0"/>
          <w:color w:val="auto"/>
        </w:rPr>
      </w:pPr>
      <w:bookmarkStart w:id="4" w:name="_Hlk113697759"/>
      <w:r>
        <w:rPr>
          <w:rFonts w:ascii="Times New Roman" w:hAnsi="Times New Roman" w:cs="Times New Roman"/>
          <w:i w:val="0"/>
          <w:iCs w:val="0"/>
          <w:color w:val="auto"/>
        </w:rPr>
        <w:lastRenderedPageBreak/>
        <w:t>Caso seja adotado para o envio de lances no pregão eletrônico o modo de disputa “aberto”, os licitantes apresentarão lances públicos e sucessivos, com prorrogações.</w:t>
      </w:r>
      <w:bookmarkEnd w:id="4"/>
    </w:p>
    <w:p w14:paraId="43593491" w14:textId="77777777" w:rsidR="00575174" w:rsidRDefault="009F4508">
      <w:pPr>
        <w:pStyle w:val="Nvel2-Red"/>
        <w:numPr>
          <w:ilvl w:val="2"/>
          <w:numId w:val="2"/>
        </w:numPr>
        <w:tabs>
          <w:tab w:val="left" w:pos="1638"/>
          <w:tab w:val="left" w:pos="1742"/>
          <w:tab w:val="left" w:pos="1754"/>
        </w:tabs>
        <w:spacing w:before="0" w:after="0" w:line="240" w:lineRule="auto"/>
        <w:rPr>
          <w:rFonts w:ascii="Times New Roman" w:hAnsi="Times New Roman" w:cs="Times New Roman"/>
          <w:i w:val="0"/>
          <w:color w:val="auto"/>
        </w:rPr>
      </w:pPr>
      <w:bookmarkStart w:id="5" w:name="_Hlk113697816"/>
      <w:r>
        <w:rPr>
          <w:rFonts w:ascii="Times New Roman" w:hAnsi="Times New Roman" w:cs="Times New Roman"/>
          <w:i w:val="0"/>
          <w:iCs w:val="0"/>
          <w:color w:val="auto"/>
        </w:rPr>
        <w:t>A etapa de lances da sessão pública terá duração de dez minutos e, após isso, será prorrogada automaticamente pelo sistema quando houver lance ofertado nos últimos dois minutos do período de duração da sessão pública.</w:t>
      </w:r>
    </w:p>
    <w:p w14:paraId="50427272" w14:textId="77777777" w:rsidR="00575174" w:rsidRDefault="009F4508">
      <w:pPr>
        <w:pStyle w:val="Nvel2-Red"/>
        <w:numPr>
          <w:ilvl w:val="2"/>
          <w:numId w:val="2"/>
        </w:numPr>
        <w:tabs>
          <w:tab w:val="left" w:pos="1812"/>
        </w:tabs>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202D5C1A" w14:textId="77777777" w:rsidR="00575174" w:rsidRDefault="009F4508">
      <w:pPr>
        <w:pStyle w:val="Nvel2-Red"/>
        <w:numPr>
          <w:ilvl w:val="2"/>
          <w:numId w:val="2"/>
        </w:numPr>
        <w:tabs>
          <w:tab w:val="left" w:pos="1812"/>
        </w:tabs>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Não havendo novos lances na forma estabelecida nos itens anteriores, a sessão pública encerrar-se-á automaticamente, e o sistema ordenará e divulgará os lances conforme a ordem final de classificação.</w:t>
      </w:r>
    </w:p>
    <w:p w14:paraId="07331F60" w14:textId="77777777" w:rsidR="00575174" w:rsidRDefault="009F4508">
      <w:pPr>
        <w:pStyle w:val="Nvel2-Red"/>
        <w:numPr>
          <w:ilvl w:val="3"/>
          <w:numId w:val="2"/>
        </w:numPr>
        <w:spacing w:before="0" w:after="0" w:line="240" w:lineRule="auto"/>
        <w:ind w:left="624" w:firstLine="510"/>
        <w:rPr>
          <w:rFonts w:ascii="Times New Roman" w:hAnsi="Times New Roman" w:cs="Times New Roman"/>
          <w:i w:val="0"/>
          <w:color w:val="auto"/>
        </w:rPr>
      </w:pPr>
      <w:r>
        <w:rPr>
          <w:rFonts w:ascii="Times New Roman" w:hAnsi="Times New Roman" w:cs="Times New Roman"/>
          <w:i w:val="0"/>
          <w:iCs w:val="0"/>
          <w:color w:val="auto"/>
        </w:rPr>
        <w:t xml:space="preserve"> 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4F4755C1" w14:textId="77777777" w:rsidR="00575174" w:rsidRDefault="009F4508">
      <w:pPr>
        <w:pStyle w:val="Nvel2-Red"/>
        <w:numPr>
          <w:ilvl w:val="3"/>
          <w:numId w:val="2"/>
        </w:numPr>
        <w:spacing w:before="0" w:after="0" w:line="240" w:lineRule="auto"/>
        <w:ind w:left="624" w:firstLine="510"/>
        <w:rPr>
          <w:rFonts w:ascii="Times New Roman" w:hAnsi="Times New Roman" w:cs="Times New Roman"/>
          <w:i w:val="0"/>
          <w:color w:val="auto"/>
        </w:rPr>
      </w:pPr>
      <w:r>
        <w:rPr>
          <w:rFonts w:ascii="Times New Roman" w:hAnsi="Times New Roman" w:cs="Times New Roman"/>
          <w:i w:val="0"/>
          <w:iCs w:val="0"/>
          <w:color w:val="auto"/>
        </w:rPr>
        <w:t xml:space="preserve"> Após o reinício previsto no item supra, os licitantes serão convocados para apresentar lances intermediários</w:t>
      </w:r>
      <w:bookmarkStart w:id="6" w:name="_Hlk113631522"/>
      <w:bookmarkEnd w:id="5"/>
      <w:bookmarkEnd w:id="6"/>
      <w:r>
        <w:rPr>
          <w:rFonts w:ascii="Times New Roman" w:hAnsi="Times New Roman" w:cs="Times New Roman"/>
          <w:i w:val="0"/>
          <w:iCs w:val="0"/>
          <w:color w:val="auto"/>
        </w:rPr>
        <w:t>.</w:t>
      </w:r>
    </w:p>
    <w:p w14:paraId="7EB1A992" w14:textId="77777777" w:rsidR="00575174" w:rsidRDefault="009F4508">
      <w:pPr>
        <w:pStyle w:val="Nvel2-Red"/>
        <w:numPr>
          <w:ilvl w:val="2"/>
          <w:numId w:val="2"/>
        </w:numPr>
        <w:tabs>
          <w:tab w:val="left" w:pos="1419"/>
          <w:tab w:val="left" w:pos="1708"/>
        </w:tabs>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00C34BCA" w14:textId="77777777" w:rsidR="00575174" w:rsidRDefault="009F4508">
      <w:pPr>
        <w:pStyle w:val="Nvel2-Red"/>
        <w:numPr>
          <w:ilvl w:val="2"/>
          <w:numId w:val="2"/>
        </w:numPr>
        <w:tabs>
          <w:tab w:val="left" w:pos="1754"/>
        </w:tabs>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Encerrado o prazo previsto no subitem anterior, o sistema abrirá oportunidade para que o autor da oferta de valor mais baixo e os das ofertas com preços até 10% (dez por cento) superior àquela possam ofertar um lance final e fechado em até cinco minutos, o qual será sigiloso até o encerramento deste prazo.</w:t>
      </w:r>
    </w:p>
    <w:p w14:paraId="5F3F40B3" w14:textId="77777777" w:rsidR="00575174" w:rsidRDefault="009F4508">
      <w:pPr>
        <w:pStyle w:val="Nvel2-Red"/>
        <w:numPr>
          <w:ilvl w:val="2"/>
          <w:numId w:val="2"/>
        </w:numPr>
        <w:tabs>
          <w:tab w:val="left" w:pos="1731"/>
        </w:tabs>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No procedimento de que trata o subitem supra, o licitante poderá optar por manter o seu último lance da etapa aberta, ou por ofertar melhor lance.</w:t>
      </w:r>
    </w:p>
    <w:p w14:paraId="18A1F556" w14:textId="77777777" w:rsidR="00575174" w:rsidRDefault="009F4508">
      <w:pPr>
        <w:pStyle w:val="Nvel2-Red"/>
        <w:numPr>
          <w:ilvl w:val="2"/>
          <w:numId w:val="2"/>
        </w:numPr>
        <w:tabs>
          <w:tab w:val="left" w:pos="1731"/>
          <w:tab w:val="left" w:pos="1754"/>
        </w:tabs>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84DAF2C" w14:textId="77777777" w:rsidR="00575174" w:rsidRDefault="009F4508">
      <w:pPr>
        <w:pStyle w:val="Nvel2-Red"/>
        <w:numPr>
          <w:ilvl w:val="2"/>
          <w:numId w:val="2"/>
        </w:numPr>
        <w:tabs>
          <w:tab w:val="left" w:pos="1708"/>
        </w:tabs>
        <w:spacing w:before="0" w:after="0" w:line="240" w:lineRule="auto"/>
        <w:rPr>
          <w:rFonts w:ascii="Times New Roman" w:hAnsi="Times New Roman" w:cs="Times New Roman"/>
          <w:b/>
          <w:i w:val="0"/>
          <w:color w:val="auto"/>
        </w:rPr>
      </w:pPr>
      <w:bookmarkStart w:id="7" w:name="_Hlk113698144"/>
      <w:r>
        <w:rPr>
          <w:rFonts w:ascii="Times New Roman" w:hAnsi="Times New Roman" w:cs="Times New Roman"/>
          <w:i w:val="0"/>
          <w:iCs w:val="0"/>
          <w:color w:val="auto"/>
        </w:rPr>
        <w:t>Após o término dos prazos estabelecidos nos itens anteriores, o sistema ordenará e divulgará os lances segundo a ordem crescente de valores.</w:t>
      </w:r>
      <w:bookmarkEnd w:id="7"/>
    </w:p>
    <w:p w14:paraId="7745F709" w14:textId="77777777" w:rsidR="00575174" w:rsidRDefault="009F4508">
      <w:pPr>
        <w:pStyle w:val="Nvel2-Red"/>
        <w:numPr>
          <w:ilvl w:val="2"/>
          <w:numId w:val="2"/>
        </w:numPr>
        <w:tabs>
          <w:tab w:val="left" w:pos="1731"/>
        </w:tabs>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Não havendo pelo menos 3 (três) propostas nas condições definidas no item 6.2.16, poderão os licitantes que apresentaram as três melhores propostas, consideradas as empatadas, oferecer novos lances sucessivos.</w:t>
      </w:r>
    </w:p>
    <w:p w14:paraId="5222FC1F" w14:textId="77777777" w:rsidR="00575174" w:rsidRDefault="009F4508">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A etapa de lances da sessão pública terá duração de dez minutos e, após isso, será prorrogada automaticamente pelo sistema quando houver lance ofertado nos últimos dois minutos do período de duração da sessão pública.</w:t>
      </w:r>
    </w:p>
    <w:p w14:paraId="232F01D0" w14:textId="77777777" w:rsidR="00575174" w:rsidRDefault="009F4508">
      <w:pPr>
        <w:pStyle w:val="Nvel2-Red"/>
        <w:numPr>
          <w:ilvl w:val="2"/>
          <w:numId w:val="2"/>
        </w:numPr>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5D654627" w14:textId="77777777" w:rsidR="00575174" w:rsidRDefault="009F4508">
      <w:pPr>
        <w:pStyle w:val="Nvel2-Red"/>
        <w:numPr>
          <w:ilvl w:val="2"/>
          <w:numId w:val="2"/>
        </w:numPr>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Não havendo novos lances na forma estabelecida nos itens anteriores, a sessão pública encerrar-se-á automaticamente, e o sistema ordenará e divulgará os lances conforme a ordem final de classificação.</w:t>
      </w:r>
    </w:p>
    <w:p w14:paraId="11412BD9" w14:textId="77777777" w:rsidR="00575174" w:rsidRDefault="009F4508">
      <w:pPr>
        <w:pStyle w:val="Nvel2-Red"/>
        <w:numPr>
          <w:ilvl w:val="2"/>
          <w:numId w:val="2"/>
        </w:numPr>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0C3BE9F8" w14:textId="77777777" w:rsidR="00575174" w:rsidRDefault="009F4508">
      <w:pPr>
        <w:pStyle w:val="Nvel2-Red"/>
        <w:numPr>
          <w:ilvl w:val="2"/>
          <w:numId w:val="2"/>
        </w:numPr>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 xml:space="preserve">Após o reinício previsto no subitem supra, os licitantes serão convocados para apresentar lances intermediários.  </w:t>
      </w:r>
    </w:p>
    <w:p w14:paraId="718B832B" w14:textId="77777777" w:rsidR="00575174" w:rsidRDefault="009F4508">
      <w:pPr>
        <w:pStyle w:val="Nvel2-Red"/>
        <w:numPr>
          <w:ilvl w:val="2"/>
          <w:numId w:val="2"/>
        </w:numPr>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Após o término dos prazos estabelecidos nos subitens anteriores, o sistema ordenará e divulgará os lances segundo a ordem crescente de valores.</w:t>
      </w:r>
    </w:p>
    <w:p w14:paraId="1033EBAE" w14:textId="77777777" w:rsidR="00575174" w:rsidRDefault="009F4508">
      <w:pPr>
        <w:pStyle w:val="Nvel2-Red"/>
        <w:numPr>
          <w:ilvl w:val="4"/>
          <w:numId w:val="2"/>
        </w:numPr>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 xml:space="preserve">Não serão aceitos dois ou mais lances de mesmo valor, prevalecendo aquele que for recebido e registrado em primeiro lugar. </w:t>
      </w:r>
    </w:p>
    <w:p w14:paraId="32E52AC8" w14:textId="77777777" w:rsidR="00575174" w:rsidRDefault="009F4508">
      <w:pPr>
        <w:pStyle w:val="Nvel2-Red"/>
        <w:numPr>
          <w:ilvl w:val="4"/>
          <w:numId w:val="2"/>
        </w:numPr>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 xml:space="preserve">Durante o transcurso da sessão pública, os licitantes serão informados, em tempo real, do valor do menor lance registrado, vedada a identificação do licitante. </w:t>
      </w:r>
    </w:p>
    <w:p w14:paraId="1CA719D1" w14:textId="77777777" w:rsidR="00575174" w:rsidRDefault="009F4508">
      <w:pPr>
        <w:pStyle w:val="Nvel2-Red"/>
        <w:numPr>
          <w:ilvl w:val="2"/>
          <w:numId w:val="2"/>
        </w:numPr>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 xml:space="preserve">No caso de desconexão com o Pregoeiro, no decorrer da etapa competitiva do Pregão, o sistema eletrônico poderá permanecer acessível aos licitantes para a recepção dos lances. </w:t>
      </w:r>
    </w:p>
    <w:p w14:paraId="519634A0" w14:textId="77777777" w:rsidR="00575174" w:rsidRDefault="009F4508">
      <w:pPr>
        <w:pStyle w:val="Nvel2-Red"/>
        <w:numPr>
          <w:ilvl w:val="2"/>
          <w:numId w:val="2"/>
        </w:numPr>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 xml:space="preserve">Quando a desconexão do sistema eletrônico para o pregoeiro persistir por tempo superior a dez minutos, a sessão pública será suspensa e reiniciada somente após decorridas vinte e quatro horas </w:t>
      </w:r>
      <w:r>
        <w:rPr>
          <w:rFonts w:ascii="Times New Roman" w:hAnsi="Times New Roman" w:cs="Times New Roman"/>
          <w:i w:val="0"/>
          <w:iCs w:val="0"/>
          <w:color w:val="auto"/>
        </w:rPr>
        <w:lastRenderedPageBreak/>
        <w:t>da comunicação do fato pelo Pregoeiro aos participantes, no sítio eletrônico utilizado para divulgação.</w:t>
      </w:r>
    </w:p>
    <w:p w14:paraId="0A6DC5D4" w14:textId="77777777" w:rsidR="00575174" w:rsidRDefault="009F4508">
      <w:pPr>
        <w:pStyle w:val="Nvel2-Red"/>
        <w:numPr>
          <w:ilvl w:val="2"/>
          <w:numId w:val="2"/>
        </w:numPr>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Caso o licitante não apresente lances, concorrerá com o valor de sua proposta.</w:t>
      </w:r>
    </w:p>
    <w:p w14:paraId="304B187A" w14:textId="77777777" w:rsidR="00575174" w:rsidRDefault="009F4508">
      <w:pPr>
        <w:pStyle w:val="Nvel2-Red"/>
        <w:numPr>
          <w:ilvl w:val="2"/>
          <w:numId w:val="2"/>
        </w:numPr>
        <w:spacing w:before="0" w:after="0" w:line="240" w:lineRule="auto"/>
        <w:rPr>
          <w:rStyle w:val="Hyperlink1"/>
          <w:rFonts w:ascii="Times New Roman" w:hAnsi="Times New Roman" w:cs="Times New Roman"/>
          <w:i w:val="0"/>
          <w:color w:val="auto"/>
        </w:rPr>
      </w:pPr>
      <w:r>
        <w:rPr>
          <w:rFonts w:ascii="Times New Roman" w:hAnsi="Times New Roman" w:cs="Times New Roman"/>
          <w:i w:val="0"/>
          <w:iCs w:val="0"/>
          <w:color w:val="auto"/>
        </w:rPr>
        <w:t>Em relação a itens não exclusivos para participação de microempresas e empresas de pequeno porte, uma vez encerrada a etapa de lances</w:t>
      </w:r>
      <w:r>
        <w:rPr>
          <w:rFonts w:ascii="Times New Roman" w:eastAsia="Zurich BT" w:hAnsi="Times New Roman" w:cs="Times New Roman"/>
          <w:i w:val="0"/>
          <w:iCs w:val="0"/>
          <w:color w:val="auto"/>
        </w:rPr>
        <w:t xml:space="preserve">, será efetivada a verificação automática, junto à Receita Federal, do porte da entidade empresarial. O sistema identificará em coluna própria as microempresas e empresas de pequeno porte </w:t>
      </w:r>
      <w:r>
        <w:rPr>
          <w:rFonts w:ascii="Times New Roman" w:hAnsi="Times New Roman" w:cs="Times New Roman"/>
          <w:i w:val="0"/>
          <w:iCs w:val="0"/>
          <w:color w:val="auto"/>
        </w:rPr>
        <w:t>participantes</w:t>
      </w:r>
      <w:r>
        <w:rPr>
          <w:rFonts w:ascii="Times New Roman" w:eastAsia="Zurich BT" w:hAnsi="Times New Roman" w:cs="Times New Roman"/>
          <w:i w:val="0"/>
          <w:iCs w:val="0"/>
          <w:color w:val="auto"/>
        </w:rPr>
        <w:t xml:space="preserve">, procedendo à comparação com os valores da primeira colocada, se esta for empresa de maior porte, assim como das demais classificadas, para o fim de aplicar-se o disposto nos </w:t>
      </w:r>
      <w:hyperlink r:id="rId14" w:tooltip="https://www.planalto.gov.br/ccivil_03/leis/lcp/lcp123.htm#art44&quot; l &quot;art44">
        <w:r>
          <w:rPr>
            <w:rFonts w:ascii="Times New Roman" w:eastAsia="Zurich BT" w:hAnsi="Times New Roman" w:cs="Times New Roman"/>
            <w:i w:val="0"/>
            <w:iCs w:val="0"/>
            <w:color w:val="auto"/>
            <w:u w:val="single"/>
          </w:rPr>
          <w:t>arts. 44 e 45 da Lei Complementar nº 123, de 2006</w:t>
        </w:r>
      </w:hyperlink>
      <w:r>
        <w:rPr>
          <w:rFonts w:ascii="Times New Roman" w:hAnsi="Times New Roman" w:cs="Times New Roman"/>
          <w:i w:val="0"/>
          <w:iCs w:val="0"/>
          <w:color w:val="auto"/>
          <w:u w:val="single"/>
        </w:rPr>
        <w:t>, alterada pela Lei Complementar 147/2014.</w:t>
      </w:r>
    </w:p>
    <w:p w14:paraId="4BF6DE94" w14:textId="77777777" w:rsidR="00575174" w:rsidRDefault="009F4508">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 xml:space="preserve">Nessas condições, as propostas de </w:t>
      </w:r>
      <w:r>
        <w:rPr>
          <w:rFonts w:ascii="Times New Roman" w:eastAsia="Zurich BT" w:hAnsi="Times New Roman" w:cs="Times New Roman"/>
          <w:i w:val="0"/>
          <w:iCs w:val="0"/>
          <w:color w:val="auto"/>
        </w:rPr>
        <w:t xml:space="preserve">microempresas e empresas de pequeno porte </w:t>
      </w:r>
      <w:r>
        <w:rPr>
          <w:rFonts w:ascii="Times New Roman" w:hAnsi="Times New Roman" w:cs="Times New Roman"/>
          <w:i w:val="0"/>
          <w:iCs w:val="0"/>
          <w:color w:val="auto"/>
        </w:rPr>
        <w:t>que se encontrarem na faixa de até 5% (cinco por cento) acima da melhor proposta ou melhor lance serão consideradas empatadas com a primeira colocada.</w:t>
      </w:r>
    </w:p>
    <w:p w14:paraId="58C5C0EF" w14:textId="77777777" w:rsidR="00575174" w:rsidRDefault="009F4508">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3587839E" w14:textId="77777777" w:rsidR="00575174" w:rsidRDefault="009F4508">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 xml:space="preserve">Caso a </w:t>
      </w:r>
      <w:r>
        <w:rPr>
          <w:rFonts w:ascii="Times New Roman" w:eastAsia="Zurich BT" w:hAnsi="Times New Roman" w:cs="Times New Roman"/>
          <w:i w:val="0"/>
          <w:iCs w:val="0"/>
          <w:color w:val="auto"/>
        </w:rPr>
        <w:t>microempresa ou a empresa de pequeno porte</w:t>
      </w:r>
      <w:r>
        <w:rPr>
          <w:rFonts w:ascii="Times New Roman" w:hAnsi="Times New Roman" w:cs="Times New Roman"/>
          <w:i w:val="0"/>
          <w:iCs w:val="0"/>
          <w:color w:val="auto"/>
        </w:rPr>
        <w:t xml:space="preserve"> melhor classificada desista ou não se manifeste no prazo estabelecido, serão convocadas as demais licitantes </w:t>
      </w:r>
      <w:r>
        <w:rPr>
          <w:rFonts w:ascii="Times New Roman" w:eastAsia="Zurich BT" w:hAnsi="Times New Roman" w:cs="Times New Roman"/>
          <w:i w:val="0"/>
          <w:iCs w:val="0"/>
          <w:color w:val="auto"/>
        </w:rPr>
        <w:t>microempresa e empresa de pequeno porte</w:t>
      </w:r>
      <w:r>
        <w:rPr>
          <w:rFonts w:ascii="Times New Roman" w:hAnsi="Times New Roman" w:cs="Times New Roman"/>
          <w:i w:val="0"/>
          <w:iCs w:val="0"/>
          <w:color w:val="auto"/>
        </w:rPr>
        <w:t xml:space="preserve"> que se encontrem naquele intervalo de 5% (cinco por cento), na ordem de classificação, para o exercício do mesmo direito, no prazo estabelecido no subitem anterior.</w:t>
      </w:r>
    </w:p>
    <w:p w14:paraId="2AD1025E" w14:textId="77777777" w:rsidR="00575174" w:rsidRDefault="009F4508">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2F548BF1" w14:textId="77777777" w:rsidR="00575174" w:rsidRDefault="009F4508">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 xml:space="preserve">Só poderá haver empate entre propostas iguais (não seguidas de lances), ou entre lances finais da fase fechada do modo de disputa aberto e fechado. </w:t>
      </w:r>
    </w:p>
    <w:p w14:paraId="59897471" w14:textId="77777777" w:rsidR="00575174" w:rsidRDefault="009F4508">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 xml:space="preserve">Havendo eventual empate entre propostas ou lances, o critério de desempate será aquele previsto no </w:t>
      </w:r>
      <w:hyperlink r:id="rId15" w:tooltip="http://www.planalto.gov.br/ccivil_03/_ato2019-2022/2021/lei/L14133.htm#art60&quot; l &quot;art60">
        <w:r>
          <w:rPr>
            <w:rFonts w:ascii="Times New Roman" w:eastAsia="Arial" w:hAnsi="Times New Roman" w:cs="Times New Roman"/>
            <w:i w:val="0"/>
            <w:iCs w:val="0"/>
            <w:color w:val="auto"/>
            <w:u w:val="single"/>
          </w:rPr>
          <w:t>art</w:t>
        </w:r>
        <w:r>
          <w:rPr>
            <w:rFonts w:ascii="Times New Roman" w:hAnsi="Times New Roman" w:cs="Times New Roman"/>
            <w:i w:val="0"/>
            <w:iCs w:val="0"/>
            <w:color w:val="auto"/>
            <w:u w:val="single"/>
          </w:rPr>
          <w:t>. 60 da Lei nº 14.133, de 2021</w:t>
        </w:r>
      </w:hyperlink>
      <w:r>
        <w:rPr>
          <w:rFonts w:ascii="Times New Roman" w:hAnsi="Times New Roman" w:cs="Times New Roman"/>
          <w:i w:val="0"/>
          <w:iCs w:val="0"/>
          <w:color w:val="auto"/>
        </w:rPr>
        <w:t>, nesta ordem:</w:t>
      </w:r>
    </w:p>
    <w:p w14:paraId="0944EF5E" w14:textId="77777777" w:rsidR="00575174" w:rsidRDefault="009F4508">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Disputa final, hipótese em que os licitantes empatados poderão apresentar nova proposta em ato contínuo à classificação;</w:t>
      </w:r>
    </w:p>
    <w:p w14:paraId="349F943C" w14:textId="77777777" w:rsidR="00575174" w:rsidRDefault="009F4508">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Avaliação do desempenho contratual prévio dos licitantes, para a qual deverão preferencialmente ser utilizados registros cadastrais para efeito de atesto de cumprimento de obrigações previstos nesta Lei;</w:t>
      </w:r>
    </w:p>
    <w:p w14:paraId="69068647" w14:textId="77777777" w:rsidR="00575174" w:rsidRDefault="009F4508">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Desenvolvimento pelo licitante de ações de equidade entre homens e mulheres no ambiente de trabalho, conforme regulamento;</w:t>
      </w:r>
    </w:p>
    <w:p w14:paraId="3A5A52BF" w14:textId="77777777" w:rsidR="00575174" w:rsidRDefault="009F4508">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Desenvolvimento pelo licitante de programa de integridade, conforme orientações dos órgãos de controle.</w:t>
      </w:r>
    </w:p>
    <w:p w14:paraId="36253404" w14:textId="77777777" w:rsidR="00575174" w:rsidRDefault="009F4508">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Persistindo o empate, será assegurada preferência, sucessivamente, aos bens e serviços produzidos ou prestados por:</w:t>
      </w:r>
    </w:p>
    <w:p w14:paraId="4C4953FF" w14:textId="77777777" w:rsidR="00575174" w:rsidRDefault="009F4508">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282F9C" w14:textId="77777777" w:rsidR="00575174" w:rsidRDefault="009F4508">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Empresas brasileiras;</w:t>
      </w:r>
    </w:p>
    <w:p w14:paraId="04B74293" w14:textId="77777777" w:rsidR="00575174" w:rsidRDefault="009F4508">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Empresas que invistam em pesquisa e no desenvolvimento de tecnologia no País;</w:t>
      </w:r>
    </w:p>
    <w:p w14:paraId="0581BF26" w14:textId="77777777" w:rsidR="00575174" w:rsidRDefault="009F4508">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Empresas que comprovem a prática de mitigação, nos termos da </w:t>
      </w:r>
      <w:hyperlink r:id="rId16" w:tooltip="https://www.planalto.gov.br/ccivil_03/_ato2007-2010/2009/lei/l12187.htm#:~:text=LEI%20N%C2%BA%2012.187%2C%20DE%2029%20DE%20DEZEMBRO%20DE%202009.&amp;text=Institui%20a%20Pol%C3%ADtica%20Nacional%20sobre,PNMC%20e%20d%C3%A1%20outras%20provid%C3%AAncias.&quot; l &quot;:~:text=L">
        <w:r>
          <w:rPr>
            <w:rFonts w:ascii="Times New Roman" w:hAnsi="Times New Roman" w:cs="Times New Roman"/>
            <w:i w:val="0"/>
            <w:iCs w:val="0"/>
            <w:color w:val="auto"/>
            <w:u w:val="single"/>
          </w:rPr>
          <w:t>Lei nº 12.187, de 29 de dezembro de 2009</w:t>
        </w:r>
      </w:hyperlink>
      <w:r>
        <w:rPr>
          <w:rFonts w:ascii="Times New Roman" w:hAnsi="Times New Roman" w:cs="Times New Roman"/>
          <w:i w:val="0"/>
          <w:iCs w:val="0"/>
          <w:color w:val="auto"/>
        </w:rPr>
        <w:t>.</w:t>
      </w:r>
    </w:p>
    <w:p w14:paraId="5D8EBBB1" w14:textId="77777777" w:rsidR="00575174" w:rsidRDefault="009F4508">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47C3598E" w14:textId="77777777" w:rsidR="00575174" w:rsidRDefault="009F4508">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C4F77C6" w14:textId="77777777" w:rsidR="00575174" w:rsidRDefault="009F4508">
      <w:pPr>
        <w:pStyle w:val="Nvel2-Red"/>
        <w:numPr>
          <w:ilvl w:val="2"/>
          <w:numId w:val="2"/>
        </w:numPr>
        <w:tabs>
          <w:tab w:val="left" w:pos="1154"/>
        </w:tabs>
        <w:spacing w:before="0" w:after="0" w:line="240" w:lineRule="auto"/>
        <w:ind w:left="999" w:hanging="432"/>
        <w:rPr>
          <w:rFonts w:ascii="Times New Roman" w:hAnsi="Times New Roman" w:cs="Times New Roman"/>
          <w:i w:val="0"/>
          <w:color w:val="auto"/>
        </w:rPr>
      </w:pPr>
      <w:r>
        <w:rPr>
          <w:rFonts w:ascii="Times New Roman" w:eastAsia="Times New Roman" w:hAnsi="Times New Roman" w:cs="Times New Roman"/>
          <w:i w:val="0"/>
          <w:iCs w:val="0"/>
          <w:color w:val="auto"/>
        </w:rPr>
        <w:t xml:space="preserve">A </w:t>
      </w:r>
      <w:r>
        <w:rPr>
          <w:rFonts w:ascii="Times New Roman" w:hAnsi="Times New Roman" w:cs="Times New Roman"/>
          <w:i w:val="0"/>
          <w:iCs w:val="0"/>
          <w:color w:val="auto"/>
        </w:rPr>
        <w:t>negociação será realizada por meio do sistema, podendo ser acompanhada pelos demais licitantes.</w:t>
      </w:r>
    </w:p>
    <w:p w14:paraId="7FB2C2F0" w14:textId="77777777" w:rsidR="00575174" w:rsidRDefault="009F4508">
      <w:pPr>
        <w:pStyle w:val="Nvel2-Red"/>
        <w:numPr>
          <w:ilvl w:val="2"/>
          <w:numId w:val="2"/>
        </w:numPr>
        <w:tabs>
          <w:tab w:val="left" w:pos="1154"/>
        </w:tabs>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O resultado da negociação será divulgado a todos os licitantes e anexado aos autos do processo licitatório.</w:t>
      </w:r>
    </w:p>
    <w:p w14:paraId="07ED737E" w14:textId="77777777" w:rsidR="00575174" w:rsidRDefault="009F4508">
      <w:pPr>
        <w:pStyle w:val="Nvel2-Red"/>
        <w:numPr>
          <w:ilvl w:val="2"/>
          <w:numId w:val="2"/>
        </w:numPr>
        <w:tabs>
          <w:tab w:val="left" w:pos="1165"/>
        </w:tabs>
        <w:spacing w:before="0" w:after="0" w:line="240" w:lineRule="auto"/>
        <w:ind w:left="999" w:hanging="432"/>
        <w:rPr>
          <w:rFonts w:ascii="Times New Roman" w:hAnsi="Times New Roman" w:cs="Times New Roman"/>
          <w:b/>
          <w:i w:val="0"/>
          <w:color w:val="auto"/>
        </w:rPr>
      </w:pPr>
      <w:r>
        <w:rPr>
          <w:rFonts w:ascii="Times New Roman" w:hAnsi="Times New Roman" w:cs="Times New Roman"/>
          <w:i w:val="0"/>
          <w:iCs w:val="0"/>
          <w:color w:val="auto"/>
        </w:rPr>
        <w:t xml:space="preserve">O pregoeiro solicitará ao licitante mais bem classificado que, no prazo de </w:t>
      </w:r>
      <w:r>
        <w:rPr>
          <w:rFonts w:ascii="Times New Roman" w:hAnsi="Times New Roman" w:cs="Times New Roman"/>
          <w:b/>
          <w:bCs/>
          <w:i w:val="0"/>
          <w:iCs w:val="0"/>
          <w:color w:val="auto"/>
        </w:rPr>
        <w:t>60 (sessenta) minutos</w:t>
      </w:r>
      <w:r>
        <w:rPr>
          <w:rFonts w:ascii="Times New Roman" w:hAnsi="Times New Roman" w:cs="Times New Roman"/>
          <w:i w:val="0"/>
          <w:iCs w:val="0"/>
          <w:color w:val="auto"/>
        </w:rPr>
        <w:t xml:space="preserve"> envie a proposta readequada ao último lance ofertado após a negociação realizada, acompanhada, se for o caso, dos documentos complementares, quando necessários à confirmação daqueles exigidos neste Edital e já apresentados</w:t>
      </w:r>
      <w:bookmarkStart w:id="8" w:name="_Hlk117016948"/>
      <w:bookmarkEnd w:id="8"/>
      <w:r>
        <w:rPr>
          <w:rFonts w:ascii="Times New Roman" w:hAnsi="Times New Roman" w:cs="Times New Roman"/>
          <w:i w:val="0"/>
          <w:iCs w:val="0"/>
          <w:color w:val="auto"/>
        </w:rPr>
        <w:t xml:space="preserve"> SOB PENA DE DESCLASSIFICAÇÃO.</w:t>
      </w:r>
    </w:p>
    <w:p w14:paraId="3B745774" w14:textId="77777777" w:rsidR="00575174" w:rsidRDefault="009F4508">
      <w:pPr>
        <w:pStyle w:val="Nvel2-Red"/>
        <w:numPr>
          <w:ilvl w:val="2"/>
          <w:numId w:val="2"/>
        </w:numPr>
        <w:tabs>
          <w:tab w:val="left" w:pos="1131"/>
          <w:tab w:val="left" w:pos="1177"/>
        </w:tabs>
        <w:spacing w:before="0" w:after="0" w:line="240" w:lineRule="auto"/>
        <w:ind w:left="999" w:hanging="432"/>
        <w:rPr>
          <w:rFonts w:ascii="Times New Roman" w:hAnsi="Times New Roman" w:cs="Times New Roman"/>
          <w:b/>
          <w:bCs/>
          <w:color w:val="auto"/>
          <w:u w:val="single"/>
        </w:rPr>
      </w:pPr>
      <w:r>
        <w:rPr>
          <w:rFonts w:ascii="Times New Roman" w:hAnsi="Times New Roman" w:cs="Times New Roman"/>
          <w:b/>
          <w:bCs/>
          <w:color w:val="auto"/>
          <w:u w:val="single"/>
        </w:rPr>
        <w:t>É facultado ao pregoeiro prorrogar o prazo estabelecido, a partir de solicitação fundamentada feita no chat ou através de e-mail pelo licitante, antes de findo o prazo.</w:t>
      </w:r>
    </w:p>
    <w:p w14:paraId="794BDD32" w14:textId="77777777" w:rsidR="00575174" w:rsidRDefault="009F4508">
      <w:pPr>
        <w:pStyle w:val="Nvel2-Red"/>
        <w:numPr>
          <w:ilvl w:val="2"/>
          <w:numId w:val="2"/>
        </w:numPr>
        <w:tabs>
          <w:tab w:val="left" w:pos="1131"/>
        </w:tabs>
        <w:spacing w:before="0" w:after="0" w:line="240" w:lineRule="auto"/>
        <w:ind w:left="999" w:hanging="432"/>
        <w:rPr>
          <w:rFonts w:ascii="Times New Roman" w:hAnsi="Times New Roman" w:cs="Times New Roman"/>
          <w:b/>
          <w:i w:val="0"/>
          <w:color w:val="auto"/>
        </w:rPr>
      </w:pPr>
      <w:bookmarkStart w:id="9" w:name="_Hlk114646655"/>
      <w:r>
        <w:rPr>
          <w:rFonts w:ascii="Times New Roman" w:hAnsi="Times New Roman" w:cs="Times New Roman"/>
          <w:i w:val="0"/>
          <w:iCs w:val="0"/>
          <w:color w:val="auto"/>
        </w:rPr>
        <w:t>Após a negociação do preço, o Pregoeiro iniciará a fase de aceitação e julgamento da proposta.</w:t>
      </w:r>
      <w:bookmarkEnd w:id="9"/>
    </w:p>
    <w:p w14:paraId="6E71C21E" w14:textId="77777777" w:rsidR="00575174" w:rsidRDefault="00575174">
      <w:pPr>
        <w:pStyle w:val="Nvel2-Red"/>
        <w:numPr>
          <w:ilvl w:val="0"/>
          <w:numId w:val="0"/>
        </w:numPr>
        <w:spacing w:before="0" w:after="0" w:line="240" w:lineRule="auto"/>
        <w:ind w:left="999"/>
        <w:rPr>
          <w:rFonts w:ascii="Times New Roman" w:hAnsi="Times New Roman" w:cs="Times New Roman"/>
          <w:b/>
          <w:i w:val="0"/>
          <w:color w:val="auto"/>
        </w:rPr>
      </w:pPr>
    </w:p>
    <w:p w14:paraId="1D30FBF3" w14:textId="77777777" w:rsidR="00575174" w:rsidRDefault="009F4508">
      <w:pPr>
        <w:pStyle w:val="Nvel2-Red"/>
        <w:numPr>
          <w:ilvl w:val="0"/>
          <w:numId w:val="2"/>
        </w:numPr>
        <w:spacing w:before="0" w:after="0" w:line="240" w:lineRule="auto"/>
        <w:ind w:left="999" w:hanging="432"/>
        <w:rPr>
          <w:rFonts w:ascii="Times New Roman" w:hAnsi="Times New Roman" w:cs="Times New Roman"/>
          <w:b/>
          <w:i w:val="0"/>
          <w:color w:val="auto"/>
        </w:rPr>
      </w:pPr>
      <w:bookmarkStart w:id="10" w:name="_Toc135469229"/>
      <w:r>
        <w:rPr>
          <w:rFonts w:ascii="Times New Roman" w:hAnsi="Times New Roman" w:cs="Times New Roman"/>
          <w:b/>
          <w:bCs/>
          <w:i w:val="0"/>
          <w:iCs w:val="0"/>
          <w:color w:val="auto"/>
        </w:rPr>
        <w:t>DA FASE DE JULGAMENTO</w:t>
      </w:r>
      <w:bookmarkEnd w:id="10"/>
    </w:p>
    <w:p w14:paraId="7B3E6746" w14:textId="77777777" w:rsidR="00575174" w:rsidRDefault="009F4508">
      <w:pPr>
        <w:pStyle w:val="Nvel2-Red"/>
        <w:spacing w:before="0" w:after="0" w:line="240" w:lineRule="auto"/>
        <w:rPr>
          <w:rFonts w:ascii="Times New Roman" w:hAnsi="Times New Roman" w:cs="Times New Roman"/>
          <w:i w:val="0"/>
          <w:color w:val="auto"/>
        </w:rPr>
      </w:pPr>
      <w:bookmarkStart w:id="11" w:name="_Ref117019424"/>
      <w:r>
        <w:rPr>
          <w:rFonts w:ascii="Times New Roman" w:hAnsi="Times New Roman" w:cs="Times New Roman"/>
          <w:i w:val="0"/>
          <w:iCs w:val="0"/>
          <w:color w:val="auto"/>
        </w:rPr>
        <w:t xml:space="preserve">Encerrada a etapa de negociação, o pregoeiro verificará se o licitante provisoriamente classificado em primeiro lugar atende às condições de participação no certame, conforme previsto no </w:t>
      </w:r>
      <w:hyperlink r:id="rId17" w:tooltip="http://www.planalto.gov.br/ccivil_03/_ato2019-2022/2021/lei/L14133.htm#art14&quot; l &quot;art14">
        <w:r>
          <w:rPr>
            <w:rFonts w:ascii="Times New Roman" w:hAnsi="Times New Roman" w:cs="Times New Roman"/>
            <w:i w:val="0"/>
            <w:iCs w:val="0"/>
            <w:color w:val="auto"/>
            <w:u w:val="single"/>
          </w:rPr>
          <w:t>art. 14 da Lei nº 14.133/2021</w:t>
        </w:r>
      </w:hyperlink>
      <w:r>
        <w:rPr>
          <w:rFonts w:ascii="Times New Roman" w:hAnsi="Times New Roman" w:cs="Times New Roman"/>
          <w:i w:val="0"/>
          <w:iCs w:val="0"/>
          <w:color w:val="auto"/>
        </w:rPr>
        <w:t xml:space="preserve">, legislação correlata e no item 3.6 do edital, </w:t>
      </w:r>
      <w:bookmarkEnd w:id="11"/>
      <w:r>
        <w:rPr>
          <w:rFonts w:ascii="Times New Roman" w:hAnsi="Times New Roman" w:cs="Times New Roman"/>
          <w:i w:val="0"/>
          <w:iCs w:val="0"/>
          <w:color w:val="auto"/>
          <w:lang w:eastAsia="ar-SA"/>
        </w:rPr>
        <w:t>especialmente quanto à existência de sanção que impeça a participação no certame ou a futura contratação, mediante a consulta aos seguintes cadastros:</w:t>
      </w:r>
    </w:p>
    <w:p w14:paraId="240CEC01" w14:textId="77777777" w:rsidR="00575174" w:rsidRDefault="009F4508">
      <w:pPr>
        <w:pStyle w:val="Nvel2-Red"/>
        <w:numPr>
          <w:ilvl w:val="2"/>
          <w:numId w:val="2"/>
        </w:numPr>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lang w:eastAsia="ar-SA"/>
        </w:rPr>
        <w:t>Cadastro Nacional de Empresas Inidôneas e Suspensas – CEIS, mantido pela Controladoria-Geral da União (</w:t>
      </w:r>
      <w:hyperlink r:id="rId18" w:tooltip="https://www.portaltransparencia.gov.br/sancoes/ceis">
        <w:r>
          <w:rPr>
            <w:rFonts w:ascii="Times New Roman" w:hAnsi="Times New Roman" w:cs="Times New Roman"/>
            <w:i w:val="0"/>
            <w:iCs w:val="0"/>
            <w:color w:val="auto"/>
            <w:u w:val="single"/>
            <w:lang w:eastAsia="ar-SA"/>
          </w:rPr>
          <w:t>https://www.portaltransparencia.gov.br/sancoes/ceis</w:t>
        </w:r>
      </w:hyperlink>
      <w:r>
        <w:rPr>
          <w:rFonts w:ascii="Times New Roman" w:hAnsi="Times New Roman" w:cs="Times New Roman"/>
          <w:i w:val="0"/>
          <w:iCs w:val="0"/>
          <w:color w:val="auto"/>
          <w:lang w:eastAsia="ar-SA"/>
        </w:rPr>
        <w:t xml:space="preserve">); e </w:t>
      </w:r>
    </w:p>
    <w:p w14:paraId="1EC6BAB5" w14:textId="77777777" w:rsidR="00575174" w:rsidRDefault="009F4508">
      <w:pPr>
        <w:pStyle w:val="Nvel2-Red"/>
        <w:numPr>
          <w:ilvl w:val="3"/>
          <w:numId w:val="2"/>
        </w:numPr>
        <w:tabs>
          <w:tab w:val="left" w:pos="1154"/>
        </w:tabs>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lang w:eastAsia="ar-SA"/>
        </w:rPr>
        <w:t>Cadastro Nacional de Empresas Punidas – CNEP, mantido pela Controladoria-Geral da União (</w:t>
      </w:r>
      <w:hyperlink r:id="rId19" w:tooltip="https://www.portaltransparencia.gov.br/sancoes/cnep">
        <w:r>
          <w:rPr>
            <w:rFonts w:ascii="Times New Roman" w:hAnsi="Times New Roman" w:cs="Times New Roman"/>
            <w:i w:val="0"/>
            <w:iCs w:val="0"/>
            <w:color w:val="auto"/>
            <w:u w:val="single"/>
            <w:lang w:eastAsia="ar-SA"/>
          </w:rPr>
          <w:t>https://www.portaltransparencia.gov.br/sancoes/cnep</w:t>
        </w:r>
      </w:hyperlink>
      <w:r>
        <w:rPr>
          <w:rFonts w:ascii="Times New Roman" w:hAnsi="Times New Roman" w:cs="Times New Roman"/>
          <w:i w:val="0"/>
          <w:iCs w:val="0"/>
          <w:color w:val="auto"/>
          <w:lang w:eastAsia="ar-SA"/>
        </w:rPr>
        <w:t>).</w:t>
      </w:r>
    </w:p>
    <w:p w14:paraId="48F56B26" w14:textId="77777777" w:rsidR="00575174" w:rsidRDefault="009F4508">
      <w:pPr>
        <w:pStyle w:val="Nvel2-Red"/>
        <w:numPr>
          <w:ilvl w:val="2"/>
          <w:numId w:val="2"/>
        </w:numPr>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 xml:space="preserve">A consulta aos cadastros será realizada em nome da empresa licitante e também de seu sócio majoritário, por força da vedação de que trata o </w:t>
      </w:r>
      <w:hyperlink r:id="rId20" w:tooltip="https://www.planalto.gov.br/ccivil_03/leis/l8429.htm#:~:text=%C3%A0s%20seguintes%20comina%C3%A7%C3%B5es%3A-,Art.,n%C2%BA%2012.120%2C%20de%202009).&quot; l &quot;:~:text=%C3%A0s%20seguintes%20comina%C3%A7%C3%B5es%3A-,Art.,n%C2%BA%2012.120%2C%20de%202009).">
        <w:r>
          <w:rPr>
            <w:rFonts w:ascii="Times New Roman" w:hAnsi="Times New Roman" w:cs="Times New Roman"/>
            <w:i w:val="0"/>
            <w:iCs w:val="0"/>
            <w:color w:val="auto"/>
            <w:u w:val="single"/>
          </w:rPr>
          <w:t>artigo 12 da Lei n° 8.429, de 1992</w:t>
        </w:r>
      </w:hyperlink>
      <w:r>
        <w:rPr>
          <w:rFonts w:ascii="Times New Roman" w:hAnsi="Times New Roman" w:cs="Times New Roman"/>
          <w:i w:val="0"/>
          <w:iCs w:val="0"/>
          <w:color w:val="auto"/>
        </w:rPr>
        <w:t>.</w:t>
      </w:r>
    </w:p>
    <w:p w14:paraId="0A1C6FE4" w14:textId="77777777" w:rsidR="00575174" w:rsidRDefault="009F4508">
      <w:pPr>
        <w:pStyle w:val="Nvel2-Red"/>
        <w:numPr>
          <w:ilvl w:val="2"/>
          <w:numId w:val="2"/>
        </w:numPr>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Caso conste na Consulta de Situação do licitante a existência de Ocorrências Impeditivas Indiretas, o Pregoeiro diligenciará para verificar se houve fraude por parte das empresas apontadas no Relatório de Ocorrências Impeditivas Indiretas.</w:t>
      </w:r>
    </w:p>
    <w:p w14:paraId="7FFD448F" w14:textId="77777777" w:rsidR="00575174" w:rsidRDefault="009F4508">
      <w:pPr>
        <w:pStyle w:val="Nvel2-Red"/>
        <w:numPr>
          <w:ilvl w:val="3"/>
          <w:numId w:val="2"/>
        </w:numPr>
        <w:tabs>
          <w:tab w:val="left" w:pos="1154"/>
        </w:tabs>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A tentativa de burla será verificada por meio dos vínculos societários, linhas de fornecimento similares, dentre outros.</w:t>
      </w:r>
    </w:p>
    <w:p w14:paraId="323C0DC6" w14:textId="77777777" w:rsidR="00575174" w:rsidRDefault="009F4508">
      <w:pPr>
        <w:pStyle w:val="Nvel2-Red"/>
        <w:numPr>
          <w:ilvl w:val="3"/>
          <w:numId w:val="2"/>
        </w:numPr>
        <w:tabs>
          <w:tab w:val="left" w:pos="1188"/>
        </w:tabs>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 xml:space="preserve">O licitante será convocado para manifestação previamente a uma eventual desclassificação. </w:t>
      </w:r>
    </w:p>
    <w:p w14:paraId="44E92717" w14:textId="77777777" w:rsidR="00575174" w:rsidRDefault="009F4508">
      <w:pPr>
        <w:pStyle w:val="Nvel2-Red"/>
        <w:numPr>
          <w:ilvl w:val="3"/>
          <w:numId w:val="2"/>
        </w:numPr>
        <w:tabs>
          <w:tab w:val="left" w:pos="1177"/>
        </w:tabs>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Constatada a existência de sanção, o licitante será reputado inabilitado, por falta de condição de participação.</w:t>
      </w:r>
    </w:p>
    <w:p w14:paraId="3F8D861B" w14:textId="77777777" w:rsidR="00575174" w:rsidRDefault="009F4508">
      <w:pPr>
        <w:pStyle w:val="Nvel2-Red"/>
        <w:numPr>
          <w:ilvl w:val="3"/>
          <w:numId w:val="2"/>
        </w:numPr>
        <w:tabs>
          <w:tab w:val="left" w:pos="1165"/>
        </w:tabs>
        <w:spacing w:before="0" w:after="0" w:line="240" w:lineRule="auto"/>
        <w:ind w:left="999" w:hanging="432"/>
        <w:rPr>
          <w:rFonts w:ascii="Times New Roman" w:hAnsi="Times New Roman" w:cs="Times New Roman"/>
          <w:b/>
          <w:i w:val="0"/>
          <w:color w:val="auto"/>
        </w:rPr>
      </w:pPr>
      <w:bookmarkStart w:id="12" w:name="_Hlk135317550"/>
      <w:r>
        <w:rPr>
          <w:rFonts w:ascii="Times New Roman" w:hAnsi="Times New Roman" w:cs="Times New Roman"/>
          <w:i w:val="0"/>
          <w:iCs w:val="0"/>
          <w:color w:val="auto"/>
        </w:rPr>
        <w:t>Na hipótese de inversão das fases de habilitação e julgamento, caso atendidas as condições de participação, será iniciado o procedimento de habilitação.</w:t>
      </w:r>
      <w:bookmarkEnd w:id="12"/>
    </w:p>
    <w:p w14:paraId="335E911A" w14:textId="77777777" w:rsidR="00575174" w:rsidRDefault="009F4508">
      <w:pPr>
        <w:pStyle w:val="Nvel2-Red"/>
        <w:numPr>
          <w:ilvl w:val="2"/>
          <w:numId w:val="2"/>
        </w:numPr>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Caso o licitante provisoriamente classificado em primeiro lugar tenha se utilizado de algum tratamento favorecido às ME/EPP, o pregoeiro verificará se faz jus ao benefício.</w:t>
      </w:r>
    </w:p>
    <w:p w14:paraId="4DF15D60" w14:textId="77777777" w:rsidR="00575174" w:rsidRDefault="009F4508">
      <w:pPr>
        <w:pStyle w:val="Nvel2-Red"/>
        <w:numPr>
          <w:ilvl w:val="2"/>
          <w:numId w:val="2"/>
        </w:numPr>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3F97F7ED" w14:textId="77777777" w:rsidR="00575174" w:rsidRDefault="009F4508">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 xml:space="preserve">Será desclassificada a proposta vencedora que: </w:t>
      </w:r>
    </w:p>
    <w:p w14:paraId="440F26F3" w14:textId="77777777" w:rsidR="00575174" w:rsidRDefault="009F4508">
      <w:pPr>
        <w:pStyle w:val="Nvel2-Red"/>
        <w:numPr>
          <w:ilvl w:val="2"/>
          <w:numId w:val="2"/>
        </w:numPr>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Contiver vícios insanáveis;</w:t>
      </w:r>
    </w:p>
    <w:p w14:paraId="145608AE" w14:textId="77777777" w:rsidR="00575174" w:rsidRDefault="009F4508">
      <w:pPr>
        <w:pStyle w:val="Nvel2-Red"/>
        <w:numPr>
          <w:ilvl w:val="2"/>
          <w:numId w:val="2"/>
        </w:numPr>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Não obedecer às especificações técnicas contidas no Termo de Referência;</w:t>
      </w:r>
    </w:p>
    <w:p w14:paraId="4397AADE" w14:textId="77777777" w:rsidR="00575174" w:rsidRDefault="009F4508">
      <w:pPr>
        <w:pStyle w:val="Nvel2-Red"/>
        <w:numPr>
          <w:ilvl w:val="2"/>
          <w:numId w:val="2"/>
        </w:numPr>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Apresentar preços inexequíveis ou permanecerem acima do preço máximo definido para a contratação;</w:t>
      </w:r>
    </w:p>
    <w:p w14:paraId="2C82CE35" w14:textId="77777777" w:rsidR="00575174" w:rsidRDefault="009F4508">
      <w:pPr>
        <w:pStyle w:val="Nvel2-Red"/>
        <w:numPr>
          <w:ilvl w:val="2"/>
          <w:numId w:val="2"/>
        </w:numPr>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Não tiverem sua exequibilidade demonstrada, quando exigido pela Administração;</w:t>
      </w:r>
    </w:p>
    <w:p w14:paraId="312D8CA4" w14:textId="77777777" w:rsidR="00575174" w:rsidRDefault="009F4508">
      <w:pPr>
        <w:pStyle w:val="Nvel2-Red"/>
        <w:numPr>
          <w:ilvl w:val="2"/>
          <w:numId w:val="2"/>
        </w:numPr>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Apresentar desconformidade com quaisquer outras exigências deste Edital ou seus anexos, desde que insanável</w:t>
      </w:r>
    </w:p>
    <w:p w14:paraId="3B792AB2" w14:textId="77777777" w:rsidR="00575174" w:rsidRDefault="009F4508">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No caso de bens e serviços em geral, é indício de inexequibilidade das propostas valores inferiores a 50% (cinquenta por cento) do valor orçado pela Administração.</w:t>
      </w:r>
    </w:p>
    <w:p w14:paraId="3267D491" w14:textId="77777777" w:rsidR="00575174" w:rsidRDefault="009F4508">
      <w:pPr>
        <w:pStyle w:val="Nvel2-Red"/>
        <w:numPr>
          <w:ilvl w:val="2"/>
          <w:numId w:val="2"/>
        </w:numPr>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A inexequibilidade, na hipótese de que trata o caput, só será considerada após diligência do pregoeiro, que comprove:</w:t>
      </w:r>
    </w:p>
    <w:p w14:paraId="545299B6" w14:textId="77777777" w:rsidR="00575174" w:rsidRDefault="009F4508">
      <w:pPr>
        <w:pStyle w:val="Nvel2-Red"/>
        <w:numPr>
          <w:ilvl w:val="3"/>
          <w:numId w:val="2"/>
        </w:numPr>
        <w:tabs>
          <w:tab w:val="left" w:pos="1131"/>
        </w:tabs>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 xml:space="preserve"> Que o custo do licitante ultrapassa o valor da proposta; e</w:t>
      </w:r>
    </w:p>
    <w:p w14:paraId="7FDFCF8D" w14:textId="77777777" w:rsidR="00575174" w:rsidRDefault="009F4508">
      <w:pPr>
        <w:pStyle w:val="Nvel2-Red"/>
        <w:numPr>
          <w:ilvl w:val="3"/>
          <w:numId w:val="2"/>
        </w:numPr>
        <w:tabs>
          <w:tab w:val="left" w:pos="1131"/>
        </w:tabs>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 xml:space="preserve"> Inexistirem custos de oportunidade capazes de justificar o vulto da oferta.</w:t>
      </w:r>
    </w:p>
    <w:p w14:paraId="482A5EC4" w14:textId="77777777" w:rsidR="00575174" w:rsidRDefault="009F4508">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Se houver indícios de inexequibilidade da proposta de preço, ou em caso da necessidade de esclarecimentos complementares, poderão ser efetuadas diligências, para que a empresa comprove a exequibilidade da proposta.</w:t>
      </w:r>
    </w:p>
    <w:p w14:paraId="1C825980" w14:textId="77777777" w:rsidR="00575174" w:rsidRDefault="009F4508">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 xml:space="preserve">Caso o custo global estimado do objeto licitado tenha sido decomposto em seus respectivos custos unitários </w:t>
      </w:r>
    </w:p>
    <w:p w14:paraId="4FB0443D" w14:textId="77777777" w:rsidR="00575174" w:rsidRDefault="00575174">
      <w:pPr>
        <w:pStyle w:val="Nvel2-Red"/>
        <w:spacing w:before="0" w:after="0" w:line="240" w:lineRule="auto"/>
        <w:rPr>
          <w:rFonts w:ascii="Times New Roman" w:hAnsi="Times New Roman" w:cs="Times New Roman"/>
          <w:i w:val="0"/>
          <w:color w:val="auto"/>
        </w:rPr>
      </w:pPr>
    </w:p>
    <w:p w14:paraId="3836AF9A" w14:textId="77777777" w:rsidR="00575174" w:rsidRDefault="009F4508">
      <w:pPr>
        <w:pStyle w:val="Nvel2-Red"/>
        <w:numPr>
          <w:ilvl w:val="0"/>
          <w:numId w:val="0"/>
        </w:numPr>
        <w:spacing w:before="0" w:after="0" w:line="240" w:lineRule="auto"/>
        <w:ind w:left="999"/>
        <w:rPr>
          <w:rFonts w:ascii="Times New Roman" w:hAnsi="Times New Roman" w:cs="Times New Roman"/>
          <w:i w:val="0"/>
          <w:color w:val="auto"/>
        </w:rPr>
      </w:pPr>
      <w:r>
        <w:rPr>
          <w:rFonts w:ascii="Times New Roman" w:hAnsi="Times New Roman" w:cs="Times New Roman"/>
          <w:i w:val="0"/>
          <w:iCs w:val="0"/>
          <w:color w:val="auto"/>
        </w:rPr>
        <w:t>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24FB7FD0" w14:textId="77777777" w:rsidR="00575174" w:rsidRDefault="009F4508">
      <w:pPr>
        <w:pStyle w:val="Nvel2-Red"/>
        <w:numPr>
          <w:ilvl w:val="2"/>
          <w:numId w:val="2"/>
        </w:numPr>
        <w:spacing w:before="0" w:after="0" w:line="240" w:lineRule="auto"/>
        <w:ind w:left="999" w:hanging="432"/>
        <w:rPr>
          <w:rFonts w:ascii="Times New Roman" w:hAnsi="Times New Roman" w:cs="Times New Roman"/>
          <w:i w:val="0"/>
          <w:color w:val="auto"/>
        </w:rPr>
      </w:pPr>
      <w:bookmarkStart w:id="13" w:name="_Hlk126568356"/>
      <w:r>
        <w:rPr>
          <w:rFonts w:ascii="Times New Roman" w:hAnsi="Times New Roman" w:cs="Times New Roman"/>
          <w:i w:val="0"/>
          <w:iCs w:val="0"/>
          <w:color w:val="auto"/>
        </w:rPr>
        <w:t>Em se tratando de serviços de engenharia, o licitante vencedor será convocado a apresentar à Administração, por meio eletrônico, as planilhas com indicação dos quantitativos e dos custos unitários</w:t>
      </w:r>
      <w:bookmarkEnd w:id="13"/>
      <w:r>
        <w:rPr>
          <w:rFonts w:ascii="Times New Roman" w:hAnsi="Times New Roman" w:cs="Times New Roman"/>
          <w:i w:val="0"/>
          <w:iCs w:val="0"/>
          <w:color w:val="auto"/>
        </w:rPr>
        <w:t>,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 integrada e contratação integrada, exclusivamente para eventuais adequações indispensáveis no cronograma físico-financeiro e para balizar excepcional aditamento posterior do contrato.</w:t>
      </w:r>
    </w:p>
    <w:p w14:paraId="5F63125F" w14:textId="77777777" w:rsidR="00575174" w:rsidRDefault="009F4508">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76C4AF1C" w14:textId="77777777" w:rsidR="00575174" w:rsidRDefault="009F4508">
      <w:pPr>
        <w:pStyle w:val="Nvel2-Red"/>
        <w:numPr>
          <w:ilvl w:val="2"/>
          <w:numId w:val="2"/>
        </w:numPr>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O ajuste de que trata este dispositivo se limita a sanar erros ou falhas que não alterem a substância das propostas;</w:t>
      </w:r>
    </w:p>
    <w:p w14:paraId="727EB4E3" w14:textId="77777777" w:rsidR="00575174" w:rsidRDefault="009F4508">
      <w:pPr>
        <w:pStyle w:val="Nvel2-Red"/>
        <w:numPr>
          <w:ilvl w:val="2"/>
          <w:numId w:val="2"/>
        </w:numPr>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Considera-se erro no preenchimento da planilha passível de correção a indicação de recolhimento de impostos e contribuições na forma do Simples Nacional, quando não cabível esse regime.</w:t>
      </w:r>
    </w:p>
    <w:p w14:paraId="01EE6214" w14:textId="77777777" w:rsidR="00575174" w:rsidRDefault="009F4508">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lang w:eastAsia="en-US"/>
        </w:rPr>
        <w:t xml:space="preserve">Para </w:t>
      </w:r>
      <w:r>
        <w:rPr>
          <w:rFonts w:ascii="Times New Roman" w:hAnsi="Times New Roman" w:cs="Times New Roman"/>
          <w:i w:val="0"/>
          <w:iCs w:val="0"/>
          <w:color w:val="auto"/>
        </w:rPr>
        <w:t>fins</w:t>
      </w:r>
      <w:r>
        <w:rPr>
          <w:rFonts w:ascii="Times New Roman" w:hAnsi="Times New Roman" w:cs="Times New Roman"/>
          <w:i w:val="0"/>
          <w:iCs w:val="0"/>
          <w:color w:val="auto"/>
          <w:lang w:eastAsia="en-US"/>
        </w:rPr>
        <w:t xml:space="preserve"> de análise da proposta quanto ao cumprimento </w:t>
      </w:r>
      <w:r>
        <w:rPr>
          <w:rFonts w:ascii="Times New Roman" w:hAnsi="Times New Roman" w:cs="Times New Roman"/>
          <w:i w:val="0"/>
          <w:iCs w:val="0"/>
          <w:color w:val="auto"/>
        </w:rPr>
        <w:t>das</w:t>
      </w:r>
      <w:r>
        <w:rPr>
          <w:rFonts w:ascii="Times New Roman" w:hAnsi="Times New Roman" w:cs="Times New Roman"/>
          <w:i w:val="0"/>
          <w:iCs w:val="0"/>
          <w:color w:val="auto"/>
          <w:lang w:eastAsia="en-US"/>
        </w:rPr>
        <w:t xml:space="preserve"> especificações do objeto, poderá ser colhida a </w:t>
      </w:r>
      <w:r>
        <w:rPr>
          <w:rFonts w:ascii="Times New Roman" w:hAnsi="Times New Roman" w:cs="Times New Roman"/>
          <w:i w:val="0"/>
          <w:iCs w:val="0"/>
          <w:color w:val="auto"/>
        </w:rPr>
        <w:t>manifestação</w:t>
      </w:r>
      <w:r>
        <w:rPr>
          <w:rFonts w:ascii="Times New Roman" w:hAnsi="Times New Roman" w:cs="Times New Roman"/>
          <w:i w:val="0"/>
          <w:iCs w:val="0"/>
          <w:color w:val="auto"/>
          <w:lang w:eastAsia="en-US"/>
        </w:rPr>
        <w:t xml:space="preserve"> escrita do setor requisitante do serviço ou da área especializada no objeto.</w:t>
      </w:r>
    </w:p>
    <w:p w14:paraId="31354540" w14:textId="77777777" w:rsidR="00575174" w:rsidRDefault="00575174">
      <w:pPr>
        <w:pStyle w:val="Nvel2-Red"/>
        <w:numPr>
          <w:ilvl w:val="0"/>
          <w:numId w:val="0"/>
        </w:numPr>
        <w:spacing w:before="0" w:after="0" w:line="240" w:lineRule="auto"/>
        <w:ind w:left="999"/>
        <w:rPr>
          <w:rFonts w:ascii="Times New Roman" w:hAnsi="Times New Roman" w:cs="Times New Roman"/>
          <w:i w:val="0"/>
          <w:color w:val="auto"/>
        </w:rPr>
      </w:pPr>
    </w:p>
    <w:p w14:paraId="63AE73A1" w14:textId="77777777" w:rsidR="00575174" w:rsidRDefault="009F4508">
      <w:pPr>
        <w:pStyle w:val="Nvel2-Red"/>
        <w:numPr>
          <w:ilvl w:val="0"/>
          <w:numId w:val="2"/>
        </w:numPr>
        <w:spacing w:before="0" w:after="0" w:line="240" w:lineRule="auto"/>
        <w:ind w:left="999" w:hanging="432"/>
        <w:rPr>
          <w:rFonts w:ascii="Times New Roman" w:hAnsi="Times New Roman" w:cs="Times New Roman"/>
          <w:b/>
          <w:i w:val="0"/>
          <w:color w:val="auto"/>
        </w:rPr>
      </w:pPr>
      <w:bookmarkStart w:id="14" w:name="_Toc135469230"/>
      <w:r>
        <w:rPr>
          <w:rFonts w:ascii="Times New Roman" w:hAnsi="Times New Roman" w:cs="Times New Roman"/>
          <w:b/>
          <w:bCs/>
          <w:i w:val="0"/>
          <w:iCs w:val="0"/>
          <w:color w:val="auto"/>
        </w:rPr>
        <w:t>DA FASE DE HABILITAÇÃO</w:t>
      </w:r>
      <w:bookmarkEnd w:id="14"/>
    </w:p>
    <w:p w14:paraId="3696CDFE" w14:textId="77777777" w:rsidR="00575174" w:rsidRDefault="009F4508">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 xml:space="preserve">Os documentos previstos no Termo de Referência, necessários e suficientes para demonstrar a capacidade do licitante de realizar o objeto da licitação, serão exigidos para fins de habilitação, nos termos dos </w:t>
      </w:r>
      <w:hyperlink r:id="rId21" w:tooltip="http://www.planalto.gov.br/ccivil_03/_ato2019-2022/2021/lei/L14133.htm#art62&quot; l &quot;art62">
        <w:r>
          <w:rPr>
            <w:rFonts w:ascii="Times New Roman" w:hAnsi="Times New Roman" w:cs="Times New Roman"/>
            <w:i w:val="0"/>
            <w:iCs w:val="0"/>
            <w:color w:val="auto"/>
            <w:u w:val="single"/>
          </w:rPr>
          <w:t>arts. 62 a 70 da Lei nº 14.133, de 2021</w:t>
        </w:r>
      </w:hyperlink>
      <w:r>
        <w:rPr>
          <w:rFonts w:ascii="Times New Roman" w:hAnsi="Times New Roman" w:cs="Times New Roman"/>
          <w:i w:val="0"/>
          <w:iCs w:val="0"/>
          <w:color w:val="auto"/>
        </w:rPr>
        <w:t>.</w:t>
      </w:r>
    </w:p>
    <w:p w14:paraId="52694F55" w14:textId="77777777" w:rsidR="00575174" w:rsidRDefault="009F4508">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Quando permitida a participação de empresas estrangeiras que não funcionem no País, as exigências de habilitação serão atendidas mediante documentos equivalentes, inicialmente apresentados em tradução livre.</w:t>
      </w:r>
    </w:p>
    <w:p w14:paraId="2D15435A" w14:textId="77777777" w:rsidR="00575174" w:rsidRDefault="009F4508">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consularizações pelos respectivos consulados ou embaixadas.</w:t>
      </w:r>
    </w:p>
    <w:p w14:paraId="23C59483" w14:textId="77777777" w:rsidR="00575174" w:rsidRDefault="009F4508">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6DDF1DA2" w14:textId="77777777" w:rsidR="00575174" w:rsidRDefault="009F4508">
      <w:pPr>
        <w:pStyle w:val="Nvel2-Red"/>
        <w:numPr>
          <w:ilvl w:val="2"/>
          <w:numId w:val="2"/>
        </w:numPr>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Se o consórcio não for formado integralmente por microempresas ou empresas de pequeno porte e o termo de referência exigir requisitos de habilitação econômico-financeira, haverá um acréscimo de 30 % para o consórcio em relação ao valor exigido para os licitantes individuais.</w:t>
      </w:r>
    </w:p>
    <w:p w14:paraId="2380CAF6" w14:textId="77777777" w:rsidR="00575174" w:rsidRDefault="009F4508">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Os documentos exigidos para fins de habilitação poderão ser apresentados em original, por cópia.</w:t>
      </w:r>
    </w:p>
    <w:p w14:paraId="1EF703A1" w14:textId="77777777" w:rsidR="00575174" w:rsidRDefault="009F4508">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Será verificado se o licitante apresentou declaração de que atende aos requisitos de habilitação, e o declarante responderá pela veracidade das informações prestadas, na forma da lei (</w:t>
      </w:r>
      <w:hyperlink r:id="rId22" w:tooltip="http://www.planalto.gov.br/ccivil_03/_ato2019-2022/2021/lei/L14133.htm#art63&quot; l &quot;art63">
        <w:r>
          <w:rPr>
            <w:rFonts w:ascii="Times New Roman" w:hAnsi="Times New Roman" w:cs="Times New Roman"/>
            <w:i w:val="0"/>
            <w:iCs w:val="0"/>
            <w:color w:val="auto"/>
            <w:u w:val="single"/>
          </w:rPr>
          <w:t>art. 63, I, da Lei nº 14.133/2021</w:t>
        </w:r>
      </w:hyperlink>
      <w:r>
        <w:rPr>
          <w:rFonts w:ascii="Times New Roman" w:hAnsi="Times New Roman" w:cs="Times New Roman"/>
          <w:i w:val="0"/>
          <w:iCs w:val="0"/>
          <w:color w:val="auto"/>
        </w:rPr>
        <w:t>).</w:t>
      </w:r>
    </w:p>
    <w:p w14:paraId="0552FD2D" w14:textId="77777777" w:rsidR="00575174" w:rsidRDefault="009F4508">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5BC757FA" w14:textId="77777777" w:rsidR="00575174" w:rsidRDefault="009F4508">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condutas vigentes na data de entrega das propostas.</w:t>
      </w:r>
    </w:p>
    <w:p w14:paraId="0986E73E" w14:textId="77777777" w:rsidR="00575174" w:rsidRDefault="009F4508">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 xml:space="preserve">Somente haverá a necessidade de comprovação do preenchimento de requisitos mediante apresentação dos documentos de habilitação originais não-digitais quando houver dúvida em relação à integridade do documento digital ou quando a lei expressamente o exigir. </w:t>
      </w:r>
    </w:p>
    <w:p w14:paraId="1761EBB3" w14:textId="77777777" w:rsidR="00575174" w:rsidRDefault="009F4508">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É de responsabilidade do licitante conferir a exatidão dos seus dados cadastrais e mantê-los atualizados junto aos órgãos responsáveis pela informação, devendo proceder, imediatamente, à correção ou à alteração dos registros tão logo identifique incorreção ou aqueles se tornem desatualizados.</w:t>
      </w:r>
    </w:p>
    <w:p w14:paraId="229BF205" w14:textId="77777777" w:rsidR="00575174" w:rsidRDefault="009F4508">
      <w:pPr>
        <w:pStyle w:val="Nvel2-Red"/>
        <w:numPr>
          <w:ilvl w:val="2"/>
          <w:numId w:val="2"/>
        </w:numPr>
        <w:tabs>
          <w:tab w:val="left" w:pos="1165"/>
        </w:tabs>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 xml:space="preserve">A não observância do disposto no item anterior poderá ensejar desclassificação no momento da habilitação. </w:t>
      </w:r>
    </w:p>
    <w:p w14:paraId="53A061F0" w14:textId="77777777" w:rsidR="00575174" w:rsidRDefault="009F4508">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A verificação pelo pregoeiro, em sítios eletrônicos oficiais de órgãos e entidades emissores de certidões constitui meio legal de prova, para fins de habilitação.</w:t>
      </w:r>
    </w:p>
    <w:p w14:paraId="4ADA0FE6" w14:textId="77777777" w:rsidR="00575174" w:rsidRDefault="009F4508">
      <w:pPr>
        <w:pStyle w:val="Nvel2-Red"/>
        <w:numPr>
          <w:ilvl w:val="2"/>
          <w:numId w:val="2"/>
        </w:numPr>
        <w:tabs>
          <w:tab w:val="left" w:pos="1177"/>
        </w:tabs>
        <w:spacing w:before="0" w:after="0" w:line="240" w:lineRule="auto"/>
        <w:ind w:left="999" w:hanging="432"/>
        <w:rPr>
          <w:rFonts w:ascii="Times New Roman" w:hAnsi="Times New Roman" w:cs="Times New Roman"/>
          <w:b/>
          <w:i w:val="0"/>
          <w:color w:val="auto"/>
        </w:rPr>
      </w:pPr>
      <w:r>
        <w:rPr>
          <w:rFonts w:ascii="Times New Roman" w:hAnsi="Times New Roman" w:cs="Times New Roman"/>
          <w:i w:val="0"/>
          <w:iCs w:val="0"/>
          <w:color w:val="auto"/>
        </w:rPr>
        <w:t>Os documentos exigidos para habilitação serão enviados por meio do sistema, em formato digital, no prazo</w:t>
      </w:r>
      <w:r>
        <w:rPr>
          <w:rFonts w:ascii="Times New Roman" w:hAnsi="Times New Roman" w:cs="Times New Roman"/>
          <w:b/>
          <w:bCs/>
          <w:i w:val="0"/>
          <w:iCs w:val="0"/>
          <w:color w:val="auto"/>
        </w:rPr>
        <w:t xml:space="preserve"> 120 (cento e vinte) minutos</w:t>
      </w:r>
      <w:r>
        <w:rPr>
          <w:rFonts w:ascii="Times New Roman" w:hAnsi="Times New Roman" w:cs="Times New Roman"/>
          <w:i w:val="0"/>
          <w:iCs w:val="0"/>
          <w:color w:val="auto"/>
        </w:rPr>
        <w:t>, sem prorrogação de deste prazo.</w:t>
      </w:r>
    </w:p>
    <w:p w14:paraId="2AA0D0FC" w14:textId="77777777" w:rsidR="00575174" w:rsidRDefault="009F4508">
      <w:pPr>
        <w:pStyle w:val="Nvel2-Red"/>
        <w:numPr>
          <w:ilvl w:val="2"/>
          <w:numId w:val="2"/>
        </w:numPr>
        <w:tabs>
          <w:tab w:val="left" w:pos="1154"/>
          <w:tab w:val="left" w:pos="1177"/>
        </w:tabs>
        <w:spacing w:before="0" w:after="0" w:line="240" w:lineRule="auto"/>
        <w:ind w:left="999" w:hanging="432"/>
        <w:rPr>
          <w:rFonts w:ascii="Times New Roman" w:hAnsi="Times New Roman" w:cs="Times New Roman"/>
          <w:b/>
          <w:i w:val="0"/>
          <w:color w:val="auto"/>
        </w:rPr>
      </w:pPr>
      <w:r>
        <w:rPr>
          <w:rFonts w:ascii="Times New Roman" w:hAnsi="Times New Roman" w:cs="Times New Roman"/>
          <w:i w:val="0"/>
          <w:iCs w:val="0"/>
          <w:color w:val="auto"/>
        </w:rPr>
        <w:t xml:space="preserve"> </w:t>
      </w:r>
      <w:r>
        <w:rPr>
          <w:rFonts w:ascii="Times New Roman" w:hAnsi="Times New Roman" w:cs="Times New Roman"/>
          <w:b/>
          <w:bCs/>
          <w:color w:val="auto"/>
          <w:u w:val="single"/>
        </w:rPr>
        <w:t>É facultado ao pregoeiro prorrogar o prazo estabelecido, a partir de solicitação fundamentada feita no chat ou através de e-mail, pelo licitante, antes de findo o prazo.</w:t>
      </w:r>
    </w:p>
    <w:p w14:paraId="767E12A2" w14:textId="77777777" w:rsidR="00575174" w:rsidRDefault="009F4508">
      <w:pPr>
        <w:pStyle w:val="Nvel2-Red"/>
        <w:numPr>
          <w:ilvl w:val="2"/>
          <w:numId w:val="2"/>
        </w:numPr>
        <w:tabs>
          <w:tab w:val="left" w:pos="1165"/>
        </w:tabs>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Na hipótese de a fase de habilitação anteceder a fase de apresentação de propostas e lances, os licitantes encaminharão, por meio do sistema, simultaneamente os documentos de habilitação e a proposta com o preço ou o percentual de desconto.</w:t>
      </w:r>
    </w:p>
    <w:p w14:paraId="5D9DCECE" w14:textId="77777777" w:rsidR="00575174" w:rsidRDefault="009F4508">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A verificação da habilitação somente será feita em relação ao licitante vencedor.</w:t>
      </w:r>
    </w:p>
    <w:p w14:paraId="0A139BB7" w14:textId="77777777" w:rsidR="00575174" w:rsidRDefault="009F4508">
      <w:pPr>
        <w:pStyle w:val="Nvel2-Red"/>
        <w:numPr>
          <w:ilvl w:val="2"/>
          <w:numId w:val="2"/>
        </w:numPr>
        <w:tabs>
          <w:tab w:val="left" w:pos="1177"/>
        </w:tabs>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Os documentos relativos à regularidade fiscal que constem do Termo de Referência somente serão exigidos, em qualquer caso, em momento posterior ao julgamento das propostas, e apenas do licitante mais bem classificado.</w:t>
      </w:r>
    </w:p>
    <w:p w14:paraId="2D497E05" w14:textId="77777777" w:rsidR="00575174" w:rsidRDefault="009F4508">
      <w:pPr>
        <w:pStyle w:val="Nvel2-Red"/>
        <w:numPr>
          <w:ilvl w:val="2"/>
          <w:numId w:val="2"/>
        </w:numPr>
        <w:tabs>
          <w:tab w:val="left" w:pos="1154"/>
        </w:tabs>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777444AE" w14:textId="77777777" w:rsidR="00575174" w:rsidRDefault="009F4508">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Após a entrega dos documentos para habilitação, não será permitida a substituição ou a apresentação de novos documentos, salvo em sede de diligência, para (</w:t>
      </w:r>
      <w:hyperlink r:id="rId23" w:tooltip="http://www.planalto.gov.br/ccivil_03/_ato2019-2022/2021/lei/L14133.htm#art64&quot; l &quot;art64">
        <w:r>
          <w:rPr>
            <w:rFonts w:ascii="Times New Roman" w:hAnsi="Times New Roman" w:cs="Times New Roman"/>
            <w:i w:val="0"/>
            <w:iCs w:val="0"/>
            <w:color w:val="auto"/>
            <w:u w:val="single"/>
          </w:rPr>
          <w:t>Lei 14.133/21, art. 64</w:t>
        </w:r>
      </w:hyperlink>
      <w:r>
        <w:rPr>
          <w:rStyle w:val="Hyperlink1"/>
          <w:rFonts w:ascii="Times New Roman" w:hAnsi="Times New Roman" w:cs="Times New Roman"/>
          <w:i w:val="0"/>
          <w:iCs w:val="0"/>
          <w:color w:val="auto"/>
        </w:rPr>
        <w:t>)</w:t>
      </w:r>
      <w:r>
        <w:rPr>
          <w:rFonts w:ascii="Times New Roman" w:hAnsi="Times New Roman" w:cs="Times New Roman"/>
          <w:i w:val="0"/>
          <w:iCs w:val="0"/>
          <w:color w:val="auto"/>
        </w:rPr>
        <w:t>.</w:t>
      </w:r>
    </w:p>
    <w:p w14:paraId="427BB043" w14:textId="77777777" w:rsidR="00575174" w:rsidRDefault="009F4508">
      <w:pPr>
        <w:pStyle w:val="Nvel2-Red"/>
        <w:numPr>
          <w:ilvl w:val="2"/>
          <w:numId w:val="2"/>
        </w:numPr>
        <w:tabs>
          <w:tab w:val="left" w:pos="1142"/>
        </w:tabs>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Complementação de informações acerca dos documentos já apresentados pelos licitantes e desde que necessária para apurar fatos existentes à época da abertura do certame; e</w:t>
      </w:r>
    </w:p>
    <w:p w14:paraId="1E25C74B" w14:textId="77777777" w:rsidR="00575174" w:rsidRDefault="009F4508">
      <w:pPr>
        <w:pStyle w:val="Nvel2-Red"/>
        <w:numPr>
          <w:ilvl w:val="2"/>
          <w:numId w:val="2"/>
        </w:numPr>
        <w:tabs>
          <w:tab w:val="left" w:pos="1154"/>
          <w:tab w:val="left" w:pos="1188"/>
        </w:tabs>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Atualização de documentos cuja validade tenha expirado após a data de recebimento das propostas;</w:t>
      </w:r>
    </w:p>
    <w:p w14:paraId="2A5B50A1" w14:textId="77777777" w:rsidR="00575174" w:rsidRDefault="009F4508">
      <w:pPr>
        <w:pStyle w:val="Nvel2-Red"/>
        <w:spacing w:before="0" w:after="0" w:line="240" w:lineRule="auto"/>
        <w:rPr>
          <w:rFonts w:ascii="Times New Roman" w:hAnsi="Times New Roman" w:cs="Times New Roman"/>
          <w:i w:val="0"/>
          <w:color w:val="auto"/>
        </w:rPr>
      </w:pPr>
      <w:bookmarkStart w:id="15" w:name="_Ref114670319"/>
      <w:r>
        <w:rPr>
          <w:rFonts w:ascii="Times New Roman" w:hAnsi="Times New Roman" w:cs="Times New Roman"/>
          <w:i w:val="0"/>
          <w:iCs w:val="0"/>
          <w:color w:val="auto"/>
        </w:rPr>
        <w:t>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w:t>
      </w:r>
      <w:bookmarkEnd w:id="15"/>
    </w:p>
    <w:p w14:paraId="0C30F5CD" w14:textId="77777777" w:rsidR="00575174" w:rsidRDefault="009F4508">
      <w:pPr>
        <w:pStyle w:val="Nvel2-Red"/>
        <w:spacing w:before="0" w:after="0" w:line="240" w:lineRule="auto"/>
        <w:rPr>
          <w:rFonts w:ascii="Times New Roman" w:hAnsi="Times New Roman" w:cs="Times New Roman"/>
          <w:i w:val="0"/>
          <w:color w:val="auto"/>
        </w:rPr>
      </w:pPr>
      <w:bookmarkStart w:id="16" w:name="_Ref114665528"/>
      <w:r>
        <w:rPr>
          <w:rFonts w:ascii="Times New Roman" w:hAnsi="Times New Roman" w:cs="Times New Roman"/>
          <w:i w:val="0"/>
          <w:iCs w:val="0"/>
          <w:color w:val="auto"/>
        </w:rPr>
        <w:t>Na hipótese de o licitante não atender às exigências para habilitação, o pregoeiro examinará a proposta subsequente e assim sucessivamente, na ordem de classificação, até a apuração de uma proposta que atenda ao presente edital</w:t>
      </w:r>
      <w:bookmarkEnd w:id="16"/>
      <w:r>
        <w:rPr>
          <w:rFonts w:ascii="Times New Roman" w:hAnsi="Times New Roman" w:cs="Times New Roman"/>
          <w:i w:val="0"/>
          <w:iCs w:val="0"/>
          <w:color w:val="auto"/>
        </w:rPr>
        <w:t>.</w:t>
      </w:r>
    </w:p>
    <w:p w14:paraId="4D526D9F" w14:textId="77777777" w:rsidR="00575174" w:rsidRDefault="009F4508">
      <w:pPr>
        <w:pStyle w:val="Nvel2-Red"/>
        <w:spacing w:before="0" w:after="0" w:line="240" w:lineRule="auto"/>
        <w:rPr>
          <w:rFonts w:ascii="Times New Roman" w:hAnsi="Times New Roman" w:cs="Times New Roman"/>
          <w:i w:val="0"/>
          <w:color w:val="auto"/>
        </w:rPr>
      </w:pPr>
      <w:bookmarkStart w:id="17" w:name="_Ref114665515"/>
      <w:r>
        <w:rPr>
          <w:rFonts w:ascii="Times New Roman" w:hAnsi="Times New Roman" w:cs="Times New Roman"/>
          <w:i w:val="0"/>
          <w:iCs w:val="0"/>
          <w:color w:val="auto"/>
        </w:rPr>
        <w:t>Somente serão disponibilizados para acesso público os documentos de habilitação do licitante cuja proposta atenda ao edital de licitação, após concluídos os procedimentos de que trata o subitem anterior</w:t>
      </w:r>
      <w:bookmarkEnd w:id="17"/>
      <w:r>
        <w:rPr>
          <w:rFonts w:ascii="Times New Roman" w:hAnsi="Times New Roman" w:cs="Times New Roman"/>
          <w:i w:val="0"/>
          <w:iCs w:val="0"/>
          <w:color w:val="auto"/>
        </w:rPr>
        <w:t>.</w:t>
      </w:r>
    </w:p>
    <w:p w14:paraId="6E4456C8" w14:textId="77777777" w:rsidR="00575174" w:rsidRDefault="009F4508">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A comprovação de regularidade fiscal e trabalhista das microempresas e das empresas de pequeno porte somente será exigida para efeito de contratação, e não como condição para participação na licitação.</w:t>
      </w:r>
    </w:p>
    <w:p w14:paraId="4EC237AF" w14:textId="77777777" w:rsidR="00575174" w:rsidRDefault="009F4508">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Quando a fase de habilitação anteceder a de julgamento e já tiver sido encerrada, não caberá exclusão de licitante por motivo relacionado à habilitação, salvo em razão de fatos supervenientes ou só conhecidos após o julgamento.</w:t>
      </w:r>
    </w:p>
    <w:p w14:paraId="0BDF0653" w14:textId="77777777" w:rsidR="00575174" w:rsidRDefault="00575174">
      <w:pPr>
        <w:pStyle w:val="Nvel2-Red"/>
        <w:numPr>
          <w:ilvl w:val="0"/>
          <w:numId w:val="0"/>
        </w:numPr>
        <w:spacing w:before="0" w:after="0" w:line="240" w:lineRule="auto"/>
        <w:ind w:left="999"/>
        <w:rPr>
          <w:rFonts w:ascii="Times New Roman" w:hAnsi="Times New Roman" w:cs="Times New Roman"/>
          <w:i w:val="0"/>
          <w:color w:val="auto"/>
        </w:rPr>
      </w:pPr>
    </w:p>
    <w:p w14:paraId="06025827" w14:textId="77777777" w:rsidR="00575174" w:rsidRDefault="009F4508">
      <w:pPr>
        <w:pStyle w:val="Nvel2-Red"/>
        <w:numPr>
          <w:ilvl w:val="0"/>
          <w:numId w:val="2"/>
        </w:numPr>
        <w:spacing w:before="0" w:after="0" w:line="240" w:lineRule="auto"/>
        <w:ind w:left="999" w:hanging="432"/>
        <w:rPr>
          <w:rFonts w:ascii="Times New Roman" w:hAnsi="Times New Roman" w:cs="Times New Roman"/>
          <w:b/>
          <w:i w:val="0"/>
          <w:color w:val="auto"/>
        </w:rPr>
      </w:pPr>
      <w:bookmarkStart w:id="18" w:name="_Toc135469231"/>
      <w:r>
        <w:rPr>
          <w:rFonts w:ascii="Times New Roman" w:hAnsi="Times New Roman" w:cs="Times New Roman"/>
          <w:b/>
          <w:bCs/>
          <w:i w:val="0"/>
          <w:iCs w:val="0"/>
          <w:color w:val="auto"/>
        </w:rPr>
        <w:t>DA ATA DE REGISTRO DE PREÇOS</w:t>
      </w:r>
      <w:bookmarkEnd w:id="18"/>
    </w:p>
    <w:p w14:paraId="22FC73E9" w14:textId="77777777" w:rsidR="00575174" w:rsidRDefault="009F4508">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 xml:space="preserve">Homologado o resultado da licitação, o licitante melhor classificado terá o prazo de 05 (cinco) dias, contados a partir da data de sua convocação, para assinar a Ata de Registro de Preços, cujo prazo de validade encontra-se nela fixado, sob pena de decadência do direito à contratação, sem prejuízo das sanções previstas na Lei nº 14.133, de 2021. </w:t>
      </w:r>
    </w:p>
    <w:p w14:paraId="49F77DC5" w14:textId="77777777" w:rsidR="00575174" w:rsidRDefault="009F4508">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O prazo de convocação poderá ser prorrogado uma vez, por igual período, mediante solicitação do licitante mais bem classificado ou do fornecedor convocado, desde que:</w:t>
      </w:r>
    </w:p>
    <w:p w14:paraId="36A0DD63" w14:textId="77777777" w:rsidR="00575174" w:rsidRDefault="009F4508">
      <w:pPr>
        <w:pStyle w:val="Nivel2"/>
        <w:numPr>
          <w:ilvl w:val="0"/>
          <w:numId w:val="0"/>
        </w:numPr>
        <w:spacing w:before="0" w:after="0" w:line="240" w:lineRule="auto"/>
        <w:ind w:left="2126"/>
        <w:rPr>
          <w:rFonts w:ascii="Times New Roman" w:hAnsi="Times New Roman" w:cs="Times New Roman"/>
          <w:color w:val="auto"/>
        </w:rPr>
      </w:pPr>
      <w:r>
        <w:rPr>
          <w:rFonts w:ascii="Times New Roman" w:hAnsi="Times New Roman" w:cs="Times New Roman"/>
          <w:color w:val="auto"/>
        </w:rPr>
        <w:t>(a) a solicitação seja devidamente justificada e apresentada dentro do prazo; e</w:t>
      </w:r>
    </w:p>
    <w:p w14:paraId="5459EB3E" w14:textId="77777777" w:rsidR="00575174" w:rsidRDefault="009F4508">
      <w:pPr>
        <w:pStyle w:val="Nivel2"/>
        <w:numPr>
          <w:ilvl w:val="0"/>
          <w:numId w:val="0"/>
        </w:numPr>
        <w:spacing w:before="0" w:after="0" w:line="240" w:lineRule="auto"/>
        <w:ind w:left="2126"/>
        <w:rPr>
          <w:rFonts w:ascii="Times New Roman" w:hAnsi="Times New Roman" w:cs="Times New Roman"/>
          <w:color w:val="auto"/>
        </w:rPr>
      </w:pPr>
      <w:r>
        <w:rPr>
          <w:rFonts w:ascii="Times New Roman" w:hAnsi="Times New Roman" w:cs="Times New Roman"/>
          <w:color w:val="auto"/>
        </w:rPr>
        <w:t>(b) a justificativa apresentada seja aceita pela Administração.</w:t>
      </w:r>
    </w:p>
    <w:p w14:paraId="18A27FEB" w14:textId="77777777" w:rsidR="00575174" w:rsidRDefault="009F4508">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A ata de registro de preços será assinada por meio de assinatura digital e disponibilizada no sistema de registro de preços.</w:t>
      </w:r>
    </w:p>
    <w:p w14:paraId="2D121E68" w14:textId="77777777" w:rsidR="00575174" w:rsidRDefault="009F4508">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2B2552ED" w14:textId="77777777" w:rsidR="00575174" w:rsidRDefault="009F4508">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O preço registrado, com a indicação dos fornecedores, será divulgado no PNCP e disponibilizado durante a vigência da ata de registro de preços.</w:t>
      </w:r>
    </w:p>
    <w:p w14:paraId="51EB0B17" w14:textId="77777777" w:rsidR="00575174" w:rsidRDefault="009F4508">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11545A6" w14:textId="77777777" w:rsidR="00575174" w:rsidRDefault="009F4508">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681DD867" w14:textId="77777777" w:rsidR="00575174" w:rsidRDefault="00575174">
      <w:pPr>
        <w:pStyle w:val="Nvel2-Red"/>
        <w:numPr>
          <w:ilvl w:val="0"/>
          <w:numId w:val="0"/>
        </w:numPr>
        <w:spacing w:before="0" w:after="0" w:line="240" w:lineRule="auto"/>
        <w:ind w:left="999"/>
        <w:rPr>
          <w:rFonts w:ascii="Times New Roman" w:hAnsi="Times New Roman" w:cs="Times New Roman"/>
          <w:b/>
          <w:i w:val="0"/>
          <w:color w:val="auto"/>
        </w:rPr>
      </w:pPr>
    </w:p>
    <w:p w14:paraId="5C03E539" w14:textId="77777777" w:rsidR="00575174" w:rsidRDefault="009F4508">
      <w:pPr>
        <w:pStyle w:val="Nvel2-Red"/>
        <w:numPr>
          <w:ilvl w:val="0"/>
          <w:numId w:val="2"/>
        </w:numPr>
        <w:spacing w:before="0" w:after="0" w:line="240" w:lineRule="auto"/>
        <w:ind w:left="999" w:hanging="432"/>
        <w:rPr>
          <w:rFonts w:ascii="Times New Roman" w:hAnsi="Times New Roman" w:cs="Times New Roman"/>
          <w:b/>
          <w:i w:val="0"/>
          <w:color w:val="auto"/>
        </w:rPr>
      </w:pPr>
      <w:bookmarkStart w:id="19" w:name="_Toc135469232"/>
      <w:r>
        <w:rPr>
          <w:rFonts w:ascii="Times New Roman" w:hAnsi="Times New Roman" w:cs="Times New Roman"/>
          <w:b/>
          <w:bCs/>
          <w:i w:val="0"/>
          <w:iCs w:val="0"/>
          <w:color w:val="auto"/>
        </w:rPr>
        <w:t>DA FORMAÇÃO DO CADASTRO DE RESERVA</w:t>
      </w:r>
      <w:bookmarkEnd w:id="19"/>
      <w:r>
        <w:rPr>
          <w:rFonts w:ascii="Times New Roman" w:hAnsi="Times New Roman" w:cs="Times New Roman"/>
          <w:b/>
          <w:bCs/>
          <w:i w:val="0"/>
          <w:iCs w:val="0"/>
          <w:color w:val="auto"/>
        </w:rPr>
        <w:t xml:space="preserve"> </w:t>
      </w:r>
    </w:p>
    <w:p w14:paraId="1C7D9493" w14:textId="77777777" w:rsidR="00575174" w:rsidRDefault="009F4508">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Após a homologação da licitação, será incluído na ata, na forma de anexo, o registro:</w:t>
      </w:r>
    </w:p>
    <w:p w14:paraId="18B98F37" w14:textId="77777777" w:rsidR="00575174" w:rsidRDefault="009F4508">
      <w:pPr>
        <w:pStyle w:val="Nvel2-Red"/>
        <w:numPr>
          <w:ilvl w:val="2"/>
          <w:numId w:val="2"/>
        </w:numPr>
        <w:tabs>
          <w:tab w:val="left" w:pos="1142"/>
        </w:tabs>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 xml:space="preserve">Dos licitantes </w:t>
      </w:r>
      <w:bookmarkStart w:id="20" w:name="_Hlk132991372"/>
      <w:r>
        <w:rPr>
          <w:rFonts w:ascii="Times New Roman" w:hAnsi="Times New Roman" w:cs="Times New Roman"/>
          <w:i w:val="0"/>
          <w:iCs w:val="0"/>
          <w:color w:val="auto"/>
        </w:rPr>
        <w:t xml:space="preserve">que </w:t>
      </w:r>
      <w:bookmarkStart w:id="21" w:name="_Hlk132989696"/>
      <w:r>
        <w:rPr>
          <w:rFonts w:ascii="Times New Roman" w:hAnsi="Times New Roman" w:cs="Times New Roman"/>
          <w:i w:val="0"/>
          <w:iCs w:val="0"/>
          <w:color w:val="auto"/>
        </w:rPr>
        <w:t>aceitarem cotar o objeto com preço igual ao do adjudicatári</w:t>
      </w:r>
      <w:bookmarkEnd w:id="20"/>
      <w:r>
        <w:rPr>
          <w:rFonts w:ascii="Times New Roman" w:hAnsi="Times New Roman" w:cs="Times New Roman"/>
          <w:i w:val="0"/>
          <w:iCs w:val="0"/>
          <w:color w:val="auto"/>
        </w:rPr>
        <w:t>o</w:t>
      </w:r>
      <w:bookmarkEnd w:id="21"/>
      <w:r>
        <w:rPr>
          <w:rFonts w:ascii="Times New Roman" w:hAnsi="Times New Roman" w:cs="Times New Roman"/>
          <w:i w:val="0"/>
          <w:iCs w:val="0"/>
          <w:color w:val="auto"/>
        </w:rPr>
        <w:t xml:space="preserve">, observada a classificação na licitação; e </w:t>
      </w:r>
    </w:p>
    <w:p w14:paraId="21B7F338" w14:textId="77777777" w:rsidR="00575174" w:rsidRDefault="009F4508">
      <w:pPr>
        <w:pStyle w:val="Nvel2-Red"/>
        <w:numPr>
          <w:ilvl w:val="2"/>
          <w:numId w:val="2"/>
        </w:numPr>
        <w:tabs>
          <w:tab w:val="left" w:pos="1165"/>
        </w:tabs>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Dos licitantes que mantiverem sua proposta original</w:t>
      </w:r>
    </w:p>
    <w:p w14:paraId="28FA74B3" w14:textId="77777777" w:rsidR="00575174" w:rsidRDefault="009F4508">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Será respeitada, nas contratações, a ordem de classificação dos licitantes ou fornecedores registrados na ata.</w:t>
      </w:r>
    </w:p>
    <w:p w14:paraId="2B5BCA33" w14:textId="77777777" w:rsidR="00575174" w:rsidRDefault="009F4508">
      <w:pPr>
        <w:pStyle w:val="Nvel2-Red"/>
        <w:numPr>
          <w:ilvl w:val="2"/>
          <w:numId w:val="2"/>
        </w:numPr>
        <w:tabs>
          <w:tab w:val="left" w:pos="1154"/>
        </w:tabs>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A apresentação de novas propostas na forma deste item não prejudicará o resultado do certame em relação ao licitante mais bem classificado.</w:t>
      </w:r>
    </w:p>
    <w:p w14:paraId="7B68D1D4" w14:textId="77777777" w:rsidR="00575174" w:rsidRDefault="009F4508">
      <w:pPr>
        <w:pStyle w:val="Nvel2-Red"/>
        <w:numPr>
          <w:ilvl w:val="2"/>
          <w:numId w:val="2"/>
        </w:numPr>
        <w:tabs>
          <w:tab w:val="left" w:pos="1177"/>
        </w:tabs>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Para fins da ordem de classificação, os licitantes ou fornecedores que aceitarem cotar o objeto com preço igual ao do adjudicatário antecederão aqueles que mantiverem sua proposta original.</w:t>
      </w:r>
    </w:p>
    <w:p w14:paraId="7F46A0E8" w14:textId="77777777" w:rsidR="00575174" w:rsidRDefault="009F4508">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 xml:space="preserve"> A habilitação dos licitantes que comporão o cadastro de reserva será efetuada quando houver necessidade de contratação dos licitantes remanescentes, nas seguintes hipóteses:</w:t>
      </w:r>
    </w:p>
    <w:p w14:paraId="5397DDE4" w14:textId="77777777" w:rsidR="00575174" w:rsidRDefault="009F4508">
      <w:pPr>
        <w:pStyle w:val="Nvel2-Red"/>
        <w:numPr>
          <w:ilvl w:val="2"/>
          <w:numId w:val="2"/>
        </w:numPr>
        <w:tabs>
          <w:tab w:val="left" w:pos="1154"/>
        </w:tabs>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Quando o licitante vencedor não assinar a ata de registro de preços no prazo e nas condições estabelecidos no edital; ou</w:t>
      </w:r>
    </w:p>
    <w:p w14:paraId="0428462E" w14:textId="77777777" w:rsidR="00575174" w:rsidRDefault="009F4508">
      <w:pPr>
        <w:pStyle w:val="Nvel2-Red"/>
        <w:numPr>
          <w:ilvl w:val="2"/>
          <w:numId w:val="2"/>
        </w:numPr>
        <w:tabs>
          <w:tab w:val="left" w:pos="1165"/>
        </w:tabs>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quando houver o cancelamento do registro do fornecedor ou do registro de preços, nas hipóteses previstas nos art. 28 e art. 29 do Decreto nº 11.462/23.</w:t>
      </w:r>
    </w:p>
    <w:p w14:paraId="1818F7BA" w14:textId="77777777" w:rsidR="00575174" w:rsidRDefault="009F4508">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10E46A13" w14:textId="77777777" w:rsidR="00575174" w:rsidRDefault="009F4508">
      <w:pPr>
        <w:pStyle w:val="Nvel2-Red"/>
        <w:numPr>
          <w:ilvl w:val="2"/>
          <w:numId w:val="2"/>
        </w:numPr>
        <w:tabs>
          <w:tab w:val="left" w:pos="1142"/>
        </w:tabs>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 xml:space="preserve"> convocar os licitantes que mantiveram sua proposta original para negociação, na ordem de classificação, com vistas à obtenção de preço melhor, mesmo que acima do preço do adjudicatário; ou</w:t>
      </w:r>
    </w:p>
    <w:p w14:paraId="25C603AA" w14:textId="77777777" w:rsidR="00575174" w:rsidRDefault="009F4508">
      <w:pPr>
        <w:pStyle w:val="Nvel2-Red"/>
        <w:numPr>
          <w:ilvl w:val="2"/>
          <w:numId w:val="2"/>
        </w:numPr>
        <w:tabs>
          <w:tab w:val="left" w:pos="1177"/>
        </w:tabs>
        <w:spacing w:before="0" w:after="0" w:line="240" w:lineRule="auto"/>
        <w:ind w:left="999" w:hanging="432"/>
        <w:rPr>
          <w:rFonts w:ascii="Times New Roman" w:hAnsi="Times New Roman" w:cs="Times New Roman"/>
          <w:color w:val="auto"/>
        </w:rPr>
      </w:pPr>
      <w:r>
        <w:rPr>
          <w:rFonts w:ascii="Times New Roman" w:hAnsi="Times New Roman" w:cs="Times New Roman"/>
          <w:i w:val="0"/>
          <w:iCs w:val="0"/>
          <w:color w:val="auto"/>
        </w:rPr>
        <w:t>Adjudicar e firmar o contrato nas condições ofertadas pelos licitantes remanescentes, observada a ordem de classificação, quando frustrada a negociação de melhor condição</w:t>
      </w:r>
      <w:r>
        <w:rPr>
          <w:rFonts w:ascii="Times New Roman" w:hAnsi="Times New Roman" w:cs="Times New Roman"/>
          <w:color w:val="auto"/>
        </w:rPr>
        <w:t>.</w:t>
      </w:r>
    </w:p>
    <w:p w14:paraId="38876368" w14:textId="77777777" w:rsidR="00575174" w:rsidRDefault="00575174">
      <w:pPr>
        <w:pStyle w:val="Nvel2-Red"/>
        <w:numPr>
          <w:ilvl w:val="0"/>
          <w:numId w:val="0"/>
        </w:numPr>
        <w:spacing w:before="0" w:after="0" w:line="240" w:lineRule="auto"/>
        <w:ind w:left="999"/>
        <w:rPr>
          <w:rFonts w:ascii="Times New Roman" w:hAnsi="Times New Roman" w:cs="Times New Roman"/>
          <w:color w:val="auto"/>
        </w:rPr>
      </w:pPr>
    </w:p>
    <w:p w14:paraId="3CFD4DAB" w14:textId="77777777" w:rsidR="00575174" w:rsidRDefault="009F4508">
      <w:pPr>
        <w:pStyle w:val="Nvel2-Red"/>
        <w:numPr>
          <w:ilvl w:val="0"/>
          <w:numId w:val="2"/>
        </w:numPr>
        <w:spacing w:before="0" w:after="0" w:line="240" w:lineRule="auto"/>
        <w:ind w:left="999" w:hanging="432"/>
        <w:rPr>
          <w:rFonts w:ascii="Times New Roman" w:hAnsi="Times New Roman" w:cs="Times New Roman"/>
          <w:b/>
          <w:i w:val="0"/>
          <w:color w:val="auto"/>
        </w:rPr>
      </w:pPr>
      <w:bookmarkStart w:id="22" w:name="_Toc135469233"/>
      <w:r>
        <w:rPr>
          <w:rFonts w:ascii="Times New Roman" w:hAnsi="Times New Roman" w:cs="Times New Roman"/>
          <w:b/>
          <w:bCs/>
          <w:i w:val="0"/>
          <w:iCs w:val="0"/>
          <w:color w:val="auto"/>
        </w:rPr>
        <w:t>DOS RECURSOS</w:t>
      </w:r>
      <w:bookmarkEnd w:id="22"/>
    </w:p>
    <w:p w14:paraId="5C997E7F" w14:textId="77777777" w:rsidR="00575174" w:rsidRDefault="009F4508">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 xml:space="preserve">A interposição de recurso referente ao julgamento das propostas, à habilitação ou inabilitação de licitantes, à anulação ou revogação da licitação, observará o disposto no </w:t>
      </w:r>
      <w:hyperlink r:id="rId24" w:tooltip="http://www.planalto.gov.br/ccivil_03/_ato2019-2022/2021/lei/L14133.htm#art165&quot; l &quot;art165">
        <w:r>
          <w:rPr>
            <w:rFonts w:ascii="Times New Roman" w:hAnsi="Times New Roman" w:cs="Times New Roman"/>
            <w:i w:val="0"/>
            <w:iCs w:val="0"/>
            <w:color w:val="auto"/>
          </w:rPr>
          <w:t>art. 165 da Lei nº 14.133, de 2021</w:t>
        </w:r>
      </w:hyperlink>
      <w:r>
        <w:rPr>
          <w:rFonts w:ascii="Times New Roman" w:hAnsi="Times New Roman" w:cs="Times New Roman"/>
          <w:i w:val="0"/>
          <w:iCs w:val="0"/>
          <w:color w:val="auto"/>
        </w:rPr>
        <w:t>.</w:t>
      </w:r>
    </w:p>
    <w:p w14:paraId="0796C520" w14:textId="77777777" w:rsidR="00575174" w:rsidRDefault="009F4508">
      <w:pPr>
        <w:pStyle w:val="Nvel2-Red"/>
        <w:numPr>
          <w:ilvl w:val="2"/>
          <w:numId w:val="2"/>
        </w:numPr>
        <w:tabs>
          <w:tab w:val="left" w:pos="1131"/>
        </w:tabs>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O prazo recursal é de 3 (três) dias úteis, contados da data de intimação ou de lavratura da ata.</w:t>
      </w:r>
    </w:p>
    <w:p w14:paraId="3E15212F" w14:textId="77777777" w:rsidR="00575174" w:rsidRDefault="009F4508">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Quando o recurso apresentado impugnar o julgamento das propostas ou o ato de habilitação ou inabilitação do licitante:</w:t>
      </w:r>
    </w:p>
    <w:p w14:paraId="4BA6E9A1" w14:textId="77777777" w:rsidR="00575174" w:rsidRDefault="009F4508">
      <w:pPr>
        <w:pStyle w:val="Nvel2-Red"/>
        <w:numPr>
          <w:ilvl w:val="2"/>
          <w:numId w:val="2"/>
        </w:numPr>
        <w:tabs>
          <w:tab w:val="left" w:pos="1165"/>
        </w:tabs>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A intenção de recorrer deverá ser manifestada imediatamente, sob pena de preclusão;</w:t>
      </w:r>
    </w:p>
    <w:p w14:paraId="5D5DB25C" w14:textId="77777777" w:rsidR="00575174" w:rsidRDefault="009F4508">
      <w:pPr>
        <w:pStyle w:val="Nvel2-Red"/>
        <w:numPr>
          <w:ilvl w:val="2"/>
          <w:numId w:val="2"/>
        </w:numPr>
        <w:tabs>
          <w:tab w:val="left" w:pos="1165"/>
        </w:tabs>
        <w:spacing w:before="0" w:after="0" w:line="240" w:lineRule="auto"/>
        <w:ind w:left="999" w:hanging="432"/>
        <w:rPr>
          <w:rFonts w:ascii="Times New Roman" w:hAnsi="Times New Roman" w:cs="Times New Roman"/>
          <w:i w:val="0"/>
          <w:color w:val="auto"/>
        </w:rPr>
      </w:pPr>
      <w:bookmarkStart w:id="23" w:name="_Hlk135318381"/>
      <w:bookmarkStart w:id="24" w:name="_Hlk135315794"/>
      <w:r>
        <w:rPr>
          <w:rFonts w:ascii="Times New Roman" w:hAnsi="Times New Roman" w:cs="Times New Roman"/>
          <w:i w:val="0"/>
          <w:iCs w:val="0"/>
          <w:color w:val="auto"/>
        </w:rPr>
        <w:t>o prazo para a manifestação da intenção de recorrer não será inferior a 15 (quinze) minutos.</w:t>
      </w:r>
      <w:bookmarkEnd w:id="23"/>
      <w:bookmarkEnd w:id="24"/>
    </w:p>
    <w:p w14:paraId="6E904A56" w14:textId="77777777" w:rsidR="00575174" w:rsidRDefault="009F4508">
      <w:pPr>
        <w:pStyle w:val="Nvel2-Red"/>
        <w:numPr>
          <w:ilvl w:val="2"/>
          <w:numId w:val="2"/>
        </w:numPr>
        <w:tabs>
          <w:tab w:val="left" w:pos="1154"/>
        </w:tabs>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O prazo para apresentação das razões recursais será iniciado na data de intimação ou de lavratura da ata de habilitação ou inabilitação;</w:t>
      </w:r>
    </w:p>
    <w:p w14:paraId="3080BA0F" w14:textId="77777777" w:rsidR="00575174" w:rsidRDefault="009F4508">
      <w:pPr>
        <w:pStyle w:val="Nvel2-Red"/>
        <w:numPr>
          <w:ilvl w:val="2"/>
          <w:numId w:val="2"/>
        </w:numPr>
        <w:tabs>
          <w:tab w:val="left" w:pos="1177"/>
        </w:tabs>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Na hipótese de adoção da inversão de fases prevista no </w:t>
      </w:r>
      <w:hyperlink r:id="rId25" w:tooltip="http://www.planalto.gov.br/ccivil_03/_ato2019-2022/2021/lei/L14133.htm#art17§1&quot; l &quot;art17§1">
        <w:r>
          <w:rPr>
            <w:rFonts w:ascii="Times New Roman" w:hAnsi="Times New Roman" w:cs="Times New Roman"/>
            <w:i w:val="0"/>
            <w:iCs w:val="0"/>
            <w:color w:val="auto"/>
          </w:rPr>
          <w:t>§ 1º do art. 17 da Lei nº 14.133, de 2021</w:t>
        </w:r>
      </w:hyperlink>
      <w:r>
        <w:rPr>
          <w:rFonts w:ascii="Times New Roman" w:hAnsi="Times New Roman" w:cs="Times New Roman"/>
          <w:i w:val="0"/>
          <w:iCs w:val="0"/>
          <w:color w:val="auto"/>
        </w:rPr>
        <w:t>, o prazo para apresentação das razões recursais será iniciado na data de intimação da ata de julgamento.</w:t>
      </w:r>
    </w:p>
    <w:p w14:paraId="556E8BD1" w14:textId="77777777" w:rsidR="00575174" w:rsidRDefault="009F4508">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Os recursos deverão ser encaminhados exclusivamente em campo próprio do sistema.</w:t>
      </w:r>
    </w:p>
    <w:p w14:paraId="0CF6BDE0" w14:textId="77777777" w:rsidR="00575174" w:rsidRDefault="009F4508">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O recurso será dirigido à autoridade que tiver editado o ato ou proferido a decisão recorrida, a qual poderá reconsiderar sua decisão no prazo de 03 (três) dias úteis, ou, nesse mesmo prazo, encaminhar recurso para a autoridade superior, a qual deverá proferir sua decisão no prazo de 10 (dez) dias úteis, contado do recebimento dos autos.</w:t>
      </w:r>
    </w:p>
    <w:p w14:paraId="70DEF1E5" w14:textId="77777777" w:rsidR="00575174" w:rsidRDefault="009F4508">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 xml:space="preserve">Os recursos interpostos fora do prazo não serão conhecidos. </w:t>
      </w:r>
    </w:p>
    <w:p w14:paraId="33F2CEE2" w14:textId="77777777" w:rsidR="00575174" w:rsidRDefault="009F4508">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O prazo para apresentação de contrarrazões ao recurso pelos demais licitantes será de 03 (três) dias úteis, contados da data da intimação pessoal ou da divulgação da interposição do recurso, assegurada a vista imediata dos elementos indispensáveis à defesa de seus interesses.</w:t>
      </w:r>
    </w:p>
    <w:p w14:paraId="04F79523" w14:textId="77777777" w:rsidR="00575174" w:rsidRDefault="009F4508">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 xml:space="preserve">O recurso e o pedido de reconsideração terão efeito suspensivo do ato ou da decisão recorrida até que sobrevenha decisão final da autoridade competente. </w:t>
      </w:r>
    </w:p>
    <w:p w14:paraId="29211BCF" w14:textId="77777777" w:rsidR="00575174" w:rsidRDefault="009F4508">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 xml:space="preserve">O acolhimento do recurso invalida tão somente os atos insuscetíveis de aproveitamento. </w:t>
      </w:r>
    </w:p>
    <w:p w14:paraId="7634A199" w14:textId="77777777" w:rsidR="00575174" w:rsidRDefault="009F4508">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 xml:space="preserve">Os autos do processo permanecerão com vista franqueada aos interessados no sítio eletrônico </w:t>
      </w:r>
      <w:hyperlink r:id="rId26">
        <w:r>
          <w:rPr>
            <w:rFonts w:ascii="Times New Roman" w:hAnsi="Times New Roman" w:cs="Times New Roman"/>
            <w:i w:val="0"/>
            <w:iCs w:val="0"/>
            <w:color w:val="auto"/>
            <w:u w:val="single"/>
          </w:rPr>
          <w:t>www.santabarbaradosul.rs.gov.br</w:t>
        </w:r>
      </w:hyperlink>
      <w:r>
        <w:rPr>
          <w:rFonts w:ascii="Times New Roman" w:hAnsi="Times New Roman" w:cs="Times New Roman"/>
          <w:i w:val="0"/>
          <w:iCs w:val="0"/>
          <w:color w:val="auto"/>
        </w:rPr>
        <w:t xml:space="preserve"> </w:t>
      </w:r>
    </w:p>
    <w:p w14:paraId="5C285CC5" w14:textId="77777777" w:rsidR="00575174" w:rsidRDefault="00575174">
      <w:pPr>
        <w:pStyle w:val="Nvel2-Red"/>
        <w:numPr>
          <w:ilvl w:val="0"/>
          <w:numId w:val="0"/>
        </w:numPr>
        <w:spacing w:before="0" w:after="0" w:line="240" w:lineRule="auto"/>
        <w:rPr>
          <w:rFonts w:ascii="Times New Roman" w:hAnsi="Times New Roman" w:cs="Times New Roman"/>
          <w:i w:val="0"/>
          <w:color w:val="auto"/>
        </w:rPr>
      </w:pPr>
    </w:p>
    <w:p w14:paraId="137BEAE1" w14:textId="77777777" w:rsidR="00575174" w:rsidRDefault="009F4508">
      <w:pPr>
        <w:pStyle w:val="Nvel2-Red"/>
        <w:numPr>
          <w:ilvl w:val="0"/>
          <w:numId w:val="2"/>
        </w:numPr>
        <w:spacing w:before="0" w:after="0" w:line="240" w:lineRule="auto"/>
        <w:ind w:left="999" w:hanging="432"/>
        <w:rPr>
          <w:rFonts w:ascii="Times New Roman" w:hAnsi="Times New Roman" w:cs="Times New Roman"/>
          <w:b/>
          <w:i w:val="0"/>
          <w:color w:val="auto"/>
        </w:rPr>
      </w:pPr>
      <w:bookmarkStart w:id="25" w:name="_Toc135469234"/>
      <w:r>
        <w:rPr>
          <w:rFonts w:ascii="Times New Roman" w:hAnsi="Times New Roman" w:cs="Times New Roman"/>
          <w:b/>
          <w:bCs/>
          <w:i w:val="0"/>
          <w:iCs w:val="0"/>
          <w:color w:val="auto"/>
        </w:rPr>
        <w:t>DAS INFRAÇÕES ADMINISTRATIVAS E SANÇÕES</w:t>
      </w:r>
      <w:bookmarkEnd w:id="25"/>
    </w:p>
    <w:p w14:paraId="13EE7024" w14:textId="77777777" w:rsidR="00575174" w:rsidRDefault="009F4508">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 xml:space="preserve">Comete infração administrativa, nos termos da lei, o licitante que, com dolo ou culpa: </w:t>
      </w:r>
    </w:p>
    <w:p w14:paraId="3D50C39C" w14:textId="77777777" w:rsidR="00575174" w:rsidRDefault="009F4508">
      <w:pPr>
        <w:pStyle w:val="Nvel2-Red"/>
        <w:numPr>
          <w:ilvl w:val="2"/>
          <w:numId w:val="2"/>
        </w:numPr>
        <w:tabs>
          <w:tab w:val="left" w:pos="1165"/>
        </w:tabs>
        <w:spacing w:before="0" w:after="0" w:line="240" w:lineRule="auto"/>
        <w:ind w:left="999" w:hanging="432"/>
        <w:rPr>
          <w:rFonts w:ascii="Times New Roman" w:hAnsi="Times New Roman" w:cs="Times New Roman"/>
          <w:b/>
          <w:i w:val="0"/>
          <w:color w:val="auto"/>
        </w:rPr>
      </w:pPr>
      <w:bookmarkStart w:id="26" w:name="_Ref114668085"/>
      <w:bookmarkStart w:id="27" w:name="_Hlk114652595"/>
      <w:r>
        <w:rPr>
          <w:rFonts w:ascii="Times New Roman" w:hAnsi="Times New Roman" w:cs="Times New Roman"/>
          <w:i w:val="0"/>
          <w:iCs w:val="0"/>
          <w:color w:val="auto"/>
        </w:rPr>
        <w:t>Deixar de entregar a documentação exigida para o certame ou não entregar qualquer documento que tenha sido solicitado pelo/a pregoeiro/a durante o certame;</w:t>
      </w:r>
      <w:bookmarkEnd w:id="26"/>
    </w:p>
    <w:p w14:paraId="5E6D09CB" w14:textId="77777777" w:rsidR="00575174" w:rsidRDefault="009F4508">
      <w:pPr>
        <w:pStyle w:val="Nvel2-Red"/>
        <w:numPr>
          <w:ilvl w:val="2"/>
          <w:numId w:val="2"/>
        </w:numPr>
        <w:tabs>
          <w:tab w:val="left" w:pos="1165"/>
        </w:tabs>
        <w:spacing w:before="0" w:after="0" w:line="240" w:lineRule="auto"/>
        <w:ind w:left="999" w:hanging="432"/>
        <w:rPr>
          <w:rFonts w:ascii="Times New Roman" w:hAnsi="Times New Roman" w:cs="Times New Roman"/>
          <w:b/>
          <w:i w:val="0"/>
          <w:color w:val="auto"/>
        </w:rPr>
      </w:pPr>
      <w:bookmarkStart w:id="28" w:name="_Ref114668108"/>
      <w:r>
        <w:rPr>
          <w:rFonts w:ascii="Times New Roman" w:hAnsi="Times New Roman" w:cs="Times New Roman"/>
          <w:i w:val="0"/>
          <w:iCs w:val="0"/>
          <w:color w:val="auto"/>
        </w:rPr>
        <w:t>Salvo em decorrência de fato superveniente devidamente justificado, não mantiver a proposta em especial quando:</w:t>
      </w:r>
      <w:bookmarkEnd w:id="28"/>
    </w:p>
    <w:p w14:paraId="181D8D96" w14:textId="77777777" w:rsidR="00575174" w:rsidRDefault="009F4508">
      <w:pPr>
        <w:pStyle w:val="Nvel2-Red"/>
        <w:numPr>
          <w:ilvl w:val="3"/>
          <w:numId w:val="2"/>
        </w:numPr>
        <w:tabs>
          <w:tab w:val="left" w:pos="1247"/>
        </w:tabs>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 xml:space="preserve">Não enviar a proposta adequada ao último lance ofertado ou após a negociação; </w:t>
      </w:r>
    </w:p>
    <w:p w14:paraId="40CD68FE" w14:textId="77777777" w:rsidR="00575174" w:rsidRDefault="009F4508">
      <w:pPr>
        <w:pStyle w:val="Nvel2-Red"/>
        <w:numPr>
          <w:ilvl w:val="3"/>
          <w:numId w:val="2"/>
        </w:numPr>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 xml:space="preserve">Recusar-se a enviar o detalhamento da proposta quando exigível; </w:t>
      </w:r>
    </w:p>
    <w:p w14:paraId="2341A647" w14:textId="77777777" w:rsidR="00575174" w:rsidRDefault="009F4508">
      <w:pPr>
        <w:pStyle w:val="Nvel2-Red"/>
        <w:numPr>
          <w:ilvl w:val="3"/>
          <w:numId w:val="2"/>
        </w:numPr>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 xml:space="preserve">Pedir para ser desclassificado quando encerrada a etapa competitiva; ou </w:t>
      </w:r>
    </w:p>
    <w:p w14:paraId="2894A8A4" w14:textId="77777777" w:rsidR="00575174" w:rsidRDefault="009F4508">
      <w:pPr>
        <w:pStyle w:val="Nvel2-Red"/>
        <w:numPr>
          <w:ilvl w:val="3"/>
          <w:numId w:val="2"/>
        </w:numPr>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Deixar de apresentar amostra;</w:t>
      </w:r>
    </w:p>
    <w:p w14:paraId="6A1673EB" w14:textId="77777777" w:rsidR="00575174" w:rsidRDefault="009F4508">
      <w:pPr>
        <w:pStyle w:val="Nvel2-Red"/>
        <w:numPr>
          <w:ilvl w:val="3"/>
          <w:numId w:val="2"/>
        </w:numPr>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 xml:space="preserve">Apresentar proposta ou amostra em desacordo com as especificações do edital; </w:t>
      </w:r>
    </w:p>
    <w:p w14:paraId="7A69DE20" w14:textId="77777777" w:rsidR="00575174" w:rsidRDefault="009F4508">
      <w:pPr>
        <w:pStyle w:val="Nvel2-Red"/>
        <w:numPr>
          <w:ilvl w:val="2"/>
          <w:numId w:val="2"/>
        </w:numPr>
        <w:spacing w:before="0" w:after="0" w:line="240" w:lineRule="auto"/>
        <w:ind w:left="999" w:hanging="432"/>
        <w:rPr>
          <w:rFonts w:ascii="Times New Roman" w:hAnsi="Times New Roman" w:cs="Times New Roman"/>
          <w:b/>
          <w:i w:val="0"/>
          <w:color w:val="auto"/>
        </w:rPr>
      </w:pPr>
      <w:bookmarkStart w:id="29" w:name="_Ref114668139"/>
      <w:r>
        <w:rPr>
          <w:rFonts w:ascii="Times New Roman" w:hAnsi="Times New Roman" w:cs="Times New Roman"/>
          <w:i w:val="0"/>
          <w:iCs w:val="0"/>
          <w:color w:val="auto"/>
        </w:rPr>
        <w:t>Não celebrar o contrato ou não entregar a documentação exigida para a contratação, quando convocado dentro do prazo de validade de sua proposta;</w:t>
      </w:r>
      <w:bookmarkEnd w:id="29"/>
    </w:p>
    <w:p w14:paraId="4A7B7712" w14:textId="77777777" w:rsidR="00575174" w:rsidRDefault="009F4508">
      <w:pPr>
        <w:pStyle w:val="Nvel2-Red"/>
        <w:numPr>
          <w:ilvl w:val="3"/>
          <w:numId w:val="2"/>
        </w:numPr>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Recusar-se, sem justificativa, a assinar o contrato ou a ata de registro de preço, ou a aceitar ou retirar o instrumento equivalente no prazo estabelecido pela Administração;</w:t>
      </w:r>
    </w:p>
    <w:p w14:paraId="7D93DAB5" w14:textId="77777777" w:rsidR="00575174" w:rsidRDefault="009F4508">
      <w:pPr>
        <w:pStyle w:val="Nvel2-Red"/>
        <w:numPr>
          <w:ilvl w:val="2"/>
          <w:numId w:val="2"/>
        </w:numPr>
        <w:spacing w:before="0" w:after="0" w:line="240" w:lineRule="auto"/>
        <w:ind w:left="999" w:hanging="432"/>
        <w:rPr>
          <w:rFonts w:ascii="Times New Roman" w:hAnsi="Times New Roman" w:cs="Times New Roman"/>
          <w:i w:val="0"/>
          <w:color w:val="auto"/>
        </w:rPr>
      </w:pPr>
      <w:bookmarkStart w:id="30" w:name="_Ref114668249"/>
      <w:r>
        <w:rPr>
          <w:rFonts w:ascii="Times New Roman" w:hAnsi="Times New Roman" w:cs="Times New Roman"/>
          <w:i w:val="0"/>
          <w:iCs w:val="0"/>
          <w:color w:val="auto"/>
        </w:rPr>
        <w:t>Apresentar declaração ou documentação falsa exigida para o certame ou prestar declaração falsa durante a licitação</w:t>
      </w:r>
      <w:bookmarkEnd w:id="30"/>
      <w:r>
        <w:rPr>
          <w:rFonts w:ascii="Times New Roman" w:hAnsi="Times New Roman" w:cs="Times New Roman"/>
          <w:i w:val="0"/>
          <w:iCs w:val="0"/>
          <w:color w:val="auto"/>
        </w:rPr>
        <w:t>;</w:t>
      </w:r>
    </w:p>
    <w:p w14:paraId="2C3A448C" w14:textId="77777777" w:rsidR="00575174" w:rsidRDefault="009F4508">
      <w:pPr>
        <w:pStyle w:val="Nvel2-Red"/>
        <w:numPr>
          <w:ilvl w:val="2"/>
          <w:numId w:val="2"/>
        </w:numPr>
        <w:spacing w:before="0" w:after="0" w:line="240" w:lineRule="auto"/>
        <w:ind w:left="999" w:hanging="432"/>
        <w:rPr>
          <w:rFonts w:ascii="Times New Roman" w:hAnsi="Times New Roman" w:cs="Times New Roman"/>
          <w:i w:val="0"/>
          <w:color w:val="auto"/>
        </w:rPr>
      </w:pPr>
      <w:bookmarkStart w:id="31" w:name="_Ref114668245"/>
      <w:r>
        <w:rPr>
          <w:rFonts w:ascii="Times New Roman" w:hAnsi="Times New Roman" w:cs="Times New Roman"/>
          <w:i w:val="0"/>
          <w:iCs w:val="0"/>
          <w:color w:val="auto"/>
        </w:rPr>
        <w:t>Fraudar a licitação</w:t>
      </w:r>
      <w:bookmarkEnd w:id="31"/>
      <w:r>
        <w:rPr>
          <w:rFonts w:ascii="Times New Roman" w:hAnsi="Times New Roman" w:cs="Times New Roman"/>
          <w:i w:val="0"/>
          <w:iCs w:val="0"/>
          <w:color w:val="auto"/>
        </w:rPr>
        <w:t>,</w:t>
      </w:r>
    </w:p>
    <w:p w14:paraId="52646CD3" w14:textId="77777777" w:rsidR="00575174" w:rsidRDefault="009F4508">
      <w:pPr>
        <w:pStyle w:val="Nvel2-Red"/>
        <w:numPr>
          <w:ilvl w:val="2"/>
          <w:numId w:val="2"/>
        </w:numPr>
        <w:spacing w:before="0" w:after="0" w:line="240" w:lineRule="auto"/>
        <w:ind w:left="999" w:hanging="432"/>
        <w:rPr>
          <w:rFonts w:ascii="Times New Roman" w:hAnsi="Times New Roman" w:cs="Times New Roman"/>
          <w:b/>
          <w:i w:val="0"/>
          <w:color w:val="auto"/>
        </w:rPr>
      </w:pPr>
      <w:bookmarkStart w:id="32" w:name="_Ref114668247"/>
      <w:r>
        <w:rPr>
          <w:rFonts w:ascii="Times New Roman" w:hAnsi="Times New Roman" w:cs="Times New Roman"/>
          <w:i w:val="0"/>
          <w:iCs w:val="0"/>
          <w:color w:val="auto"/>
        </w:rPr>
        <w:t>Comportar-se de modo inidôneo ou cometer fraude de qualquer natureza, em especial quando:</w:t>
      </w:r>
      <w:bookmarkEnd w:id="32"/>
    </w:p>
    <w:p w14:paraId="71AFBCCE" w14:textId="77777777" w:rsidR="00575174" w:rsidRDefault="009F4508">
      <w:pPr>
        <w:pStyle w:val="Nvel2-Red"/>
        <w:numPr>
          <w:ilvl w:val="3"/>
          <w:numId w:val="2"/>
        </w:numPr>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 xml:space="preserve">Agir em conluio ou em desconformidade com a lei; </w:t>
      </w:r>
    </w:p>
    <w:p w14:paraId="7DEB2916" w14:textId="77777777" w:rsidR="00575174" w:rsidRDefault="009F4508">
      <w:pPr>
        <w:pStyle w:val="Nvel2-Red"/>
        <w:numPr>
          <w:ilvl w:val="3"/>
          <w:numId w:val="2"/>
        </w:numPr>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 xml:space="preserve">Induzir deliberadamente a erro no julgamento; </w:t>
      </w:r>
    </w:p>
    <w:p w14:paraId="419433BE" w14:textId="77777777" w:rsidR="00575174" w:rsidRDefault="009F4508">
      <w:pPr>
        <w:pStyle w:val="Nvel2-Red"/>
        <w:numPr>
          <w:ilvl w:val="3"/>
          <w:numId w:val="2"/>
        </w:numPr>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 xml:space="preserve">Apresentar amostra falsificada ou deteriorada; </w:t>
      </w:r>
    </w:p>
    <w:p w14:paraId="6D91D883" w14:textId="77777777" w:rsidR="00575174" w:rsidRDefault="009F4508">
      <w:pPr>
        <w:pStyle w:val="Nvel2-Red"/>
        <w:numPr>
          <w:ilvl w:val="3"/>
          <w:numId w:val="2"/>
        </w:numPr>
        <w:spacing w:before="0" w:after="0" w:line="240" w:lineRule="auto"/>
        <w:ind w:left="999" w:hanging="432"/>
        <w:rPr>
          <w:rFonts w:ascii="Times New Roman" w:hAnsi="Times New Roman" w:cs="Times New Roman"/>
          <w:b/>
          <w:i w:val="0"/>
          <w:color w:val="auto"/>
        </w:rPr>
      </w:pPr>
      <w:bookmarkStart w:id="33" w:name="_Ref114668251"/>
      <w:r>
        <w:rPr>
          <w:rFonts w:ascii="Times New Roman" w:hAnsi="Times New Roman" w:cs="Times New Roman"/>
          <w:i w:val="0"/>
          <w:iCs w:val="0"/>
          <w:color w:val="auto"/>
        </w:rPr>
        <w:t>Praticar atos ilícitos com vistas a frustrar os objetivos da licitação</w:t>
      </w:r>
      <w:bookmarkEnd w:id="33"/>
    </w:p>
    <w:p w14:paraId="0F2C074A" w14:textId="77777777" w:rsidR="00575174" w:rsidRDefault="009F4508">
      <w:pPr>
        <w:pStyle w:val="Nvel2-Red"/>
        <w:numPr>
          <w:ilvl w:val="3"/>
          <w:numId w:val="2"/>
        </w:numPr>
        <w:spacing w:before="0" w:after="0" w:line="240" w:lineRule="auto"/>
        <w:ind w:left="999" w:hanging="432"/>
        <w:rPr>
          <w:rFonts w:ascii="Times New Roman" w:hAnsi="Times New Roman" w:cs="Times New Roman"/>
          <w:b/>
          <w:i w:val="0"/>
          <w:color w:val="auto"/>
        </w:rPr>
      </w:pPr>
      <w:bookmarkStart w:id="34" w:name="_Ref114668252"/>
      <w:r>
        <w:rPr>
          <w:rFonts w:ascii="Times New Roman" w:hAnsi="Times New Roman" w:cs="Times New Roman"/>
          <w:i w:val="0"/>
          <w:iCs w:val="0"/>
          <w:color w:val="auto"/>
        </w:rPr>
        <w:t xml:space="preserve">Praticar ato lesivo previsto no </w:t>
      </w:r>
      <w:hyperlink r:id="rId27" w:tooltip="https://www.planalto.gov.br/ccivil_03/_ato2011-2014/2013/lei/l12846.htm#art5&quot; l &quot;art5">
        <w:r>
          <w:rPr>
            <w:rFonts w:ascii="Times New Roman" w:hAnsi="Times New Roman" w:cs="Times New Roman"/>
            <w:i w:val="0"/>
            <w:iCs w:val="0"/>
            <w:color w:val="auto"/>
          </w:rPr>
          <w:t>art. 5º da Lei n.º 12.846, de 2013</w:t>
        </w:r>
      </w:hyperlink>
      <w:r>
        <w:rPr>
          <w:rFonts w:ascii="Times New Roman" w:hAnsi="Times New Roman" w:cs="Times New Roman"/>
          <w:i w:val="0"/>
          <w:iCs w:val="0"/>
          <w:color w:val="auto"/>
        </w:rPr>
        <w:t>.</w:t>
      </w:r>
      <w:bookmarkEnd w:id="27"/>
      <w:bookmarkEnd w:id="34"/>
    </w:p>
    <w:p w14:paraId="2720525D" w14:textId="77777777" w:rsidR="00575174" w:rsidRDefault="009F4508">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 xml:space="preserve">Com fulcro na </w:t>
      </w:r>
      <w:hyperlink r:id="rId28" w:tooltip="http://www.planalto.gov.br/ccivil_03/_ato2019-2022/2021/lei/L14133.htm">
        <w:r>
          <w:rPr>
            <w:rFonts w:ascii="Times New Roman" w:hAnsi="Times New Roman" w:cs="Times New Roman"/>
            <w:i w:val="0"/>
            <w:iCs w:val="0"/>
            <w:color w:val="auto"/>
            <w:u w:val="single"/>
          </w:rPr>
          <w:t>Lei nº 14.133, de 2021</w:t>
        </w:r>
      </w:hyperlink>
      <w:r>
        <w:rPr>
          <w:rFonts w:ascii="Times New Roman" w:hAnsi="Times New Roman" w:cs="Times New Roman"/>
          <w:i w:val="0"/>
          <w:iCs w:val="0"/>
          <w:color w:val="auto"/>
        </w:rPr>
        <w:t xml:space="preserve">, a Administração poderá, garantida a prévia defesa, aplicar aos licitantes e/ou adjudicatários as seguintes sanções, sem prejuízo das responsabilidades civil e criminal: </w:t>
      </w:r>
    </w:p>
    <w:p w14:paraId="1E048145" w14:textId="77777777" w:rsidR="00575174" w:rsidRDefault="009F4508">
      <w:pPr>
        <w:pStyle w:val="Nvel2-Red"/>
        <w:numPr>
          <w:ilvl w:val="2"/>
          <w:numId w:val="2"/>
        </w:numPr>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Advertência;</w:t>
      </w:r>
    </w:p>
    <w:p w14:paraId="2DDFF27C" w14:textId="77777777" w:rsidR="00575174" w:rsidRDefault="009F4508">
      <w:pPr>
        <w:pStyle w:val="Nvel2-Red"/>
        <w:numPr>
          <w:ilvl w:val="2"/>
          <w:numId w:val="2"/>
        </w:numPr>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Multa;</w:t>
      </w:r>
    </w:p>
    <w:p w14:paraId="03663E4A" w14:textId="77777777" w:rsidR="00575174" w:rsidRDefault="009F4508">
      <w:pPr>
        <w:pStyle w:val="Nvel2-Red"/>
        <w:numPr>
          <w:ilvl w:val="2"/>
          <w:numId w:val="2"/>
        </w:numPr>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Impedimento de licitar e contratar e</w:t>
      </w:r>
    </w:p>
    <w:p w14:paraId="04705C0D" w14:textId="77777777" w:rsidR="00575174" w:rsidRDefault="009F4508">
      <w:pPr>
        <w:pStyle w:val="Nvel2-Red"/>
        <w:numPr>
          <w:ilvl w:val="2"/>
          <w:numId w:val="2"/>
        </w:numPr>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Declaração de inidoneidade para licitar ou contratar, enquanto perdurarem os motivos determinantes da punição ou até que seja promovida sua reabilitação perante a própria autoridade que aplicou a penalidade</w:t>
      </w:r>
    </w:p>
    <w:p w14:paraId="658816EB" w14:textId="77777777" w:rsidR="00575174" w:rsidRDefault="009F4508">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Na aplicação das sanções serão considerados:</w:t>
      </w:r>
    </w:p>
    <w:p w14:paraId="30E4180E" w14:textId="77777777" w:rsidR="00575174" w:rsidRDefault="009F4508">
      <w:pPr>
        <w:pStyle w:val="Nvel2-Red"/>
        <w:numPr>
          <w:ilvl w:val="2"/>
          <w:numId w:val="2"/>
        </w:numPr>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A natureza e a gravidade da infração cometida.</w:t>
      </w:r>
    </w:p>
    <w:p w14:paraId="397B8D08" w14:textId="77777777" w:rsidR="00575174" w:rsidRDefault="009F4508">
      <w:pPr>
        <w:pStyle w:val="Nvel2-Red"/>
        <w:numPr>
          <w:ilvl w:val="2"/>
          <w:numId w:val="2"/>
        </w:numPr>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As peculiaridades do caso concreto</w:t>
      </w:r>
    </w:p>
    <w:p w14:paraId="53DE2B5F" w14:textId="77777777" w:rsidR="00575174" w:rsidRDefault="009F4508">
      <w:pPr>
        <w:pStyle w:val="Nvel2-Red"/>
        <w:numPr>
          <w:ilvl w:val="2"/>
          <w:numId w:val="2"/>
        </w:numPr>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As circunstâncias agravantes ou atenuantes</w:t>
      </w:r>
    </w:p>
    <w:p w14:paraId="0D32AF96" w14:textId="77777777" w:rsidR="00575174" w:rsidRDefault="009F4508">
      <w:pPr>
        <w:pStyle w:val="Nvel2-Red"/>
        <w:numPr>
          <w:ilvl w:val="2"/>
          <w:numId w:val="2"/>
        </w:numPr>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Os danos que dela provierem para a Administração Pública</w:t>
      </w:r>
    </w:p>
    <w:p w14:paraId="6C86B953" w14:textId="77777777" w:rsidR="00575174" w:rsidRDefault="009F4508">
      <w:pPr>
        <w:pStyle w:val="Nvel2-Red"/>
        <w:numPr>
          <w:ilvl w:val="2"/>
          <w:numId w:val="2"/>
        </w:numPr>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A implantação ou o aperfeiçoamento de programa de integridade, conforme normas e orientações dos órgãos de controle.</w:t>
      </w:r>
    </w:p>
    <w:p w14:paraId="078088F6" w14:textId="77777777" w:rsidR="00575174" w:rsidRDefault="009F4508">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 xml:space="preserve">A multa será recolhida em percentual de 30% incidente sobre o valor do contrato licitado, recolhida no prazo máximo de 05 (dias) úteis, a contar da comunicação oficial. </w:t>
      </w:r>
    </w:p>
    <w:p w14:paraId="6912F6BE" w14:textId="21BEDD77" w:rsidR="00575174" w:rsidRDefault="009F4508">
      <w:pPr>
        <w:pStyle w:val="Nvel2-Red"/>
        <w:numPr>
          <w:ilvl w:val="2"/>
          <w:numId w:val="2"/>
        </w:numPr>
        <w:spacing w:before="0" w:after="0" w:line="240" w:lineRule="auto"/>
        <w:ind w:left="999" w:hanging="432"/>
        <w:rPr>
          <w:rFonts w:ascii="Times New Roman" w:hAnsi="Times New Roman" w:cs="Times New Roman"/>
          <w:b/>
          <w:i w:val="0"/>
          <w:color w:val="auto"/>
        </w:rPr>
      </w:pPr>
      <w:bookmarkStart w:id="35" w:name="_Hlk113876035"/>
      <w:r>
        <w:rPr>
          <w:rFonts w:ascii="Times New Roman" w:hAnsi="Times New Roman" w:cs="Times New Roman"/>
          <w:i w:val="0"/>
          <w:iCs w:val="0"/>
          <w:color w:val="auto"/>
        </w:rPr>
        <w:t xml:space="preserve">Para as infrações previstas nos itens </w:t>
      </w:r>
      <w:r>
        <w:rPr>
          <w:rFonts w:ascii="Times New Roman" w:hAnsi="Times New Roman" w:cs="Times New Roman"/>
          <w:i w:val="0"/>
          <w:iCs w:val="0"/>
          <w:color w:val="auto"/>
        </w:rPr>
        <w:fldChar w:fldCharType="begin"/>
      </w:r>
      <w:r>
        <w:rPr>
          <w:rFonts w:ascii="Times New Roman" w:hAnsi="Times New Roman" w:cs="Times New Roman"/>
          <w:i w:val="0"/>
          <w:iCs w:val="0"/>
          <w:color w:val="auto"/>
        </w:rPr>
        <w:instrText xml:space="preserve"> REF _Ref114668085 \r \r \h </w:instrText>
      </w:r>
      <w:r>
        <w:rPr>
          <w:rFonts w:ascii="Times New Roman" w:hAnsi="Times New Roman" w:cs="Times New Roman"/>
          <w:i w:val="0"/>
          <w:iCs w:val="0"/>
          <w:color w:val="auto"/>
        </w:rPr>
      </w:r>
      <w:r>
        <w:rPr>
          <w:rFonts w:ascii="Times New Roman" w:hAnsi="Times New Roman" w:cs="Times New Roman"/>
          <w:i w:val="0"/>
          <w:iCs w:val="0"/>
          <w:color w:val="auto"/>
        </w:rPr>
        <w:fldChar w:fldCharType="separate"/>
      </w:r>
      <w:r w:rsidR="00AA6F13">
        <w:rPr>
          <w:rFonts w:ascii="Times New Roman" w:hAnsi="Times New Roman" w:cs="Times New Roman"/>
          <w:i w:val="0"/>
          <w:iCs w:val="0"/>
          <w:color w:val="auto"/>
        </w:rPr>
        <w:t>12.1.1</w:t>
      </w:r>
      <w:r>
        <w:rPr>
          <w:rFonts w:ascii="Times New Roman" w:hAnsi="Times New Roman" w:cs="Times New Roman"/>
          <w:i w:val="0"/>
          <w:iCs w:val="0"/>
          <w:color w:val="auto"/>
        </w:rPr>
        <w:fldChar w:fldCharType="end"/>
      </w:r>
      <w:r>
        <w:rPr>
          <w:rFonts w:ascii="Times New Roman" w:hAnsi="Times New Roman" w:cs="Times New Roman"/>
          <w:i w:val="0"/>
          <w:iCs w:val="0"/>
          <w:color w:val="auto"/>
        </w:rPr>
        <w:t xml:space="preserve">, </w:t>
      </w:r>
      <w:r>
        <w:rPr>
          <w:rFonts w:ascii="Times New Roman" w:hAnsi="Times New Roman" w:cs="Times New Roman"/>
          <w:i w:val="0"/>
          <w:iCs w:val="0"/>
          <w:color w:val="auto"/>
        </w:rPr>
        <w:fldChar w:fldCharType="begin"/>
      </w:r>
      <w:r>
        <w:rPr>
          <w:rFonts w:ascii="Times New Roman" w:hAnsi="Times New Roman" w:cs="Times New Roman"/>
          <w:i w:val="0"/>
          <w:iCs w:val="0"/>
          <w:color w:val="auto"/>
        </w:rPr>
        <w:instrText xml:space="preserve"> REF _Ref114668108 \r \r \h </w:instrText>
      </w:r>
      <w:r>
        <w:rPr>
          <w:rFonts w:ascii="Times New Roman" w:hAnsi="Times New Roman" w:cs="Times New Roman"/>
          <w:i w:val="0"/>
          <w:iCs w:val="0"/>
          <w:color w:val="auto"/>
        </w:rPr>
      </w:r>
      <w:r>
        <w:rPr>
          <w:rFonts w:ascii="Times New Roman" w:hAnsi="Times New Roman" w:cs="Times New Roman"/>
          <w:i w:val="0"/>
          <w:iCs w:val="0"/>
          <w:color w:val="auto"/>
        </w:rPr>
        <w:fldChar w:fldCharType="separate"/>
      </w:r>
      <w:r w:rsidR="00AA6F13">
        <w:rPr>
          <w:rFonts w:ascii="Times New Roman" w:hAnsi="Times New Roman" w:cs="Times New Roman"/>
          <w:i w:val="0"/>
          <w:iCs w:val="0"/>
          <w:color w:val="auto"/>
        </w:rPr>
        <w:t>12.1.2</w:t>
      </w:r>
      <w:r>
        <w:rPr>
          <w:rFonts w:ascii="Times New Roman" w:hAnsi="Times New Roman" w:cs="Times New Roman"/>
          <w:i w:val="0"/>
          <w:iCs w:val="0"/>
          <w:color w:val="auto"/>
        </w:rPr>
        <w:fldChar w:fldCharType="end"/>
      </w:r>
      <w:r>
        <w:rPr>
          <w:rFonts w:ascii="Times New Roman" w:hAnsi="Times New Roman" w:cs="Times New Roman"/>
          <w:i w:val="0"/>
          <w:iCs w:val="0"/>
          <w:color w:val="auto"/>
        </w:rPr>
        <w:t xml:space="preserve"> e </w:t>
      </w:r>
      <w:r>
        <w:rPr>
          <w:rFonts w:ascii="Times New Roman" w:hAnsi="Times New Roman" w:cs="Times New Roman"/>
          <w:i w:val="0"/>
          <w:iCs w:val="0"/>
          <w:color w:val="auto"/>
        </w:rPr>
        <w:fldChar w:fldCharType="begin"/>
      </w:r>
      <w:r>
        <w:rPr>
          <w:rFonts w:ascii="Times New Roman" w:hAnsi="Times New Roman" w:cs="Times New Roman"/>
          <w:i w:val="0"/>
          <w:iCs w:val="0"/>
          <w:color w:val="auto"/>
        </w:rPr>
        <w:instrText xml:space="preserve"> REF _Ref114668139 \r \r \h </w:instrText>
      </w:r>
      <w:r>
        <w:rPr>
          <w:rFonts w:ascii="Times New Roman" w:hAnsi="Times New Roman" w:cs="Times New Roman"/>
          <w:i w:val="0"/>
          <w:iCs w:val="0"/>
          <w:color w:val="auto"/>
        </w:rPr>
      </w:r>
      <w:r>
        <w:rPr>
          <w:rFonts w:ascii="Times New Roman" w:hAnsi="Times New Roman" w:cs="Times New Roman"/>
          <w:i w:val="0"/>
          <w:iCs w:val="0"/>
          <w:color w:val="auto"/>
        </w:rPr>
        <w:fldChar w:fldCharType="separate"/>
      </w:r>
      <w:r w:rsidR="00AA6F13">
        <w:rPr>
          <w:rFonts w:ascii="Times New Roman" w:hAnsi="Times New Roman" w:cs="Times New Roman"/>
          <w:i w:val="0"/>
          <w:iCs w:val="0"/>
          <w:color w:val="auto"/>
        </w:rPr>
        <w:t>12.1.3</w:t>
      </w:r>
      <w:r>
        <w:rPr>
          <w:rFonts w:ascii="Times New Roman" w:hAnsi="Times New Roman" w:cs="Times New Roman"/>
          <w:i w:val="0"/>
          <w:iCs w:val="0"/>
          <w:color w:val="auto"/>
        </w:rPr>
        <w:fldChar w:fldCharType="end"/>
      </w:r>
      <w:r>
        <w:rPr>
          <w:rFonts w:ascii="Times New Roman" w:hAnsi="Times New Roman" w:cs="Times New Roman"/>
          <w:i w:val="0"/>
          <w:iCs w:val="0"/>
          <w:color w:val="auto"/>
        </w:rPr>
        <w:t>, a multa será de 15% do valor do contrato licitado.</w:t>
      </w:r>
      <w:bookmarkEnd w:id="35"/>
    </w:p>
    <w:p w14:paraId="1790CBC4" w14:textId="33FDCE9E" w:rsidR="00575174" w:rsidRDefault="009F4508">
      <w:pPr>
        <w:pStyle w:val="Nvel2-Red"/>
        <w:numPr>
          <w:ilvl w:val="2"/>
          <w:numId w:val="2"/>
        </w:numPr>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 xml:space="preserve">Para as infrações previstas nos itens </w:t>
      </w:r>
      <w:r>
        <w:rPr>
          <w:rFonts w:ascii="Times New Roman" w:hAnsi="Times New Roman" w:cs="Times New Roman"/>
          <w:i w:val="0"/>
          <w:iCs w:val="0"/>
          <w:color w:val="auto"/>
        </w:rPr>
        <w:fldChar w:fldCharType="begin"/>
      </w:r>
      <w:r>
        <w:rPr>
          <w:rFonts w:ascii="Times New Roman" w:hAnsi="Times New Roman" w:cs="Times New Roman"/>
          <w:i w:val="0"/>
          <w:iCs w:val="0"/>
          <w:color w:val="auto"/>
        </w:rPr>
        <w:instrText xml:space="preserve"> REF _Ref114668249 \r \r \h </w:instrText>
      </w:r>
      <w:r>
        <w:rPr>
          <w:rFonts w:ascii="Times New Roman" w:hAnsi="Times New Roman" w:cs="Times New Roman"/>
          <w:i w:val="0"/>
          <w:iCs w:val="0"/>
          <w:color w:val="auto"/>
        </w:rPr>
      </w:r>
      <w:r>
        <w:rPr>
          <w:rFonts w:ascii="Times New Roman" w:hAnsi="Times New Roman" w:cs="Times New Roman"/>
          <w:i w:val="0"/>
          <w:iCs w:val="0"/>
          <w:color w:val="auto"/>
        </w:rPr>
        <w:fldChar w:fldCharType="separate"/>
      </w:r>
      <w:r w:rsidR="00AA6F13">
        <w:rPr>
          <w:rFonts w:ascii="Times New Roman" w:hAnsi="Times New Roman" w:cs="Times New Roman"/>
          <w:i w:val="0"/>
          <w:iCs w:val="0"/>
          <w:color w:val="auto"/>
        </w:rPr>
        <w:t>12.1.4</w:t>
      </w:r>
      <w:r>
        <w:rPr>
          <w:rFonts w:ascii="Times New Roman" w:hAnsi="Times New Roman" w:cs="Times New Roman"/>
          <w:i w:val="0"/>
          <w:iCs w:val="0"/>
          <w:color w:val="auto"/>
        </w:rPr>
        <w:fldChar w:fldCharType="end"/>
      </w:r>
      <w:r>
        <w:rPr>
          <w:rFonts w:ascii="Times New Roman" w:hAnsi="Times New Roman" w:cs="Times New Roman"/>
          <w:i w:val="0"/>
          <w:iCs w:val="0"/>
          <w:color w:val="auto"/>
        </w:rPr>
        <w:t xml:space="preserve">, </w:t>
      </w:r>
      <w:r>
        <w:rPr>
          <w:rFonts w:ascii="Times New Roman" w:hAnsi="Times New Roman" w:cs="Times New Roman"/>
          <w:i w:val="0"/>
          <w:iCs w:val="0"/>
          <w:color w:val="auto"/>
        </w:rPr>
        <w:fldChar w:fldCharType="begin"/>
      </w:r>
      <w:r>
        <w:rPr>
          <w:rFonts w:ascii="Times New Roman" w:hAnsi="Times New Roman" w:cs="Times New Roman"/>
          <w:i w:val="0"/>
          <w:iCs w:val="0"/>
          <w:color w:val="auto"/>
        </w:rPr>
        <w:instrText xml:space="preserve"> REF _Ref114668245 \r \r \h </w:instrText>
      </w:r>
      <w:r>
        <w:rPr>
          <w:rFonts w:ascii="Times New Roman" w:hAnsi="Times New Roman" w:cs="Times New Roman"/>
          <w:i w:val="0"/>
          <w:iCs w:val="0"/>
          <w:color w:val="auto"/>
        </w:rPr>
      </w:r>
      <w:r>
        <w:rPr>
          <w:rFonts w:ascii="Times New Roman" w:hAnsi="Times New Roman" w:cs="Times New Roman"/>
          <w:i w:val="0"/>
          <w:iCs w:val="0"/>
          <w:color w:val="auto"/>
        </w:rPr>
        <w:fldChar w:fldCharType="separate"/>
      </w:r>
      <w:r w:rsidR="00AA6F13">
        <w:rPr>
          <w:rFonts w:ascii="Times New Roman" w:hAnsi="Times New Roman" w:cs="Times New Roman"/>
          <w:i w:val="0"/>
          <w:iCs w:val="0"/>
          <w:color w:val="auto"/>
        </w:rPr>
        <w:t>12.1.5</w:t>
      </w:r>
      <w:r>
        <w:rPr>
          <w:rFonts w:ascii="Times New Roman" w:hAnsi="Times New Roman" w:cs="Times New Roman"/>
          <w:i w:val="0"/>
          <w:iCs w:val="0"/>
          <w:color w:val="auto"/>
        </w:rPr>
        <w:fldChar w:fldCharType="end"/>
      </w:r>
      <w:r>
        <w:rPr>
          <w:rFonts w:ascii="Times New Roman" w:hAnsi="Times New Roman" w:cs="Times New Roman"/>
          <w:i w:val="0"/>
          <w:iCs w:val="0"/>
          <w:color w:val="auto"/>
        </w:rPr>
        <w:t xml:space="preserve">, </w:t>
      </w:r>
      <w:r>
        <w:rPr>
          <w:rFonts w:ascii="Times New Roman" w:hAnsi="Times New Roman" w:cs="Times New Roman"/>
          <w:i w:val="0"/>
          <w:iCs w:val="0"/>
          <w:color w:val="auto"/>
        </w:rPr>
        <w:fldChar w:fldCharType="begin"/>
      </w:r>
      <w:r>
        <w:rPr>
          <w:rFonts w:ascii="Times New Roman" w:hAnsi="Times New Roman" w:cs="Times New Roman"/>
          <w:i w:val="0"/>
          <w:iCs w:val="0"/>
          <w:color w:val="auto"/>
        </w:rPr>
        <w:instrText xml:space="preserve"> REF _Ref114668247 \r \r \h </w:instrText>
      </w:r>
      <w:r>
        <w:rPr>
          <w:rFonts w:ascii="Times New Roman" w:hAnsi="Times New Roman" w:cs="Times New Roman"/>
          <w:i w:val="0"/>
          <w:iCs w:val="0"/>
          <w:color w:val="auto"/>
        </w:rPr>
      </w:r>
      <w:r>
        <w:rPr>
          <w:rFonts w:ascii="Times New Roman" w:hAnsi="Times New Roman" w:cs="Times New Roman"/>
          <w:i w:val="0"/>
          <w:iCs w:val="0"/>
          <w:color w:val="auto"/>
        </w:rPr>
        <w:fldChar w:fldCharType="separate"/>
      </w:r>
      <w:r w:rsidR="00AA6F13">
        <w:rPr>
          <w:rFonts w:ascii="Times New Roman" w:hAnsi="Times New Roman" w:cs="Times New Roman"/>
          <w:i w:val="0"/>
          <w:iCs w:val="0"/>
          <w:color w:val="auto"/>
        </w:rPr>
        <w:t>12.1.6</w:t>
      </w:r>
      <w:r>
        <w:rPr>
          <w:rFonts w:ascii="Times New Roman" w:hAnsi="Times New Roman" w:cs="Times New Roman"/>
          <w:i w:val="0"/>
          <w:iCs w:val="0"/>
          <w:color w:val="auto"/>
        </w:rPr>
        <w:fldChar w:fldCharType="end"/>
      </w:r>
      <w:r>
        <w:rPr>
          <w:rFonts w:ascii="Times New Roman" w:hAnsi="Times New Roman" w:cs="Times New Roman"/>
          <w:i w:val="0"/>
          <w:iCs w:val="0"/>
          <w:color w:val="auto"/>
        </w:rPr>
        <w:t xml:space="preserve">, </w:t>
      </w:r>
      <w:r>
        <w:rPr>
          <w:rFonts w:ascii="Times New Roman" w:hAnsi="Times New Roman" w:cs="Times New Roman"/>
          <w:i w:val="0"/>
          <w:iCs w:val="0"/>
          <w:color w:val="auto"/>
        </w:rPr>
        <w:fldChar w:fldCharType="begin"/>
      </w:r>
      <w:r>
        <w:rPr>
          <w:rFonts w:ascii="Times New Roman" w:hAnsi="Times New Roman" w:cs="Times New Roman"/>
          <w:i w:val="0"/>
          <w:iCs w:val="0"/>
          <w:color w:val="auto"/>
        </w:rPr>
        <w:instrText xml:space="preserve"> REF _Ref114668251 \r \r \h </w:instrText>
      </w:r>
      <w:r>
        <w:rPr>
          <w:rFonts w:ascii="Times New Roman" w:hAnsi="Times New Roman" w:cs="Times New Roman"/>
          <w:i w:val="0"/>
          <w:iCs w:val="0"/>
          <w:color w:val="auto"/>
        </w:rPr>
      </w:r>
      <w:r>
        <w:rPr>
          <w:rFonts w:ascii="Times New Roman" w:hAnsi="Times New Roman" w:cs="Times New Roman"/>
          <w:i w:val="0"/>
          <w:iCs w:val="0"/>
          <w:color w:val="auto"/>
        </w:rPr>
        <w:fldChar w:fldCharType="separate"/>
      </w:r>
      <w:r w:rsidR="00AA6F13">
        <w:rPr>
          <w:rFonts w:ascii="Times New Roman" w:hAnsi="Times New Roman" w:cs="Times New Roman"/>
          <w:i w:val="0"/>
          <w:iCs w:val="0"/>
          <w:color w:val="auto"/>
        </w:rPr>
        <w:t>12.1.6.4</w:t>
      </w:r>
      <w:r>
        <w:rPr>
          <w:rFonts w:ascii="Times New Roman" w:hAnsi="Times New Roman" w:cs="Times New Roman"/>
          <w:i w:val="0"/>
          <w:iCs w:val="0"/>
          <w:color w:val="auto"/>
        </w:rPr>
        <w:fldChar w:fldCharType="end"/>
      </w:r>
      <w:r>
        <w:rPr>
          <w:rFonts w:ascii="Times New Roman" w:hAnsi="Times New Roman" w:cs="Times New Roman"/>
          <w:i w:val="0"/>
          <w:iCs w:val="0"/>
          <w:color w:val="auto"/>
        </w:rPr>
        <w:t xml:space="preserve"> e </w:t>
      </w:r>
      <w:r>
        <w:rPr>
          <w:rFonts w:ascii="Times New Roman" w:hAnsi="Times New Roman" w:cs="Times New Roman"/>
          <w:i w:val="0"/>
          <w:iCs w:val="0"/>
          <w:color w:val="auto"/>
        </w:rPr>
        <w:fldChar w:fldCharType="begin"/>
      </w:r>
      <w:r>
        <w:rPr>
          <w:rFonts w:ascii="Times New Roman" w:hAnsi="Times New Roman" w:cs="Times New Roman"/>
          <w:i w:val="0"/>
          <w:iCs w:val="0"/>
          <w:color w:val="auto"/>
        </w:rPr>
        <w:instrText xml:space="preserve"> REF _Ref114668252 \r \r \h </w:instrText>
      </w:r>
      <w:r>
        <w:rPr>
          <w:rFonts w:ascii="Times New Roman" w:hAnsi="Times New Roman" w:cs="Times New Roman"/>
          <w:i w:val="0"/>
          <w:iCs w:val="0"/>
          <w:color w:val="auto"/>
        </w:rPr>
      </w:r>
      <w:r>
        <w:rPr>
          <w:rFonts w:ascii="Times New Roman" w:hAnsi="Times New Roman" w:cs="Times New Roman"/>
          <w:i w:val="0"/>
          <w:iCs w:val="0"/>
          <w:color w:val="auto"/>
        </w:rPr>
        <w:fldChar w:fldCharType="separate"/>
      </w:r>
      <w:r w:rsidR="00AA6F13">
        <w:rPr>
          <w:rFonts w:ascii="Times New Roman" w:hAnsi="Times New Roman" w:cs="Times New Roman"/>
          <w:i w:val="0"/>
          <w:iCs w:val="0"/>
          <w:color w:val="auto"/>
        </w:rPr>
        <w:t>12.1.6.5</w:t>
      </w:r>
      <w:r>
        <w:rPr>
          <w:rFonts w:ascii="Times New Roman" w:hAnsi="Times New Roman" w:cs="Times New Roman"/>
          <w:i w:val="0"/>
          <w:iCs w:val="0"/>
          <w:color w:val="auto"/>
        </w:rPr>
        <w:fldChar w:fldCharType="end"/>
      </w:r>
      <w:r>
        <w:rPr>
          <w:rFonts w:ascii="Times New Roman" w:hAnsi="Times New Roman" w:cs="Times New Roman"/>
          <w:i w:val="0"/>
          <w:iCs w:val="0"/>
          <w:color w:val="auto"/>
        </w:rPr>
        <w:t>, a multa será de 30% do valor do contrato licitado.</w:t>
      </w:r>
    </w:p>
    <w:p w14:paraId="28E5D188" w14:textId="77777777" w:rsidR="00575174" w:rsidRDefault="009F4508">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As sanções de advertência, impedimento de licitar e contratar e declaração de inidoneidade para licitar ou contratar poderão ser aplicadas, cumulativamente ou não, à penalidade de multa</w:t>
      </w:r>
    </w:p>
    <w:p w14:paraId="13A41225" w14:textId="77777777" w:rsidR="00575174" w:rsidRDefault="009F4508">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Na aplicação da sanção de multa será facultada a defesa do interessado no prazo de 15 (quinze) dias úteis, contado da data de sua intimação.</w:t>
      </w:r>
    </w:p>
    <w:p w14:paraId="1858D0B6" w14:textId="45B75378" w:rsidR="00575174" w:rsidRDefault="009F4508">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 xml:space="preserve">A sanção de impedimento de licitar e contratar será aplicada ao responsável em decorrência das infrações administrativas relacionadas nos itens </w:t>
      </w:r>
      <w:r>
        <w:rPr>
          <w:rFonts w:ascii="Times New Roman" w:hAnsi="Times New Roman" w:cs="Times New Roman"/>
          <w:i w:val="0"/>
          <w:iCs w:val="0"/>
          <w:color w:val="auto"/>
        </w:rPr>
        <w:fldChar w:fldCharType="begin"/>
      </w:r>
      <w:r>
        <w:rPr>
          <w:rFonts w:ascii="Times New Roman" w:hAnsi="Times New Roman" w:cs="Times New Roman"/>
          <w:i w:val="0"/>
          <w:iCs w:val="0"/>
          <w:color w:val="auto"/>
        </w:rPr>
        <w:instrText xml:space="preserve"> REF _Ref114668085 \r \r \h </w:instrText>
      </w:r>
      <w:r>
        <w:rPr>
          <w:rFonts w:ascii="Times New Roman" w:hAnsi="Times New Roman" w:cs="Times New Roman"/>
          <w:i w:val="0"/>
          <w:iCs w:val="0"/>
          <w:color w:val="auto"/>
        </w:rPr>
      </w:r>
      <w:r>
        <w:rPr>
          <w:rFonts w:ascii="Times New Roman" w:hAnsi="Times New Roman" w:cs="Times New Roman"/>
          <w:i w:val="0"/>
          <w:iCs w:val="0"/>
          <w:color w:val="auto"/>
        </w:rPr>
        <w:fldChar w:fldCharType="separate"/>
      </w:r>
      <w:r w:rsidR="00AA6F13">
        <w:rPr>
          <w:rFonts w:ascii="Times New Roman" w:hAnsi="Times New Roman" w:cs="Times New Roman"/>
          <w:i w:val="0"/>
          <w:iCs w:val="0"/>
          <w:color w:val="auto"/>
        </w:rPr>
        <w:t>12.1.1</w:t>
      </w:r>
      <w:r>
        <w:rPr>
          <w:rFonts w:ascii="Times New Roman" w:hAnsi="Times New Roman" w:cs="Times New Roman"/>
          <w:i w:val="0"/>
          <w:iCs w:val="0"/>
          <w:color w:val="auto"/>
        </w:rPr>
        <w:fldChar w:fldCharType="end"/>
      </w:r>
      <w:r>
        <w:rPr>
          <w:rFonts w:ascii="Times New Roman" w:hAnsi="Times New Roman" w:cs="Times New Roman"/>
          <w:i w:val="0"/>
          <w:iCs w:val="0"/>
          <w:color w:val="auto"/>
        </w:rPr>
        <w:t xml:space="preserve">, </w:t>
      </w:r>
      <w:r>
        <w:rPr>
          <w:rFonts w:ascii="Times New Roman" w:hAnsi="Times New Roman" w:cs="Times New Roman"/>
          <w:i w:val="0"/>
          <w:iCs w:val="0"/>
          <w:color w:val="auto"/>
        </w:rPr>
        <w:fldChar w:fldCharType="begin"/>
      </w:r>
      <w:r>
        <w:rPr>
          <w:rFonts w:ascii="Times New Roman" w:hAnsi="Times New Roman" w:cs="Times New Roman"/>
          <w:i w:val="0"/>
          <w:iCs w:val="0"/>
          <w:color w:val="auto"/>
        </w:rPr>
        <w:instrText xml:space="preserve"> REF _Ref114668108 \r \r \h </w:instrText>
      </w:r>
      <w:r>
        <w:rPr>
          <w:rFonts w:ascii="Times New Roman" w:hAnsi="Times New Roman" w:cs="Times New Roman"/>
          <w:i w:val="0"/>
          <w:iCs w:val="0"/>
          <w:color w:val="auto"/>
        </w:rPr>
      </w:r>
      <w:r>
        <w:rPr>
          <w:rFonts w:ascii="Times New Roman" w:hAnsi="Times New Roman" w:cs="Times New Roman"/>
          <w:i w:val="0"/>
          <w:iCs w:val="0"/>
          <w:color w:val="auto"/>
        </w:rPr>
        <w:fldChar w:fldCharType="separate"/>
      </w:r>
      <w:r w:rsidR="00AA6F13">
        <w:rPr>
          <w:rFonts w:ascii="Times New Roman" w:hAnsi="Times New Roman" w:cs="Times New Roman"/>
          <w:i w:val="0"/>
          <w:iCs w:val="0"/>
          <w:color w:val="auto"/>
        </w:rPr>
        <w:t>12.1.2</w:t>
      </w:r>
      <w:r>
        <w:rPr>
          <w:rFonts w:ascii="Times New Roman" w:hAnsi="Times New Roman" w:cs="Times New Roman"/>
          <w:i w:val="0"/>
          <w:iCs w:val="0"/>
          <w:color w:val="auto"/>
        </w:rPr>
        <w:fldChar w:fldCharType="end"/>
      </w:r>
      <w:r>
        <w:rPr>
          <w:rFonts w:ascii="Times New Roman" w:hAnsi="Times New Roman" w:cs="Times New Roman"/>
          <w:i w:val="0"/>
          <w:iCs w:val="0"/>
          <w:color w:val="auto"/>
        </w:rPr>
        <w:t xml:space="preserve"> e </w:t>
      </w:r>
      <w:r>
        <w:rPr>
          <w:rFonts w:ascii="Times New Roman" w:hAnsi="Times New Roman" w:cs="Times New Roman"/>
          <w:i w:val="0"/>
          <w:iCs w:val="0"/>
          <w:color w:val="auto"/>
        </w:rPr>
        <w:fldChar w:fldCharType="begin"/>
      </w:r>
      <w:r>
        <w:rPr>
          <w:rFonts w:ascii="Times New Roman" w:hAnsi="Times New Roman" w:cs="Times New Roman"/>
          <w:i w:val="0"/>
          <w:iCs w:val="0"/>
          <w:color w:val="auto"/>
        </w:rPr>
        <w:instrText xml:space="preserve"> REF _Ref114668139 \r \r \h </w:instrText>
      </w:r>
      <w:r>
        <w:rPr>
          <w:rFonts w:ascii="Times New Roman" w:hAnsi="Times New Roman" w:cs="Times New Roman"/>
          <w:i w:val="0"/>
          <w:iCs w:val="0"/>
          <w:color w:val="auto"/>
        </w:rPr>
      </w:r>
      <w:r>
        <w:rPr>
          <w:rFonts w:ascii="Times New Roman" w:hAnsi="Times New Roman" w:cs="Times New Roman"/>
          <w:i w:val="0"/>
          <w:iCs w:val="0"/>
          <w:color w:val="auto"/>
        </w:rPr>
        <w:fldChar w:fldCharType="separate"/>
      </w:r>
      <w:r w:rsidR="00AA6F13">
        <w:rPr>
          <w:rFonts w:ascii="Times New Roman" w:hAnsi="Times New Roman" w:cs="Times New Roman"/>
          <w:i w:val="0"/>
          <w:iCs w:val="0"/>
          <w:color w:val="auto"/>
        </w:rPr>
        <w:t>12.1.3</w:t>
      </w:r>
      <w:r>
        <w:rPr>
          <w:rFonts w:ascii="Times New Roman" w:hAnsi="Times New Roman" w:cs="Times New Roman"/>
          <w:i w:val="0"/>
          <w:iCs w:val="0"/>
          <w:color w:val="auto"/>
        </w:rPr>
        <w:fldChar w:fldCharType="end"/>
      </w:r>
      <w:r>
        <w:rPr>
          <w:rFonts w:ascii="Times New Roman" w:hAnsi="Times New Roman" w:cs="Times New Roman"/>
          <w:i w:val="0"/>
          <w:iCs w:val="0"/>
          <w:color w:val="auto"/>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24BA398" w14:textId="31BD2AE0" w:rsidR="00575174" w:rsidRDefault="009F4508">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 xml:space="preserve">Poderá ser aplicada ao responsável a sanção de declaração de inidoneidade para licitar ou contratar, em decorrência da prática das infrações dispostas nos itens </w:t>
      </w:r>
      <w:r>
        <w:rPr>
          <w:rFonts w:ascii="Times New Roman" w:hAnsi="Times New Roman" w:cs="Times New Roman"/>
          <w:i w:val="0"/>
          <w:iCs w:val="0"/>
          <w:color w:val="auto"/>
        </w:rPr>
        <w:fldChar w:fldCharType="begin"/>
      </w:r>
      <w:r>
        <w:rPr>
          <w:rFonts w:ascii="Times New Roman" w:hAnsi="Times New Roman" w:cs="Times New Roman"/>
          <w:i w:val="0"/>
          <w:iCs w:val="0"/>
          <w:color w:val="auto"/>
        </w:rPr>
        <w:instrText xml:space="preserve"> REF _Ref114668249 \r \r \h </w:instrText>
      </w:r>
      <w:r>
        <w:rPr>
          <w:rFonts w:ascii="Times New Roman" w:hAnsi="Times New Roman" w:cs="Times New Roman"/>
          <w:i w:val="0"/>
          <w:iCs w:val="0"/>
          <w:color w:val="auto"/>
        </w:rPr>
      </w:r>
      <w:r>
        <w:rPr>
          <w:rFonts w:ascii="Times New Roman" w:hAnsi="Times New Roman" w:cs="Times New Roman"/>
          <w:i w:val="0"/>
          <w:iCs w:val="0"/>
          <w:color w:val="auto"/>
        </w:rPr>
        <w:fldChar w:fldCharType="separate"/>
      </w:r>
      <w:r w:rsidR="00AA6F13">
        <w:rPr>
          <w:rFonts w:ascii="Times New Roman" w:hAnsi="Times New Roman" w:cs="Times New Roman"/>
          <w:i w:val="0"/>
          <w:iCs w:val="0"/>
          <w:color w:val="auto"/>
        </w:rPr>
        <w:t>12.1.4</w:t>
      </w:r>
      <w:r>
        <w:rPr>
          <w:rFonts w:ascii="Times New Roman" w:hAnsi="Times New Roman" w:cs="Times New Roman"/>
          <w:i w:val="0"/>
          <w:iCs w:val="0"/>
          <w:color w:val="auto"/>
        </w:rPr>
        <w:fldChar w:fldCharType="end"/>
      </w:r>
      <w:r>
        <w:rPr>
          <w:rFonts w:ascii="Times New Roman" w:hAnsi="Times New Roman" w:cs="Times New Roman"/>
          <w:i w:val="0"/>
          <w:iCs w:val="0"/>
          <w:color w:val="auto"/>
        </w:rPr>
        <w:t xml:space="preserve">, </w:t>
      </w:r>
      <w:r>
        <w:rPr>
          <w:rFonts w:ascii="Times New Roman" w:hAnsi="Times New Roman" w:cs="Times New Roman"/>
          <w:i w:val="0"/>
          <w:iCs w:val="0"/>
          <w:color w:val="auto"/>
        </w:rPr>
        <w:fldChar w:fldCharType="begin"/>
      </w:r>
      <w:r>
        <w:rPr>
          <w:rFonts w:ascii="Times New Roman" w:hAnsi="Times New Roman" w:cs="Times New Roman"/>
          <w:i w:val="0"/>
          <w:iCs w:val="0"/>
          <w:color w:val="auto"/>
        </w:rPr>
        <w:instrText xml:space="preserve"> REF _Ref114668245 \r \r \h </w:instrText>
      </w:r>
      <w:r>
        <w:rPr>
          <w:rFonts w:ascii="Times New Roman" w:hAnsi="Times New Roman" w:cs="Times New Roman"/>
          <w:i w:val="0"/>
          <w:iCs w:val="0"/>
          <w:color w:val="auto"/>
        </w:rPr>
      </w:r>
      <w:r>
        <w:rPr>
          <w:rFonts w:ascii="Times New Roman" w:hAnsi="Times New Roman" w:cs="Times New Roman"/>
          <w:i w:val="0"/>
          <w:iCs w:val="0"/>
          <w:color w:val="auto"/>
        </w:rPr>
        <w:fldChar w:fldCharType="separate"/>
      </w:r>
      <w:r w:rsidR="00AA6F13">
        <w:rPr>
          <w:rFonts w:ascii="Times New Roman" w:hAnsi="Times New Roman" w:cs="Times New Roman"/>
          <w:i w:val="0"/>
          <w:iCs w:val="0"/>
          <w:color w:val="auto"/>
        </w:rPr>
        <w:t>12.1.5</w:t>
      </w:r>
      <w:r>
        <w:rPr>
          <w:rFonts w:ascii="Times New Roman" w:hAnsi="Times New Roman" w:cs="Times New Roman"/>
          <w:i w:val="0"/>
          <w:iCs w:val="0"/>
          <w:color w:val="auto"/>
        </w:rPr>
        <w:fldChar w:fldCharType="end"/>
      </w:r>
      <w:r>
        <w:rPr>
          <w:rFonts w:ascii="Times New Roman" w:hAnsi="Times New Roman" w:cs="Times New Roman"/>
          <w:i w:val="0"/>
          <w:iCs w:val="0"/>
          <w:color w:val="auto"/>
        </w:rPr>
        <w:t xml:space="preserve">, </w:t>
      </w:r>
      <w:r>
        <w:rPr>
          <w:rFonts w:ascii="Times New Roman" w:hAnsi="Times New Roman" w:cs="Times New Roman"/>
          <w:i w:val="0"/>
          <w:iCs w:val="0"/>
          <w:color w:val="auto"/>
        </w:rPr>
        <w:fldChar w:fldCharType="begin"/>
      </w:r>
      <w:r>
        <w:rPr>
          <w:rFonts w:ascii="Times New Roman" w:hAnsi="Times New Roman" w:cs="Times New Roman"/>
          <w:i w:val="0"/>
          <w:iCs w:val="0"/>
          <w:color w:val="auto"/>
        </w:rPr>
        <w:instrText xml:space="preserve"> REF _Ref114668247 \r \r \h </w:instrText>
      </w:r>
      <w:r>
        <w:rPr>
          <w:rFonts w:ascii="Times New Roman" w:hAnsi="Times New Roman" w:cs="Times New Roman"/>
          <w:i w:val="0"/>
          <w:iCs w:val="0"/>
          <w:color w:val="auto"/>
        </w:rPr>
      </w:r>
      <w:r>
        <w:rPr>
          <w:rFonts w:ascii="Times New Roman" w:hAnsi="Times New Roman" w:cs="Times New Roman"/>
          <w:i w:val="0"/>
          <w:iCs w:val="0"/>
          <w:color w:val="auto"/>
        </w:rPr>
        <w:fldChar w:fldCharType="separate"/>
      </w:r>
      <w:r w:rsidR="00AA6F13">
        <w:rPr>
          <w:rFonts w:ascii="Times New Roman" w:hAnsi="Times New Roman" w:cs="Times New Roman"/>
          <w:i w:val="0"/>
          <w:iCs w:val="0"/>
          <w:color w:val="auto"/>
        </w:rPr>
        <w:t>12.1.6</w:t>
      </w:r>
      <w:r>
        <w:rPr>
          <w:rFonts w:ascii="Times New Roman" w:hAnsi="Times New Roman" w:cs="Times New Roman"/>
          <w:i w:val="0"/>
          <w:iCs w:val="0"/>
          <w:color w:val="auto"/>
        </w:rPr>
        <w:fldChar w:fldCharType="end"/>
      </w:r>
      <w:r>
        <w:rPr>
          <w:rFonts w:ascii="Times New Roman" w:hAnsi="Times New Roman" w:cs="Times New Roman"/>
          <w:i w:val="0"/>
          <w:iCs w:val="0"/>
          <w:color w:val="auto"/>
        </w:rPr>
        <w:t xml:space="preserve">, </w:t>
      </w:r>
      <w:r>
        <w:rPr>
          <w:rFonts w:ascii="Times New Roman" w:hAnsi="Times New Roman" w:cs="Times New Roman"/>
          <w:i w:val="0"/>
          <w:iCs w:val="0"/>
          <w:color w:val="auto"/>
        </w:rPr>
        <w:fldChar w:fldCharType="begin"/>
      </w:r>
      <w:r>
        <w:rPr>
          <w:rFonts w:ascii="Times New Roman" w:hAnsi="Times New Roman" w:cs="Times New Roman"/>
          <w:i w:val="0"/>
          <w:iCs w:val="0"/>
          <w:color w:val="auto"/>
        </w:rPr>
        <w:instrText xml:space="preserve"> REF _Ref114668251 \r \r \h </w:instrText>
      </w:r>
      <w:r>
        <w:rPr>
          <w:rFonts w:ascii="Times New Roman" w:hAnsi="Times New Roman" w:cs="Times New Roman"/>
          <w:i w:val="0"/>
          <w:iCs w:val="0"/>
          <w:color w:val="auto"/>
        </w:rPr>
      </w:r>
      <w:r>
        <w:rPr>
          <w:rFonts w:ascii="Times New Roman" w:hAnsi="Times New Roman" w:cs="Times New Roman"/>
          <w:i w:val="0"/>
          <w:iCs w:val="0"/>
          <w:color w:val="auto"/>
        </w:rPr>
        <w:fldChar w:fldCharType="separate"/>
      </w:r>
      <w:r w:rsidR="00AA6F13">
        <w:rPr>
          <w:rFonts w:ascii="Times New Roman" w:hAnsi="Times New Roman" w:cs="Times New Roman"/>
          <w:i w:val="0"/>
          <w:iCs w:val="0"/>
          <w:color w:val="auto"/>
        </w:rPr>
        <w:t>12.1.6.4</w:t>
      </w:r>
      <w:r>
        <w:rPr>
          <w:rFonts w:ascii="Times New Roman" w:hAnsi="Times New Roman" w:cs="Times New Roman"/>
          <w:i w:val="0"/>
          <w:iCs w:val="0"/>
          <w:color w:val="auto"/>
        </w:rPr>
        <w:fldChar w:fldCharType="end"/>
      </w:r>
      <w:r>
        <w:rPr>
          <w:rFonts w:ascii="Times New Roman" w:hAnsi="Times New Roman" w:cs="Times New Roman"/>
          <w:i w:val="0"/>
          <w:iCs w:val="0"/>
          <w:color w:val="auto"/>
        </w:rPr>
        <w:t xml:space="preserve"> e </w:t>
      </w:r>
      <w:r>
        <w:rPr>
          <w:rFonts w:ascii="Times New Roman" w:hAnsi="Times New Roman" w:cs="Times New Roman"/>
          <w:i w:val="0"/>
          <w:iCs w:val="0"/>
          <w:color w:val="auto"/>
        </w:rPr>
        <w:fldChar w:fldCharType="begin"/>
      </w:r>
      <w:r>
        <w:rPr>
          <w:rFonts w:ascii="Times New Roman" w:hAnsi="Times New Roman" w:cs="Times New Roman"/>
          <w:i w:val="0"/>
          <w:iCs w:val="0"/>
          <w:color w:val="auto"/>
        </w:rPr>
        <w:instrText xml:space="preserve"> REF _Ref114668252 \r \r \h </w:instrText>
      </w:r>
      <w:r>
        <w:rPr>
          <w:rFonts w:ascii="Times New Roman" w:hAnsi="Times New Roman" w:cs="Times New Roman"/>
          <w:i w:val="0"/>
          <w:iCs w:val="0"/>
          <w:color w:val="auto"/>
        </w:rPr>
      </w:r>
      <w:r>
        <w:rPr>
          <w:rFonts w:ascii="Times New Roman" w:hAnsi="Times New Roman" w:cs="Times New Roman"/>
          <w:i w:val="0"/>
          <w:iCs w:val="0"/>
          <w:color w:val="auto"/>
        </w:rPr>
        <w:fldChar w:fldCharType="separate"/>
      </w:r>
      <w:r w:rsidR="00AA6F13">
        <w:rPr>
          <w:rFonts w:ascii="Times New Roman" w:hAnsi="Times New Roman" w:cs="Times New Roman"/>
          <w:i w:val="0"/>
          <w:iCs w:val="0"/>
          <w:color w:val="auto"/>
        </w:rPr>
        <w:t>12.1.6.5</w:t>
      </w:r>
      <w:r>
        <w:rPr>
          <w:rFonts w:ascii="Times New Roman" w:hAnsi="Times New Roman" w:cs="Times New Roman"/>
          <w:i w:val="0"/>
          <w:iCs w:val="0"/>
          <w:color w:val="auto"/>
        </w:rPr>
        <w:fldChar w:fldCharType="end"/>
      </w:r>
      <w:r>
        <w:rPr>
          <w:rFonts w:ascii="Times New Roman" w:hAnsi="Times New Roman" w:cs="Times New Roman"/>
          <w:i w:val="0"/>
          <w:iCs w:val="0"/>
          <w:color w:val="auto"/>
        </w:rPr>
        <w:t xml:space="preserve">, bem como pelas infrações administrativas previstas nos itens </w:t>
      </w:r>
      <w:r>
        <w:rPr>
          <w:rFonts w:ascii="Times New Roman" w:hAnsi="Times New Roman" w:cs="Times New Roman"/>
          <w:i w:val="0"/>
          <w:iCs w:val="0"/>
          <w:color w:val="auto"/>
        </w:rPr>
        <w:fldChar w:fldCharType="begin"/>
      </w:r>
      <w:r>
        <w:rPr>
          <w:rFonts w:ascii="Times New Roman" w:hAnsi="Times New Roman" w:cs="Times New Roman"/>
          <w:i w:val="0"/>
          <w:iCs w:val="0"/>
          <w:color w:val="auto"/>
        </w:rPr>
        <w:instrText xml:space="preserve"> REF _Ref114668085 \r \r \h </w:instrText>
      </w:r>
      <w:r>
        <w:rPr>
          <w:rFonts w:ascii="Times New Roman" w:hAnsi="Times New Roman" w:cs="Times New Roman"/>
          <w:i w:val="0"/>
          <w:iCs w:val="0"/>
          <w:color w:val="auto"/>
        </w:rPr>
      </w:r>
      <w:r>
        <w:rPr>
          <w:rFonts w:ascii="Times New Roman" w:hAnsi="Times New Roman" w:cs="Times New Roman"/>
          <w:i w:val="0"/>
          <w:iCs w:val="0"/>
          <w:color w:val="auto"/>
        </w:rPr>
        <w:fldChar w:fldCharType="separate"/>
      </w:r>
      <w:r w:rsidR="00AA6F13">
        <w:rPr>
          <w:rFonts w:ascii="Times New Roman" w:hAnsi="Times New Roman" w:cs="Times New Roman"/>
          <w:i w:val="0"/>
          <w:iCs w:val="0"/>
          <w:color w:val="auto"/>
        </w:rPr>
        <w:t>12.1.1</w:t>
      </w:r>
      <w:r>
        <w:rPr>
          <w:rFonts w:ascii="Times New Roman" w:hAnsi="Times New Roman" w:cs="Times New Roman"/>
          <w:i w:val="0"/>
          <w:iCs w:val="0"/>
          <w:color w:val="auto"/>
        </w:rPr>
        <w:fldChar w:fldCharType="end"/>
      </w:r>
      <w:r>
        <w:rPr>
          <w:rFonts w:ascii="Times New Roman" w:hAnsi="Times New Roman" w:cs="Times New Roman"/>
          <w:i w:val="0"/>
          <w:iCs w:val="0"/>
          <w:color w:val="auto"/>
        </w:rPr>
        <w:t xml:space="preserve">, </w:t>
      </w:r>
      <w:r>
        <w:rPr>
          <w:rFonts w:ascii="Times New Roman" w:hAnsi="Times New Roman" w:cs="Times New Roman"/>
          <w:i w:val="0"/>
          <w:iCs w:val="0"/>
          <w:color w:val="auto"/>
        </w:rPr>
        <w:fldChar w:fldCharType="begin"/>
      </w:r>
      <w:r>
        <w:rPr>
          <w:rFonts w:ascii="Times New Roman" w:hAnsi="Times New Roman" w:cs="Times New Roman"/>
          <w:i w:val="0"/>
          <w:iCs w:val="0"/>
          <w:color w:val="auto"/>
        </w:rPr>
        <w:instrText xml:space="preserve"> REF _Ref114668108 \r \r \h </w:instrText>
      </w:r>
      <w:r>
        <w:rPr>
          <w:rFonts w:ascii="Times New Roman" w:hAnsi="Times New Roman" w:cs="Times New Roman"/>
          <w:i w:val="0"/>
          <w:iCs w:val="0"/>
          <w:color w:val="auto"/>
        </w:rPr>
      </w:r>
      <w:r>
        <w:rPr>
          <w:rFonts w:ascii="Times New Roman" w:hAnsi="Times New Roman" w:cs="Times New Roman"/>
          <w:i w:val="0"/>
          <w:iCs w:val="0"/>
          <w:color w:val="auto"/>
        </w:rPr>
        <w:fldChar w:fldCharType="separate"/>
      </w:r>
      <w:r w:rsidR="00AA6F13">
        <w:rPr>
          <w:rFonts w:ascii="Times New Roman" w:hAnsi="Times New Roman" w:cs="Times New Roman"/>
          <w:i w:val="0"/>
          <w:iCs w:val="0"/>
          <w:color w:val="auto"/>
        </w:rPr>
        <w:t>12.1.2</w:t>
      </w:r>
      <w:r>
        <w:rPr>
          <w:rFonts w:ascii="Times New Roman" w:hAnsi="Times New Roman" w:cs="Times New Roman"/>
          <w:i w:val="0"/>
          <w:iCs w:val="0"/>
          <w:color w:val="auto"/>
        </w:rPr>
        <w:fldChar w:fldCharType="end"/>
      </w:r>
      <w:r>
        <w:rPr>
          <w:rFonts w:ascii="Times New Roman" w:hAnsi="Times New Roman" w:cs="Times New Roman"/>
          <w:i w:val="0"/>
          <w:iCs w:val="0"/>
          <w:color w:val="auto"/>
        </w:rPr>
        <w:t xml:space="preserve"> e </w:t>
      </w:r>
      <w:r>
        <w:rPr>
          <w:rFonts w:ascii="Times New Roman" w:hAnsi="Times New Roman" w:cs="Times New Roman"/>
          <w:i w:val="0"/>
          <w:iCs w:val="0"/>
          <w:color w:val="auto"/>
        </w:rPr>
        <w:fldChar w:fldCharType="begin"/>
      </w:r>
      <w:r>
        <w:rPr>
          <w:rFonts w:ascii="Times New Roman" w:hAnsi="Times New Roman" w:cs="Times New Roman"/>
          <w:i w:val="0"/>
          <w:iCs w:val="0"/>
          <w:color w:val="auto"/>
        </w:rPr>
        <w:instrText xml:space="preserve"> REF _Ref114668139 \r \r \h </w:instrText>
      </w:r>
      <w:r>
        <w:rPr>
          <w:rFonts w:ascii="Times New Roman" w:hAnsi="Times New Roman" w:cs="Times New Roman"/>
          <w:i w:val="0"/>
          <w:iCs w:val="0"/>
          <w:color w:val="auto"/>
        </w:rPr>
      </w:r>
      <w:r>
        <w:rPr>
          <w:rFonts w:ascii="Times New Roman" w:hAnsi="Times New Roman" w:cs="Times New Roman"/>
          <w:i w:val="0"/>
          <w:iCs w:val="0"/>
          <w:color w:val="auto"/>
        </w:rPr>
        <w:fldChar w:fldCharType="separate"/>
      </w:r>
      <w:r w:rsidR="00AA6F13">
        <w:rPr>
          <w:rFonts w:ascii="Times New Roman" w:hAnsi="Times New Roman" w:cs="Times New Roman"/>
          <w:i w:val="0"/>
          <w:iCs w:val="0"/>
          <w:color w:val="auto"/>
        </w:rPr>
        <w:t>12.1.3</w:t>
      </w:r>
      <w:r>
        <w:rPr>
          <w:rFonts w:ascii="Times New Roman" w:hAnsi="Times New Roman" w:cs="Times New Roman"/>
          <w:i w:val="0"/>
          <w:iCs w:val="0"/>
          <w:color w:val="auto"/>
        </w:rPr>
        <w:fldChar w:fldCharType="end"/>
      </w:r>
      <w:r>
        <w:rPr>
          <w:rFonts w:ascii="Times New Roman" w:hAnsi="Times New Roman" w:cs="Times New Roman"/>
          <w:i w:val="0"/>
          <w:iCs w:val="0"/>
          <w:color w:val="auto"/>
        </w:rPr>
        <w:t xml:space="preserve"> que justifiquem a imposição de penalidade mais grave que a sanção de impedimento de licitar e contratar, cuja duração observará o</w:t>
      </w:r>
    </w:p>
    <w:p w14:paraId="4ACFD104" w14:textId="77777777" w:rsidR="00575174" w:rsidRDefault="00575174">
      <w:pPr>
        <w:pStyle w:val="Nvel2-Red"/>
        <w:numPr>
          <w:ilvl w:val="0"/>
          <w:numId w:val="0"/>
        </w:numPr>
        <w:spacing w:before="0" w:after="0" w:line="240" w:lineRule="auto"/>
        <w:ind w:left="999"/>
        <w:rPr>
          <w:rFonts w:ascii="Times New Roman" w:hAnsi="Times New Roman" w:cs="Times New Roman"/>
          <w:i w:val="0"/>
          <w:iCs w:val="0"/>
          <w:color w:val="auto"/>
        </w:rPr>
      </w:pPr>
    </w:p>
    <w:p w14:paraId="21925548" w14:textId="77777777" w:rsidR="00575174" w:rsidRDefault="009F4508">
      <w:pPr>
        <w:pStyle w:val="Nvel2-Red"/>
        <w:numPr>
          <w:ilvl w:val="0"/>
          <w:numId w:val="0"/>
        </w:numPr>
        <w:spacing w:before="0" w:after="0" w:line="240" w:lineRule="auto"/>
        <w:ind w:left="999"/>
        <w:rPr>
          <w:rFonts w:ascii="Times New Roman" w:hAnsi="Times New Roman" w:cs="Times New Roman"/>
          <w:i w:val="0"/>
          <w:color w:val="auto"/>
        </w:rPr>
      </w:pPr>
      <w:r>
        <w:rPr>
          <w:rFonts w:ascii="Times New Roman" w:hAnsi="Times New Roman" w:cs="Times New Roman"/>
          <w:i w:val="0"/>
          <w:iCs w:val="0"/>
          <w:color w:val="auto"/>
        </w:rPr>
        <w:t xml:space="preserve">prazo previsto no </w:t>
      </w:r>
      <w:hyperlink r:id="rId29" w:tooltip="http://www.planalto.gov.br/ccivil_03/_ato2019-2022/2021/lei/L14133.htm#art156§5&quot; l &quot;art156§5">
        <w:r>
          <w:rPr>
            <w:rFonts w:ascii="Times New Roman" w:hAnsi="Times New Roman" w:cs="Times New Roman"/>
            <w:i w:val="0"/>
            <w:iCs w:val="0"/>
            <w:color w:val="auto"/>
          </w:rPr>
          <w:t>art. 156, §5º, da Lei n.º 14.133/2021</w:t>
        </w:r>
      </w:hyperlink>
      <w:r>
        <w:rPr>
          <w:rFonts w:ascii="Times New Roman" w:hAnsi="Times New Roman" w:cs="Times New Roman"/>
          <w:i w:val="0"/>
          <w:iCs w:val="0"/>
          <w:color w:val="auto"/>
        </w:rPr>
        <w:t>.</w:t>
      </w:r>
    </w:p>
    <w:p w14:paraId="05DE61EF" w14:textId="672E6D40" w:rsidR="00575174" w:rsidRDefault="009F4508">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 xml:space="preserve">A recusa injustificada do adjudicatário em assinar o contrato ou a ata de registro de preço, ou em aceitar ou retirar o instrumento equivalente no prazo estabelecido pela Administração, descrita no item </w:t>
      </w:r>
      <w:r>
        <w:rPr>
          <w:rFonts w:ascii="Times New Roman" w:hAnsi="Times New Roman" w:cs="Times New Roman"/>
          <w:i w:val="0"/>
          <w:iCs w:val="0"/>
          <w:color w:val="auto"/>
        </w:rPr>
        <w:fldChar w:fldCharType="begin"/>
      </w:r>
      <w:r>
        <w:rPr>
          <w:rFonts w:ascii="Times New Roman" w:hAnsi="Times New Roman" w:cs="Times New Roman"/>
          <w:i w:val="0"/>
          <w:iCs w:val="0"/>
          <w:color w:val="auto"/>
        </w:rPr>
        <w:instrText xml:space="preserve"> REF _Ref114668139 \r \r \h </w:instrText>
      </w:r>
      <w:r>
        <w:rPr>
          <w:rFonts w:ascii="Times New Roman" w:hAnsi="Times New Roman" w:cs="Times New Roman"/>
          <w:i w:val="0"/>
          <w:iCs w:val="0"/>
          <w:color w:val="auto"/>
        </w:rPr>
      </w:r>
      <w:r>
        <w:rPr>
          <w:rFonts w:ascii="Times New Roman" w:hAnsi="Times New Roman" w:cs="Times New Roman"/>
          <w:i w:val="0"/>
          <w:iCs w:val="0"/>
          <w:color w:val="auto"/>
        </w:rPr>
        <w:fldChar w:fldCharType="separate"/>
      </w:r>
      <w:r w:rsidR="00AA6F13">
        <w:rPr>
          <w:rFonts w:ascii="Times New Roman" w:hAnsi="Times New Roman" w:cs="Times New Roman"/>
          <w:i w:val="0"/>
          <w:iCs w:val="0"/>
          <w:color w:val="auto"/>
        </w:rPr>
        <w:t>12.1.3</w:t>
      </w:r>
      <w:r>
        <w:rPr>
          <w:rFonts w:ascii="Times New Roman" w:hAnsi="Times New Roman" w:cs="Times New Roman"/>
          <w:i w:val="0"/>
          <w:iCs w:val="0"/>
          <w:color w:val="auto"/>
        </w:rPr>
        <w:fldChar w:fldCharType="end"/>
      </w:r>
      <w:r>
        <w:rPr>
          <w:rFonts w:ascii="Times New Roman" w:hAnsi="Times New Roman" w:cs="Times New Roman"/>
          <w:i w:val="0"/>
          <w:iCs w:val="0"/>
          <w:color w:val="auto"/>
        </w:rPr>
        <w:t>, caracterizará o descumprimento total da obrigação assumida e o sujeitará às penalidades e à imediata perda da garantia de proposta em favor do órgão ou entidade promotora da licitação.</w:t>
      </w:r>
    </w:p>
    <w:p w14:paraId="3F5FB8D5" w14:textId="77777777" w:rsidR="00575174" w:rsidRDefault="009F4508">
      <w:pPr>
        <w:pStyle w:val="Nvel2-Red"/>
        <w:tabs>
          <w:tab w:val="left" w:pos="1119"/>
          <w:tab w:val="left" w:pos="1177"/>
        </w:tabs>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 xml:space="preserve">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642A742" w14:textId="77777777" w:rsidR="00575174" w:rsidRDefault="009F4508">
      <w:pPr>
        <w:pStyle w:val="Nvel2-Red"/>
        <w:tabs>
          <w:tab w:val="left" w:pos="1154"/>
        </w:tabs>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6176DAF" w14:textId="77777777" w:rsidR="00575174" w:rsidRDefault="009F4508">
      <w:pPr>
        <w:pStyle w:val="Nvel2-Red"/>
        <w:tabs>
          <w:tab w:val="left" w:pos="1131"/>
        </w:tabs>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BD7C331" w14:textId="77777777" w:rsidR="00575174" w:rsidRDefault="009F4508">
      <w:pPr>
        <w:pStyle w:val="Nvel2-Red"/>
        <w:tabs>
          <w:tab w:val="left" w:pos="1142"/>
        </w:tabs>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O recurso e o pedido de reconsideração terão efeito suspensivo do ato ou da decisão recorrida até que sobrevenha decisão final da autoridade competente.</w:t>
      </w:r>
    </w:p>
    <w:p w14:paraId="7F6808DC" w14:textId="77777777" w:rsidR="00575174" w:rsidRDefault="009F4508">
      <w:pPr>
        <w:pStyle w:val="Nvel2-Red"/>
        <w:tabs>
          <w:tab w:val="left" w:pos="1119"/>
        </w:tabs>
        <w:spacing w:before="0" w:after="0" w:line="240" w:lineRule="auto"/>
        <w:rPr>
          <w:rFonts w:ascii="Times New Roman" w:hAnsi="Times New Roman" w:cs="Times New Roman"/>
          <w:color w:val="auto"/>
        </w:rPr>
      </w:pPr>
      <w:r>
        <w:rPr>
          <w:rFonts w:ascii="Times New Roman" w:hAnsi="Times New Roman" w:cs="Times New Roman"/>
          <w:i w:val="0"/>
          <w:iCs w:val="0"/>
          <w:color w:val="auto"/>
        </w:rPr>
        <w:t>A aplicação das sanções previstas neste edital não exclui, em hipótese alguma, a obrigação de reparação integral dos danos causados</w:t>
      </w:r>
      <w:r>
        <w:rPr>
          <w:rFonts w:ascii="Times New Roman" w:hAnsi="Times New Roman" w:cs="Times New Roman"/>
          <w:color w:val="auto"/>
        </w:rPr>
        <w:t>.</w:t>
      </w:r>
    </w:p>
    <w:p w14:paraId="5528ECDC" w14:textId="77777777" w:rsidR="00575174" w:rsidRDefault="00575174">
      <w:pPr>
        <w:pStyle w:val="Nvel2-Red"/>
        <w:numPr>
          <w:ilvl w:val="0"/>
          <w:numId w:val="0"/>
        </w:numPr>
        <w:spacing w:before="0" w:after="0" w:line="240" w:lineRule="auto"/>
        <w:rPr>
          <w:rFonts w:ascii="Times New Roman" w:hAnsi="Times New Roman" w:cs="Times New Roman"/>
          <w:color w:val="auto"/>
        </w:rPr>
      </w:pPr>
    </w:p>
    <w:p w14:paraId="1E13A764" w14:textId="77777777" w:rsidR="00575174" w:rsidRDefault="009F4508">
      <w:pPr>
        <w:pStyle w:val="Nvel2-Red"/>
        <w:numPr>
          <w:ilvl w:val="0"/>
          <w:numId w:val="2"/>
        </w:numPr>
        <w:spacing w:before="0" w:after="0" w:line="240" w:lineRule="auto"/>
        <w:ind w:left="999" w:hanging="432"/>
        <w:rPr>
          <w:rFonts w:ascii="Times New Roman" w:hAnsi="Times New Roman" w:cs="Times New Roman"/>
          <w:b/>
          <w:i w:val="0"/>
          <w:color w:val="auto"/>
        </w:rPr>
      </w:pPr>
      <w:bookmarkStart w:id="36" w:name="_Toc135469235"/>
      <w:r>
        <w:rPr>
          <w:rFonts w:ascii="Times New Roman" w:hAnsi="Times New Roman" w:cs="Times New Roman"/>
          <w:b/>
          <w:bCs/>
          <w:i w:val="0"/>
          <w:iCs w:val="0"/>
          <w:color w:val="auto"/>
        </w:rPr>
        <w:t>DA IMPUGNAÇÃO AO EDITAL E DO PEDIDO DE ESCLARECIMENTO</w:t>
      </w:r>
      <w:bookmarkEnd w:id="36"/>
    </w:p>
    <w:p w14:paraId="73095748" w14:textId="77777777" w:rsidR="00575174" w:rsidRDefault="009F4508">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 xml:space="preserve">Qualquer pessoa é parte legítima para impugnar este Edital por irregularidade na aplicação da </w:t>
      </w:r>
      <w:hyperlink r:id="rId30" w:tooltip="http://www.planalto.gov.br/ccivil_03/_ato2019-2022/2021/lei/L14133.htm">
        <w:r>
          <w:rPr>
            <w:rFonts w:ascii="Times New Roman" w:hAnsi="Times New Roman" w:cs="Times New Roman"/>
            <w:i w:val="0"/>
            <w:iCs w:val="0"/>
            <w:color w:val="auto"/>
          </w:rPr>
          <w:t>Lei nº 14.133, de 2021</w:t>
        </w:r>
      </w:hyperlink>
      <w:r>
        <w:rPr>
          <w:rFonts w:ascii="Times New Roman" w:hAnsi="Times New Roman" w:cs="Times New Roman"/>
          <w:i w:val="0"/>
          <w:iCs w:val="0"/>
          <w:color w:val="auto"/>
        </w:rPr>
        <w:t>, devendo protocolar o pedido até 3 (três) dias úteis antes da data da abertura do certame.</w:t>
      </w:r>
    </w:p>
    <w:p w14:paraId="48664896" w14:textId="77777777" w:rsidR="00575174" w:rsidRDefault="009F4508">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A resposta à impugnação ou ao pedido de esclarecimento será divulgado em sítio eletrônico oficial no prazo de até 3 (três) dias úteis, limitado ao último dia útil anterior à data da abertura do certame.</w:t>
      </w:r>
    </w:p>
    <w:p w14:paraId="16FB7DD5" w14:textId="77777777" w:rsidR="00575174" w:rsidRDefault="009F4508">
      <w:pPr>
        <w:ind w:firstLine="426"/>
        <w:jc w:val="center"/>
        <w:rPr>
          <w:rFonts w:ascii="Times New Roman" w:hAnsi="Times New Roman" w:cs="Times New Roman"/>
          <w:sz w:val="20"/>
          <w:szCs w:val="20"/>
        </w:rPr>
      </w:pPr>
      <w:r>
        <w:rPr>
          <w:rFonts w:ascii="Times New Roman" w:hAnsi="Times New Roman" w:cs="Times New Roman"/>
          <w:sz w:val="20"/>
          <w:szCs w:val="20"/>
        </w:rPr>
        <w:t xml:space="preserve">A impugnação e o pedido de esclarecimento poderão ser realizados por EXCLUSIVAMENTE na forma eletrônica, pelos seguintes meios: </w:t>
      </w:r>
      <w:hyperlink r:id="rId31">
        <w:r>
          <w:rPr>
            <w:rFonts w:ascii="Times New Roman" w:hAnsi="Times New Roman" w:cs="Times New Roman"/>
            <w:sz w:val="20"/>
            <w:szCs w:val="20"/>
            <w:u w:val="single"/>
          </w:rPr>
          <w:t>licita@santabarbaradosul.rs.gov.br</w:t>
        </w:r>
      </w:hyperlink>
      <w:r>
        <w:rPr>
          <w:rStyle w:val="Hyperlink1"/>
          <w:rFonts w:ascii="Times New Roman" w:hAnsi="Times New Roman" w:cs="Times New Roman"/>
          <w:color w:val="auto"/>
          <w:sz w:val="20"/>
          <w:szCs w:val="20"/>
        </w:rPr>
        <w:t xml:space="preserve"> </w:t>
      </w:r>
      <w:r>
        <w:rPr>
          <w:rStyle w:val="Hyperlink1"/>
          <w:rFonts w:ascii="Times New Roman" w:hAnsi="Times New Roman" w:cs="Times New Roman"/>
          <w:color w:val="auto"/>
          <w:sz w:val="20"/>
          <w:szCs w:val="20"/>
          <w:u w:val="none"/>
        </w:rPr>
        <w:t xml:space="preserve">ou </w:t>
      </w:r>
      <w:r>
        <w:rPr>
          <w:rFonts w:ascii="Times New Roman" w:hAnsi="Times New Roman" w:cs="Times New Roman"/>
          <w:sz w:val="20"/>
          <w:szCs w:val="20"/>
        </w:rPr>
        <w:t>https://pregaobanrisul.com.br/.</w:t>
      </w:r>
    </w:p>
    <w:p w14:paraId="491717F7" w14:textId="77777777" w:rsidR="00575174" w:rsidRDefault="009F4508">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As impugnações e pedidos de esclarecimentos não suspendem os prazos previstos no certame.</w:t>
      </w:r>
    </w:p>
    <w:p w14:paraId="15FF326E" w14:textId="77777777" w:rsidR="00575174" w:rsidRDefault="009F4508">
      <w:pPr>
        <w:pStyle w:val="Nvel2-Red"/>
        <w:numPr>
          <w:ilvl w:val="2"/>
          <w:numId w:val="2"/>
        </w:numPr>
        <w:tabs>
          <w:tab w:val="left" w:pos="1119"/>
        </w:tabs>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A concessão de efeito suspensivo à impugnação é medida excepcional e deverá ser motivada pelo agente de contratação, nos autos do processo de licitação.</w:t>
      </w:r>
    </w:p>
    <w:p w14:paraId="7A3E5550" w14:textId="77777777" w:rsidR="00575174" w:rsidRDefault="009F4508">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Acolhida a impugnação, será definida e publicada nova data para a realização do certame.</w:t>
      </w:r>
    </w:p>
    <w:p w14:paraId="445BD679" w14:textId="77777777" w:rsidR="00575174" w:rsidRDefault="00575174">
      <w:pPr>
        <w:pStyle w:val="Nvel2-Red"/>
        <w:numPr>
          <w:ilvl w:val="0"/>
          <w:numId w:val="0"/>
        </w:numPr>
        <w:spacing w:before="0" w:after="0" w:line="240" w:lineRule="auto"/>
        <w:rPr>
          <w:rFonts w:ascii="Times New Roman" w:hAnsi="Times New Roman" w:cs="Times New Roman"/>
          <w:b/>
          <w:i w:val="0"/>
          <w:color w:val="auto"/>
        </w:rPr>
      </w:pPr>
    </w:p>
    <w:p w14:paraId="123FB5E7" w14:textId="77777777" w:rsidR="00575174" w:rsidRDefault="009F4508">
      <w:pPr>
        <w:pStyle w:val="Nvel2-Red"/>
        <w:numPr>
          <w:ilvl w:val="0"/>
          <w:numId w:val="2"/>
        </w:numPr>
        <w:spacing w:before="0" w:after="0" w:line="240" w:lineRule="auto"/>
        <w:ind w:left="999" w:hanging="432"/>
        <w:rPr>
          <w:rFonts w:ascii="Times New Roman" w:hAnsi="Times New Roman" w:cs="Times New Roman"/>
          <w:b/>
          <w:i w:val="0"/>
          <w:color w:val="auto"/>
        </w:rPr>
      </w:pPr>
      <w:r>
        <w:rPr>
          <w:rFonts w:ascii="Times New Roman" w:hAnsi="Times New Roman" w:cs="Times New Roman"/>
          <w:b/>
          <w:bCs/>
          <w:i w:val="0"/>
          <w:iCs w:val="0"/>
          <w:color w:val="auto"/>
        </w:rPr>
        <w:t>DO REAJUSTE CONTRATUAL</w:t>
      </w:r>
    </w:p>
    <w:p w14:paraId="31321F82" w14:textId="77777777" w:rsidR="00575174" w:rsidRDefault="009F4508">
      <w:pPr>
        <w:pStyle w:val="Nvel2-Red"/>
        <w:numPr>
          <w:ilvl w:val="0"/>
          <w:numId w:val="0"/>
        </w:numPr>
        <w:spacing w:before="0" w:after="0" w:line="240" w:lineRule="auto"/>
        <w:ind w:left="567"/>
        <w:rPr>
          <w:rFonts w:ascii="Times New Roman" w:hAnsi="Times New Roman" w:cs="Times New Roman"/>
          <w:b/>
          <w:i w:val="0"/>
          <w:color w:val="auto"/>
        </w:rPr>
      </w:pPr>
      <w:r>
        <w:rPr>
          <w:rFonts w:ascii="Times New Roman" w:eastAsia="Times New Roman" w:hAnsi="Times New Roman" w:cs="Times New Roman"/>
          <w:i w:val="0"/>
          <w:iCs w:val="0"/>
          <w:color w:val="auto"/>
        </w:rPr>
        <w:t>14.1. O preço contratado será reajustado anualmente, conforme disposto no art. 92 da Lei nº 14.133/2021, mediante a aplicação do índice estabelecido neste edital, respeitando a periodicidade mínima de um ano, contada a partir da data limite para apresentação da proposta ou do orçamento a que a proposta se referir.</w:t>
      </w:r>
      <w:r>
        <w:rPr>
          <w:rFonts w:ascii="Times New Roman" w:eastAsia="Times New Roman" w:hAnsi="Times New Roman" w:cs="Times New Roman"/>
          <w:b/>
          <w:color w:val="auto"/>
        </w:rPr>
        <w:br/>
      </w:r>
      <w:r>
        <w:rPr>
          <w:rFonts w:ascii="Times New Roman" w:eastAsia="Times New Roman" w:hAnsi="Times New Roman" w:cs="Times New Roman"/>
          <w:i w:val="0"/>
          <w:iCs w:val="0"/>
          <w:color w:val="auto"/>
        </w:rPr>
        <w:t>14.2. O reajuste será realizado com base no Índice Nacional de Preços ao Consumidor Amplo (IPCA), publicado pelo Instituto Brasileiro de Geografia e Estatística (IBGE), ou outro índice oficial que venha a substituí-lo.</w:t>
      </w:r>
    </w:p>
    <w:p w14:paraId="6AEF87BB" w14:textId="77777777" w:rsidR="00575174" w:rsidRDefault="009F4508">
      <w:pPr>
        <w:ind w:left="567"/>
        <w:rPr>
          <w:rFonts w:ascii="Times New Roman" w:eastAsia="Times New Roman" w:hAnsi="Times New Roman" w:cs="Times New Roman"/>
          <w:sz w:val="20"/>
          <w:szCs w:val="20"/>
        </w:rPr>
      </w:pPr>
      <w:r>
        <w:rPr>
          <w:rFonts w:ascii="Times New Roman" w:eastAsia="Times New Roman" w:hAnsi="Times New Roman" w:cs="Times New Roman"/>
          <w:sz w:val="20"/>
          <w:szCs w:val="20"/>
        </w:rPr>
        <w:t>14.3. Caso o índice estipulado esteja extinto ou indisponível na data do reajuste, será adotado outro índice que melhor reflita a variação dos custos do contrato, mediante justificativa técnica da Administração e anuência da contratada</w:t>
      </w:r>
      <w:r>
        <w:rPr>
          <w:rFonts w:ascii="Times New Roman" w:eastAsia="Times New Roman" w:hAnsi="Times New Roman" w:cs="Times New Roman"/>
          <w:b/>
          <w:sz w:val="20"/>
          <w:szCs w:val="20"/>
        </w:rPr>
        <w:br/>
      </w:r>
      <w:r>
        <w:rPr>
          <w:rFonts w:ascii="Times New Roman" w:eastAsia="Times New Roman" w:hAnsi="Times New Roman" w:cs="Times New Roman"/>
          <w:sz w:val="20"/>
          <w:szCs w:val="20"/>
        </w:rPr>
        <w:t xml:space="preserve"> 14.4. O reajuste será aplicado automaticamente após a periodicidade mínima de um ano, salvo disposição contratual em contrário, e incidirá sobre o valor original do contrato ou, se for o caso, sobre o último valor reajustado.</w:t>
      </w:r>
    </w:p>
    <w:p w14:paraId="0236F20B" w14:textId="77777777" w:rsidR="00575174" w:rsidRDefault="009F4508">
      <w:pPr>
        <w:ind w:left="567"/>
        <w:rPr>
          <w:rFonts w:ascii="Times New Roman" w:hAnsi="Times New Roman" w:cs="Times New Roman"/>
          <w:sz w:val="20"/>
          <w:szCs w:val="20"/>
        </w:rPr>
      </w:pPr>
      <w:r>
        <w:rPr>
          <w:rFonts w:ascii="Times New Roman" w:eastAsia="Times New Roman" w:hAnsi="Times New Roman" w:cs="Times New Roman"/>
          <w:sz w:val="20"/>
          <w:szCs w:val="20"/>
        </w:rPr>
        <w:t>14.5. A contratada poderá solicitar a aplicação do reajuste mediante requerimento formal, acompanhado dos cálculos e da documentação necessária para comprovação do índice adotado.</w:t>
      </w:r>
    </w:p>
    <w:p w14:paraId="10F0530F" w14:textId="77777777" w:rsidR="00575174" w:rsidRDefault="009F4508">
      <w:pPr>
        <w:ind w:left="567"/>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14.6. A Administração Pública terá o prazo de até </w:t>
      </w:r>
      <w:r>
        <w:rPr>
          <w:rFonts w:ascii="Times New Roman" w:eastAsia="Times New Roman" w:hAnsi="Times New Roman" w:cs="Times New Roman"/>
          <w:b/>
          <w:sz w:val="20"/>
          <w:szCs w:val="20"/>
        </w:rPr>
        <w:t xml:space="preserve">15 (quinze) </w:t>
      </w:r>
      <w:r>
        <w:rPr>
          <w:rFonts w:ascii="Times New Roman" w:eastAsia="Times New Roman" w:hAnsi="Times New Roman" w:cs="Times New Roman"/>
          <w:sz w:val="20"/>
          <w:szCs w:val="20"/>
        </w:rPr>
        <w:t>dias úteis para analisar e validar os cálculos apresentados e proceder com a atualização do valor contratual.</w:t>
      </w:r>
      <w:r>
        <w:rPr>
          <w:rFonts w:ascii="Times New Roman" w:eastAsia="Times New Roman" w:hAnsi="Times New Roman" w:cs="Times New Roman"/>
          <w:b/>
          <w:sz w:val="20"/>
          <w:szCs w:val="20"/>
        </w:rPr>
        <w:br/>
      </w:r>
      <w:r>
        <w:rPr>
          <w:rFonts w:ascii="Times New Roman" w:eastAsia="Times New Roman" w:hAnsi="Times New Roman" w:cs="Times New Roman"/>
          <w:sz w:val="20"/>
          <w:szCs w:val="20"/>
        </w:rPr>
        <w:t>14.7. Em casos excepcionais, quando houver grande variação de preços que comprometa a execução do contrato, poderá ser admitida a revisão contratual, nos termos do art. 124 da Lei nº 14.133/2021, para restabelecer o equilíbrio econômico-financeiro do contrato.</w:t>
      </w:r>
    </w:p>
    <w:p w14:paraId="6EAF2FBB" w14:textId="77777777" w:rsidR="00575174" w:rsidRDefault="009F4508">
      <w:pPr>
        <w:ind w:left="567"/>
        <w:rPr>
          <w:rFonts w:ascii="Times New Roman" w:eastAsia="Times New Roman" w:hAnsi="Times New Roman" w:cs="Times New Roman"/>
          <w:sz w:val="20"/>
          <w:szCs w:val="20"/>
        </w:rPr>
      </w:pPr>
      <w:r>
        <w:rPr>
          <w:rFonts w:ascii="Times New Roman" w:eastAsia="Times New Roman" w:hAnsi="Times New Roman" w:cs="Times New Roman"/>
          <w:sz w:val="20"/>
          <w:szCs w:val="20"/>
        </w:rPr>
        <w:t>14.8. O não cumprimento da aplicação do reajuste dentro do prazo estipulado não exime a Administração da obrigação de pagá-lo, sendo devido desde a data do aniversário do contrato</w:t>
      </w:r>
    </w:p>
    <w:p w14:paraId="51C6FC23" w14:textId="77777777" w:rsidR="00575174" w:rsidRDefault="00575174">
      <w:pPr>
        <w:ind w:left="567"/>
        <w:rPr>
          <w:rFonts w:ascii="Times New Roman" w:eastAsia="Times New Roman" w:hAnsi="Times New Roman" w:cs="Times New Roman"/>
          <w:sz w:val="20"/>
          <w:szCs w:val="20"/>
        </w:rPr>
      </w:pPr>
    </w:p>
    <w:p w14:paraId="59C3B76F" w14:textId="77777777" w:rsidR="00575174" w:rsidRDefault="009F4508">
      <w:pPr>
        <w:pStyle w:val="Nvel2-Red"/>
        <w:numPr>
          <w:ilvl w:val="0"/>
          <w:numId w:val="2"/>
        </w:numPr>
        <w:spacing w:before="0" w:after="0" w:line="240" w:lineRule="auto"/>
        <w:ind w:left="999" w:hanging="432"/>
        <w:rPr>
          <w:rFonts w:ascii="Times New Roman" w:hAnsi="Times New Roman" w:cs="Times New Roman"/>
          <w:b/>
          <w:i w:val="0"/>
          <w:color w:val="auto"/>
        </w:rPr>
      </w:pPr>
      <w:bookmarkStart w:id="37" w:name="_Toc135469236"/>
      <w:r>
        <w:rPr>
          <w:rFonts w:ascii="Times New Roman" w:hAnsi="Times New Roman" w:cs="Times New Roman"/>
          <w:b/>
          <w:bCs/>
          <w:i w:val="0"/>
          <w:iCs w:val="0"/>
          <w:color w:val="auto"/>
        </w:rPr>
        <w:t>DAS DISPOSIÇÕES GERAIS</w:t>
      </w:r>
      <w:bookmarkEnd w:id="37"/>
    </w:p>
    <w:p w14:paraId="44610CAB" w14:textId="77777777" w:rsidR="00575174" w:rsidRDefault="009F4508">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Será divulgada ata da sessão pública no sistema eletrônico.</w:t>
      </w:r>
    </w:p>
    <w:p w14:paraId="5A2FD2D0" w14:textId="77777777" w:rsidR="00575174" w:rsidRDefault="009F4508">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77B75578" w14:textId="77777777" w:rsidR="00575174" w:rsidRDefault="009F4508">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Todas as referências de tempo no Edital, no aviso e durante a sessão pública observarão o horário de Brasília/ DF.</w:t>
      </w:r>
    </w:p>
    <w:p w14:paraId="4F56C99D" w14:textId="77777777" w:rsidR="00575174" w:rsidRDefault="009F4508">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A homologação do resultado desta licitação não implicará direito à contratação.</w:t>
      </w:r>
    </w:p>
    <w:p w14:paraId="4F8170F7" w14:textId="77777777" w:rsidR="00575174" w:rsidRDefault="009F4508">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3D780E8" w14:textId="77777777" w:rsidR="00575174" w:rsidRDefault="009F4508">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Os licitantes assumem todos os custos de preparação e apresentação de suas propostas e a Administração não será, em nenhum caso, responsável por esses custos, independentemente da condução ou do resultado do processo licitatório.</w:t>
      </w:r>
    </w:p>
    <w:p w14:paraId="6D792191" w14:textId="77777777" w:rsidR="00575174" w:rsidRDefault="009F4508">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Na contagem dos prazos estabelecidos neste Edital e seus Anexos, excluir-se-á o dia do início e incluir-se-á o do vencimento. Só se iniciam e vencem os prazos em dias de expediente na Administração.</w:t>
      </w:r>
    </w:p>
    <w:p w14:paraId="5B0996FC" w14:textId="77777777" w:rsidR="00575174" w:rsidRDefault="009F4508">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O desatendimento de exigências formais não essenciais não importará o afastamento do licitante, desde que seja possível o aproveitamento do ato, observados os princípios da isonomia e do interesse público.</w:t>
      </w:r>
    </w:p>
    <w:p w14:paraId="19F21D30" w14:textId="77777777" w:rsidR="00575174" w:rsidRDefault="009F4508">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Em caso de divergência entre disposições deste Edital e de seus anexos ou demais peças que compõem o processo, prevalecerá as deste Edital.</w:t>
      </w:r>
    </w:p>
    <w:p w14:paraId="78567388" w14:textId="77777777" w:rsidR="00575174" w:rsidRDefault="009F4508">
      <w:pPr>
        <w:pStyle w:val="Nvel2-Red"/>
        <w:tabs>
          <w:tab w:val="left" w:pos="1074"/>
        </w:tabs>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 xml:space="preserve">O Edital e seus anexos estão disponíveis, na íntegra, no Portal Nacional de Contratações Públicas (PNCP) e endereço eletrônico </w:t>
      </w:r>
      <w:hyperlink r:id="rId32">
        <w:r>
          <w:rPr>
            <w:rFonts w:ascii="Times New Roman" w:hAnsi="Times New Roman" w:cs="Times New Roman"/>
            <w:i w:val="0"/>
            <w:iCs w:val="0"/>
            <w:color w:val="auto"/>
            <w:u w:val="single"/>
          </w:rPr>
          <w:t>www.santabarbaradosul.rs.gov.br</w:t>
        </w:r>
      </w:hyperlink>
      <w:r>
        <w:rPr>
          <w:rStyle w:val="Hyperlink1"/>
          <w:rFonts w:ascii="Times New Roman" w:hAnsi="Times New Roman" w:cs="Times New Roman"/>
          <w:i w:val="0"/>
          <w:iCs w:val="0"/>
          <w:color w:val="auto"/>
        </w:rPr>
        <w:t xml:space="preserve"> </w:t>
      </w:r>
    </w:p>
    <w:p w14:paraId="279B11FB" w14:textId="77777777" w:rsidR="00575174" w:rsidRDefault="009F4508">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Integram este Edital, para todos os fins e efeitos, os seguintes anexos:</w:t>
      </w:r>
    </w:p>
    <w:p w14:paraId="030DA17B" w14:textId="77777777" w:rsidR="00575174" w:rsidRDefault="009F4508">
      <w:pPr>
        <w:pStyle w:val="Nvel2-Red"/>
        <w:numPr>
          <w:ilvl w:val="2"/>
          <w:numId w:val="2"/>
        </w:numPr>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ANEXO I – Termo de Referência.</w:t>
      </w:r>
    </w:p>
    <w:p w14:paraId="3CF89040" w14:textId="77777777" w:rsidR="00575174" w:rsidRDefault="009F4508">
      <w:pPr>
        <w:pStyle w:val="Nvel2-Red"/>
        <w:numPr>
          <w:ilvl w:val="2"/>
          <w:numId w:val="2"/>
        </w:numPr>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Apêndice do Anexo I – Estudo Técnico Preliminar.</w:t>
      </w:r>
    </w:p>
    <w:p w14:paraId="26C2B34E" w14:textId="77777777" w:rsidR="00575174" w:rsidRDefault="009F4508">
      <w:pPr>
        <w:pStyle w:val="Nvel2-Red"/>
        <w:numPr>
          <w:ilvl w:val="2"/>
          <w:numId w:val="2"/>
        </w:numPr>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ANEXO II – Modelo Proposta</w:t>
      </w:r>
    </w:p>
    <w:p w14:paraId="16658FD4" w14:textId="77777777" w:rsidR="00575174" w:rsidRDefault="009F4508">
      <w:pPr>
        <w:pStyle w:val="Nvel2-Red"/>
        <w:numPr>
          <w:ilvl w:val="2"/>
          <w:numId w:val="2"/>
        </w:numPr>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ANEXO III – Minuta de Ata de Registro de Preço</w:t>
      </w:r>
    </w:p>
    <w:p w14:paraId="514B7F59" w14:textId="77777777" w:rsidR="00575174" w:rsidRDefault="009F4508">
      <w:pPr>
        <w:pStyle w:val="Nvel2-Red"/>
        <w:numPr>
          <w:ilvl w:val="2"/>
          <w:numId w:val="2"/>
        </w:numPr>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ANEXO IV – Minuta Cadastro Reserva</w:t>
      </w:r>
    </w:p>
    <w:p w14:paraId="5861502C" w14:textId="77777777" w:rsidR="00575174" w:rsidRDefault="009F4508">
      <w:pPr>
        <w:pStyle w:val="Nvel2-Red"/>
        <w:numPr>
          <w:ilvl w:val="2"/>
          <w:numId w:val="2"/>
        </w:numPr>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ANEXO V – Extrato de Aviso de Edital</w:t>
      </w:r>
    </w:p>
    <w:p w14:paraId="284D95D5" w14:textId="77777777" w:rsidR="00575174" w:rsidRDefault="009F4508">
      <w:pPr>
        <w:pStyle w:val="Nvel2-Red"/>
        <w:numPr>
          <w:ilvl w:val="2"/>
          <w:numId w:val="2"/>
        </w:numPr>
        <w:spacing w:before="0" w:after="0" w:line="240" w:lineRule="auto"/>
        <w:ind w:left="999" w:hanging="432"/>
        <w:rPr>
          <w:rFonts w:ascii="Times New Roman" w:hAnsi="Times New Roman" w:cs="Times New Roman"/>
          <w:b/>
          <w:i w:val="0"/>
          <w:color w:val="auto"/>
        </w:rPr>
      </w:pPr>
      <w:r>
        <w:rPr>
          <w:rFonts w:ascii="Times New Roman" w:hAnsi="Times New Roman" w:cs="Times New Roman"/>
          <w:i w:val="0"/>
          <w:iCs w:val="0"/>
          <w:color w:val="auto"/>
        </w:rPr>
        <w:t>ANEXO VI – Autorização Autoridade Competente</w:t>
      </w:r>
    </w:p>
    <w:p w14:paraId="1DA1EA0C" w14:textId="77777777" w:rsidR="00575174" w:rsidRDefault="00575174" w:rsidP="00EE5824">
      <w:pPr>
        <w:rPr>
          <w:rFonts w:ascii="Times New Roman" w:eastAsia="MS Mincho" w:hAnsi="Times New Roman" w:cs="Times New Roman"/>
          <w:sz w:val="20"/>
          <w:szCs w:val="20"/>
        </w:rPr>
      </w:pPr>
    </w:p>
    <w:p w14:paraId="679C8594" w14:textId="3A2A45F1" w:rsidR="00575174" w:rsidRDefault="009F4508">
      <w:pPr>
        <w:jc w:val="right"/>
        <w:rPr>
          <w:rFonts w:ascii="Times New Roman" w:eastAsia="MS Mincho" w:hAnsi="Times New Roman" w:cs="Times New Roman"/>
          <w:sz w:val="20"/>
          <w:szCs w:val="20"/>
        </w:rPr>
      </w:pPr>
      <w:r>
        <w:rPr>
          <w:rFonts w:ascii="Times New Roman" w:eastAsia="MS Mincho" w:hAnsi="Times New Roman" w:cs="Times New Roman"/>
          <w:sz w:val="20"/>
          <w:szCs w:val="20"/>
        </w:rPr>
        <w:t xml:space="preserve">Santa Bárbara do Sul/RS, </w:t>
      </w:r>
      <w:r w:rsidR="00EE5824">
        <w:rPr>
          <w:rFonts w:ascii="Times New Roman" w:eastAsia="MS Mincho" w:hAnsi="Times New Roman" w:cs="Times New Roman"/>
          <w:sz w:val="20"/>
          <w:szCs w:val="20"/>
        </w:rPr>
        <w:t>17 de novembro</w:t>
      </w:r>
      <w:r>
        <w:rPr>
          <w:rFonts w:ascii="Times New Roman" w:eastAsia="MS Mincho" w:hAnsi="Times New Roman" w:cs="Times New Roman"/>
          <w:sz w:val="20"/>
          <w:szCs w:val="20"/>
        </w:rPr>
        <w:t xml:space="preserve"> de 2025</w:t>
      </w:r>
    </w:p>
    <w:p w14:paraId="7ABD79F2" w14:textId="77777777" w:rsidR="00575174" w:rsidRDefault="00575174">
      <w:pPr>
        <w:jc w:val="right"/>
        <w:rPr>
          <w:rFonts w:ascii="Times New Roman" w:eastAsia="MS Mincho" w:hAnsi="Times New Roman" w:cs="Times New Roman"/>
          <w:sz w:val="20"/>
          <w:szCs w:val="20"/>
        </w:rPr>
      </w:pPr>
    </w:p>
    <w:p w14:paraId="51FC2A6E" w14:textId="77777777" w:rsidR="00575174" w:rsidRDefault="00575174">
      <w:pPr>
        <w:jc w:val="right"/>
        <w:rPr>
          <w:rFonts w:ascii="Times New Roman" w:eastAsia="MS Mincho" w:hAnsi="Times New Roman" w:cs="Times New Roman"/>
          <w:sz w:val="20"/>
          <w:szCs w:val="20"/>
        </w:rPr>
      </w:pPr>
    </w:p>
    <w:p w14:paraId="5D8026BB" w14:textId="77777777" w:rsidR="00575174" w:rsidRDefault="00575174" w:rsidP="00EE5824">
      <w:pPr>
        <w:rPr>
          <w:rFonts w:ascii="Times New Roman" w:hAnsi="Times New Roman" w:cs="Times New Roman"/>
          <w:sz w:val="20"/>
          <w:szCs w:val="20"/>
        </w:rPr>
      </w:pPr>
    </w:p>
    <w:p w14:paraId="185AB126" w14:textId="77777777" w:rsidR="00575174" w:rsidRDefault="00575174">
      <w:pPr>
        <w:ind w:firstLine="567"/>
        <w:jc w:val="center"/>
        <w:rPr>
          <w:rFonts w:ascii="Times New Roman" w:hAnsi="Times New Roman" w:cs="Times New Roman"/>
          <w:sz w:val="20"/>
          <w:szCs w:val="20"/>
        </w:rPr>
      </w:pPr>
    </w:p>
    <w:p w14:paraId="6A4AB0C8" w14:textId="77777777" w:rsidR="00575174" w:rsidRDefault="00575174">
      <w:pPr>
        <w:ind w:firstLine="567"/>
        <w:jc w:val="center"/>
        <w:rPr>
          <w:rFonts w:ascii="Times New Roman" w:hAnsi="Times New Roman" w:cs="Times New Roman"/>
          <w:sz w:val="20"/>
          <w:szCs w:val="20"/>
        </w:rPr>
      </w:pPr>
    </w:p>
    <w:p w14:paraId="4E6CC86A" w14:textId="77777777" w:rsidR="00575174" w:rsidRDefault="009F4508">
      <w:pPr>
        <w:jc w:val="center"/>
        <w:rPr>
          <w:rFonts w:ascii="Times New Roman" w:hAnsi="Times New Roman" w:cs="Times New Roman"/>
          <w:i/>
          <w:iCs/>
          <w:sz w:val="20"/>
          <w:szCs w:val="20"/>
        </w:rPr>
      </w:pPr>
      <w:r>
        <w:rPr>
          <w:rFonts w:ascii="Times New Roman" w:hAnsi="Times New Roman" w:cs="Times New Roman"/>
          <w:i/>
          <w:iCs/>
          <w:sz w:val="20"/>
          <w:szCs w:val="20"/>
        </w:rPr>
        <w:t>Leandro Caraffini Veneral</w:t>
      </w:r>
    </w:p>
    <w:p w14:paraId="3E516998" w14:textId="77777777" w:rsidR="00575174" w:rsidRDefault="009F4508">
      <w:pPr>
        <w:jc w:val="center"/>
        <w:rPr>
          <w:rFonts w:ascii="Times New Roman" w:hAnsi="Times New Roman" w:cs="Times New Roman"/>
          <w:i/>
          <w:iCs/>
          <w:sz w:val="20"/>
          <w:szCs w:val="20"/>
        </w:rPr>
      </w:pPr>
      <w:r>
        <w:rPr>
          <w:rFonts w:ascii="Times New Roman" w:hAnsi="Times New Roman" w:cs="Times New Roman"/>
          <w:i/>
          <w:iCs/>
          <w:sz w:val="20"/>
          <w:szCs w:val="20"/>
        </w:rPr>
        <w:t>Prefeito</w:t>
      </w:r>
    </w:p>
    <w:p w14:paraId="544CB2F3" w14:textId="77777777" w:rsidR="00575174" w:rsidRDefault="00575174">
      <w:pPr>
        <w:jc w:val="center"/>
        <w:rPr>
          <w:rFonts w:ascii="Times New Roman" w:hAnsi="Times New Roman" w:cs="Times New Roman"/>
          <w:i/>
          <w:iCs/>
          <w:sz w:val="20"/>
          <w:szCs w:val="20"/>
        </w:rPr>
      </w:pPr>
    </w:p>
    <w:p w14:paraId="1D7A001A" w14:textId="77777777" w:rsidR="00575174" w:rsidRDefault="00575174">
      <w:pPr>
        <w:jc w:val="center"/>
        <w:rPr>
          <w:rFonts w:ascii="Times New Roman" w:hAnsi="Times New Roman" w:cs="Times New Roman"/>
          <w:i/>
          <w:iCs/>
          <w:sz w:val="20"/>
          <w:szCs w:val="20"/>
        </w:rPr>
      </w:pPr>
    </w:p>
    <w:p w14:paraId="193A8F9F" w14:textId="77777777" w:rsidR="00575174" w:rsidRDefault="00575174" w:rsidP="00EE5824">
      <w:pPr>
        <w:rPr>
          <w:rFonts w:ascii="Times New Roman" w:hAnsi="Times New Roman" w:cs="Times New Roman"/>
          <w:i/>
          <w:iCs/>
          <w:sz w:val="20"/>
          <w:szCs w:val="20"/>
        </w:rPr>
      </w:pPr>
    </w:p>
    <w:p w14:paraId="76A49236" w14:textId="77777777" w:rsidR="00575174" w:rsidRDefault="00575174">
      <w:pPr>
        <w:jc w:val="center"/>
        <w:rPr>
          <w:rFonts w:ascii="Times New Roman" w:hAnsi="Times New Roman" w:cs="Times New Roman"/>
          <w:i/>
          <w:iCs/>
          <w:sz w:val="20"/>
          <w:szCs w:val="20"/>
        </w:rPr>
      </w:pPr>
    </w:p>
    <w:p w14:paraId="228A1E73" w14:textId="77777777" w:rsidR="00575174" w:rsidRDefault="00575174">
      <w:pPr>
        <w:jc w:val="center"/>
        <w:rPr>
          <w:rFonts w:ascii="Times New Roman" w:hAnsi="Times New Roman" w:cs="Times New Roman"/>
          <w:i/>
          <w:iCs/>
          <w:sz w:val="20"/>
          <w:szCs w:val="20"/>
        </w:rPr>
      </w:pPr>
    </w:p>
    <w:p w14:paraId="27BEECEF" w14:textId="77777777" w:rsidR="00575174" w:rsidRDefault="00575174">
      <w:pPr>
        <w:jc w:val="center"/>
        <w:rPr>
          <w:rFonts w:ascii="Times New Roman" w:hAnsi="Times New Roman" w:cs="Times New Roman"/>
          <w:i/>
          <w:iCs/>
          <w:sz w:val="20"/>
          <w:szCs w:val="20"/>
        </w:rPr>
      </w:pPr>
    </w:p>
    <w:p w14:paraId="6294476B" w14:textId="77777777" w:rsidR="00575174" w:rsidRDefault="009F4508">
      <w:pPr>
        <w:pStyle w:val="Cabealho"/>
        <w:jc w:val="center"/>
        <w:rPr>
          <w:rFonts w:ascii="Times New Roman" w:hAnsi="Times New Roman" w:cs="Times New Roman"/>
          <w:i/>
          <w:iCs/>
          <w:sz w:val="20"/>
          <w:szCs w:val="20"/>
        </w:rPr>
      </w:pPr>
      <w:r>
        <w:rPr>
          <w:rFonts w:ascii="Times New Roman" w:hAnsi="Times New Roman" w:cs="Times New Roman"/>
          <w:i/>
          <w:iCs/>
          <w:sz w:val="20"/>
          <w:szCs w:val="20"/>
        </w:rPr>
        <w:t>Carolina da Costa Vianna</w:t>
      </w:r>
    </w:p>
    <w:p w14:paraId="6D84AF5B" w14:textId="77777777" w:rsidR="00575174" w:rsidRDefault="009F4508">
      <w:pPr>
        <w:pStyle w:val="Cabealho"/>
        <w:jc w:val="center"/>
        <w:rPr>
          <w:rFonts w:ascii="Times New Roman" w:hAnsi="Times New Roman" w:cs="Times New Roman"/>
          <w:i/>
          <w:iCs/>
          <w:sz w:val="20"/>
          <w:szCs w:val="20"/>
        </w:rPr>
      </w:pPr>
      <w:r>
        <w:rPr>
          <w:rFonts w:ascii="Times New Roman" w:hAnsi="Times New Roman" w:cs="Times New Roman"/>
          <w:i/>
          <w:iCs/>
          <w:sz w:val="20"/>
          <w:szCs w:val="20"/>
        </w:rPr>
        <w:t>Setor de Licitações</w:t>
      </w:r>
    </w:p>
    <w:p w14:paraId="16482DF2" w14:textId="77777777" w:rsidR="00575174" w:rsidRDefault="00575174">
      <w:pPr>
        <w:pStyle w:val="Cabealho"/>
        <w:rPr>
          <w:rFonts w:ascii="Times New Roman" w:hAnsi="Times New Roman" w:cs="Times New Roman"/>
          <w:i/>
          <w:iCs/>
          <w:sz w:val="20"/>
          <w:szCs w:val="20"/>
        </w:rPr>
      </w:pPr>
    </w:p>
    <w:p w14:paraId="63176B24" w14:textId="77777777" w:rsidR="00AA6F13" w:rsidRDefault="00AA6F13">
      <w:pPr>
        <w:pStyle w:val="Cabealho"/>
        <w:rPr>
          <w:rFonts w:ascii="Times New Roman" w:hAnsi="Times New Roman" w:cs="Times New Roman"/>
          <w:sz w:val="20"/>
          <w:szCs w:val="20"/>
        </w:rPr>
      </w:pPr>
    </w:p>
    <w:p w14:paraId="31402E71" w14:textId="77777777" w:rsidR="00575174" w:rsidRDefault="00575174">
      <w:pPr>
        <w:pStyle w:val="Cabealho"/>
        <w:rPr>
          <w:rFonts w:ascii="Times New Roman" w:hAnsi="Times New Roman" w:cs="Times New Roman"/>
          <w:sz w:val="20"/>
          <w:szCs w:val="20"/>
        </w:rPr>
      </w:pPr>
    </w:p>
    <w:p w14:paraId="0642626C" w14:textId="77777777" w:rsidR="00575174" w:rsidRDefault="009F4508">
      <w:pPr>
        <w:pStyle w:val="Cabealho"/>
        <w:jc w:val="center"/>
        <w:rPr>
          <w:rFonts w:ascii="Times New Roman" w:hAnsi="Times New Roman" w:cs="Times New Roman"/>
          <w:b/>
          <w:bCs/>
          <w:sz w:val="20"/>
          <w:szCs w:val="20"/>
        </w:rPr>
      </w:pPr>
      <w:r>
        <w:rPr>
          <w:rFonts w:ascii="Times New Roman" w:hAnsi="Times New Roman" w:cs="Times New Roman"/>
          <w:b/>
          <w:bCs/>
          <w:sz w:val="20"/>
          <w:szCs w:val="20"/>
        </w:rPr>
        <w:t>ANEXO I</w:t>
      </w:r>
    </w:p>
    <w:p w14:paraId="3BC673A5" w14:textId="77777777" w:rsidR="00575174" w:rsidRDefault="009F4508">
      <w:pPr>
        <w:pStyle w:val="Cabealho"/>
        <w:jc w:val="center"/>
        <w:rPr>
          <w:rFonts w:ascii="Times New Roman" w:hAnsi="Times New Roman" w:cs="Times New Roman"/>
          <w:sz w:val="20"/>
          <w:szCs w:val="20"/>
        </w:rPr>
      </w:pPr>
      <w:r>
        <w:rPr>
          <w:rFonts w:ascii="Times New Roman" w:hAnsi="Times New Roman" w:cs="Times New Roman"/>
          <w:b/>
          <w:bCs/>
          <w:sz w:val="20"/>
          <w:szCs w:val="20"/>
        </w:rPr>
        <w:t>TERMO DE REFERÊNCIA</w:t>
      </w:r>
    </w:p>
    <w:p w14:paraId="474F5370" w14:textId="5CE909A0" w:rsidR="00575174" w:rsidRDefault="00F4120B">
      <w:pPr>
        <w:pStyle w:val="Cabealho"/>
        <w:jc w:val="center"/>
        <w:rPr>
          <w:rFonts w:ascii="Times New Roman" w:hAnsi="Times New Roman" w:cs="Times New Roman"/>
          <w:sz w:val="20"/>
          <w:szCs w:val="20"/>
        </w:rPr>
      </w:pPr>
      <w:r>
        <w:rPr>
          <w:rFonts w:ascii="Times New Roman" w:hAnsi="Times New Roman" w:cs="Times New Roman"/>
          <w:sz w:val="20"/>
          <w:szCs w:val="20"/>
        </w:rPr>
        <w:t>AQUISIÇÃO DE PNEUS PARA TIGGO (235/55R 18)</w:t>
      </w:r>
    </w:p>
    <w:p w14:paraId="4940C900" w14:textId="2D0DD4A0" w:rsidR="00575174" w:rsidRDefault="009F4508">
      <w:pPr>
        <w:jc w:val="center"/>
        <w:rPr>
          <w:rFonts w:ascii="Times New Roman" w:hAnsi="Times New Roman" w:cs="Times New Roman"/>
          <w:sz w:val="20"/>
          <w:szCs w:val="20"/>
        </w:rPr>
      </w:pPr>
      <w:r>
        <w:rPr>
          <w:rFonts w:ascii="Times New Roman" w:hAnsi="Times New Roman" w:cs="Times New Roman"/>
          <w:sz w:val="20"/>
          <w:szCs w:val="20"/>
        </w:rPr>
        <w:t xml:space="preserve">(Processo Administrativo n° </w:t>
      </w:r>
      <w:r w:rsidR="007659FC">
        <w:rPr>
          <w:rFonts w:ascii="Times New Roman" w:hAnsi="Times New Roman" w:cs="Times New Roman"/>
          <w:sz w:val="20"/>
          <w:szCs w:val="20"/>
        </w:rPr>
        <w:t>278/2025</w:t>
      </w:r>
      <w:r>
        <w:rPr>
          <w:rFonts w:ascii="Times New Roman" w:hAnsi="Times New Roman" w:cs="Times New Roman"/>
          <w:sz w:val="20"/>
          <w:szCs w:val="20"/>
        </w:rPr>
        <w:t>)</w:t>
      </w:r>
    </w:p>
    <w:p w14:paraId="556BF29E" w14:textId="77777777" w:rsidR="00575174" w:rsidRDefault="009F4508">
      <w:pPr>
        <w:pStyle w:val="Nivel01"/>
        <w:numPr>
          <w:ilvl w:val="0"/>
          <w:numId w:val="0"/>
        </w:numPr>
        <w:spacing w:before="0" w:after="0" w:line="240" w:lineRule="auto"/>
        <w:rPr>
          <w:rFonts w:ascii="Times New Roman" w:hAnsi="Times New Roman" w:cs="Times New Roman"/>
          <w:color w:val="auto"/>
        </w:rPr>
      </w:pPr>
      <w:r>
        <w:rPr>
          <w:rFonts w:ascii="Times New Roman" w:hAnsi="Times New Roman" w:cs="Times New Roman"/>
          <w:color w:val="auto"/>
        </w:rPr>
        <w:t>1 – CONDIÇÕES GERAIS DA CONTRATAÇÃO</w:t>
      </w:r>
    </w:p>
    <w:p w14:paraId="29478DA3" w14:textId="0D9632FA" w:rsidR="00575174" w:rsidRDefault="009F4508">
      <w:pPr>
        <w:pStyle w:val="Cabealho"/>
        <w:rPr>
          <w:rFonts w:ascii="Times New Roman" w:hAnsi="Times New Roman" w:cs="Times New Roman"/>
          <w:sz w:val="20"/>
          <w:szCs w:val="20"/>
        </w:rPr>
      </w:pPr>
      <w:r>
        <w:rPr>
          <w:rFonts w:ascii="Times New Roman" w:hAnsi="Times New Roman" w:cs="Times New Roman"/>
          <w:sz w:val="20"/>
          <w:szCs w:val="20"/>
        </w:rPr>
        <w:t xml:space="preserve">1.1 – O objeto do presente termo é o Registro de Preço para </w:t>
      </w:r>
      <w:r w:rsidR="007659FC">
        <w:rPr>
          <w:rFonts w:ascii="Times New Roman" w:hAnsi="Times New Roman" w:cs="Times New Roman"/>
          <w:sz w:val="20"/>
          <w:szCs w:val="20"/>
        </w:rPr>
        <w:t>AQUISIÇÃO DE PNEUS PARA TIGGO (235/55R 18)</w:t>
      </w:r>
      <w:r>
        <w:rPr>
          <w:rFonts w:ascii="Times New Roman" w:hAnsi="Times New Roman" w:cs="Times New Roman"/>
          <w:sz w:val="20"/>
          <w:szCs w:val="20"/>
        </w:rPr>
        <w:t>nos termos da tabela abaixo, conforme condições e exigências estabelecidas neste instrumento.</w:t>
      </w:r>
    </w:p>
    <w:p w14:paraId="7FEA110E" w14:textId="77777777" w:rsidR="00575174" w:rsidRDefault="00575174">
      <w:pPr>
        <w:pStyle w:val="Cabealho"/>
        <w:rPr>
          <w:rFonts w:ascii="Times New Roman" w:hAnsi="Times New Roman" w:cs="Times New Roman"/>
          <w:sz w:val="20"/>
          <w:szCs w:val="20"/>
        </w:rPr>
      </w:pPr>
    </w:p>
    <w:tbl>
      <w:tblPr>
        <w:tblW w:w="8392" w:type="dxa"/>
        <w:jc w:val="center"/>
        <w:tblCellMar>
          <w:left w:w="70" w:type="dxa"/>
          <w:right w:w="70" w:type="dxa"/>
        </w:tblCellMar>
        <w:tblLook w:val="04A0" w:firstRow="1" w:lastRow="0" w:firstColumn="1" w:lastColumn="0" w:noHBand="0" w:noVBand="1"/>
      </w:tblPr>
      <w:tblGrid>
        <w:gridCol w:w="411"/>
        <w:gridCol w:w="6054"/>
        <w:gridCol w:w="631"/>
        <w:gridCol w:w="545"/>
        <w:gridCol w:w="851"/>
      </w:tblGrid>
      <w:tr w:rsidR="00EE5824" w:rsidRPr="00EE5824" w14:paraId="6F5C35E8" w14:textId="77777777" w:rsidTr="00EE5824">
        <w:trPr>
          <w:trHeight w:val="345"/>
          <w:jc w:val="center"/>
        </w:trPr>
        <w:tc>
          <w:tcPr>
            <w:tcW w:w="411" w:type="dxa"/>
            <w:tcBorders>
              <w:top w:val="single" w:sz="4" w:space="0" w:color="auto"/>
              <w:left w:val="single" w:sz="4" w:space="0" w:color="auto"/>
              <w:bottom w:val="single" w:sz="4" w:space="0" w:color="auto"/>
              <w:right w:val="single" w:sz="4" w:space="0" w:color="auto"/>
            </w:tcBorders>
            <w:shd w:val="clear" w:color="000000" w:fill="F0FFFF"/>
            <w:noWrap/>
            <w:vAlign w:val="center"/>
            <w:hideMark/>
          </w:tcPr>
          <w:p w14:paraId="56E736A8" w14:textId="77777777" w:rsidR="00EE5824" w:rsidRPr="00EE5824" w:rsidRDefault="00EE5824" w:rsidP="00EE5824">
            <w:pPr>
              <w:suppressAutoHyphens w:val="0"/>
              <w:jc w:val="center"/>
              <w:rPr>
                <w:rFonts w:ascii="Calibri" w:eastAsia="Times New Roman" w:hAnsi="Calibri" w:cs="Calibri"/>
                <w:b/>
                <w:bCs/>
                <w:color w:val="000000"/>
                <w:sz w:val="14"/>
                <w:szCs w:val="14"/>
              </w:rPr>
            </w:pPr>
            <w:r w:rsidRPr="00EE5824">
              <w:rPr>
                <w:rFonts w:ascii="Calibri" w:eastAsia="Times New Roman" w:hAnsi="Calibri" w:cs="Calibri"/>
                <w:b/>
                <w:bCs/>
                <w:color w:val="000000"/>
                <w:sz w:val="14"/>
                <w:szCs w:val="14"/>
              </w:rPr>
              <w:t>Item</w:t>
            </w:r>
          </w:p>
        </w:tc>
        <w:tc>
          <w:tcPr>
            <w:tcW w:w="6054" w:type="dxa"/>
            <w:tcBorders>
              <w:top w:val="single" w:sz="4" w:space="0" w:color="auto"/>
              <w:left w:val="nil"/>
              <w:bottom w:val="single" w:sz="4" w:space="0" w:color="auto"/>
              <w:right w:val="single" w:sz="4" w:space="0" w:color="auto"/>
            </w:tcBorders>
            <w:shd w:val="clear" w:color="000000" w:fill="F0FFFF"/>
            <w:noWrap/>
            <w:vAlign w:val="center"/>
            <w:hideMark/>
          </w:tcPr>
          <w:p w14:paraId="7F28C11D" w14:textId="77777777" w:rsidR="00EE5824" w:rsidRPr="00EE5824" w:rsidRDefault="00EE5824" w:rsidP="00EE5824">
            <w:pPr>
              <w:suppressAutoHyphens w:val="0"/>
              <w:jc w:val="center"/>
              <w:rPr>
                <w:rFonts w:ascii="Calibri" w:eastAsia="Times New Roman" w:hAnsi="Calibri" w:cs="Calibri"/>
                <w:b/>
                <w:bCs/>
                <w:color w:val="000000"/>
                <w:sz w:val="14"/>
                <w:szCs w:val="14"/>
              </w:rPr>
            </w:pPr>
            <w:r w:rsidRPr="00EE5824">
              <w:rPr>
                <w:rFonts w:ascii="Calibri" w:eastAsia="Times New Roman" w:hAnsi="Calibri" w:cs="Calibri"/>
                <w:b/>
                <w:bCs/>
                <w:color w:val="000000"/>
                <w:sz w:val="14"/>
                <w:szCs w:val="14"/>
              </w:rPr>
              <w:t>Descrição</w:t>
            </w:r>
          </w:p>
        </w:tc>
        <w:tc>
          <w:tcPr>
            <w:tcW w:w="531" w:type="dxa"/>
            <w:tcBorders>
              <w:top w:val="single" w:sz="4" w:space="0" w:color="auto"/>
              <w:left w:val="nil"/>
              <w:bottom w:val="single" w:sz="4" w:space="0" w:color="auto"/>
              <w:right w:val="single" w:sz="4" w:space="0" w:color="auto"/>
            </w:tcBorders>
            <w:shd w:val="clear" w:color="000000" w:fill="F0FFFF"/>
            <w:noWrap/>
            <w:vAlign w:val="center"/>
            <w:hideMark/>
          </w:tcPr>
          <w:p w14:paraId="59857FED" w14:textId="77777777" w:rsidR="00EE5824" w:rsidRPr="00EE5824" w:rsidRDefault="00EE5824" w:rsidP="00EE5824">
            <w:pPr>
              <w:suppressAutoHyphens w:val="0"/>
              <w:jc w:val="center"/>
              <w:rPr>
                <w:rFonts w:ascii="Calibri" w:eastAsia="Times New Roman" w:hAnsi="Calibri" w:cs="Calibri"/>
                <w:b/>
                <w:bCs/>
                <w:color w:val="000000"/>
                <w:sz w:val="14"/>
                <w:szCs w:val="14"/>
              </w:rPr>
            </w:pPr>
            <w:r w:rsidRPr="00EE5824">
              <w:rPr>
                <w:rFonts w:ascii="Calibri" w:eastAsia="Times New Roman" w:hAnsi="Calibri" w:cs="Calibri"/>
                <w:b/>
                <w:bCs/>
                <w:color w:val="000000"/>
                <w:sz w:val="14"/>
                <w:szCs w:val="14"/>
              </w:rPr>
              <w:t>Unidade</w:t>
            </w:r>
          </w:p>
        </w:tc>
        <w:tc>
          <w:tcPr>
            <w:tcW w:w="545" w:type="dxa"/>
            <w:tcBorders>
              <w:top w:val="single" w:sz="4" w:space="0" w:color="auto"/>
              <w:left w:val="nil"/>
              <w:bottom w:val="single" w:sz="4" w:space="0" w:color="auto"/>
              <w:right w:val="single" w:sz="4" w:space="0" w:color="auto"/>
            </w:tcBorders>
            <w:shd w:val="clear" w:color="000000" w:fill="F0FFFF"/>
            <w:noWrap/>
            <w:vAlign w:val="center"/>
            <w:hideMark/>
          </w:tcPr>
          <w:p w14:paraId="718993D1" w14:textId="5C56EB1B" w:rsidR="00EE5824" w:rsidRPr="00EE5824" w:rsidRDefault="00EE5824" w:rsidP="00EE5824">
            <w:pPr>
              <w:suppressAutoHyphens w:val="0"/>
              <w:jc w:val="center"/>
              <w:rPr>
                <w:rFonts w:ascii="Calibri" w:eastAsia="Times New Roman" w:hAnsi="Calibri" w:cs="Calibri"/>
                <w:b/>
                <w:bCs/>
                <w:color w:val="000000"/>
                <w:sz w:val="14"/>
                <w:szCs w:val="14"/>
              </w:rPr>
            </w:pPr>
            <w:r w:rsidRPr="00EE5824">
              <w:rPr>
                <w:rFonts w:ascii="Calibri" w:eastAsia="Times New Roman" w:hAnsi="Calibri" w:cs="Calibri"/>
                <w:b/>
                <w:bCs/>
                <w:color w:val="000000"/>
                <w:sz w:val="14"/>
                <w:szCs w:val="14"/>
              </w:rPr>
              <w:t>Quant.</w:t>
            </w:r>
          </w:p>
        </w:tc>
        <w:tc>
          <w:tcPr>
            <w:tcW w:w="851" w:type="dxa"/>
            <w:tcBorders>
              <w:top w:val="single" w:sz="4" w:space="0" w:color="auto"/>
              <w:left w:val="nil"/>
              <w:bottom w:val="single" w:sz="4" w:space="0" w:color="auto"/>
              <w:right w:val="single" w:sz="4" w:space="0" w:color="auto"/>
            </w:tcBorders>
            <w:shd w:val="clear" w:color="000000" w:fill="F0FFFF"/>
            <w:noWrap/>
            <w:vAlign w:val="center"/>
            <w:hideMark/>
          </w:tcPr>
          <w:p w14:paraId="45F8A845" w14:textId="77777777" w:rsidR="00EE5824" w:rsidRPr="00EE5824" w:rsidRDefault="00EE5824" w:rsidP="00EE5824">
            <w:pPr>
              <w:suppressAutoHyphens w:val="0"/>
              <w:jc w:val="center"/>
              <w:rPr>
                <w:rFonts w:ascii="Calibri" w:eastAsia="Times New Roman" w:hAnsi="Calibri" w:cs="Calibri"/>
                <w:b/>
                <w:bCs/>
                <w:color w:val="000000"/>
                <w:sz w:val="14"/>
                <w:szCs w:val="14"/>
              </w:rPr>
            </w:pPr>
            <w:r w:rsidRPr="00EE5824">
              <w:rPr>
                <w:rFonts w:ascii="Calibri" w:eastAsia="Times New Roman" w:hAnsi="Calibri" w:cs="Calibri"/>
                <w:b/>
                <w:bCs/>
                <w:color w:val="000000"/>
                <w:sz w:val="14"/>
                <w:szCs w:val="14"/>
              </w:rPr>
              <w:t>Preço Unit. Estimado</w:t>
            </w:r>
          </w:p>
        </w:tc>
      </w:tr>
      <w:tr w:rsidR="00EE5824" w:rsidRPr="00EE5824" w14:paraId="3C9CBF76" w14:textId="77777777" w:rsidTr="00EE5824">
        <w:trPr>
          <w:trHeight w:val="300"/>
          <w:jc w:val="center"/>
        </w:trPr>
        <w:tc>
          <w:tcPr>
            <w:tcW w:w="411" w:type="dxa"/>
            <w:tcBorders>
              <w:top w:val="nil"/>
              <w:left w:val="single" w:sz="4" w:space="0" w:color="auto"/>
              <w:bottom w:val="single" w:sz="4" w:space="0" w:color="auto"/>
              <w:right w:val="single" w:sz="4" w:space="0" w:color="auto"/>
            </w:tcBorders>
            <w:shd w:val="clear" w:color="auto" w:fill="auto"/>
            <w:noWrap/>
            <w:vAlign w:val="center"/>
            <w:hideMark/>
          </w:tcPr>
          <w:p w14:paraId="3F8CF320" w14:textId="77777777" w:rsidR="00EE5824" w:rsidRPr="00EE5824" w:rsidRDefault="00EE5824" w:rsidP="00EE5824">
            <w:pPr>
              <w:suppressAutoHyphens w:val="0"/>
              <w:jc w:val="center"/>
              <w:rPr>
                <w:rFonts w:ascii="Calibri" w:eastAsia="Times New Roman" w:hAnsi="Calibri" w:cs="Calibri"/>
                <w:color w:val="000000"/>
                <w:sz w:val="14"/>
                <w:szCs w:val="14"/>
              </w:rPr>
            </w:pPr>
            <w:r w:rsidRPr="00EE5824">
              <w:rPr>
                <w:rFonts w:ascii="Calibri" w:eastAsia="Times New Roman" w:hAnsi="Calibri" w:cs="Calibri"/>
                <w:color w:val="000000"/>
                <w:sz w:val="14"/>
                <w:szCs w:val="14"/>
              </w:rPr>
              <w:t>1</w:t>
            </w:r>
          </w:p>
        </w:tc>
        <w:tc>
          <w:tcPr>
            <w:tcW w:w="6054" w:type="dxa"/>
            <w:tcBorders>
              <w:top w:val="nil"/>
              <w:left w:val="nil"/>
              <w:bottom w:val="single" w:sz="4" w:space="0" w:color="auto"/>
              <w:right w:val="single" w:sz="4" w:space="0" w:color="auto"/>
            </w:tcBorders>
            <w:shd w:val="clear" w:color="auto" w:fill="auto"/>
            <w:noWrap/>
            <w:vAlign w:val="center"/>
            <w:hideMark/>
          </w:tcPr>
          <w:p w14:paraId="1D57F78E" w14:textId="77777777" w:rsidR="00EE5824" w:rsidRPr="00EE5824" w:rsidRDefault="00EE5824" w:rsidP="00EE5824">
            <w:pPr>
              <w:suppressAutoHyphens w:val="0"/>
              <w:spacing w:after="240"/>
              <w:jc w:val="center"/>
              <w:rPr>
                <w:rFonts w:ascii="Calibri" w:eastAsia="Times New Roman" w:hAnsi="Calibri" w:cs="Calibri"/>
                <w:color w:val="000000"/>
                <w:sz w:val="14"/>
                <w:szCs w:val="14"/>
              </w:rPr>
            </w:pPr>
            <w:r w:rsidRPr="00EE5824">
              <w:rPr>
                <w:rFonts w:ascii="Calibri" w:eastAsia="Times New Roman" w:hAnsi="Calibri" w:cs="Calibri"/>
                <w:color w:val="000000"/>
                <w:sz w:val="14"/>
                <w:szCs w:val="14"/>
              </w:rPr>
              <w:t>PNEU NOVO 235/55R 18 104 V - DEVENDO ATENDER AOS SEGUINTES CRITÉRIOS DA ENCE - INMETRO</w:t>
            </w:r>
            <w:r w:rsidRPr="00EE5824">
              <w:rPr>
                <w:rFonts w:ascii="Calibri" w:eastAsia="Times New Roman" w:hAnsi="Calibri" w:cs="Calibri"/>
                <w:color w:val="000000"/>
                <w:sz w:val="14"/>
                <w:szCs w:val="14"/>
              </w:rPr>
              <w:br/>
            </w:r>
            <w:r w:rsidRPr="00EE5824">
              <w:rPr>
                <w:rFonts w:ascii="Calibri" w:eastAsia="Times New Roman" w:hAnsi="Calibri" w:cs="Calibri"/>
                <w:color w:val="000000"/>
                <w:sz w:val="14"/>
                <w:szCs w:val="14"/>
              </w:rPr>
              <w:br/>
              <w:t>EFICIÊNCIA ENERGÉTICA ( OU DE COMBUSTÍVEL) : CLASSIFICAÇÃO B OU A;</w:t>
            </w:r>
            <w:r w:rsidRPr="00EE5824">
              <w:rPr>
                <w:rFonts w:ascii="Calibri" w:eastAsia="Times New Roman" w:hAnsi="Calibri" w:cs="Calibri"/>
                <w:color w:val="000000"/>
                <w:sz w:val="14"/>
                <w:szCs w:val="14"/>
              </w:rPr>
              <w:br/>
            </w:r>
            <w:r w:rsidRPr="00EE5824">
              <w:rPr>
                <w:rFonts w:ascii="Calibri" w:eastAsia="Times New Roman" w:hAnsi="Calibri" w:cs="Calibri"/>
                <w:color w:val="000000"/>
                <w:sz w:val="14"/>
                <w:szCs w:val="14"/>
              </w:rPr>
              <w:br/>
              <w:t>EFICIÊNCIA DE ADERÊNCIA EM PISTA MOLHADA : CLASSIFICAÇÃO B OU A;</w:t>
            </w:r>
            <w:r w:rsidRPr="00EE5824">
              <w:rPr>
                <w:rFonts w:ascii="Calibri" w:eastAsia="Times New Roman" w:hAnsi="Calibri" w:cs="Calibri"/>
                <w:color w:val="000000"/>
                <w:sz w:val="14"/>
                <w:szCs w:val="14"/>
              </w:rPr>
              <w:br/>
            </w:r>
            <w:r w:rsidRPr="00EE5824">
              <w:rPr>
                <w:rFonts w:ascii="Calibri" w:eastAsia="Times New Roman" w:hAnsi="Calibri" w:cs="Calibri"/>
                <w:color w:val="000000"/>
                <w:sz w:val="14"/>
                <w:szCs w:val="14"/>
              </w:rPr>
              <w:br/>
              <w:t>NÍVEL DE RUÍDO EXTERNO: MÁXIMO 70 dB;</w:t>
            </w:r>
            <w:r w:rsidRPr="00EE5824">
              <w:rPr>
                <w:rFonts w:ascii="Calibri" w:eastAsia="Times New Roman" w:hAnsi="Calibri" w:cs="Calibri"/>
                <w:color w:val="000000"/>
                <w:sz w:val="14"/>
                <w:szCs w:val="14"/>
              </w:rPr>
              <w:br/>
            </w:r>
            <w:r w:rsidRPr="00EE5824">
              <w:rPr>
                <w:rFonts w:ascii="Calibri" w:eastAsia="Times New Roman" w:hAnsi="Calibri" w:cs="Calibri"/>
                <w:color w:val="000000"/>
                <w:sz w:val="14"/>
                <w:szCs w:val="14"/>
              </w:rPr>
              <w:br/>
              <w:t>INDICE DE CARGA E VELOCIDADE: MÍNIMO 104V ( EQUIVALENTE A 900 KG E 240 KM/H) OU SUPERIOR.</w:t>
            </w:r>
            <w:r w:rsidRPr="00EE5824">
              <w:rPr>
                <w:rFonts w:ascii="Calibri" w:eastAsia="Times New Roman" w:hAnsi="Calibri" w:cs="Calibri"/>
                <w:color w:val="000000"/>
                <w:sz w:val="14"/>
                <w:szCs w:val="14"/>
              </w:rPr>
              <w:br/>
            </w:r>
          </w:p>
        </w:tc>
        <w:tc>
          <w:tcPr>
            <w:tcW w:w="531" w:type="dxa"/>
            <w:tcBorders>
              <w:top w:val="nil"/>
              <w:left w:val="nil"/>
              <w:bottom w:val="single" w:sz="4" w:space="0" w:color="auto"/>
              <w:right w:val="single" w:sz="4" w:space="0" w:color="auto"/>
            </w:tcBorders>
            <w:shd w:val="clear" w:color="auto" w:fill="auto"/>
            <w:noWrap/>
            <w:vAlign w:val="center"/>
            <w:hideMark/>
          </w:tcPr>
          <w:p w14:paraId="52C0CFC3" w14:textId="77777777" w:rsidR="00EE5824" w:rsidRPr="00EE5824" w:rsidRDefault="00EE5824" w:rsidP="00EE5824">
            <w:pPr>
              <w:suppressAutoHyphens w:val="0"/>
              <w:jc w:val="center"/>
              <w:rPr>
                <w:rFonts w:ascii="Calibri" w:eastAsia="Times New Roman" w:hAnsi="Calibri" w:cs="Calibri"/>
                <w:color w:val="000000"/>
                <w:sz w:val="14"/>
                <w:szCs w:val="14"/>
              </w:rPr>
            </w:pPr>
            <w:r w:rsidRPr="00EE5824">
              <w:rPr>
                <w:rFonts w:ascii="Calibri" w:eastAsia="Times New Roman" w:hAnsi="Calibri" w:cs="Calibri"/>
                <w:color w:val="000000"/>
                <w:sz w:val="14"/>
                <w:szCs w:val="14"/>
              </w:rPr>
              <w:t>UN</w:t>
            </w:r>
          </w:p>
        </w:tc>
        <w:tc>
          <w:tcPr>
            <w:tcW w:w="545" w:type="dxa"/>
            <w:tcBorders>
              <w:top w:val="nil"/>
              <w:left w:val="nil"/>
              <w:bottom w:val="single" w:sz="4" w:space="0" w:color="auto"/>
              <w:right w:val="single" w:sz="4" w:space="0" w:color="auto"/>
            </w:tcBorders>
            <w:shd w:val="clear" w:color="auto" w:fill="auto"/>
            <w:noWrap/>
            <w:vAlign w:val="center"/>
            <w:hideMark/>
          </w:tcPr>
          <w:p w14:paraId="49EF4920" w14:textId="77777777" w:rsidR="00EE5824" w:rsidRPr="00EE5824" w:rsidRDefault="00EE5824" w:rsidP="00EE5824">
            <w:pPr>
              <w:suppressAutoHyphens w:val="0"/>
              <w:jc w:val="center"/>
              <w:rPr>
                <w:rFonts w:ascii="Calibri" w:eastAsia="Times New Roman" w:hAnsi="Calibri" w:cs="Calibri"/>
                <w:color w:val="000000"/>
                <w:sz w:val="14"/>
                <w:szCs w:val="14"/>
              </w:rPr>
            </w:pPr>
            <w:r w:rsidRPr="00EE5824">
              <w:rPr>
                <w:rFonts w:ascii="Calibri" w:eastAsia="Times New Roman" w:hAnsi="Calibri" w:cs="Calibri"/>
                <w:color w:val="000000"/>
                <w:sz w:val="14"/>
                <w:szCs w:val="14"/>
              </w:rPr>
              <w:t>12</w:t>
            </w:r>
          </w:p>
        </w:tc>
        <w:tc>
          <w:tcPr>
            <w:tcW w:w="851" w:type="dxa"/>
            <w:tcBorders>
              <w:top w:val="nil"/>
              <w:left w:val="nil"/>
              <w:bottom w:val="single" w:sz="4" w:space="0" w:color="auto"/>
              <w:right w:val="single" w:sz="4" w:space="0" w:color="auto"/>
            </w:tcBorders>
            <w:shd w:val="clear" w:color="auto" w:fill="auto"/>
            <w:noWrap/>
            <w:vAlign w:val="center"/>
            <w:hideMark/>
          </w:tcPr>
          <w:p w14:paraId="7BD52FEE" w14:textId="77777777" w:rsidR="00EE5824" w:rsidRPr="00EE5824" w:rsidRDefault="00EE5824" w:rsidP="00EE5824">
            <w:pPr>
              <w:suppressAutoHyphens w:val="0"/>
              <w:jc w:val="center"/>
              <w:rPr>
                <w:rFonts w:ascii="Calibri" w:eastAsia="Times New Roman" w:hAnsi="Calibri" w:cs="Calibri"/>
                <w:color w:val="000000"/>
                <w:sz w:val="14"/>
                <w:szCs w:val="14"/>
              </w:rPr>
            </w:pPr>
            <w:r w:rsidRPr="00EE5824">
              <w:rPr>
                <w:rFonts w:ascii="Calibri" w:eastAsia="Times New Roman" w:hAnsi="Calibri" w:cs="Calibri"/>
                <w:color w:val="000000"/>
                <w:sz w:val="14"/>
                <w:szCs w:val="14"/>
              </w:rPr>
              <w:t>R$ 1.229,48</w:t>
            </w:r>
          </w:p>
        </w:tc>
      </w:tr>
    </w:tbl>
    <w:p w14:paraId="1D1805D6" w14:textId="77777777" w:rsidR="00EE5824" w:rsidRDefault="00EE5824">
      <w:pPr>
        <w:pStyle w:val="Cabealho"/>
        <w:rPr>
          <w:rFonts w:ascii="Times New Roman" w:hAnsi="Times New Roman" w:cs="Times New Roman"/>
          <w:sz w:val="20"/>
          <w:szCs w:val="20"/>
        </w:rPr>
      </w:pPr>
    </w:p>
    <w:p w14:paraId="519D453D" w14:textId="77777777" w:rsidR="00575174" w:rsidRDefault="009F4508">
      <w:pPr>
        <w:pStyle w:val="Nivel2"/>
        <w:numPr>
          <w:ilvl w:val="0"/>
          <w:numId w:val="0"/>
        </w:numPr>
        <w:spacing w:before="0" w:after="0" w:line="240" w:lineRule="auto"/>
        <w:rPr>
          <w:rFonts w:ascii="Times New Roman" w:hAnsi="Times New Roman" w:cs="Times New Roman"/>
          <w:color w:val="auto"/>
        </w:rPr>
      </w:pPr>
      <w:r>
        <w:rPr>
          <w:rFonts w:ascii="Times New Roman" w:hAnsi="Times New Roman" w:cs="Times New Roman"/>
          <w:color w:val="auto"/>
        </w:rPr>
        <w:t>1.2 – O objeto desta contratação não se enquadra como sendo de bem de luxo, conforme Decreto Municipal nº 5.452, de 05 de setembro de 2024.</w:t>
      </w:r>
    </w:p>
    <w:p w14:paraId="19761871" w14:textId="77777777" w:rsidR="00575174" w:rsidRDefault="009F4508">
      <w:pPr>
        <w:pStyle w:val="Nivel2"/>
        <w:numPr>
          <w:ilvl w:val="0"/>
          <w:numId w:val="0"/>
        </w:numPr>
        <w:spacing w:before="0" w:after="0" w:line="240" w:lineRule="auto"/>
        <w:rPr>
          <w:rFonts w:ascii="Times New Roman" w:hAnsi="Times New Roman" w:cs="Times New Roman"/>
          <w:color w:val="auto"/>
        </w:rPr>
      </w:pPr>
      <w:r>
        <w:rPr>
          <w:rFonts w:ascii="Times New Roman" w:hAnsi="Times New Roman" w:cs="Times New Roman"/>
          <w:color w:val="auto"/>
        </w:rPr>
        <w:t>1.3 – Os bens objeto desta contratação são caracterizados como comuns, nos termos do art. 6º, inciso XIII, da Lei nº 14.133/2021.</w:t>
      </w:r>
    </w:p>
    <w:p w14:paraId="62947460" w14:textId="77777777" w:rsidR="00575174" w:rsidRDefault="009F4508">
      <w:pPr>
        <w:pStyle w:val="Nivel2"/>
        <w:numPr>
          <w:ilvl w:val="0"/>
          <w:numId w:val="0"/>
        </w:numPr>
        <w:spacing w:before="0" w:after="0" w:line="240" w:lineRule="auto"/>
        <w:rPr>
          <w:rFonts w:ascii="Times New Roman" w:hAnsi="Times New Roman" w:cs="Times New Roman"/>
          <w:b/>
          <w:color w:val="auto"/>
        </w:rPr>
      </w:pPr>
      <w:r>
        <w:rPr>
          <w:rFonts w:ascii="Times New Roman" w:hAnsi="Times New Roman" w:cs="Times New Roman"/>
          <w:b/>
          <w:color w:val="auto"/>
        </w:rPr>
        <w:t>2 – PRAZO DE VIGÊNCIA</w:t>
      </w:r>
    </w:p>
    <w:p w14:paraId="74417218" w14:textId="77777777" w:rsidR="00575174" w:rsidRDefault="009F4508">
      <w:pPr>
        <w:pStyle w:val="Nivel2"/>
        <w:numPr>
          <w:ilvl w:val="0"/>
          <w:numId w:val="0"/>
        </w:numPr>
        <w:spacing w:before="0" w:after="0" w:line="240" w:lineRule="auto"/>
        <w:rPr>
          <w:rFonts w:ascii="Times New Roman" w:hAnsi="Times New Roman" w:cs="Times New Roman"/>
          <w:color w:val="auto"/>
        </w:rPr>
      </w:pPr>
      <w:r>
        <w:rPr>
          <w:rFonts w:ascii="Times New Roman" w:hAnsi="Times New Roman" w:cs="Times New Roman"/>
          <w:color w:val="auto"/>
        </w:rPr>
        <w:t>2.1 – O prazo de vigência da Ata é de 12 (doze) meses contados da data de sua assinatura, podendo ser prorrogada, nos termos da Lei nº 14.133/2021.</w:t>
      </w:r>
    </w:p>
    <w:p w14:paraId="0DC30027" w14:textId="77777777" w:rsidR="00575174" w:rsidRDefault="009F4508">
      <w:pPr>
        <w:pStyle w:val="Nvel2-Red"/>
        <w:numPr>
          <w:ilvl w:val="0"/>
          <w:numId w:val="0"/>
        </w:numPr>
        <w:shd w:val="clear" w:color="FFFFFF" w:themeColor="background1" w:fill="FFFFFF" w:themeFill="background1"/>
        <w:spacing w:before="0" w:after="0" w:line="240" w:lineRule="auto"/>
        <w:rPr>
          <w:rFonts w:ascii="Times New Roman" w:hAnsi="Times New Roman" w:cs="Times New Roman"/>
          <w:iCs w:val="0"/>
          <w:color w:val="auto"/>
        </w:rPr>
      </w:pPr>
      <w:r>
        <w:rPr>
          <w:rFonts w:ascii="Times New Roman" w:hAnsi="Times New Roman" w:cs="Times New Roman"/>
          <w:i w:val="0"/>
          <w:iCs w:val="0"/>
          <w:color w:val="auto"/>
        </w:rPr>
        <w:t xml:space="preserve">2.2 – </w:t>
      </w:r>
      <w:r>
        <w:rPr>
          <w:rFonts w:ascii="Times New Roman" w:hAnsi="Times New Roman" w:cs="Times New Roman"/>
          <w:i w:val="0"/>
          <w:iCs w:val="0"/>
          <w:color w:val="auto"/>
          <w:highlight w:val="white"/>
        </w:rPr>
        <w:t>O prazo de vigência dos contratos originados através da Ata de Registro de Preços até 31/12/2025, para o exercício de 2025, na forma do artigo 105 da Lei n° 14.133, de 2021.</w:t>
      </w:r>
    </w:p>
    <w:p w14:paraId="0CE98E58" w14:textId="77777777" w:rsidR="00575174" w:rsidRDefault="009F4508">
      <w:pPr>
        <w:pStyle w:val="Nivel01"/>
        <w:numPr>
          <w:ilvl w:val="0"/>
          <w:numId w:val="0"/>
        </w:numPr>
        <w:tabs>
          <w:tab w:val="clear" w:pos="567"/>
          <w:tab w:val="left" w:pos="426"/>
        </w:tabs>
        <w:spacing w:before="0" w:after="0" w:line="240" w:lineRule="auto"/>
        <w:rPr>
          <w:rFonts w:ascii="Times New Roman" w:hAnsi="Times New Roman" w:cs="Times New Roman"/>
          <w:color w:val="auto"/>
        </w:rPr>
      </w:pPr>
      <w:r>
        <w:rPr>
          <w:rFonts w:ascii="Times New Roman" w:hAnsi="Times New Roman" w:cs="Times New Roman"/>
          <w:color w:val="auto"/>
        </w:rPr>
        <w:t>3 – FUNDAMENTAÇÃO E DESCRIÇÃO DA NECESSIDADE DA CONTRATAÇÃO</w:t>
      </w:r>
    </w:p>
    <w:p w14:paraId="770685F4" w14:textId="77777777" w:rsidR="00575174" w:rsidRDefault="009F4508">
      <w:pPr>
        <w:pStyle w:val="Nivel2"/>
        <w:numPr>
          <w:ilvl w:val="0"/>
          <w:numId w:val="0"/>
        </w:numPr>
        <w:tabs>
          <w:tab w:val="left" w:pos="426"/>
        </w:tabs>
        <w:spacing w:before="0" w:after="0" w:line="240" w:lineRule="auto"/>
        <w:rPr>
          <w:rFonts w:ascii="Times New Roman" w:hAnsi="Times New Roman" w:cs="Times New Roman"/>
          <w:color w:val="auto"/>
        </w:rPr>
      </w:pPr>
      <w:r>
        <w:rPr>
          <w:rFonts w:ascii="Times New Roman" w:hAnsi="Times New Roman" w:cs="Times New Roman"/>
          <w:color w:val="auto"/>
        </w:rPr>
        <w:t>3.1 – A Fundamentação da Contratação e de seus quantitativos encontra-se pormenorizada em Tópico específico do ETP – Estudo Técnico Preliminar, anexo a esse edital</w:t>
      </w:r>
    </w:p>
    <w:p w14:paraId="504DE67D" w14:textId="77777777" w:rsidR="00575174" w:rsidRDefault="009F4508">
      <w:pPr>
        <w:pStyle w:val="Nivel01"/>
        <w:numPr>
          <w:ilvl w:val="0"/>
          <w:numId w:val="0"/>
        </w:numPr>
        <w:spacing w:before="0" w:after="0" w:line="240" w:lineRule="auto"/>
        <w:rPr>
          <w:rFonts w:ascii="Times New Roman" w:hAnsi="Times New Roman" w:cs="Times New Roman"/>
          <w:color w:val="auto"/>
        </w:rPr>
      </w:pPr>
      <w:r>
        <w:rPr>
          <w:rFonts w:ascii="Times New Roman" w:hAnsi="Times New Roman" w:cs="Times New Roman"/>
          <w:color w:val="auto"/>
        </w:rPr>
        <w:t>4 – DESCRIÇÃO DA SOLUÇÃO COMO UM TODO CONSIDERADO O CICLO DE VIDA DO OBJETO E ESPECIFICAÇÃO DO PRODUTO</w:t>
      </w:r>
    </w:p>
    <w:p w14:paraId="57902532" w14:textId="77777777" w:rsidR="00575174" w:rsidRDefault="009F4508">
      <w:pPr>
        <w:pStyle w:val="Nivel01"/>
        <w:numPr>
          <w:ilvl w:val="0"/>
          <w:numId w:val="0"/>
        </w:numPr>
        <w:spacing w:before="0" w:after="0" w:line="240" w:lineRule="auto"/>
        <w:rPr>
          <w:rFonts w:ascii="Times New Roman" w:hAnsi="Times New Roman" w:cs="Times New Roman"/>
          <w:b w:val="0"/>
          <w:bCs w:val="0"/>
          <w:color w:val="auto"/>
        </w:rPr>
      </w:pPr>
      <w:r>
        <w:rPr>
          <w:rFonts w:ascii="Times New Roman" w:hAnsi="Times New Roman" w:cs="Times New Roman"/>
          <w:b w:val="0"/>
          <w:bCs w:val="0"/>
          <w:color w:val="auto"/>
        </w:rPr>
        <w:t>4.1 – A descrição da solução como um todo se encontra pormenorizada em tópico específico do ETP – Estudo Técnico Preliminar, anexo a esse edital.</w:t>
      </w:r>
    </w:p>
    <w:p w14:paraId="4FEFDC8F" w14:textId="77777777" w:rsidR="00575174" w:rsidRDefault="009F4508">
      <w:pPr>
        <w:pStyle w:val="Nivel01"/>
        <w:numPr>
          <w:ilvl w:val="0"/>
          <w:numId w:val="0"/>
        </w:numPr>
        <w:spacing w:before="0" w:after="0" w:line="240" w:lineRule="auto"/>
        <w:rPr>
          <w:rFonts w:ascii="Times New Roman" w:hAnsi="Times New Roman" w:cs="Times New Roman"/>
          <w:color w:val="auto"/>
        </w:rPr>
      </w:pPr>
      <w:r>
        <w:rPr>
          <w:rFonts w:ascii="Times New Roman" w:hAnsi="Times New Roman" w:cs="Times New Roman"/>
          <w:color w:val="auto"/>
        </w:rPr>
        <w:t>5 – REQUISITOS DA CONTRATAÇÃO</w:t>
      </w:r>
    </w:p>
    <w:p w14:paraId="3FED3B48" w14:textId="77777777" w:rsidR="00575174" w:rsidRDefault="009F4508">
      <w:pPr>
        <w:tabs>
          <w:tab w:val="left" w:pos="284"/>
          <w:tab w:val="left" w:pos="426"/>
          <w:tab w:val="left" w:pos="567"/>
          <w:tab w:val="left" w:pos="851"/>
        </w:tabs>
        <w:jc w:val="both"/>
        <w:rPr>
          <w:rFonts w:ascii="Times New Roman" w:hAnsi="Times New Roman" w:cs="Times New Roman"/>
          <w:iCs/>
          <w:sz w:val="20"/>
          <w:szCs w:val="20"/>
        </w:rPr>
      </w:pPr>
      <w:r>
        <w:rPr>
          <w:rFonts w:ascii="Times New Roman" w:hAnsi="Times New Roman" w:cs="Times New Roman"/>
          <w:sz w:val="20"/>
          <w:szCs w:val="20"/>
        </w:rPr>
        <w:t>5.1 – A contratação deverá observar os requisitos constantes no ETP</w:t>
      </w:r>
    </w:p>
    <w:p w14:paraId="0B081120" w14:textId="77777777" w:rsidR="00575174" w:rsidRDefault="009F4508">
      <w:pPr>
        <w:pStyle w:val="Nvel1-SemNum"/>
        <w:spacing w:before="0" w:after="0" w:line="240" w:lineRule="auto"/>
        <w:ind w:left="0"/>
        <w:rPr>
          <w:rFonts w:ascii="Times New Roman" w:hAnsi="Times New Roman" w:cs="Times New Roman"/>
          <w:b w:val="0"/>
          <w:color w:val="auto"/>
        </w:rPr>
      </w:pPr>
      <w:r>
        <w:rPr>
          <w:rFonts w:ascii="Times New Roman" w:hAnsi="Times New Roman" w:cs="Times New Roman"/>
          <w:b w:val="0"/>
          <w:color w:val="auto"/>
        </w:rPr>
        <w:t>5.1.2 – SUBCONTRATAÇÃO</w:t>
      </w:r>
    </w:p>
    <w:p w14:paraId="4F85B58B" w14:textId="77777777" w:rsidR="00575174" w:rsidRDefault="009F4508">
      <w:pPr>
        <w:pStyle w:val="Nivel2"/>
        <w:numPr>
          <w:ilvl w:val="0"/>
          <w:numId w:val="0"/>
        </w:numPr>
        <w:spacing w:before="0" w:after="0" w:line="240" w:lineRule="auto"/>
        <w:ind w:left="708"/>
        <w:rPr>
          <w:rFonts w:ascii="Times New Roman" w:hAnsi="Times New Roman" w:cs="Times New Roman"/>
          <w:color w:val="auto"/>
        </w:rPr>
      </w:pPr>
      <w:r>
        <w:rPr>
          <w:rFonts w:ascii="Times New Roman" w:hAnsi="Times New Roman" w:cs="Times New Roman"/>
          <w:color w:val="auto"/>
        </w:rPr>
        <w:t>5.1.2.1 – Não é admitida a subcontratação do objeto contratual.</w:t>
      </w:r>
    </w:p>
    <w:p w14:paraId="579262D2" w14:textId="77777777" w:rsidR="00575174" w:rsidRDefault="009F4508">
      <w:pPr>
        <w:pStyle w:val="Nvel1-SemNum"/>
        <w:spacing w:before="0" w:after="0" w:line="240" w:lineRule="auto"/>
        <w:ind w:left="0"/>
        <w:rPr>
          <w:rFonts w:ascii="Times New Roman" w:hAnsi="Times New Roman" w:cs="Times New Roman"/>
          <w:b w:val="0"/>
          <w:color w:val="auto"/>
        </w:rPr>
      </w:pPr>
      <w:r>
        <w:rPr>
          <w:rFonts w:ascii="Times New Roman" w:hAnsi="Times New Roman" w:cs="Times New Roman"/>
          <w:b w:val="0"/>
          <w:color w:val="auto"/>
        </w:rPr>
        <w:t>5.1.3 – GARANTIA DA CONTRATAÇÃO</w:t>
      </w:r>
    </w:p>
    <w:p w14:paraId="25E5FD83" w14:textId="77777777" w:rsidR="00575174" w:rsidRDefault="009F4508">
      <w:pPr>
        <w:pStyle w:val="Nvel2-Red"/>
        <w:numPr>
          <w:ilvl w:val="0"/>
          <w:numId w:val="0"/>
        </w:numPr>
        <w:spacing w:before="0" w:after="0" w:line="240" w:lineRule="auto"/>
        <w:ind w:left="708"/>
        <w:rPr>
          <w:rFonts w:ascii="Times New Roman" w:hAnsi="Times New Roman" w:cs="Times New Roman"/>
          <w:iCs w:val="0"/>
          <w:color w:val="auto"/>
        </w:rPr>
      </w:pPr>
      <w:r>
        <w:rPr>
          <w:rFonts w:ascii="Times New Roman" w:hAnsi="Times New Roman" w:cs="Times New Roman"/>
          <w:i w:val="0"/>
          <w:iCs w:val="0"/>
          <w:color w:val="auto"/>
        </w:rPr>
        <w:t>5.1.3.1 – Garantia mínima dos serviços deverá observar os requisitos constantes no ETP.</w:t>
      </w:r>
    </w:p>
    <w:p w14:paraId="033B61A9" w14:textId="77777777" w:rsidR="00575174" w:rsidRDefault="009F4508">
      <w:pPr>
        <w:pStyle w:val="Nivel01"/>
        <w:numPr>
          <w:ilvl w:val="0"/>
          <w:numId w:val="0"/>
        </w:numPr>
        <w:spacing w:before="0" w:after="0" w:line="240" w:lineRule="auto"/>
        <w:rPr>
          <w:rFonts w:ascii="Times New Roman" w:hAnsi="Times New Roman" w:cs="Times New Roman"/>
          <w:color w:val="auto"/>
        </w:rPr>
      </w:pPr>
      <w:r>
        <w:rPr>
          <w:rFonts w:ascii="Times New Roman" w:hAnsi="Times New Roman" w:cs="Times New Roman"/>
          <w:color w:val="auto"/>
        </w:rPr>
        <w:t xml:space="preserve">6 – </w:t>
      </w:r>
      <w:r>
        <w:rPr>
          <w:rFonts w:ascii="Times New Roman" w:eastAsia="Calibri" w:hAnsi="Times New Roman" w:cs="Times New Roman"/>
          <w:color w:val="auto"/>
        </w:rPr>
        <w:t>MODELO DE EXECUÇÃO DO OBJETO</w:t>
      </w:r>
    </w:p>
    <w:p w14:paraId="181E466C" w14:textId="77777777" w:rsidR="00575174" w:rsidRDefault="009F4508">
      <w:pPr>
        <w:pStyle w:val="PargrafodaLista"/>
        <w:numPr>
          <w:ilvl w:val="0"/>
          <w:numId w:val="5"/>
        </w:numPr>
        <w:spacing w:after="240"/>
        <w:rPr>
          <w:rFonts w:ascii="Times New Roman" w:hAnsi="Times New Roman" w:cs="Times New Roman"/>
          <w:sz w:val="20"/>
          <w:szCs w:val="20"/>
        </w:rPr>
      </w:pPr>
      <w:r>
        <w:rPr>
          <w:rFonts w:ascii="Times New Roman" w:hAnsi="Times New Roman" w:cs="Times New Roman"/>
          <w:sz w:val="20"/>
          <w:szCs w:val="20"/>
        </w:rPr>
        <w:t>Os serviços objeto deste Termo de Referência serão prestados de forma indireta.</w:t>
      </w:r>
    </w:p>
    <w:p w14:paraId="5C804F4A" w14:textId="77777777" w:rsidR="00575174" w:rsidRDefault="009F4508">
      <w:pPr>
        <w:pStyle w:val="PargrafodaLista"/>
        <w:numPr>
          <w:ilvl w:val="0"/>
          <w:numId w:val="5"/>
        </w:numPr>
        <w:spacing w:before="240" w:after="240"/>
        <w:rPr>
          <w:rFonts w:ascii="Times New Roman" w:hAnsi="Times New Roman" w:cs="Times New Roman"/>
          <w:sz w:val="20"/>
          <w:szCs w:val="20"/>
        </w:rPr>
      </w:pPr>
      <w:r>
        <w:rPr>
          <w:rFonts w:ascii="Times New Roman" w:hAnsi="Times New Roman" w:cs="Times New Roman"/>
          <w:sz w:val="20"/>
          <w:szCs w:val="20"/>
        </w:rPr>
        <w:t xml:space="preserve"> Os serviços deverão ser executados no prazo de vigência do contrato, que será de (X) meses, contados a partir da assinatura do contrato com a efetiva prestação dos serviços nos locais a serem definidos pela Administração, de forma parcelada, a partir das ordens de serviços.</w:t>
      </w:r>
    </w:p>
    <w:p w14:paraId="416EA140" w14:textId="77777777" w:rsidR="00575174" w:rsidRDefault="009F4508">
      <w:pPr>
        <w:pStyle w:val="PargrafodaLista"/>
        <w:numPr>
          <w:ilvl w:val="0"/>
          <w:numId w:val="5"/>
        </w:numPr>
        <w:spacing w:before="240" w:after="240"/>
        <w:rPr>
          <w:rFonts w:ascii="Times New Roman" w:hAnsi="Times New Roman" w:cs="Times New Roman"/>
          <w:sz w:val="20"/>
          <w:szCs w:val="20"/>
        </w:rPr>
      </w:pPr>
      <w:r>
        <w:rPr>
          <w:rFonts w:ascii="Times New Roman" w:hAnsi="Times New Roman" w:cs="Times New Roman"/>
          <w:sz w:val="20"/>
          <w:szCs w:val="20"/>
        </w:rPr>
        <w:t xml:space="preserve"> O Serviço prestado deve ser analisado e avalizado pelo fiscal do contrato, emitida autorização e devidamente assinada pela Autoridade Competente da CONTRATANTE.</w:t>
      </w:r>
    </w:p>
    <w:p w14:paraId="4C2CE625" w14:textId="77777777" w:rsidR="00575174" w:rsidRDefault="009F4508">
      <w:pPr>
        <w:pStyle w:val="PargrafodaLista"/>
        <w:numPr>
          <w:ilvl w:val="0"/>
          <w:numId w:val="5"/>
        </w:numPr>
        <w:spacing w:before="240" w:after="240"/>
        <w:rPr>
          <w:rFonts w:ascii="Times New Roman" w:hAnsi="Times New Roman" w:cs="Times New Roman"/>
          <w:sz w:val="20"/>
          <w:szCs w:val="20"/>
        </w:rPr>
      </w:pPr>
      <w:r>
        <w:rPr>
          <w:rFonts w:ascii="Times New Roman" w:hAnsi="Times New Roman" w:cs="Times New Roman"/>
          <w:sz w:val="20"/>
          <w:szCs w:val="20"/>
        </w:rPr>
        <w:t xml:space="preserve"> A empresa vencedora obrigar-se-á a fornecer o objeto deste edital em conformidade com as especificações descritas, sendo de sua inteira responsabilidades substituições parciais ou totais.</w:t>
      </w:r>
    </w:p>
    <w:p w14:paraId="718607BC" w14:textId="77777777" w:rsidR="00575174" w:rsidRDefault="009F4508">
      <w:pPr>
        <w:pStyle w:val="PargrafodaLista"/>
        <w:numPr>
          <w:ilvl w:val="0"/>
          <w:numId w:val="5"/>
        </w:numPr>
        <w:spacing w:before="240" w:after="240"/>
        <w:rPr>
          <w:rFonts w:ascii="Times New Roman" w:hAnsi="Times New Roman" w:cs="Times New Roman"/>
          <w:sz w:val="20"/>
          <w:szCs w:val="20"/>
        </w:rPr>
      </w:pPr>
      <w:r>
        <w:rPr>
          <w:rFonts w:ascii="Times New Roman" w:hAnsi="Times New Roman" w:cs="Times New Roman"/>
          <w:sz w:val="20"/>
          <w:szCs w:val="20"/>
        </w:rPr>
        <w:t xml:space="preserve"> Caso o serviço não esteja de acordo com as especificações exigidas, a ADMINISTRAÇÃO não o aceitará e lavrará termo circunstanciado do fato, que deverá ser encaminhado à autoridade superior, sob pena de responsabilidade.</w:t>
      </w:r>
    </w:p>
    <w:p w14:paraId="3DE39F86" w14:textId="77777777" w:rsidR="00575174" w:rsidRDefault="009F4508">
      <w:pPr>
        <w:pStyle w:val="PargrafodaLista"/>
        <w:numPr>
          <w:ilvl w:val="0"/>
          <w:numId w:val="5"/>
        </w:numPr>
        <w:spacing w:before="240"/>
        <w:rPr>
          <w:rFonts w:ascii="Times New Roman" w:hAnsi="Times New Roman" w:cs="Times New Roman"/>
          <w:sz w:val="20"/>
          <w:szCs w:val="20"/>
        </w:rPr>
      </w:pPr>
      <w:r>
        <w:rPr>
          <w:rFonts w:ascii="Times New Roman" w:hAnsi="Times New Roman" w:cs="Times New Roman"/>
          <w:sz w:val="20"/>
          <w:szCs w:val="20"/>
        </w:rPr>
        <w:t xml:space="preserve"> Para fins dos presentes autos, com base no Art. 20 da portaria nº 75 de 25 de abril de 2023, que regulamenta a lei 14.133 no âmbito desta Prefeitura municipal, informamos que a baixa complexidade do objeto, enseja a prescindibilidade o estudo técnico preliminar e riscos, sendo análise de riscos, sendo suficiente os elementos já trazidos nos autos, pois provem a segurança transacional suficiente para o atingimento do interesse público.</w:t>
      </w:r>
    </w:p>
    <w:p w14:paraId="606BA4A1" w14:textId="77777777" w:rsidR="00575174" w:rsidRDefault="009F4508">
      <w:pPr>
        <w:widowControl w:val="0"/>
        <w:jc w:val="both"/>
        <w:rPr>
          <w:rFonts w:ascii="Times New Roman" w:hAnsi="Times New Roman" w:cs="Times New Roman"/>
          <w:b/>
          <w:sz w:val="20"/>
          <w:szCs w:val="20"/>
          <w:u w:val="single"/>
        </w:rPr>
      </w:pPr>
      <w:r>
        <w:rPr>
          <w:rFonts w:ascii="Times New Roman" w:eastAsia="Calibri" w:hAnsi="Times New Roman" w:cs="Times New Roman"/>
          <w:b/>
          <w:sz w:val="20"/>
          <w:szCs w:val="20"/>
          <w:u w:val="single"/>
        </w:rPr>
        <w:t>6.1 – PRAZO DE ENTREGA</w:t>
      </w:r>
    </w:p>
    <w:p w14:paraId="1C97A33C" w14:textId="77777777" w:rsidR="00575174" w:rsidRDefault="009F4508">
      <w:pPr>
        <w:pStyle w:val="Nvel2-Red"/>
        <w:numPr>
          <w:ilvl w:val="0"/>
          <w:numId w:val="0"/>
        </w:numPr>
        <w:spacing w:before="0" w:after="0" w:line="240" w:lineRule="auto"/>
        <w:rPr>
          <w:rFonts w:ascii="Times New Roman" w:hAnsi="Times New Roman" w:cs="Times New Roman"/>
          <w:i w:val="0"/>
          <w:iCs w:val="0"/>
          <w:color w:val="auto"/>
        </w:rPr>
      </w:pPr>
      <w:r>
        <w:rPr>
          <w:rFonts w:ascii="Times New Roman" w:hAnsi="Times New Roman" w:cs="Times New Roman"/>
          <w:i w:val="0"/>
          <w:iCs w:val="0"/>
          <w:color w:val="auto"/>
        </w:rPr>
        <w:t xml:space="preserve">6.1.1 – Conforme ETP, anexo ao edital. </w:t>
      </w:r>
    </w:p>
    <w:p w14:paraId="005DFA1C" w14:textId="77777777" w:rsidR="00575174" w:rsidRDefault="009F4508">
      <w:pPr>
        <w:widowControl w:val="0"/>
        <w:tabs>
          <w:tab w:val="left" w:pos="851"/>
        </w:tabs>
        <w:jc w:val="both"/>
        <w:rPr>
          <w:rFonts w:ascii="Times New Roman" w:hAnsi="Times New Roman" w:cs="Times New Roman"/>
          <w:b/>
          <w:bCs/>
          <w:sz w:val="20"/>
          <w:szCs w:val="20"/>
          <w:u w:val="single"/>
        </w:rPr>
      </w:pPr>
      <w:r>
        <w:rPr>
          <w:rFonts w:ascii="Times New Roman" w:eastAsia="Calibri" w:hAnsi="Times New Roman" w:cs="Times New Roman"/>
          <w:b/>
          <w:bCs/>
          <w:sz w:val="20"/>
          <w:szCs w:val="20"/>
          <w:u w:val="single"/>
        </w:rPr>
        <w:t>6.2 – LOCAL DE ENTREGA</w:t>
      </w:r>
    </w:p>
    <w:p w14:paraId="3050B853" w14:textId="77777777" w:rsidR="00575174" w:rsidRDefault="009F4508">
      <w:pPr>
        <w:pStyle w:val="Nvel2-Red"/>
        <w:numPr>
          <w:ilvl w:val="0"/>
          <w:numId w:val="0"/>
        </w:numPr>
        <w:spacing w:before="0" w:after="0" w:line="240" w:lineRule="auto"/>
        <w:rPr>
          <w:rFonts w:ascii="Times New Roman" w:eastAsia="Calibri" w:hAnsi="Times New Roman" w:cs="Times New Roman"/>
          <w:i w:val="0"/>
          <w:color w:val="auto"/>
        </w:rPr>
      </w:pPr>
      <w:r>
        <w:rPr>
          <w:rFonts w:ascii="Times New Roman" w:hAnsi="Times New Roman" w:cs="Times New Roman"/>
          <w:i w:val="0"/>
          <w:color w:val="auto"/>
        </w:rPr>
        <w:t>6.2.1 – C</w:t>
      </w:r>
      <w:r>
        <w:rPr>
          <w:rFonts w:ascii="Times New Roman" w:eastAsia="Calibri" w:hAnsi="Times New Roman" w:cs="Times New Roman"/>
          <w:i w:val="0"/>
          <w:color w:val="auto"/>
        </w:rPr>
        <w:t xml:space="preserve">onforme ETP, </w:t>
      </w:r>
      <w:r>
        <w:rPr>
          <w:rFonts w:ascii="Times New Roman" w:eastAsia="Calibri" w:hAnsi="Times New Roman" w:cs="Times New Roman"/>
          <w:i w:val="0"/>
          <w:iCs w:val="0"/>
          <w:color w:val="auto"/>
        </w:rPr>
        <w:t>anexo ao edital.</w:t>
      </w:r>
      <w:r>
        <w:rPr>
          <w:rFonts w:ascii="Times New Roman" w:eastAsia="Calibri" w:hAnsi="Times New Roman" w:cs="Times New Roman"/>
          <w:i w:val="0"/>
          <w:color w:val="auto"/>
        </w:rPr>
        <w:t xml:space="preserve"> </w:t>
      </w:r>
    </w:p>
    <w:p w14:paraId="23BC0BD1" w14:textId="77777777" w:rsidR="00575174" w:rsidRDefault="009F4508">
      <w:pPr>
        <w:pStyle w:val="Nvel2-Red"/>
        <w:numPr>
          <w:ilvl w:val="0"/>
          <w:numId w:val="0"/>
        </w:numPr>
        <w:spacing w:before="0" w:after="0" w:line="240" w:lineRule="auto"/>
        <w:rPr>
          <w:rFonts w:ascii="Times New Roman" w:hAnsi="Times New Roman" w:cs="Times New Roman"/>
          <w:b/>
          <w:bCs/>
          <w:i w:val="0"/>
          <w:iCs w:val="0"/>
          <w:color w:val="auto"/>
          <w:u w:val="single"/>
        </w:rPr>
      </w:pPr>
      <w:r>
        <w:rPr>
          <w:rFonts w:ascii="Times New Roman" w:eastAsia="Calibri" w:hAnsi="Times New Roman" w:cs="Times New Roman"/>
          <w:b/>
          <w:bCs/>
          <w:i w:val="0"/>
          <w:iCs w:val="0"/>
          <w:color w:val="auto"/>
          <w:u w:val="single"/>
        </w:rPr>
        <w:t>6.3 – DO RECEBIMENTO</w:t>
      </w:r>
    </w:p>
    <w:p w14:paraId="001E139E" w14:textId="77777777" w:rsidR="00575174" w:rsidRDefault="009F4508">
      <w:pPr>
        <w:pStyle w:val="Nivel2"/>
        <w:numPr>
          <w:ilvl w:val="0"/>
          <w:numId w:val="0"/>
        </w:numPr>
        <w:tabs>
          <w:tab w:val="left" w:pos="284"/>
          <w:tab w:val="left" w:pos="426"/>
          <w:tab w:val="left" w:pos="567"/>
          <w:tab w:val="left" w:pos="851"/>
        </w:tabs>
        <w:spacing w:before="0" w:after="0" w:line="240" w:lineRule="auto"/>
        <w:rPr>
          <w:rFonts w:ascii="Times New Roman" w:hAnsi="Times New Roman" w:cs="Times New Roman"/>
          <w:bCs/>
          <w:color w:val="auto"/>
        </w:rPr>
      </w:pPr>
      <w:r>
        <w:rPr>
          <w:rFonts w:ascii="Times New Roman" w:hAnsi="Times New Roman" w:cs="Times New Roman"/>
          <w:bCs/>
          <w:color w:val="auto"/>
        </w:rPr>
        <w:t xml:space="preserve">6.3.1 – Conforme ETP, anexo ao edital. </w:t>
      </w:r>
    </w:p>
    <w:p w14:paraId="1CE33AD7" w14:textId="77777777" w:rsidR="00575174" w:rsidRDefault="009F4508">
      <w:pPr>
        <w:pStyle w:val="Nivel01"/>
        <w:numPr>
          <w:ilvl w:val="0"/>
          <w:numId w:val="0"/>
        </w:numPr>
        <w:spacing w:before="0" w:after="0" w:line="240" w:lineRule="auto"/>
        <w:rPr>
          <w:rFonts w:ascii="Times New Roman" w:hAnsi="Times New Roman" w:cs="Times New Roman"/>
          <w:color w:val="auto"/>
        </w:rPr>
      </w:pPr>
      <w:r>
        <w:rPr>
          <w:rFonts w:ascii="Times New Roman" w:hAnsi="Times New Roman" w:cs="Times New Roman"/>
          <w:color w:val="auto"/>
        </w:rPr>
        <w:t>7 – OBRIGAÇÕES DO CONTRATANTE (art. 92, incisos X, XI e XIV, da Lei nº 14.133/2021).</w:t>
      </w:r>
    </w:p>
    <w:p w14:paraId="5455048D" w14:textId="77777777" w:rsidR="00575174" w:rsidRDefault="009F4508">
      <w:pPr>
        <w:pStyle w:val="Nivel2"/>
        <w:numPr>
          <w:ilvl w:val="0"/>
          <w:numId w:val="0"/>
        </w:numPr>
        <w:spacing w:before="0" w:after="0" w:line="240" w:lineRule="auto"/>
        <w:rPr>
          <w:rFonts w:ascii="Times New Roman" w:hAnsi="Times New Roman" w:cs="Times New Roman"/>
          <w:b/>
          <w:bCs/>
          <w:color w:val="auto"/>
        </w:rPr>
      </w:pPr>
      <w:r>
        <w:rPr>
          <w:rFonts w:ascii="Times New Roman" w:hAnsi="Times New Roman" w:cs="Times New Roman"/>
          <w:color w:val="auto"/>
        </w:rPr>
        <w:t>7.1 São obrigações do Contratante:</w:t>
      </w:r>
    </w:p>
    <w:p w14:paraId="5C9C7129" w14:textId="77777777" w:rsidR="00575174" w:rsidRDefault="009F4508">
      <w:pPr>
        <w:pStyle w:val="Nivel2"/>
        <w:numPr>
          <w:ilvl w:val="0"/>
          <w:numId w:val="0"/>
        </w:numPr>
        <w:spacing w:before="0" w:after="0" w:line="240" w:lineRule="auto"/>
        <w:ind w:left="708"/>
        <w:rPr>
          <w:rFonts w:ascii="Times New Roman" w:hAnsi="Times New Roman" w:cs="Times New Roman"/>
          <w:color w:val="auto"/>
        </w:rPr>
      </w:pPr>
      <w:r>
        <w:rPr>
          <w:rFonts w:ascii="Times New Roman" w:hAnsi="Times New Roman" w:cs="Times New Roman"/>
          <w:color w:val="auto"/>
        </w:rPr>
        <w:t>7.1.1 – Exigir o cumprimento de todas as obrigações assumidas pelo Contratado, de acordo com o contrato e seus anexos;</w:t>
      </w:r>
    </w:p>
    <w:p w14:paraId="78AE06DC" w14:textId="77777777" w:rsidR="00575174" w:rsidRDefault="009F4508">
      <w:pPr>
        <w:pStyle w:val="Nivel2"/>
        <w:numPr>
          <w:ilvl w:val="0"/>
          <w:numId w:val="0"/>
        </w:numPr>
        <w:spacing w:before="0" w:after="0" w:line="240" w:lineRule="auto"/>
        <w:ind w:left="708"/>
        <w:rPr>
          <w:rFonts w:ascii="Times New Roman" w:hAnsi="Times New Roman" w:cs="Times New Roman"/>
          <w:color w:val="auto"/>
        </w:rPr>
      </w:pPr>
      <w:r>
        <w:rPr>
          <w:rFonts w:ascii="Times New Roman" w:hAnsi="Times New Roman" w:cs="Times New Roman"/>
          <w:color w:val="auto"/>
        </w:rPr>
        <w:t>7.1.2 – Receber o objeto no prazo e condições estabelecidas no TR – Termo de Referência;</w:t>
      </w:r>
    </w:p>
    <w:p w14:paraId="474A2560" w14:textId="77777777" w:rsidR="00575174" w:rsidRDefault="009F4508">
      <w:pPr>
        <w:pStyle w:val="Nivel2"/>
        <w:numPr>
          <w:ilvl w:val="0"/>
          <w:numId w:val="0"/>
        </w:numPr>
        <w:spacing w:before="0" w:after="0" w:line="240" w:lineRule="auto"/>
        <w:ind w:left="708"/>
        <w:rPr>
          <w:rFonts w:ascii="Times New Roman" w:hAnsi="Times New Roman" w:cs="Times New Roman"/>
          <w:color w:val="auto"/>
        </w:rPr>
      </w:pPr>
      <w:r>
        <w:rPr>
          <w:rFonts w:ascii="Times New Roman" w:hAnsi="Times New Roman" w:cs="Times New Roman"/>
          <w:color w:val="auto"/>
        </w:rPr>
        <w:t>7.1.3 – Notificar o Contratado, por escrito, sobre vícios, defeitos ou incorreções verificadas no objeto fornecido, para que seja por ele substituído, reparado ou corrigido, no total ou em parte, às suas expensas;</w:t>
      </w:r>
    </w:p>
    <w:p w14:paraId="0288ACAB" w14:textId="77777777" w:rsidR="00575174" w:rsidRDefault="009F4508">
      <w:pPr>
        <w:pStyle w:val="Nivel2"/>
        <w:numPr>
          <w:ilvl w:val="0"/>
          <w:numId w:val="0"/>
        </w:numPr>
        <w:spacing w:before="0" w:after="0" w:line="240" w:lineRule="auto"/>
        <w:ind w:left="708"/>
        <w:rPr>
          <w:rFonts w:ascii="Times New Roman" w:hAnsi="Times New Roman" w:cs="Times New Roman"/>
          <w:color w:val="auto"/>
        </w:rPr>
      </w:pPr>
      <w:r>
        <w:rPr>
          <w:rFonts w:ascii="Times New Roman" w:hAnsi="Times New Roman" w:cs="Times New Roman"/>
          <w:color w:val="auto"/>
        </w:rPr>
        <w:t>7.1.4 – Acompanhar e fiscalizar a execução do contrato e o cumprimento das obrigações pelo Contratado;</w:t>
      </w:r>
    </w:p>
    <w:p w14:paraId="5054D8F6" w14:textId="77777777" w:rsidR="00575174" w:rsidRDefault="009F4508">
      <w:pPr>
        <w:pStyle w:val="Nivel2"/>
        <w:numPr>
          <w:ilvl w:val="0"/>
          <w:numId w:val="0"/>
        </w:numPr>
        <w:spacing w:before="0" w:after="0" w:line="240" w:lineRule="auto"/>
        <w:ind w:left="708"/>
        <w:rPr>
          <w:rFonts w:ascii="Times New Roman" w:hAnsi="Times New Roman" w:cs="Times New Roman"/>
          <w:bCs/>
          <w:color w:val="auto"/>
        </w:rPr>
      </w:pPr>
      <w:r>
        <w:rPr>
          <w:rFonts w:ascii="Times New Roman" w:hAnsi="Times New Roman" w:cs="Times New Roman"/>
          <w:color w:val="auto"/>
        </w:rPr>
        <w:t xml:space="preserve">7.1.5 – Comunicar a empresa para </w:t>
      </w:r>
      <w:r>
        <w:rPr>
          <w:rFonts w:ascii="Times New Roman" w:hAnsi="Times New Roman" w:cs="Times New Roman"/>
          <w:bCs/>
          <w:color w:val="auto"/>
        </w:rPr>
        <w:t>emissão de NF – Nota Fiscal no que pertinente à parcela incontroversa da execução do objeto, para efeito de liquidação e pagamento, quando houver controvérsia sobre a execução do objeto, quanto à dimensão, qualidade e quantidade, conforme o art. 143 da Lei nº 14.133, de 2021;</w:t>
      </w:r>
    </w:p>
    <w:p w14:paraId="62144217" w14:textId="77777777" w:rsidR="00575174" w:rsidRDefault="009F4508">
      <w:pPr>
        <w:pStyle w:val="Nivel2"/>
        <w:numPr>
          <w:ilvl w:val="0"/>
          <w:numId w:val="0"/>
        </w:numPr>
        <w:spacing w:before="0" w:after="0" w:line="240" w:lineRule="auto"/>
        <w:ind w:left="708"/>
        <w:rPr>
          <w:rFonts w:ascii="Times New Roman" w:hAnsi="Times New Roman" w:cs="Times New Roman"/>
          <w:color w:val="auto"/>
        </w:rPr>
      </w:pPr>
      <w:r>
        <w:rPr>
          <w:rFonts w:ascii="Times New Roman" w:hAnsi="Times New Roman" w:cs="Times New Roman"/>
          <w:color w:val="auto"/>
        </w:rPr>
        <w:t>7.1.6 – Efetuar o pagamento ao Contratado do valor correspondente ao fornecimento do objeto, no prazo, forma e condições estabelecidos no Contrato;</w:t>
      </w:r>
    </w:p>
    <w:p w14:paraId="3E384C57" w14:textId="77777777" w:rsidR="00575174" w:rsidRDefault="009F4508">
      <w:pPr>
        <w:pStyle w:val="Nivel2"/>
        <w:numPr>
          <w:ilvl w:val="0"/>
          <w:numId w:val="0"/>
        </w:numPr>
        <w:spacing w:before="0" w:after="0" w:line="240" w:lineRule="auto"/>
        <w:ind w:left="708"/>
        <w:rPr>
          <w:rFonts w:ascii="Times New Roman" w:hAnsi="Times New Roman" w:cs="Times New Roman"/>
          <w:color w:val="auto"/>
        </w:rPr>
      </w:pPr>
      <w:r>
        <w:rPr>
          <w:rFonts w:ascii="Times New Roman" w:hAnsi="Times New Roman" w:cs="Times New Roman"/>
          <w:color w:val="auto"/>
        </w:rPr>
        <w:t xml:space="preserve">7.1.7 – Aplicar ao Contratado as sanções previstas na lei e no Contrato; </w:t>
      </w:r>
    </w:p>
    <w:p w14:paraId="10D5733C" w14:textId="77777777" w:rsidR="00575174" w:rsidRDefault="009F4508">
      <w:pPr>
        <w:pStyle w:val="Nivel2"/>
        <w:numPr>
          <w:ilvl w:val="0"/>
          <w:numId w:val="0"/>
        </w:numPr>
        <w:spacing w:before="0" w:after="0" w:line="240" w:lineRule="auto"/>
        <w:ind w:left="708"/>
        <w:rPr>
          <w:rFonts w:ascii="Times New Roman" w:hAnsi="Times New Roman" w:cs="Times New Roman"/>
          <w:color w:val="auto"/>
        </w:rPr>
      </w:pPr>
      <w:r>
        <w:rPr>
          <w:rFonts w:ascii="Times New Roman" w:hAnsi="Times New Roman" w:cs="Times New Roman"/>
          <w:color w:val="auto"/>
        </w:rPr>
        <w:t>7.1.8 – Cientificar o órgão de representação judicial da Prefeitura Municipal de Santa Bárbara do Sul/RS, para adoção das medidas cabíveis quando do descumprimento de obrigações pelo Contratado, quando esgotadas as vias administrativas.</w:t>
      </w:r>
    </w:p>
    <w:p w14:paraId="67B27F2A" w14:textId="77777777" w:rsidR="00575174" w:rsidRDefault="009F4508">
      <w:pPr>
        <w:pStyle w:val="Nivel2"/>
        <w:numPr>
          <w:ilvl w:val="0"/>
          <w:numId w:val="0"/>
        </w:numPr>
        <w:spacing w:before="0" w:after="0" w:line="240" w:lineRule="auto"/>
        <w:ind w:left="708"/>
        <w:rPr>
          <w:rFonts w:ascii="Times New Roman" w:hAnsi="Times New Roman" w:cs="Times New Roman"/>
          <w:color w:val="auto"/>
        </w:rPr>
      </w:pPr>
      <w:r>
        <w:rPr>
          <w:rFonts w:ascii="Times New Roman" w:hAnsi="Times New Roman" w:cs="Times New Roman"/>
          <w:color w:val="auto"/>
        </w:rPr>
        <w:t>7.1.9 –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5C55B34" w14:textId="77777777" w:rsidR="00575174" w:rsidRDefault="009F4508">
      <w:pPr>
        <w:pStyle w:val="Nivel2"/>
        <w:numPr>
          <w:ilvl w:val="0"/>
          <w:numId w:val="0"/>
        </w:numPr>
        <w:spacing w:before="0" w:after="0" w:line="240" w:lineRule="auto"/>
        <w:ind w:left="708"/>
        <w:rPr>
          <w:rFonts w:ascii="Times New Roman" w:hAnsi="Times New Roman" w:cs="Times New Roman"/>
          <w:color w:val="auto"/>
        </w:rPr>
      </w:pPr>
      <w:r>
        <w:rPr>
          <w:rFonts w:ascii="Times New Roman" w:hAnsi="Times New Roman" w:cs="Times New Roman"/>
          <w:color w:val="auto"/>
        </w:rPr>
        <w:t>7.1.10 – Responder eventuais pedidos de restabelecimento do equilíbrio econômico-financeiro feitos pelo contratado.</w:t>
      </w:r>
    </w:p>
    <w:p w14:paraId="3F48B7C7" w14:textId="77777777" w:rsidR="00575174" w:rsidRDefault="009F4508">
      <w:pPr>
        <w:pStyle w:val="Nivel2"/>
        <w:numPr>
          <w:ilvl w:val="0"/>
          <w:numId w:val="0"/>
        </w:numPr>
        <w:spacing w:before="0" w:after="0" w:line="240" w:lineRule="auto"/>
        <w:ind w:left="708"/>
        <w:rPr>
          <w:rFonts w:ascii="Times New Roman" w:hAnsi="Times New Roman" w:cs="Times New Roman"/>
          <w:color w:val="auto"/>
        </w:rPr>
      </w:pPr>
      <w:r>
        <w:rPr>
          <w:rFonts w:ascii="Times New Roman" w:hAnsi="Times New Roman" w:cs="Times New Roman"/>
          <w:color w:val="auto"/>
        </w:rPr>
        <w:t>7.1.11 –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3BF179F" w14:textId="77777777" w:rsidR="00575174" w:rsidRDefault="009F4508">
      <w:pPr>
        <w:pStyle w:val="Nivel01"/>
        <w:numPr>
          <w:ilvl w:val="0"/>
          <w:numId w:val="0"/>
        </w:numPr>
        <w:spacing w:before="0" w:after="0" w:line="240" w:lineRule="auto"/>
        <w:rPr>
          <w:rFonts w:ascii="Times New Roman" w:hAnsi="Times New Roman" w:cs="Times New Roman"/>
          <w:color w:val="auto"/>
        </w:rPr>
      </w:pPr>
      <w:r>
        <w:rPr>
          <w:rFonts w:ascii="Times New Roman" w:hAnsi="Times New Roman" w:cs="Times New Roman"/>
          <w:color w:val="auto"/>
        </w:rPr>
        <w:t>8 – OBRIGAÇÕES DO CONTRATADO (art. 92, incisos XIV, XVI e XVII, da Lei nº 14.133/2021).</w:t>
      </w:r>
    </w:p>
    <w:p w14:paraId="34FA0FCB" w14:textId="77777777" w:rsidR="00575174" w:rsidRDefault="009F4508">
      <w:pPr>
        <w:pStyle w:val="Nivel2"/>
        <w:numPr>
          <w:ilvl w:val="0"/>
          <w:numId w:val="0"/>
        </w:numPr>
        <w:spacing w:before="0" w:after="0" w:line="240" w:lineRule="auto"/>
        <w:rPr>
          <w:rFonts w:ascii="Times New Roman" w:hAnsi="Times New Roman" w:cs="Times New Roman"/>
          <w:color w:val="auto"/>
        </w:rPr>
      </w:pPr>
      <w:r>
        <w:rPr>
          <w:rFonts w:ascii="Times New Roman" w:hAnsi="Times New Roman" w:cs="Times New Roman"/>
          <w:color w:val="auto"/>
        </w:rPr>
        <w:t>8.1 – O Contratado deve cumprir todas as obrigações constantes do Contrato e em seus anexos, assumindo como exclusivamente seus os riscos e as despesas decorrentes da boa e perfeita execução do objeto, observando, ainda, as obrigações a seguir dispostas:</w:t>
      </w:r>
    </w:p>
    <w:p w14:paraId="783CC133" w14:textId="77777777" w:rsidR="00575174" w:rsidRDefault="009F4508">
      <w:pPr>
        <w:pStyle w:val="Nivel2"/>
        <w:numPr>
          <w:ilvl w:val="0"/>
          <w:numId w:val="0"/>
        </w:numPr>
        <w:spacing w:before="0" w:after="0" w:line="240" w:lineRule="auto"/>
        <w:ind w:left="708"/>
        <w:rPr>
          <w:rFonts w:ascii="Times New Roman" w:hAnsi="Times New Roman" w:cs="Times New Roman"/>
          <w:color w:val="auto"/>
        </w:rPr>
      </w:pPr>
      <w:r>
        <w:rPr>
          <w:rFonts w:ascii="Times New Roman" w:hAnsi="Times New Roman" w:cs="Times New Roman"/>
          <w:color w:val="auto"/>
        </w:rPr>
        <w:t>8.1.1 – Responsabilizar-se pelos vícios e danos decorrentes do objeto, de acordo com o Código de Defesa do Consumidor (Lei nº 8.078, de 1990);</w:t>
      </w:r>
    </w:p>
    <w:p w14:paraId="4DCCB54B" w14:textId="77777777" w:rsidR="00575174" w:rsidRDefault="009F4508">
      <w:pPr>
        <w:pStyle w:val="Nivel2"/>
        <w:numPr>
          <w:ilvl w:val="0"/>
          <w:numId w:val="0"/>
        </w:numPr>
        <w:spacing w:before="0" w:after="0" w:line="240" w:lineRule="auto"/>
        <w:ind w:left="708"/>
        <w:rPr>
          <w:rFonts w:ascii="Times New Roman" w:hAnsi="Times New Roman" w:cs="Times New Roman"/>
          <w:color w:val="auto"/>
        </w:rPr>
      </w:pPr>
      <w:r>
        <w:rPr>
          <w:rFonts w:ascii="Times New Roman" w:hAnsi="Times New Roman" w:cs="Times New Roman"/>
          <w:color w:val="auto"/>
        </w:rPr>
        <w:t>8.1.2 – Comunicar ao contratante, no prazo máximo de 24 (vinte e quatro) horas que antecede a data da entrega, os motivos que impossibilitem o cumprimento do prazo previsto, com a devida comprovação;</w:t>
      </w:r>
    </w:p>
    <w:p w14:paraId="4153CA26" w14:textId="77777777" w:rsidR="00575174" w:rsidRDefault="009F4508">
      <w:pPr>
        <w:pStyle w:val="Nivel2"/>
        <w:numPr>
          <w:ilvl w:val="0"/>
          <w:numId w:val="0"/>
        </w:numPr>
        <w:spacing w:before="0" w:after="0" w:line="240" w:lineRule="auto"/>
        <w:ind w:left="708"/>
        <w:rPr>
          <w:rFonts w:ascii="Times New Roman" w:hAnsi="Times New Roman" w:cs="Times New Roman"/>
          <w:color w:val="auto"/>
        </w:rPr>
      </w:pPr>
      <w:r>
        <w:rPr>
          <w:rFonts w:ascii="Times New Roman" w:hAnsi="Times New Roman" w:cs="Times New Roman"/>
          <w:color w:val="auto"/>
        </w:rPr>
        <w:t>8.1.3 – Atender às determinações regulares emitidas pelo fiscal ou gestor do contrato ou autoridade superior (art. 137, II, da Lei n.º 14.133, de 2021) e prestar todo esclarecimento ou informação por eles solicitados;</w:t>
      </w:r>
    </w:p>
    <w:p w14:paraId="467EEDB8" w14:textId="77777777" w:rsidR="00575174" w:rsidRDefault="009F4508">
      <w:pPr>
        <w:pStyle w:val="Nivel2"/>
        <w:numPr>
          <w:ilvl w:val="0"/>
          <w:numId w:val="0"/>
        </w:numPr>
        <w:spacing w:before="0" w:after="0" w:line="240" w:lineRule="auto"/>
        <w:ind w:left="708"/>
        <w:rPr>
          <w:rFonts w:ascii="Times New Roman" w:hAnsi="Times New Roman" w:cs="Times New Roman"/>
          <w:color w:val="auto"/>
        </w:rPr>
      </w:pPr>
      <w:r>
        <w:rPr>
          <w:rFonts w:ascii="Times New Roman" w:hAnsi="Times New Roman" w:cs="Times New Roman"/>
          <w:color w:val="auto"/>
        </w:rPr>
        <w:t>8.1.4 –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E72847D" w14:textId="77777777" w:rsidR="00575174" w:rsidRDefault="009F4508">
      <w:pPr>
        <w:pStyle w:val="Nivel2"/>
        <w:numPr>
          <w:ilvl w:val="0"/>
          <w:numId w:val="0"/>
        </w:numPr>
        <w:spacing w:before="0" w:after="0" w:line="240" w:lineRule="auto"/>
        <w:ind w:left="708"/>
        <w:rPr>
          <w:rFonts w:ascii="Times New Roman" w:hAnsi="Times New Roman" w:cs="Times New Roman"/>
          <w:color w:val="auto"/>
        </w:rPr>
      </w:pPr>
      <w:r>
        <w:rPr>
          <w:rFonts w:ascii="Times New Roman" w:hAnsi="Times New Roman" w:cs="Times New Roman"/>
          <w:color w:val="auto"/>
        </w:rPr>
        <w:t>8.1.5 – O contratado deverá entregar ao setor responsável pela fiscalização do contrato, junto com a NF - Nota Fiscal para fins de pagamento, todos os documentos que comprovem a regularidade fiscal e trabalhista da empresa.</w:t>
      </w:r>
    </w:p>
    <w:p w14:paraId="5A515E50" w14:textId="77777777" w:rsidR="00575174" w:rsidRDefault="009F4508">
      <w:pPr>
        <w:pStyle w:val="Nivel2"/>
        <w:numPr>
          <w:ilvl w:val="0"/>
          <w:numId w:val="0"/>
        </w:numPr>
        <w:spacing w:before="0" w:after="0" w:line="240" w:lineRule="auto"/>
        <w:ind w:left="708"/>
        <w:rPr>
          <w:rFonts w:ascii="Times New Roman" w:hAnsi="Times New Roman" w:cs="Times New Roman"/>
          <w:color w:val="auto"/>
        </w:rPr>
      </w:pPr>
      <w:r>
        <w:rPr>
          <w:rFonts w:ascii="Times New Roman" w:hAnsi="Times New Roman" w:cs="Times New Roman"/>
          <w:color w:val="auto"/>
        </w:rPr>
        <w:t>8.1.6 –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7E9C1806" w14:textId="77777777" w:rsidR="00575174" w:rsidRDefault="009F4508">
      <w:pPr>
        <w:pStyle w:val="Nivel2"/>
        <w:numPr>
          <w:ilvl w:val="0"/>
          <w:numId w:val="0"/>
        </w:numPr>
        <w:spacing w:before="0" w:after="0" w:line="240" w:lineRule="auto"/>
        <w:ind w:left="708"/>
        <w:rPr>
          <w:rFonts w:ascii="Times New Roman" w:hAnsi="Times New Roman" w:cs="Times New Roman"/>
          <w:color w:val="auto"/>
        </w:rPr>
      </w:pPr>
      <w:r>
        <w:rPr>
          <w:rFonts w:ascii="Times New Roman" w:hAnsi="Times New Roman" w:cs="Times New Roman"/>
          <w:color w:val="auto"/>
        </w:rPr>
        <w:t>8.1.7 – Comunicar ao Fiscal do contrato, no prazo de 24 (vinte e quatro) horas, qualquer ocorrência anormal ou acidente que se verifique no local da execução do objeto contratual.</w:t>
      </w:r>
    </w:p>
    <w:p w14:paraId="45528CC6" w14:textId="77777777" w:rsidR="00575174" w:rsidRDefault="009F4508">
      <w:pPr>
        <w:pStyle w:val="Nivel2"/>
        <w:numPr>
          <w:ilvl w:val="0"/>
          <w:numId w:val="0"/>
        </w:numPr>
        <w:spacing w:before="0" w:after="0" w:line="240" w:lineRule="auto"/>
        <w:ind w:left="708"/>
        <w:rPr>
          <w:rFonts w:ascii="Times New Roman" w:hAnsi="Times New Roman" w:cs="Times New Roman"/>
          <w:color w:val="auto"/>
        </w:rPr>
      </w:pPr>
      <w:r>
        <w:rPr>
          <w:rFonts w:ascii="Times New Roman" w:hAnsi="Times New Roman" w:cs="Times New Roman"/>
          <w:color w:val="auto"/>
        </w:rPr>
        <w:t>8.1.8 – Paralisar, por determinação do contratante, qualquer atividade que não esteja sendo executada de acordo com a boa técnica ou que ponha em risco a segurança de pessoas ou bens de terceiros.</w:t>
      </w:r>
    </w:p>
    <w:p w14:paraId="0AEF65AB" w14:textId="77777777" w:rsidR="00575174" w:rsidRDefault="009F4508">
      <w:pPr>
        <w:pStyle w:val="Nivel2"/>
        <w:numPr>
          <w:ilvl w:val="0"/>
          <w:numId w:val="0"/>
        </w:numPr>
        <w:spacing w:before="0" w:after="0" w:line="240" w:lineRule="auto"/>
        <w:ind w:left="708"/>
        <w:rPr>
          <w:rFonts w:ascii="Times New Roman" w:hAnsi="Times New Roman" w:cs="Times New Roman"/>
          <w:color w:val="auto"/>
        </w:rPr>
      </w:pPr>
      <w:r>
        <w:rPr>
          <w:rFonts w:ascii="Times New Roman" w:hAnsi="Times New Roman" w:cs="Times New Roman"/>
          <w:color w:val="auto"/>
        </w:rPr>
        <w:t xml:space="preserve">8.1.9 – Manter durante toda a vigência do contrato, em compatibilidade com as obrigações assumidas, todas as condições exigidas para habilitação na licitação; </w:t>
      </w:r>
    </w:p>
    <w:p w14:paraId="1D1C0D84" w14:textId="77777777" w:rsidR="00575174" w:rsidRDefault="009F4508">
      <w:pPr>
        <w:pStyle w:val="Nivel2"/>
        <w:numPr>
          <w:ilvl w:val="0"/>
          <w:numId w:val="0"/>
        </w:numPr>
        <w:spacing w:before="0" w:after="0" w:line="240" w:lineRule="auto"/>
        <w:ind w:left="708"/>
        <w:rPr>
          <w:rFonts w:ascii="Times New Roman" w:hAnsi="Times New Roman" w:cs="Times New Roman"/>
          <w:color w:val="auto"/>
        </w:rPr>
      </w:pPr>
      <w:r>
        <w:rPr>
          <w:rFonts w:ascii="Times New Roman" w:hAnsi="Times New Roman" w:cs="Times New Roman"/>
          <w:color w:val="auto"/>
        </w:rPr>
        <w:t xml:space="preserve">8.1.10 – Guardar sigilo sobre todas as informações obtidas em decorrência do cumprimento do contrato; </w:t>
      </w:r>
    </w:p>
    <w:p w14:paraId="583F43DD" w14:textId="77777777" w:rsidR="00575174" w:rsidRDefault="009F4508">
      <w:pPr>
        <w:pStyle w:val="Nivel2"/>
        <w:numPr>
          <w:ilvl w:val="0"/>
          <w:numId w:val="0"/>
        </w:numPr>
        <w:spacing w:before="0" w:after="0" w:line="240" w:lineRule="auto"/>
        <w:ind w:left="708"/>
        <w:rPr>
          <w:rFonts w:ascii="Times New Roman" w:hAnsi="Times New Roman" w:cs="Times New Roman"/>
          <w:color w:val="auto"/>
        </w:rPr>
      </w:pPr>
      <w:r>
        <w:rPr>
          <w:rFonts w:ascii="Times New Roman" w:hAnsi="Times New Roman" w:cs="Times New Roman"/>
          <w:color w:val="auto"/>
        </w:rPr>
        <w:t>8.1.11 -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inciso II, alínea ‘d’, da Lei nº 14.133, de 2021.</w:t>
      </w:r>
    </w:p>
    <w:p w14:paraId="0E1B56FF" w14:textId="77777777" w:rsidR="00575174" w:rsidRDefault="009F4508">
      <w:pPr>
        <w:pStyle w:val="Nivel2"/>
        <w:numPr>
          <w:ilvl w:val="0"/>
          <w:numId w:val="0"/>
        </w:numPr>
        <w:spacing w:before="0" w:after="0" w:line="240" w:lineRule="auto"/>
        <w:ind w:left="708"/>
        <w:rPr>
          <w:rFonts w:ascii="Times New Roman" w:hAnsi="Times New Roman" w:cs="Times New Roman"/>
          <w:color w:val="auto"/>
        </w:rPr>
      </w:pPr>
      <w:r>
        <w:rPr>
          <w:rFonts w:ascii="Times New Roman" w:hAnsi="Times New Roman" w:cs="Times New Roman"/>
          <w:color w:val="auto"/>
        </w:rPr>
        <w:t>8.1.12 – Cumprir, além dos postulados legais vigentes de âmbito federal, estadual ou municipal, as normas de segurança do contratante;</w:t>
      </w:r>
    </w:p>
    <w:p w14:paraId="49E522B8" w14:textId="77777777" w:rsidR="00575174" w:rsidRDefault="009F4508">
      <w:pPr>
        <w:pStyle w:val="Nvel2-Red"/>
        <w:numPr>
          <w:ilvl w:val="0"/>
          <w:numId w:val="0"/>
        </w:numPr>
        <w:spacing w:before="0" w:after="0" w:line="240" w:lineRule="auto"/>
        <w:ind w:left="708"/>
        <w:rPr>
          <w:rFonts w:ascii="Times New Roman" w:hAnsi="Times New Roman" w:cs="Times New Roman"/>
          <w:i w:val="0"/>
          <w:iCs w:val="0"/>
          <w:color w:val="auto"/>
        </w:rPr>
      </w:pPr>
      <w:r>
        <w:rPr>
          <w:rFonts w:ascii="Times New Roman" w:hAnsi="Times New Roman" w:cs="Times New Roman"/>
          <w:i w:val="0"/>
          <w:iCs w:val="0"/>
          <w:color w:val="auto"/>
        </w:rPr>
        <w:t>8.1.13 – Orientar e treinar seus empregados sobre os deveres previstos na Lei nº 13.709, de 14 de agosto de 2018, adotando medidas eficazes para proteção de dados pessoais a que tenha acesso por força da execução deste contrato;</w:t>
      </w:r>
    </w:p>
    <w:p w14:paraId="7671BB84" w14:textId="77777777" w:rsidR="00575174" w:rsidRDefault="009F4508">
      <w:pPr>
        <w:pStyle w:val="Nvel2-Red"/>
        <w:numPr>
          <w:ilvl w:val="0"/>
          <w:numId w:val="0"/>
        </w:numPr>
        <w:spacing w:before="0" w:after="0" w:line="240" w:lineRule="auto"/>
        <w:ind w:left="708"/>
        <w:rPr>
          <w:rFonts w:ascii="Times New Roman" w:hAnsi="Times New Roman" w:cs="Times New Roman"/>
          <w:i w:val="0"/>
          <w:iCs w:val="0"/>
          <w:color w:val="auto"/>
        </w:rPr>
      </w:pPr>
      <w:r>
        <w:rPr>
          <w:rFonts w:ascii="Times New Roman" w:hAnsi="Times New Roman" w:cs="Times New Roman"/>
          <w:i w:val="0"/>
          <w:iCs w:val="0"/>
          <w:color w:val="auto"/>
        </w:rPr>
        <w:t>8.1.14 – Conduzir os trabalhos com estrita observância às normas da legislação pertinente, cumprindo as determinações dos Poderes Públicos, mantendo sempre limpo o local d</w:t>
      </w:r>
      <w:r>
        <w:rPr>
          <w:rFonts w:ascii="Times New Roman" w:hAnsi="Times New Roman" w:cs="Times New Roman"/>
          <w:i w:val="0"/>
          <w:iCs w:val="0"/>
          <w:color w:val="auto"/>
          <w:lang w:eastAsia="en-US"/>
        </w:rPr>
        <w:t>e execução do objeto</w:t>
      </w:r>
      <w:r>
        <w:rPr>
          <w:rFonts w:ascii="Times New Roman" w:hAnsi="Times New Roman" w:cs="Times New Roman"/>
          <w:i w:val="0"/>
          <w:iCs w:val="0"/>
          <w:color w:val="auto"/>
        </w:rPr>
        <w:t xml:space="preserve"> e nas melhores condições de segurança, higiene e disciplina.</w:t>
      </w:r>
    </w:p>
    <w:p w14:paraId="0433AC85" w14:textId="77777777" w:rsidR="00575174" w:rsidRDefault="009F4508">
      <w:pPr>
        <w:pStyle w:val="Nvel2-Red"/>
        <w:numPr>
          <w:ilvl w:val="0"/>
          <w:numId w:val="0"/>
        </w:numPr>
        <w:spacing w:before="0" w:after="0" w:line="240" w:lineRule="auto"/>
        <w:ind w:left="708"/>
        <w:rPr>
          <w:rFonts w:ascii="Times New Roman" w:hAnsi="Times New Roman" w:cs="Times New Roman"/>
          <w:i w:val="0"/>
          <w:iCs w:val="0"/>
          <w:color w:val="auto"/>
        </w:rPr>
      </w:pPr>
      <w:r>
        <w:rPr>
          <w:rFonts w:ascii="Times New Roman" w:hAnsi="Times New Roman" w:cs="Times New Roman"/>
          <w:i w:val="0"/>
          <w:iCs w:val="0"/>
          <w:color w:val="auto"/>
        </w:rPr>
        <w:t>8.1.15 – Submeter previamente, por escrito, ao contratante, para análise e aprovação, quaisquer mudanças nos métodos executivos que fujam às especificações do memorial descritivo ou instrumento congênere.</w:t>
      </w:r>
    </w:p>
    <w:p w14:paraId="4D6E1DA4" w14:textId="77777777" w:rsidR="00575174" w:rsidRDefault="009F4508">
      <w:pPr>
        <w:pStyle w:val="Nvel2-Red"/>
        <w:numPr>
          <w:ilvl w:val="0"/>
          <w:numId w:val="0"/>
        </w:numPr>
        <w:spacing w:before="0" w:after="0" w:line="240" w:lineRule="auto"/>
        <w:ind w:left="708"/>
        <w:rPr>
          <w:rFonts w:ascii="Times New Roman" w:hAnsi="Times New Roman" w:cs="Times New Roman"/>
          <w:iCs w:val="0"/>
          <w:color w:val="auto"/>
        </w:rPr>
      </w:pPr>
      <w:bookmarkStart w:id="38" w:name="_Ref118293030"/>
      <w:r>
        <w:rPr>
          <w:rFonts w:ascii="Times New Roman" w:hAnsi="Times New Roman" w:cs="Times New Roman"/>
          <w:i w:val="0"/>
          <w:iCs w:val="0"/>
          <w:color w:val="auto"/>
        </w:rPr>
        <w:t>8.1.16 – Não permitir a utilização de qualquer trabalho do menor de 16 (dezesseis) anos, exceto na condição de aprendiz para os maiores de 14 (quatorze) anos, nem permitir a utilização do trabalho do menor de 18 (dezoito) anos em trabalho noturno, perigoso ou insalubre.</w:t>
      </w:r>
      <w:bookmarkEnd w:id="38"/>
    </w:p>
    <w:p w14:paraId="147406AE" w14:textId="77777777" w:rsidR="00575174" w:rsidRDefault="009F4508">
      <w:pPr>
        <w:pStyle w:val="Nvel2-Red"/>
        <w:numPr>
          <w:ilvl w:val="0"/>
          <w:numId w:val="0"/>
        </w:numPr>
        <w:tabs>
          <w:tab w:val="left" w:pos="5936"/>
        </w:tabs>
        <w:spacing w:before="0" w:after="0" w:line="240" w:lineRule="auto"/>
        <w:ind w:left="708"/>
        <w:rPr>
          <w:rFonts w:ascii="Times New Roman" w:hAnsi="Times New Roman" w:cs="Times New Roman"/>
          <w:i w:val="0"/>
          <w:color w:val="auto"/>
        </w:rPr>
      </w:pPr>
      <w:r>
        <w:rPr>
          <w:rFonts w:ascii="Times New Roman" w:hAnsi="Times New Roman" w:cs="Times New Roman"/>
          <w:i w:val="0"/>
          <w:iCs w:val="0"/>
          <w:color w:val="auto"/>
        </w:rPr>
        <w:t>8.1.17 – Permitir a fiscalização a qualquer tempo, pela contratante,</w:t>
      </w:r>
      <w:r>
        <w:rPr>
          <w:rFonts w:ascii="Times New Roman" w:hAnsi="Times New Roman" w:cs="Times New Roman"/>
          <w:i w:val="0"/>
          <w:color w:val="auto"/>
        </w:rPr>
        <w:tab/>
      </w:r>
    </w:p>
    <w:p w14:paraId="4230FC7B" w14:textId="77777777" w:rsidR="00575174" w:rsidRDefault="009F4508">
      <w:pPr>
        <w:pStyle w:val="Nvel2-Red"/>
        <w:numPr>
          <w:ilvl w:val="0"/>
          <w:numId w:val="0"/>
        </w:numPr>
        <w:tabs>
          <w:tab w:val="left" w:pos="5936"/>
        </w:tabs>
        <w:spacing w:before="0" w:after="0" w:line="240" w:lineRule="auto"/>
        <w:ind w:left="708"/>
        <w:rPr>
          <w:rFonts w:ascii="Times New Roman" w:hAnsi="Times New Roman" w:cs="Times New Roman"/>
          <w:i w:val="0"/>
          <w:color w:val="auto"/>
        </w:rPr>
      </w:pPr>
      <w:r>
        <w:rPr>
          <w:rFonts w:ascii="Times New Roman" w:hAnsi="Times New Roman" w:cs="Times New Roman"/>
          <w:i w:val="0"/>
          <w:iCs w:val="0"/>
          <w:color w:val="auto"/>
        </w:rPr>
        <w:t>8.1.18 – Apresentar, por escrito, quando solicitado pela Contratante, relatório técnico dos serviços realizados</w:t>
      </w:r>
      <w:r>
        <w:rPr>
          <w:rFonts w:ascii="Times New Roman" w:hAnsi="Times New Roman" w:cs="Times New Roman"/>
          <w:i w:val="0"/>
          <w:color w:val="auto"/>
        </w:rPr>
        <w:t>;</w:t>
      </w:r>
    </w:p>
    <w:p w14:paraId="6C52C828" w14:textId="77777777" w:rsidR="00575174" w:rsidRDefault="00575174">
      <w:pPr>
        <w:pStyle w:val="Nvel2-Red"/>
        <w:numPr>
          <w:ilvl w:val="0"/>
          <w:numId w:val="0"/>
        </w:numPr>
        <w:tabs>
          <w:tab w:val="left" w:pos="5936"/>
        </w:tabs>
        <w:spacing w:before="0" w:after="0" w:line="240" w:lineRule="auto"/>
        <w:ind w:left="708"/>
        <w:rPr>
          <w:rFonts w:ascii="Times New Roman" w:hAnsi="Times New Roman" w:cs="Times New Roman"/>
          <w:i w:val="0"/>
          <w:color w:val="auto"/>
        </w:rPr>
      </w:pPr>
    </w:p>
    <w:p w14:paraId="3ED59FB1" w14:textId="77777777" w:rsidR="00575174" w:rsidRDefault="009F4508">
      <w:pPr>
        <w:pStyle w:val="Nivel01"/>
        <w:numPr>
          <w:ilvl w:val="0"/>
          <w:numId w:val="0"/>
        </w:numPr>
        <w:spacing w:before="0" w:after="0" w:line="240" w:lineRule="auto"/>
        <w:rPr>
          <w:rFonts w:ascii="Times New Roman" w:hAnsi="Times New Roman" w:cs="Times New Roman"/>
          <w:color w:val="auto"/>
        </w:rPr>
      </w:pPr>
      <w:r>
        <w:rPr>
          <w:rFonts w:ascii="Times New Roman" w:hAnsi="Times New Roman" w:cs="Times New Roman"/>
          <w:color w:val="auto"/>
        </w:rPr>
        <w:t>9 – MODELO DE GESTÃO E FISCALIZAÇÃO DA ATA DE REGISTRO DE PREÇOS OU CONTRATO</w:t>
      </w:r>
    </w:p>
    <w:p w14:paraId="245C1834" w14:textId="77777777" w:rsidR="00575174" w:rsidRDefault="009F4508">
      <w:pPr>
        <w:pStyle w:val="Nivel2"/>
        <w:numPr>
          <w:ilvl w:val="0"/>
          <w:numId w:val="0"/>
        </w:numPr>
        <w:spacing w:before="0" w:after="0" w:line="240" w:lineRule="auto"/>
        <w:rPr>
          <w:rFonts w:ascii="Times New Roman" w:hAnsi="Times New Roman" w:cs="Times New Roman"/>
          <w:color w:val="auto"/>
        </w:rPr>
      </w:pPr>
      <w:r>
        <w:rPr>
          <w:rFonts w:ascii="Times New Roman" w:hAnsi="Times New Roman" w:cs="Times New Roman"/>
          <w:color w:val="auto"/>
        </w:rPr>
        <w:t>9.1 – A gestão da Ata de Registro de Preços será de responsabilidade do Setor de Compras.</w:t>
      </w:r>
    </w:p>
    <w:p w14:paraId="7C1940A1" w14:textId="77777777" w:rsidR="00575174" w:rsidRDefault="009F4508">
      <w:pPr>
        <w:pStyle w:val="Nivel2"/>
        <w:numPr>
          <w:ilvl w:val="0"/>
          <w:numId w:val="0"/>
        </w:numPr>
        <w:spacing w:before="0" w:after="0" w:line="240" w:lineRule="auto"/>
        <w:rPr>
          <w:rFonts w:ascii="Times New Roman" w:hAnsi="Times New Roman" w:cs="Times New Roman"/>
          <w:color w:val="auto"/>
        </w:rPr>
      </w:pPr>
      <w:r>
        <w:rPr>
          <w:rFonts w:ascii="Times New Roman" w:hAnsi="Times New Roman" w:cs="Times New Roman"/>
          <w:color w:val="auto"/>
        </w:rPr>
        <w:t xml:space="preserve">9.2 – </w:t>
      </w:r>
      <w:r>
        <w:rPr>
          <w:rFonts w:ascii="Times New Roman" w:eastAsia="Calibri" w:hAnsi="Times New Roman" w:cs="Times New Roman"/>
          <w:color w:val="auto"/>
          <w:lang w:eastAsia="en-US"/>
        </w:rPr>
        <w:t>A gestão dos contratos oriundos da Ata de Registro de Preços será de responsabilidade dos Secretários Municipais, os quais terão seus fiscais designados no ato da assinatura do contrato.</w:t>
      </w:r>
    </w:p>
    <w:p w14:paraId="6FD1541A" w14:textId="77777777" w:rsidR="00575174" w:rsidRDefault="009F4508">
      <w:pPr>
        <w:pStyle w:val="Nivel2"/>
        <w:numPr>
          <w:ilvl w:val="0"/>
          <w:numId w:val="0"/>
        </w:numPr>
        <w:spacing w:before="0" w:after="0" w:line="240" w:lineRule="auto"/>
        <w:rPr>
          <w:rFonts w:ascii="Times New Roman" w:hAnsi="Times New Roman" w:cs="Times New Roman"/>
          <w:color w:val="auto"/>
        </w:rPr>
      </w:pPr>
      <w:r>
        <w:rPr>
          <w:rFonts w:ascii="Times New Roman" w:hAnsi="Times New Roman" w:cs="Times New Roman"/>
          <w:color w:val="auto"/>
        </w:rPr>
        <w:t>9.3 – O contrato deverá ser executado fielmente pelas partes, de acordo com as cláusulas avençadas e as normas da Lei nº 14.133, de 2021, e cada parte responderá pelas consequências de sua inexecução total ou parcial.</w:t>
      </w:r>
    </w:p>
    <w:p w14:paraId="4C944DC6" w14:textId="77777777" w:rsidR="00575174" w:rsidRDefault="009F4508">
      <w:pPr>
        <w:pStyle w:val="Nivel2"/>
        <w:numPr>
          <w:ilvl w:val="0"/>
          <w:numId w:val="0"/>
        </w:numPr>
        <w:spacing w:before="0" w:after="0" w:line="240" w:lineRule="auto"/>
        <w:rPr>
          <w:rFonts w:ascii="Times New Roman" w:hAnsi="Times New Roman" w:cs="Times New Roman"/>
          <w:color w:val="auto"/>
        </w:rPr>
      </w:pPr>
      <w:r>
        <w:rPr>
          <w:rFonts w:ascii="Times New Roman" w:hAnsi="Times New Roman" w:cs="Times New Roman"/>
          <w:color w:val="auto"/>
        </w:rPr>
        <w:t>9.4 – Em caso de impedimento, ordem de paralisação ou suspensão do contrato, o cronograma de execução será prorrogado automaticamente pelo tempo correspondente, anotadas tais circunstâncias mediante simples apostila.</w:t>
      </w:r>
    </w:p>
    <w:p w14:paraId="70788728" w14:textId="77777777" w:rsidR="00575174" w:rsidRDefault="009F4508">
      <w:pPr>
        <w:pStyle w:val="Nivel2"/>
        <w:numPr>
          <w:ilvl w:val="0"/>
          <w:numId w:val="0"/>
        </w:numPr>
        <w:spacing w:before="0" w:after="0" w:line="240" w:lineRule="auto"/>
        <w:rPr>
          <w:rFonts w:ascii="Times New Roman" w:hAnsi="Times New Roman" w:cs="Times New Roman"/>
          <w:color w:val="auto"/>
        </w:rPr>
      </w:pPr>
      <w:r>
        <w:rPr>
          <w:rFonts w:ascii="Times New Roman" w:hAnsi="Times New Roman" w:cs="Times New Roman"/>
          <w:color w:val="auto"/>
        </w:rPr>
        <w:t xml:space="preserve">9.5 – As comunicações entre o órgão ou entidade e a contratada devem ser realizadas por escrito sempre que o ato </w:t>
      </w:r>
    </w:p>
    <w:p w14:paraId="5AE60EC1" w14:textId="77777777" w:rsidR="00575174" w:rsidRDefault="00575174">
      <w:pPr>
        <w:pStyle w:val="Nivel2"/>
        <w:numPr>
          <w:ilvl w:val="0"/>
          <w:numId w:val="0"/>
        </w:numPr>
        <w:spacing w:before="0" w:after="0" w:line="240" w:lineRule="auto"/>
        <w:rPr>
          <w:rFonts w:ascii="Times New Roman" w:hAnsi="Times New Roman" w:cs="Times New Roman"/>
          <w:color w:val="auto"/>
        </w:rPr>
      </w:pPr>
    </w:p>
    <w:p w14:paraId="46D0DA74" w14:textId="77777777" w:rsidR="00575174" w:rsidRDefault="00575174">
      <w:pPr>
        <w:pStyle w:val="Nivel2"/>
        <w:numPr>
          <w:ilvl w:val="0"/>
          <w:numId w:val="0"/>
        </w:numPr>
        <w:spacing w:before="0" w:after="0" w:line="240" w:lineRule="auto"/>
        <w:rPr>
          <w:rFonts w:ascii="Times New Roman" w:hAnsi="Times New Roman" w:cs="Times New Roman"/>
          <w:color w:val="auto"/>
        </w:rPr>
      </w:pPr>
    </w:p>
    <w:p w14:paraId="555973E6" w14:textId="77777777" w:rsidR="00575174" w:rsidRDefault="009F4508">
      <w:pPr>
        <w:pStyle w:val="Nivel2"/>
        <w:numPr>
          <w:ilvl w:val="0"/>
          <w:numId w:val="0"/>
        </w:numPr>
        <w:spacing w:before="0" w:after="0" w:line="240" w:lineRule="auto"/>
        <w:rPr>
          <w:rFonts w:ascii="Times New Roman" w:hAnsi="Times New Roman" w:cs="Times New Roman"/>
          <w:color w:val="auto"/>
        </w:rPr>
      </w:pPr>
      <w:r>
        <w:rPr>
          <w:rFonts w:ascii="Times New Roman" w:hAnsi="Times New Roman" w:cs="Times New Roman"/>
          <w:color w:val="auto"/>
        </w:rPr>
        <w:t>exigir tal formalidade, admitindo-se o uso de mensagem eletrônica para esse fim.</w:t>
      </w:r>
    </w:p>
    <w:p w14:paraId="63C01DA3" w14:textId="77777777" w:rsidR="00575174" w:rsidRDefault="009F4508">
      <w:pPr>
        <w:pStyle w:val="Nivel2"/>
        <w:numPr>
          <w:ilvl w:val="0"/>
          <w:numId w:val="0"/>
        </w:numPr>
        <w:spacing w:before="0" w:after="0" w:line="240" w:lineRule="auto"/>
        <w:rPr>
          <w:rFonts w:ascii="Times New Roman" w:hAnsi="Times New Roman" w:cs="Times New Roman"/>
          <w:color w:val="auto"/>
        </w:rPr>
      </w:pPr>
      <w:r>
        <w:rPr>
          <w:rFonts w:ascii="Times New Roman" w:hAnsi="Times New Roman" w:cs="Times New Roman"/>
          <w:color w:val="auto"/>
        </w:rPr>
        <w:t>9.6 – O órgão ou entidade poderá convocar representante da empresa para adoção de providências que devam ser cumpridas de imediato.</w:t>
      </w:r>
    </w:p>
    <w:p w14:paraId="5C3DE34F" w14:textId="77777777" w:rsidR="00575174" w:rsidRDefault="009F4508">
      <w:pPr>
        <w:pStyle w:val="Nvel2-Red"/>
        <w:numPr>
          <w:ilvl w:val="0"/>
          <w:numId w:val="0"/>
        </w:numPr>
        <w:spacing w:before="0" w:after="0" w:line="240" w:lineRule="auto"/>
        <w:rPr>
          <w:rFonts w:ascii="Times New Roman" w:hAnsi="Times New Roman" w:cs="Times New Roman"/>
          <w:i w:val="0"/>
          <w:iCs w:val="0"/>
          <w:color w:val="auto"/>
        </w:rPr>
      </w:pPr>
      <w:r>
        <w:rPr>
          <w:rFonts w:ascii="Times New Roman" w:hAnsi="Times New Roman" w:cs="Times New Roman"/>
          <w:i w:val="0"/>
          <w:iCs w:val="0"/>
          <w:color w:val="auto"/>
        </w:rPr>
        <w:t>9.7 –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D463985" w14:textId="77777777" w:rsidR="00575174" w:rsidRDefault="009F4508">
      <w:pPr>
        <w:pStyle w:val="Nivel01Titulo"/>
        <w:numPr>
          <w:ilvl w:val="0"/>
          <w:numId w:val="0"/>
        </w:numPr>
        <w:tabs>
          <w:tab w:val="clear" w:pos="567"/>
          <w:tab w:val="left" w:pos="284"/>
        </w:tabs>
        <w:spacing w:before="0" w:after="0" w:line="240" w:lineRule="auto"/>
        <w:rPr>
          <w:rFonts w:ascii="Times New Roman" w:hAnsi="Times New Roman" w:cs="Times New Roman"/>
          <w:color w:val="auto"/>
          <w:sz w:val="20"/>
          <w:szCs w:val="20"/>
        </w:rPr>
      </w:pPr>
      <w:r>
        <w:rPr>
          <w:rFonts w:ascii="Times New Roman" w:hAnsi="Times New Roman" w:cs="Times New Roman"/>
          <w:color w:val="auto"/>
          <w:sz w:val="20"/>
          <w:szCs w:val="20"/>
        </w:rPr>
        <w:t>10 – CRITÉRIOS DE MEDIÇÃO E PAGAMENTO (art. 92, incisos V e VI, da Lei nº 14.133/2021).</w:t>
      </w:r>
    </w:p>
    <w:p w14:paraId="1A198BC5" w14:textId="77777777" w:rsidR="00575174" w:rsidRDefault="009F4508">
      <w:pPr>
        <w:jc w:val="both"/>
        <w:rPr>
          <w:rFonts w:ascii="Times New Roman" w:hAnsi="Times New Roman" w:cs="Times New Roman"/>
          <w:b/>
          <w:bCs/>
          <w:sz w:val="20"/>
          <w:szCs w:val="20"/>
          <w:u w:val="single"/>
        </w:rPr>
      </w:pPr>
      <w:r>
        <w:rPr>
          <w:rFonts w:ascii="Times New Roman" w:hAnsi="Times New Roman" w:cs="Times New Roman"/>
          <w:b/>
          <w:bCs/>
          <w:sz w:val="20"/>
          <w:szCs w:val="20"/>
          <w:u w:val="single"/>
        </w:rPr>
        <w:t>10.1 – FORMA DE PAGAMENTO</w:t>
      </w:r>
    </w:p>
    <w:p w14:paraId="6113BFFC" w14:textId="77777777" w:rsidR="00575174" w:rsidRDefault="009F4508">
      <w:pPr>
        <w:ind w:left="708"/>
        <w:jc w:val="both"/>
        <w:rPr>
          <w:rFonts w:ascii="Times New Roman" w:hAnsi="Times New Roman" w:cs="Times New Roman"/>
          <w:sz w:val="20"/>
          <w:szCs w:val="20"/>
        </w:rPr>
      </w:pPr>
      <w:r>
        <w:rPr>
          <w:rFonts w:ascii="Times New Roman" w:hAnsi="Times New Roman" w:cs="Times New Roman"/>
          <w:sz w:val="20"/>
          <w:szCs w:val="20"/>
        </w:rPr>
        <w:t>10.1.1 – O pagamento será realizado através de ordem bancária, para crédito em banco, agência e conta-corrente, a serem devidamente indicados pelo contratado.</w:t>
      </w:r>
    </w:p>
    <w:p w14:paraId="4DB901F5" w14:textId="77777777" w:rsidR="00575174" w:rsidRDefault="009F4508">
      <w:pPr>
        <w:ind w:left="708"/>
        <w:jc w:val="both"/>
        <w:rPr>
          <w:rFonts w:ascii="Times New Roman" w:hAnsi="Times New Roman" w:cs="Times New Roman"/>
          <w:sz w:val="20"/>
          <w:szCs w:val="20"/>
        </w:rPr>
      </w:pPr>
      <w:r>
        <w:rPr>
          <w:rFonts w:ascii="Times New Roman" w:hAnsi="Times New Roman" w:cs="Times New Roman"/>
          <w:sz w:val="20"/>
          <w:szCs w:val="20"/>
        </w:rPr>
        <w:t>10.1.2 – Será considerada data do pagamento o dia em que constar como emitida a ordem bancária para pagamento.</w:t>
      </w:r>
    </w:p>
    <w:p w14:paraId="4D8D04EC" w14:textId="77777777" w:rsidR="00575174" w:rsidRDefault="009F4508">
      <w:pPr>
        <w:jc w:val="both"/>
        <w:rPr>
          <w:rFonts w:ascii="Times New Roman" w:hAnsi="Times New Roman" w:cs="Times New Roman"/>
          <w:b/>
          <w:bCs/>
          <w:sz w:val="20"/>
          <w:szCs w:val="20"/>
          <w:u w:val="single"/>
        </w:rPr>
      </w:pPr>
      <w:r>
        <w:rPr>
          <w:rFonts w:ascii="Times New Roman" w:hAnsi="Times New Roman" w:cs="Times New Roman"/>
          <w:b/>
          <w:bCs/>
          <w:sz w:val="20"/>
          <w:szCs w:val="20"/>
          <w:u w:val="single"/>
        </w:rPr>
        <w:t>10.2 – PRAZO DE PAGAMENTO</w:t>
      </w:r>
    </w:p>
    <w:p w14:paraId="3602A14F" w14:textId="77777777" w:rsidR="00575174" w:rsidRDefault="009F4508">
      <w:pPr>
        <w:ind w:left="708"/>
        <w:jc w:val="both"/>
        <w:rPr>
          <w:rFonts w:ascii="Times New Roman" w:hAnsi="Times New Roman" w:cs="Times New Roman"/>
          <w:sz w:val="20"/>
          <w:szCs w:val="20"/>
        </w:rPr>
      </w:pPr>
      <w:r>
        <w:rPr>
          <w:rFonts w:ascii="Times New Roman" w:hAnsi="Times New Roman" w:cs="Times New Roman"/>
          <w:sz w:val="20"/>
          <w:szCs w:val="20"/>
        </w:rPr>
        <w:t>10.2.1 – O pagamento será efetuado no prazo máximo de</w:t>
      </w:r>
      <w:r>
        <w:rPr>
          <w:rFonts w:ascii="Times New Roman" w:eastAsia="Arial" w:hAnsi="Times New Roman" w:cs="Times New Roman"/>
          <w:sz w:val="20"/>
          <w:szCs w:val="20"/>
        </w:rPr>
        <w:t xml:space="preserve"> até 30 (trinta) </w:t>
      </w:r>
      <w:r>
        <w:rPr>
          <w:rFonts w:ascii="Times New Roman" w:hAnsi="Times New Roman" w:cs="Times New Roman"/>
          <w:sz w:val="20"/>
          <w:szCs w:val="20"/>
        </w:rPr>
        <w:t>dias, contados do recebimento definitivo da NF – Nota Fiscal/Fatura.</w:t>
      </w:r>
    </w:p>
    <w:p w14:paraId="1DF329CB" w14:textId="77777777" w:rsidR="00575174" w:rsidRDefault="009F4508">
      <w:pPr>
        <w:ind w:left="708"/>
        <w:jc w:val="both"/>
        <w:rPr>
          <w:rFonts w:ascii="Times New Roman" w:hAnsi="Times New Roman" w:cs="Times New Roman"/>
          <w:sz w:val="20"/>
          <w:szCs w:val="20"/>
        </w:rPr>
      </w:pPr>
      <w:r>
        <w:rPr>
          <w:rFonts w:ascii="Times New Roman" w:hAnsi="Times New Roman" w:cs="Times New Roman"/>
          <w:sz w:val="20"/>
          <w:szCs w:val="20"/>
        </w:rPr>
        <w:t>10.2.2 – Considera-se ocorrido o recebimento da nota fiscal ou fatura quando o órgão contratante atestar a execução do objeto do contrato.</w:t>
      </w:r>
    </w:p>
    <w:p w14:paraId="14971F46" w14:textId="77777777" w:rsidR="00575174" w:rsidRDefault="009F4508">
      <w:pPr>
        <w:ind w:left="708"/>
        <w:jc w:val="both"/>
        <w:rPr>
          <w:rFonts w:ascii="Times New Roman" w:hAnsi="Times New Roman" w:cs="Times New Roman"/>
          <w:sz w:val="20"/>
          <w:szCs w:val="20"/>
        </w:rPr>
      </w:pPr>
      <w:r>
        <w:rPr>
          <w:rFonts w:ascii="Times New Roman" w:hAnsi="Times New Roman" w:cs="Times New Roman"/>
          <w:sz w:val="20"/>
          <w:szCs w:val="20"/>
        </w:rPr>
        <w:t>10.2.3 – No caso de atraso pelo Contratante, os valores devidos ao contratado serão atualizados monetariamente entre o termo final do prazo de pagamento até a data de sua efetiva realização, mediante aplicação do Índice Nacional de Preços ao Consumidor Amplo – IPCA/IBGE de correção monetária.</w:t>
      </w:r>
    </w:p>
    <w:p w14:paraId="049781B2" w14:textId="77777777" w:rsidR="00575174" w:rsidRDefault="009F4508">
      <w:pPr>
        <w:ind w:left="1416"/>
        <w:jc w:val="both"/>
        <w:rPr>
          <w:rFonts w:ascii="Times New Roman" w:hAnsi="Times New Roman" w:cs="Times New Roman"/>
          <w:sz w:val="20"/>
          <w:szCs w:val="20"/>
        </w:rPr>
      </w:pPr>
      <w:r>
        <w:rPr>
          <w:rFonts w:ascii="Times New Roman" w:hAnsi="Times New Roman" w:cs="Times New Roman"/>
          <w:sz w:val="20"/>
          <w:szCs w:val="20"/>
        </w:rPr>
        <w:t xml:space="preserve">10.2.3.1 – </w:t>
      </w:r>
      <w:r>
        <w:rPr>
          <w:rFonts w:ascii="Times New Roman" w:hAnsi="Times New Roman" w:cs="Times New Roman"/>
          <w:iCs/>
          <w:sz w:val="20"/>
          <w:szCs w:val="20"/>
        </w:rPr>
        <w:t>A compensação financeira prevista nesta condição será incluída, a requerimento do interessado, na fatura do mês seguinte ao da ocorrência.</w:t>
      </w:r>
    </w:p>
    <w:p w14:paraId="43574528" w14:textId="77777777" w:rsidR="00575174" w:rsidRDefault="009F4508">
      <w:pPr>
        <w:jc w:val="both"/>
        <w:rPr>
          <w:rFonts w:ascii="Times New Roman" w:hAnsi="Times New Roman" w:cs="Times New Roman"/>
          <w:b/>
          <w:bCs/>
          <w:sz w:val="20"/>
          <w:szCs w:val="20"/>
          <w:u w:val="single"/>
        </w:rPr>
      </w:pPr>
      <w:r>
        <w:rPr>
          <w:rFonts w:ascii="Times New Roman" w:hAnsi="Times New Roman" w:cs="Times New Roman"/>
          <w:b/>
          <w:bCs/>
          <w:sz w:val="20"/>
          <w:szCs w:val="20"/>
          <w:u w:val="single"/>
        </w:rPr>
        <w:t>10.3 - A NF - Nota Fiscal/Fatura deve conter todos os elementos exigidos em lei, tais como:</w:t>
      </w:r>
    </w:p>
    <w:p w14:paraId="0604F1EA" w14:textId="77777777" w:rsidR="00575174" w:rsidRDefault="009F4508">
      <w:pPr>
        <w:ind w:left="708"/>
        <w:jc w:val="both"/>
        <w:rPr>
          <w:rFonts w:ascii="Times New Roman" w:hAnsi="Times New Roman" w:cs="Times New Roman"/>
          <w:sz w:val="20"/>
          <w:szCs w:val="20"/>
        </w:rPr>
      </w:pPr>
      <w:r>
        <w:rPr>
          <w:rFonts w:ascii="Times New Roman" w:hAnsi="Times New Roman" w:cs="Times New Roman"/>
          <w:sz w:val="20"/>
          <w:szCs w:val="20"/>
        </w:rPr>
        <w:t>10.3.1 – Identificação completa da Contratada: CNPJ (o mesmo constante da documentação fiscal, exceto se for emitida por filial/matriz que contenha o mesmo CNPJ base, com sequencial específico da filial/matriz) da contratada, endereço, inscrição estadual ou municipal, etc.;</w:t>
      </w:r>
    </w:p>
    <w:p w14:paraId="06C16472" w14:textId="77777777" w:rsidR="00575174" w:rsidRDefault="009F4508">
      <w:pPr>
        <w:ind w:left="708"/>
        <w:jc w:val="both"/>
        <w:rPr>
          <w:rFonts w:ascii="Times New Roman" w:hAnsi="Times New Roman" w:cs="Times New Roman"/>
          <w:sz w:val="20"/>
          <w:szCs w:val="20"/>
        </w:rPr>
      </w:pPr>
      <w:r>
        <w:rPr>
          <w:rFonts w:ascii="Times New Roman" w:hAnsi="Times New Roman" w:cs="Times New Roman"/>
          <w:sz w:val="20"/>
          <w:szCs w:val="20"/>
        </w:rPr>
        <w:t>10.3.2 – Prazo de validade;</w:t>
      </w:r>
    </w:p>
    <w:p w14:paraId="44371300" w14:textId="77777777" w:rsidR="00575174" w:rsidRDefault="009F4508">
      <w:pPr>
        <w:ind w:left="708"/>
        <w:jc w:val="both"/>
        <w:rPr>
          <w:rFonts w:ascii="Times New Roman" w:hAnsi="Times New Roman" w:cs="Times New Roman"/>
          <w:sz w:val="20"/>
          <w:szCs w:val="20"/>
        </w:rPr>
      </w:pPr>
      <w:r>
        <w:rPr>
          <w:rFonts w:ascii="Times New Roman" w:hAnsi="Times New Roman" w:cs="Times New Roman"/>
          <w:sz w:val="20"/>
          <w:szCs w:val="20"/>
        </w:rPr>
        <w:t>10.3.3 – Data da emissão;</w:t>
      </w:r>
    </w:p>
    <w:p w14:paraId="0FE0B993" w14:textId="77777777" w:rsidR="00575174" w:rsidRDefault="009F4508">
      <w:pPr>
        <w:ind w:left="708"/>
        <w:jc w:val="both"/>
        <w:rPr>
          <w:rFonts w:ascii="Times New Roman" w:hAnsi="Times New Roman" w:cs="Times New Roman"/>
          <w:sz w:val="20"/>
          <w:szCs w:val="20"/>
        </w:rPr>
      </w:pPr>
      <w:r>
        <w:rPr>
          <w:rFonts w:ascii="Times New Roman" w:hAnsi="Times New Roman" w:cs="Times New Roman"/>
          <w:sz w:val="20"/>
          <w:szCs w:val="20"/>
        </w:rPr>
        <w:t>10.3.4 – Dados do contrato e do órgão contratante;</w:t>
      </w:r>
    </w:p>
    <w:p w14:paraId="3B3BF653" w14:textId="77777777" w:rsidR="00575174" w:rsidRDefault="009F4508">
      <w:pPr>
        <w:ind w:left="708"/>
        <w:jc w:val="both"/>
        <w:rPr>
          <w:rFonts w:ascii="Times New Roman" w:hAnsi="Times New Roman" w:cs="Times New Roman"/>
          <w:sz w:val="20"/>
          <w:szCs w:val="20"/>
        </w:rPr>
      </w:pPr>
      <w:r>
        <w:rPr>
          <w:rFonts w:ascii="Times New Roman" w:hAnsi="Times New Roman" w:cs="Times New Roman"/>
          <w:sz w:val="20"/>
          <w:szCs w:val="20"/>
        </w:rPr>
        <w:t>10.3.5 – Descrição de forma clara do objeto executado;</w:t>
      </w:r>
    </w:p>
    <w:p w14:paraId="0665914B" w14:textId="77777777" w:rsidR="00575174" w:rsidRDefault="009F4508">
      <w:pPr>
        <w:ind w:left="708"/>
        <w:jc w:val="both"/>
        <w:rPr>
          <w:rFonts w:ascii="Times New Roman" w:hAnsi="Times New Roman" w:cs="Times New Roman"/>
          <w:sz w:val="20"/>
          <w:szCs w:val="20"/>
        </w:rPr>
      </w:pPr>
      <w:r>
        <w:rPr>
          <w:rFonts w:ascii="Times New Roman" w:hAnsi="Times New Roman" w:cs="Times New Roman"/>
          <w:sz w:val="20"/>
          <w:szCs w:val="20"/>
        </w:rPr>
        <w:t>10.3.6 – Valores unitários e totais e período com as informações referentes aos itens do objeto efetivamente entregues;</w:t>
      </w:r>
    </w:p>
    <w:p w14:paraId="01839423" w14:textId="77777777" w:rsidR="00575174" w:rsidRDefault="009F4508">
      <w:pPr>
        <w:ind w:left="708"/>
        <w:jc w:val="both"/>
        <w:rPr>
          <w:rFonts w:ascii="Times New Roman" w:hAnsi="Times New Roman" w:cs="Times New Roman"/>
          <w:sz w:val="20"/>
          <w:szCs w:val="20"/>
        </w:rPr>
      </w:pPr>
      <w:r>
        <w:rPr>
          <w:rFonts w:ascii="Times New Roman" w:hAnsi="Times New Roman" w:cs="Times New Roman"/>
          <w:sz w:val="20"/>
          <w:szCs w:val="20"/>
        </w:rPr>
        <w:t>10.3.7 – Número do processo que originou a contratação, bem como o número do empenho.</w:t>
      </w:r>
    </w:p>
    <w:p w14:paraId="2FD6A46F" w14:textId="77777777" w:rsidR="00575174" w:rsidRDefault="009F4508">
      <w:pPr>
        <w:ind w:left="708"/>
        <w:jc w:val="both"/>
        <w:rPr>
          <w:rFonts w:ascii="Times New Roman" w:hAnsi="Times New Roman" w:cs="Times New Roman"/>
          <w:sz w:val="20"/>
          <w:szCs w:val="20"/>
        </w:rPr>
      </w:pPr>
      <w:r>
        <w:rPr>
          <w:rFonts w:ascii="Times New Roman" w:hAnsi="Times New Roman" w:cs="Times New Roman"/>
          <w:sz w:val="20"/>
          <w:szCs w:val="20"/>
        </w:rPr>
        <w:t>10.3.8 – Informações bancárias para pagamento.</w:t>
      </w:r>
    </w:p>
    <w:p w14:paraId="586F061F" w14:textId="77777777" w:rsidR="00575174" w:rsidRDefault="009F4508">
      <w:pPr>
        <w:ind w:left="708"/>
        <w:jc w:val="both"/>
        <w:rPr>
          <w:rFonts w:ascii="Times New Roman" w:hAnsi="Times New Roman" w:cs="Times New Roman"/>
          <w:sz w:val="20"/>
          <w:szCs w:val="20"/>
        </w:rPr>
      </w:pPr>
      <w:r>
        <w:rPr>
          <w:rFonts w:ascii="Times New Roman" w:hAnsi="Times New Roman" w:cs="Times New Roman"/>
          <w:sz w:val="20"/>
          <w:szCs w:val="20"/>
        </w:rPr>
        <w:t>10.3.9 – Eventual destaque do valor de retenções tributárias cabíveis.</w:t>
      </w:r>
    </w:p>
    <w:p w14:paraId="364AC9C3" w14:textId="77777777" w:rsidR="00575174" w:rsidRDefault="009F4508">
      <w:pPr>
        <w:tabs>
          <w:tab w:val="left" w:pos="426"/>
        </w:tabs>
        <w:jc w:val="both"/>
        <w:rPr>
          <w:rFonts w:ascii="Times New Roman" w:hAnsi="Times New Roman" w:cs="Times New Roman"/>
          <w:iCs/>
          <w:sz w:val="20"/>
          <w:szCs w:val="20"/>
        </w:rPr>
      </w:pPr>
      <w:r>
        <w:rPr>
          <w:rFonts w:ascii="Times New Roman" w:hAnsi="Times New Roman" w:cs="Times New Roman"/>
          <w:iCs/>
          <w:sz w:val="20"/>
          <w:szCs w:val="20"/>
        </w:rPr>
        <w:t xml:space="preserve">10.4 - Havendo erro </w:t>
      </w:r>
      <w:r>
        <w:rPr>
          <w:rFonts w:ascii="Times New Roman" w:hAnsi="Times New Roman" w:cs="Times New Roman"/>
          <w:sz w:val="20"/>
          <w:szCs w:val="20"/>
        </w:rPr>
        <w:t>na</w:t>
      </w:r>
      <w:r>
        <w:rPr>
          <w:rFonts w:ascii="Times New Roman" w:hAnsi="Times New Roman" w:cs="Times New Roman"/>
          <w:iCs/>
          <w:sz w:val="20"/>
          <w:szCs w:val="20"/>
        </w:rPr>
        <w:t xml:space="preserve"> apresentação da NF - Nota Fiscal/Fatura, ou circunstância que impeça a liquidação da </w:t>
      </w:r>
      <w:r>
        <w:rPr>
          <w:rFonts w:ascii="Times New Roman" w:hAnsi="Times New Roman" w:cs="Times New Roman"/>
          <w:sz w:val="20"/>
          <w:szCs w:val="20"/>
        </w:rPr>
        <w:t>despesa</w:t>
      </w:r>
      <w:r>
        <w:rPr>
          <w:rFonts w:ascii="Times New Roman" w:hAnsi="Times New Roman" w:cs="Times New Roman"/>
          <w:iCs/>
          <w:sz w:val="20"/>
          <w:szCs w:val="20"/>
        </w:rPr>
        <w:t>, o pagamento ficará sobrestado até que o contratado providencie as medidas saneadoras. Nessa hipótese, o prazo para pagamento iniciar-se-á após a comprovação da regularização da situação, não acarretando qualquer ônus para o contratante;</w:t>
      </w:r>
    </w:p>
    <w:p w14:paraId="6E2B0E9C" w14:textId="77777777" w:rsidR="00575174" w:rsidRDefault="009F4508">
      <w:pPr>
        <w:tabs>
          <w:tab w:val="left" w:pos="426"/>
        </w:tabs>
        <w:jc w:val="both"/>
        <w:rPr>
          <w:rFonts w:ascii="Times New Roman" w:hAnsi="Times New Roman" w:cs="Times New Roman"/>
          <w:iCs/>
          <w:sz w:val="20"/>
          <w:szCs w:val="20"/>
        </w:rPr>
      </w:pPr>
      <w:r>
        <w:rPr>
          <w:rFonts w:ascii="Times New Roman" w:hAnsi="Times New Roman" w:cs="Times New Roman"/>
          <w:iCs/>
          <w:sz w:val="20"/>
          <w:szCs w:val="20"/>
        </w:rPr>
        <w:t>10.5 – Os pagamentos serão condicionados à apresentação da NF – Nota Fiscal dos produtos/serviços contratados e entregues/executados devidamente atestados pelo setor competente.</w:t>
      </w:r>
    </w:p>
    <w:p w14:paraId="04DC6F89" w14:textId="77777777" w:rsidR="00575174" w:rsidRDefault="009F4508">
      <w:pPr>
        <w:tabs>
          <w:tab w:val="left" w:pos="426"/>
        </w:tabs>
        <w:jc w:val="both"/>
        <w:rPr>
          <w:rFonts w:ascii="Times New Roman" w:hAnsi="Times New Roman" w:cs="Times New Roman"/>
          <w:iCs/>
          <w:sz w:val="20"/>
          <w:szCs w:val="20"/>
        </w:rPr>
      </w:pPr>
      <w:r>
        <w:rPr>
          <w:rFonts w:ascii="Times New Roman" w:hAnsi="Times New Roman" w:cs="Times New Roman"/>
          <w:iCs/>
          <w:sz w:val="20"/>
          <w:szCs w:val="20"/>
        </w:rPr>
        <w:t xml:space="preserve">10.6 – Deverá a contratada apresentar ainda as provas de regularidade fiscal e trabalhista com prazo de validade vigente. </w:t>
      </w:r>
    </w:p>
    <w:p w14:paraId="17AF8DCC" w14:textId="77777777" w:rsidR="00575174" w:rsidRDefault="009F4508">
      <w:pPr>
        <w:tabs>
          <w:tab w:val="left" w:pos="426"/>
        </w:tabs>
        <w:jc w:val="both"/>
        <w:rPr>
          <w:rFonts w:ascii="Times New Roman" w:hAnsi="Times New Roman" w:cs="Times New Roman"/>
          <w:iCs/>
          <w:sz w:val="20"/>
          <w:szCs w:val="20"/>
        </w:rPr>
      </w:pPr>
      <w:r>
        <w:rPr>
          <w:rFonts w:ascii="Times New Roman" w:hAnsi="Times New Roman" w:cs="Times New Roman"/>
          <w:iCs/>
          <w:sz w:val="20"/>
          <w:szCs w:val="20"/>
        </w:rPr>
        <w:t>10.7 – O atraso superior a 60 (sessenta) dias dos pagamentos devidos pela Administração, decorrentes dos serviços já prestados, salvo em caso de calamidade pública, grave perturbação da ordem interna ou guerra, assegura à Contratada o direito de optar pela suspensão do cumprimento de suas obrigações até que seja normalizada a situação e a pronta quitação das parcelas em aberto.</w:t>
      </w:r>
    </w:p>
    <w:p w14:paraId="44DF9956" w14:textId="77777777" w:rsidR="00575174" w:rsidRDefault="009F4508">
      <w:pPr>
        <w:tabs>
          <w:tab w:val="left" w:pos="426"/>
        </w:tabs>
        <w:jc w:val="both"/>
        <w:rPr>
          <w:rFonts w:ascii="Times New Roman" w:hAnsi="Times New Roman" w:cs="Times New Roman"/>
          <w:iCs/>
          <w:sz w:val="20"/>
          <w:szCs w:val="20"/>
          <w:highlight w:val="white"/>
        </w:rPr>
      </w:pPr>
      <w:r>
        <w:rPr>
          <w:rFonts w:ascii="Times New Roman" w:hAnsi="Times New Roman" w:cs="Times New Roman"/>
          <w:iCs/>
          <w:sz w:val="20"/>
          <w:szCs w:val="20"/>
        </w:rPr>
        <w:t>10.8</w:t>
      </w:r>
      <w:r>
        <w:rPr>
          <w:rFonts w:ascii="Times New Roman" w:hAnsi="Times New Roman" w:cs="Times New Roman"/>
          <w:iCs/>
          <w:sz w:val="20"/>
          <w:szCs w:val="20"/>
          <w:highlight w:val="white"/>
        </w:rPr>
        <w:t xml:space="preserve"> – </w:t>
      </w:r>
      <w:r>
        <w:rPr>
          <w:rFonts w:ascii="Times New Roman" w:hAnsi="Times New Roman" w:cs="Times New Roman"/>
          <w:sz w:val="20"/>
          <w:szCs w:val="20"/>
          <w:highlight w:val="white"/>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r>
        <w:rPr>
          <w:rFonts w:ascii="Times New Roman" w:hAnsi="Times New Roman" w:cs="Times New Roman"/>
          <w:iCs/>
          <w:sz w:val="20"/>
          <w:szCs w:val="20"/>
          <w:highlight w:val="white"/>
        </w:rPr>
        <w:t>.</w:t>
      </w:r>
    </w:p>
    <w:p w14:paraId="510A43FE" w14:textId="77777777" w:rsidR="00575174" w:rsidRDefault="009F4508">
      <w:pPr>
        <w:tabs>
          <w:tab w:val="left" w:pos="426"/>
        </w:tabs>
        <w:jc w:val="both"/>
        <w:rPr>
          <w:rFonts w:ascii="Times New Roman" w:hAnsi="Times New Roman" w:cs="Times New Roman"/>
          <w:iCs/>
          <w:sz w:val="20"/>
          <w:szCs w:val="20"/>
        </w:rPr>
      </w:pPr>
      <w:r>
        <w:rPr>
          <w:rFonts w:ascii="Times New Roman" w:hAnsi="Times New Roman" w:cs="Times New Roman"/>
          <w:iCs/>
          <w:sz w:val="20"/>
          <w:szCs w:val="20"/>
        </w:rPr>
        <w:t>10.9 – Dados para emissão da Nota Fiscal:</w:t>
      </w:r>
    </w:p>
    <w:p w14:paraId="11DF599E" w14:textId="77777777" w:rsidR="00575174" w:rsidRDefault="009F4508">
      <w:pPr>
        <w:widowControl w:val="0"/>
        <w:jc w:val="both"/>
        <w:rPr>
          <w:rFonts w:ascii="Times New Roman" w:hAnsi="Times New Roman" w:cs="Times New Roman"/>
          <w:bCs/>
          <w:i/>
          <w:sz w:val="16"/>
          <w:szCs w:val="16"/>
        </w:rPr>
      </w:pPr>
      <w:r>
        <w:rPr>
          <w:rFonts w:ascii="Times New Roman" w:hAnsi="Times New Roman" w:cs="Times New Roman"/>
          <w:i/>
          <w:iCs/>
          <w:sz w:val="16"/>
          <w:szCs w:val="16"/>
        </w:rPr>
        <w:t>PREFEITURA MUNICIPAL DE SANTA BÁRBARA DO SUL/RS</w:t>
      </w:r>
    </w:p>
    <w:p w14:paraId="407DBCEB" w14:textId="77777777" w:rsidR="00575174" w:rsidRDefault="009F4508">
      <w:pPr>
        <w:widowControl w:val="0"/>
        <w:jc w:val="both"/>
        <w:rPr>
          <w:rFonts w:ascii="Times New Roman" w:hAnsi="Times New Roman" w:cs="Times New Roman"/>
          <w:bCs/>
          <w:i/>
          <w:sz w:val="16"/>
          <w:szCs w:val="16"/>
        </w:rPr>
      </w:pPr>
      <w:r>
        <w:rPr>
          <w:rFonts w:ascii="Times New Roman" w:hAnsi="Times New Roman" w:cs="Times New Roman"/>
          <w:i/>
          <w:iCs/>
          <w:sz w:val="16"/>
          <w:szCs w:val="16"/>
        </w:rPr>
        <w:t>CNPJ nº: 88.496.468/0001-60</w:t>
      </w:r>
    </w:p>
    <w:p w14:paraId="32C557E4" w14:textId="77777777" w:rsidR="00575174" w:rsidRDefault="009F4508">
      <w:pPr>
        <w:widowControl w:val="0"/>
        <w:jc w:val="both"/>
        <w:rPr>
          <w:rFonts w:ascii="Times New Roman" w:hAnsi="Times New Roman" w:cs="Times New Roman"/>
          <w:bCs/>
          <w:i/>
          <w:sz w:val="16"/>
          <w:szCs w:val="16"/>
        </w:rPr>
      </w:pPr>
      <w:r>
        <w:rPr>
          <w:rFonts w:ascii="Times New Roman" w:hAnsi="Times New Roman" w:cs="Times New Roman"/>
          <w:i/>
          <w:iCs/>
          <w:sz w:val="16"/>
          <w:szCs w:val="16"/>
        </w:rPr>
        <w:t>ENDEREÇO: Avenida Eduardo de Britto, nº 101, Bairro Cerutti.</w:t>
      </w:r>
    </w:p>
    <w:p w14:paraId="57C99B78" w14:textId="77777777" w:rsidR="00575174" w:rsidRDefault="009F4508">
      <w:pPr>
        <w:widowControl w:val="0"/>
        <w:jc w:val="both"/>
        <w:rPr>
          <w:rFonts w:ascii="Times New Roman" w:hAnsi="Times New Roman" w:cs="Times New Roman"/>
          <w:i/>
          <w:iCs/>
          <w:sz w:val="16"/>
          <w:szCs w:val="16"/>
        </w:rPr>
      </w:pPr>
      <w:r>
        <w:rPr>
          <w:rFonts w:ascii="Times New Roman" w:hAnsi="Times New Roman" w:cs="Times New Roman"/>
          <w:i/>
          <w:iCs/>
          <w:sz w:val="16"/>
          <w:szCs w:val="16"/>
        </w:rPr>
        <w:t>CEP:98.240-000</w:t>
      </w:r>
    </w:p>
    <w:p w14:paraId="6C5E3C08" w14:textId="77777777" w:rsidR="00575174" w:rsidRDefault="009F4508">
      <w:pPr>
        <w:pStyle w:val="Nivel01"/>
        <w:numPr>
          <w:ilvl w:val="0"/>
          <w:numId w:val="0"/>
        </w:numPr>
        <w:spacing w:before="0" w:after="0" w:line="240" w:lineRule="auto"/>
        <w:rPr>
          <w:rFonts w:ascii="Times New Roman" w:hAnsi="Times New Roman" w:cs="Times New Roman"/>
          <w:color w:val="auto"/>
        </w:rPr>
      </w:pPr>
      <w:r>
        <w:rPr>
          <w:rFonts w:ascii="Times New Roman" w:hAnsi="Times New Roman" w:cs="Times New Roman"/>
          <w:color w:val="auto"/>
        </w:rPr>
        <w:t>11 – REAJUSTE (art. 92, inciso V, da Lei nº 14.133/2021).</w:t>
      </w:r>
    </w:p>
    <w:p w14:paraId="7631FF41" w14:textId="77777777" w:rsidR="00575174" w:rsidRDefault="009F4508">
      <w:pPr>
        <w:pStyle w:val="Nivel2"/>
        <w:numPr>
          <w:ilvl w:val="0"/>
          <w:numId w:val="0"/>
        </w:numPr>
        <w:spacing w:before="0" w:after="0" w:line="240" w:lineRule="auto"/>
        <w:rPr>
          <w:rFonts w:ascii="Times New Roman" w:hAnsi="Times New Roman" w:cs="Times New Roman"/>
          <w:color w:val="auto"/>
        </w:rPr>
      </w:pPr>
      <w:r>
        <w:rPr>
          <w:rFonts w:ascii="Times New Roman" w:hAnsi="Times New Roman" w:cs="Times New Roman"/>
          <w:color w:val="auto"/>
        </w:rPr>
        <w:t>11.1 – Os preços inicialmente contratados são fixos e irreajustáveis no prazo de um ano contado da data do orçamento estimado.</w:t>
      </w:r>
    </w:p>
    <w:p w14:paraId="771A66A8" w14:textId="77777777" w:rsidR="00575174" w:rsidRDefault="009F4508">
      <w:pPr>
        <w:pStyle w:val="Nivel2"/>
        <w:numPr>
          <w:ilvl w:val="0"/>
          <w:numId w:val="0"/>
        </w:numPr>
        <w:spacing w:before="0" w:after="0" w:line="240" w:lineRule="auto"/>
        <w:rPr>
          <w:rFonts w:ascii="Times New Roman" w:hAnsi="Times New Roman" w:cs="Times New Roman"/>
          <w:color w:val="auto"/>
        </w:rPr>
      </w:pPr>
      <w:r>
        <w:rPr>
          <w:rFonts w:ascii="Times New Roman" w:hAnsi="Times New Roman" w:cs="Times New Roman"/>
          <w:color w:val="auto"/>
        </w:rPr>
        <w:t>11.2 – Após o interregno de 01 (um) ano, e independentemente de pedido do contratado, os preços iniciais serão reajustados, mediante a aplicação, pelo contratante, do Índice Nacional de Preços ao Consumidor Amplo - IPCA/IBGE</w:t>
      </w:r>
      <w:r>
        <w:rPr>
          <w:rFonts w:ascii="Times New Roman" w:hAnsi="Times New Roman" w:cs="Times New Roman"/>
          <w:i/>
          <w:iCs/>
          <w:color w:val="auto"/>
        </w:rPr>
        <w:t>,</w:t>
      </w:r>
      <w:r>
        <w:rPr>
          <w:rFonts w:ascii="Times New Roman" w:hAnsi="Times New Roman" w:cs="Times New Roman"/>
          <w:color w:val="auto"/>
        </w:rPr>
        <w:t xml:space="preserve"> exclusivamente para as obrigações iniciadas e concluídas após a ocorrência da anualidade.</w:t>
      </w:r>
    </w:p>
    <w:p w14:paraId="4AE13996" w14:textId="77777777" w:rsidR="00575174" w:rsidRDefault="009F4508">
      <w:pPr>
        <w:pStyle w:val="Nivel2"/>
        <w:numPr>
          <w:ilvl w:val="0"/>
          <w:numId w:val="0"/>
        </w:numPr>
        <w:spacing w:before="0" w:after="0" w:line="240" w:lineRule="auto"/>
        <w:rPr>
          <w:rFonts w:ascii="Times New Roman" w:hAnsi="Times New Roman" w:cs="Times New Roman"/>
          <w:color w:val="auto"/>
        </w:rPr>
      </w:pPr>
      <w:r>
        <w:rPr>
          <w:rFonts w:ascii="Times New Roman" w:hAnsi="Times New Roman" w:cs="Times New Roman"/>
          <w:color w:val="auto"/>
        </w:rPr>
        <w:t>11.3 – Nos reajustes subsequentes ao primeiro, o interregno mínimo de 01 (um) ano será contado a partir dos efeitos financeiros do último reajuste.</w:t>
      </w:r>
    </w:p>
    <w:p w14:paraId="3D6B0164" w14:textId="77777777" w:rsidR="00575174" w:rsidRDefault="009F4508">
      <w:pPr>
        <w:pStyle w:val="Nivel2"/>
        <w:numPr>
          <w:ilvl w:val="0"/>
          <w:numId w:val="0"/>
        </w:numPr>
        <w:spacing w:before="0" w:after="0" w:line="240" w:lineRule="auto"/>
        <w:rPr>
          <w:rFonts w:ascii="Times New Roman" w:hAnsi="Times New Roman" w:cs="Times New Roman"/>
          <w:color w:val="auto"/>
        </w:rPr>
      </w:pPr>
      <w:r>
        <w:rPr>
          <w:rFonts w:ascii="Times New Roman" w:hAnsi="Times New Roman" w:cs="Times New Roman"/>
          <w:color w:val="auto"/>
        </w:rPr>
        <w:t xml:space="preserve">11.4 – No caso de atraso ou não divulgação do(s) índice (s) de reajustamento, o contratante pagará ao contratado a importância calculada pela última variação conhecida, liquidando a diferença correspondente tão logo seja(m) divulgado(s) o(s) índice(s) definitivo(s). </w:t>
      </w:r>
    </w:p>
    <w:p w14:paraId="4D212142" w14:textId="77777777" w:rsidR="00575174" w:rsidRDefault="009F4508">
      <w:pPr>
        <w:pStyle w:val="Nivel2"/>
        <w:numPr>
          <w:ilvl w:val="0"/>
          <w:numId w:val="0"/>
        </w:numPr>
        <w:spacing w:before="0" w:after="0" w:line="240" w:lineRule="auto"/>
        <w:rPr>
          <w:rFonts w:ascii="Times New Roman" w:hAnsi="Times New Roman" w:cs="Times New Roman"/>
          <w:color w:val="auto"/>
        </w:rPr>
      </w:pPr>
      <w:r>
        <w:rPr>
          <w:rFonts w:ascii="Times New Roman" w:hAnsi="Times New Roman" w:cs="Times New Roman"/>
          <w:color w:val="auto"/>
        </w:rPr>
        <w:t>11.5 – Nas aferições finais, o(s) índice(s) utilizado(s) para reajuste será(ão), obrigatoriamente, o(s) definitivo(s).</w:t>
      </w:r>
    </w:p>
    <w:p w14:paraId="0B05C935" w14:textId="77777777" w:rsidR="00575174" w:rsidRDefault="009F4508">
      <w:pPr>
        <w:pStyle w:val="Nivel2"/>
        <w:numPr>
          <w:ilvl w:val="0"/>
          <w:numId w:val="0"/>
        </w:numPr>
        <w:spacing w:before="0" w:after="0" w:line="240" w:lineRule="auto"/>
        <w:rPr>
          <w:rFonts w:ascii="Times New Roman" w:hAnsi="Times New Roman" w:cs="Times New Roman"/>
          <w:color w:val="auto"/>
        </w:rPr>
      </w:pPr>
      <w:r>
        <w:rPr>
          <w:rFonts w:ascii="Times New Roman" w:hAnsi="Times New Roman" w:cs="Times New Roman"/>
          <w:color w:val="auto"/>
        </w:rPr>
        <w:t>11.6 – Caso o(s) índice(s) estabelecido(s) para reajustamento venha(m) a ser extinto(s) ou de qualquer forma não possa(m) mais ser utilizado(s), será(ão) adotado(s), em substituição, o(s) que vier(em) a ser determinado(s) pela legislação então em vigor.</w:t>
      </w:r>
    </w:p>
    <w:p w14:paraId="78049CC4" w14:textId="77777777" w:rsidR="00575174" w:rsidRDefault="009F4508">
      <w:pPr>
        <w:pStyle w:val="Nivel2"/>
        <w:numPr>
          <w:ilvl w:val="0"/>
          <w:numId w:val="0"/>
        </w:numPr>
        <w:spacing w:before="0" w:after="0" w:line="240" w:lineRule="auto"/>
        <w:rPr>
          <w:rFonts w:ascii="Times New Roman" w:hAnsi="Times New Roman" w:cs="Times New Roman"/>
          <w:color w:val="auto"/>
        </w:rPr>
      </w:pPr>
      <w:r>
        <w:rPr>
          <w:rFonts w:ascii="Times New Roman" w:hAnsi="Times New Roman" w:cs="Times New Roman"/>
          <w:color w:val="auto"/>
        </w:rPr>
        <w:t xml:space="preserve">11.7 – Na ausência de previsão legal quanto ao índice substituto, as partes elegerão novo índice oficial, para reajustamento do preço do valor remanescente, por meio de termo aditivo. </w:t>
      </w:r>
    </w:p>
    <w:p w14:paraId="63FEF2FA" w14:textId="77777777" w:rsidR="00575174" w:rsidRDefault="009F4508">
      <w:pPr>
        <w:pStyle w:val="Nivel2"/>
        <w:numPr>
          <w:ilvl w:val="0"/>
          <w:numId w:val="0"/>
        </w:numPr>
        <w:spacing w:before="0" w:after="0" w:line="240" w:lineRule="auto"/>
        <w:rPr>
          <w:rFonts w:ascii="Times New Roman" w:hAnsi="Times New Roman" w:cs="Times New Roman"/>
          <w:color w:val="auto"/>
        </w:rPr>
      </w:pPr>
      <w:r>
        <w:rPr>
          <w:rFonts w:ascii="Times New Roman" w:hAnsi="Times New Roman" w:cs="Times New Roman"/>
          <w:color w:val="auto"/>
        </w:rPr>
        <w:t>11.8 – O reajuste será realizado por apostilamento.</w:t>
      </w:r>
    </w:p>
    <w:p w14:paraId="46BC50B0" w14:textId="77777777" w:rsidR="00575174" w:rsidRDefault="009F4508">
      <w:pPr>
        <w:pStyle w:val="Nivel01"/>
        <w:numPr>
          <w:ilvl w:val="0"/>
          <w:numId w:val="0"/>
        </w:numPr>
        <w:tabs>
          <w:tab w:val="left" w:pos="284"/>
        </w:tabs>
        <w:spacing w:before="0" w:after="0" w:line="240" w:lineRule="auto"/>
        <w:rPr>
          <w:rFonts w:ascii="Times New Roman" w:hAnsi="Times New Roman" w:cs="Times New Roman"/>
          <w:color w:val="auto"/>
        </w:rPr>
      </w:pPr>
      <w:r>
        <w:rPr>
          <w:rFonts w:ascii="Times New Roman" w:hAnsi="Times New Roman" w:cs="Times New Roman"/>
          <w:color w:val="auto"/>
        </w:rPr>
        <w:t>12 – INFRAÇÕES E SANÇÕES ADMINISTRATIVAS (art. 92, inciso XIV, da Lei nº 14.133/2021).</w:t>
      </w:r>
    </w:p>
    <w:p w14:paraId="4170510B" w14:textId="77777777" w:rsidR="00575174" w:rsidRDefault="009F4508">
      <w:pPr>
        <w:pStyle w:val="Nivel2"/>
        <w:numPr>
          <w:ilvl w:val="0"/>
          <w:numId w:val="0"/>
        </w:numPr>
        <w:tabs>
          <w:tab w:val="left" w:pos="284"/>
        </w:tabs>
        <w:spacing w:before="0" w:after="0" w:line="240" w:lineRule="auto"/>
        <w:rPr>
          <w:rFonts w:ascii="Times New Roman" w:hAnsi="Times New Roman" w:cs="Times New Roman"/>
          <w:color w:val="auto"/>
        </w:rPr>
      </w:pPr>
      <w:r>
        <w:rPr>
          <w:rFonts w:ascii="Times New Roman" w:hAnsi="Times New Roman" w:cs="Times New Roman"/>
          <w:color w:val="auto"/>
        </w:rPr>
        <w:t>12.1 – Comete infração administrativa, nos termos da Lei nº 14.133, de 2021, o contratado que:</w:t>
      </w:r>
    </w:p>
    <w:p w14:paraId="0CE1FC6C" w14:textId="77777777" w:rsidR="00575174" w:rsidRDefault="009F4508">
      <w:pPr>
        <w:tabs>
          <w:tab w:val="left" w:pos="284"/>
        </w:tabs>
        <w:ind w:left="708"/>
        <w:jc w:val="both"/>
        <w:rPr>
          <w:rFonts w:ascii="Times New Roman" w:hAnsi="Times New Roman" w:cs="Times New Roman"/>
          <w:sz w:val="20"/>
          <w:szCs w:val="20"/>
        </w:rPr>
      </w:pPr>
      <w:r>
        <w:rPr>
          <w:rFonts w:ascii="Times New Roman" w:eastAsia="Arial" w:hAnsi="Times New Roman" w:cs="Times New Roman"/>
          <w:sz w:val="20"/>
          <w:szCs w:val="20"/>
        </w:rPr>
        <w:t>a) der causa à inexecução parcial do contrato;</w:t>
      </w:r>
    </w:p>
    <w:p w14:paraId="549D8483" w14:textId="77777777" w:rsidR="00575174" w:rsidRDefault="009F4508">
      <w:pPr>
        <w:tabs>
          <w:tab w:val="left" w:pos="284"/>
        </w:tabs>
        <w:ind w:left="708"/>
        <w:jc w:val="both"/>
        <w:rPr>
          <w:rFonts w:ascii="Times New Roman" w:hAnsi="Times New Roman" w:cs="Times New Roman"/>
          <w:sz w:val="20"/>
          <w:szCs w:val="20"/>
        </w:rPr>
      </w:pPr>
      <w:r>
        <w:rPr>
          <w:rFonts w:ascii="Times New Roman" w:eastAsia="Arial" w:hAnsi="Times New Roman" w:cs="Times New Roman"/>
          <w:sz w:val="20"/>
          <w:szCs w:val="20"/>
        </w:rPr>
        <w:t>b) der causa à inexecução parcial do contrato que cause grave dano à Administração ou ao funcionamento dos serviços públicos ou ao interesse coletivo;</w:t>
      </w:r>
    </w:p>
    <w:p w14:paraId="39F18828" w14:textId="77777777" w:rsidR="00575174" w:rsidRDefault="009F4508">
      <w:pPr>
        <w:tabs>
          <w:tab w:val="left" w:pos="284"/>
        </w:tabs>
        <w:ind w:left="708"/>
        <w:jc w:val="both"/>
        <w:rPr>
          <w:rFonts w:ascii="Times New Roman" w:hAnsi="Times New Roman" w:cs="Times New Roman"/>
          <w:sz w:val="20"/>
          <w:szCs w:val="20"/>
        </w:rPr>
      </w:pPr>
      <w:r>
        <w:rPr>
          <w:rFonts w:ascii="Times New Roman" w:eastAsia="Arial" w:hAnsi="Times New Roman" w:cs="Times New Roman"/>
          <w:sz w:val="20"/>
          <w:szCs w:val="20"/>
        </w:rPr>
        <w:t>c) der causa à inexecução total do contrato;</w:t>
      </w:r>
    </w:p>
    <w:p w14:paraId="020135F6" w14:textId="77777777" w:rsidR="00575174" w:rsidRDefault="009F4508">
      <w:pPr>
        <w:tabs>
          <w:tab w:val="left" w:pos="284"/>
        </w:tabs>
        <w:ind w:left="708"/>
        <w:jc w:val="both"/>
        <w:rPr>
          <w:rFonts w:ascii="Times New Roman" w:hAnsi="Times New Roman" w:cs="Times New Roman"/>
          <w:sz w:val="20"/>
          <w:szCs w:val="20"/>
        </w:rPr>
      </w:pPr>
      <w:r>
        <w:rPr>
          <w:rFonts w:ascii="Times New Roman" w:eastAsia="Arial" w:hAnsi="Times New Roman" w:cs="Times New Roman"/>
          <w:sz w:val="20"/>
          <w:szCs w:val="20"/>
        </w:rPr>
        <w:t>d) ensejar o retardamento da execução ou da entrega do objeto da contratação sem motivo justificado;</w:t>
      </w:r>
    </w:p>
    <w:p w14:paraId="037FC02A" w14:textId="77777777" w:rsidR="00575174" w:rsidRDefault="009F4508">
      <w:pPr>
        <w:tabs>
          <w:tab w:val="left" w:pos="284"/>
        </w:tabs>
        <w:ind w:left="708"/>
        <w:jc w:val="both"/>
        <w:rPr>
          <w:rFonts w:ascii="Times New Roman" w:hAnsi="Times New Roman" w:cs="Times New Roman"/>
          <w:sz w:val="20"/>
          <w:szCs w:val="20"/>
        </w:rPr>
      </w:pPr>
      <w:r>
        <w:rPr>
          <w:rFonts w:ascii="Times New Roman" w:eastAsia="Arial" w:hAnsi="Times New Roman" w:cs="Times New Roman"/>
          <w:sz w:val="20"/>
          <w:szCs w:val="20"/>
        </w:rPr>
        <w:t>e) apresentar documentação falsa ou prestar declaração falsa durante a execução do contrato;</w:t>
      </w:r>
    </w:p>
    <w:p w14:paraId="56FBBBAA" w14:textId="77777777" w:rsidR="00575174" w:rsidRDefault="009F4508">
      <w:pPr>
        <w:tabs>
          <w:tab w:val="left" w:pos="284"/>
        </w:tabs>
        <w:ind w:left="708"/>
        <w:jc w:val="both"/>
        <w:rPr>
          <w:rFonts w:ascii="Times New Roman" w:hAnsi="Times New Roman" w:cs="Times New Roman"/>
          <w:sz w:val="20"/>
          <w:szCs w:val="20"/>
        </w:rPr>
      </w:pPr>
      <w:r>
        <w:rPr>
          <w:rFonts w:ascii="Times New Roman" w:eastAsia="Arial" w:hAnsi="Times New Roman" w:cs="Times New Roman"/>
          <w:sz w:val="20"/>
          <w:szCs w:val="20"/>
        </w:rPr>
        <w:t>f) praticar ato fraudulento na execução do contrato;</w:t>
      </w:r>
    </w:p>
    <w:p w14:paraId="125B4045" w14:textId="77777777" w:rsidR="00575174" w:rsidRDefault="009F4508">
      <w:pPr>
        <w:tabs>
          <w:tab w:val="left" w:pos="284"/>
        </w:tabs>
        <w:ind w:left="708"/>
        <w:jc w:val="both"/>
        <w:rPr>
          <w:rFonts w:ascii="Times New Roman" w:hAnsi="Times New Roman" w:cs="Times New Roman"/>
          <w:sz w:val="20"/>
          <w:szCs w:val="20"/>
        </w:rPr>
      </w:pPr>
      <w:r>
        <w:rPr>
          <w:rFonts w:ascii="Times New Roman" w:eastAsia="Arial" w:hAnsi="Times New Roman" w:cs="Times New Roman"/>
          <w:sz w:val="20"/>
          <w:szCs w:val="20"/>
        </w:rPr>
        <w:t>g) comportar-se de modo inidôneo ou cometer fraude de qualquer natureza;</w:t>
      </w:r>
    </w:p>
    <w:p w14:paraId="51BD4140" w14:textId="77777777" w:rsidR="00575174" w:rsidRDefault="009F4508">
      <w:pPr>
        <w:tabs>
          <w:tab w:val="left" w:pos="284"/>
        </w:tabs>
        <w:ind w:left="708"/>
        <w:jc w:val="both"/>
        <w:rPr>
          <w:rFonts w:ascii="Times New Roman" w:hAnsi="Times New Roman" w:cs="Times New Roman"/>
          <w:sz w:val="20"/>
          <w:szCs w:val="20"/>
        </w:rPr>
      </w:pPr>
      <w:r>
        <w:rPr>
          <w:rFonts w:ascii="Times New Roman" w:eastAsia="Arial" w:hAnsi="Times New Roman" w:cs="Times New Roman"/>
          <w:sz w:val="20"/>
          <w:szCs w:val="20"/>
        </w:rPr>
        <w:t>h) praticar ato lesivo previsto no art. 5º da Lei nº 12.846, de 1º de agosto de 2013.</w:t>
      </w:r>
    </w:p>
    <w:p w14:paraId="647D1834" w14:textId="77777777" w:rsidR="00575174" w:rsidRDefault="009F4508">
      <w:pPr>
        <w:pStyle w:val="Nivel2"/>
        <w:numPr>
          <w:ilvl w:val="0"/>
          <w:numId w:val="0"/>
        </w:numPr>
        <w:spacing w:before="0" w:after="0" w:line="240" w:lineRule="auto"/>
        <w:rPr>
          <w:rFonts w:ascii="Times New Roman" w:hAnsi="Times New Roman" w:cs="Times New Roman"/>
          <w:color w:val="auto"/>
        </w:rPr>
      </w:pPr>
      <w:r>
        <w:rPr>
          <w:rFonts w:ascii="Times New Roman" w:hAnsi="Times New Roman" w:cs="Times New Roman"/>
          <w:color w:val="auto"/>
        </w:rPr>
        <w:t>12.2 – Serão aplicadas ao contratado que incorrer nas infrações acima descritas as seguintes sanções:</w:t>
      </w:r>
    </w:p>
    <w:p w14:paraId="2E166892" w14:textId="77777777" w:rsidR="00575174" w:rsidRDefault="009F4508">
      <w:pPr>
        <w:tabs>
          <w:tab w:val="left" w:pos="284"/>
        </w:tabs>
        <w:ind w:left="708"/>
        <w:jc w:val="both"/>
        <w:rPr>
          <w:rFonts w:ascii="Times New Roman" w:hAnsi="Times New Roman" w:cs="Times New Roman"/>
          <w:sz w:val="20"/>
          <w:szCs w:val="20"/>
        </w:rPr>
      </w:pPr>
      <w:r>
        <w:rPr>
          <w:rFonts w:ascii="Times New Roman" w:eastAsia="Arial" w:hAnsi="Times New Roman" w:cs="Times New Roman"/>
          <w:bCs/>
          <w:sz w:val="20"/>
          <w:szCs w:val="20"/>
        </w:rPr>
        <w:t>I) Advertência</w:t>
      </w:r>
      <w:r>
        <w:rPr>
          <w:rFonts w:ascii="Times New Roman" w:eastAsia="Arial" w:hAnsi="Times New Roman" w:cs="Times New Roman"/>
          <w:sz w:val="20"/>
          <w:szCs w:val="20"/>
        </w:rPr>
        <w:t xml:space="preserve">, quando o contratado der causa à inexecução parcial do contrato, sempre que não se justificar a imposição de penalidade mais grave (art. 156, §2º, da </w:t>
      </w:r>
      <w:bookmarkStart w:id="39" w:name="_Hlk114504069"/>
      <w:r>
        <w:rPr>
          <w:rFonts w:ascii="Times New Roman" w:eastAsia="Arial" w:hAnsi="Times New Roman" w:cs="Times New Roman"/>
          <w:sz w:val="20"/>
          <w:szCs w:val="20"/>
        </w:rPr>
        <w:t>Lei nº 14.133, de 2021</w:t>
      </w:r>
      <w:bookmarkEnd w:id="39"/>
      <w:r>
        <w:rPr>
          <w:rFonts w:ascii="Times New Roman" w:eastAsia="Arial" w:hAnsi="Times New Roman" w:cs="Times New Roman"/>
          <w:sz w:val="20"/>
          <w:szCs w:val="20"/>
        </w:rPr>
        <w:t>);</w:t>
      </w:r>
    </w:p>
    <w:p w14:paraId="2CB66F2C" w14:textId="77777777" w:rsidR="00575174" w:rsidRDefault="009F4508">
      <w:pPr>
        <w:tabs>
          <w:tab w:val="left" w:pos="284"/>
        </w:tabs>
        <w:ind w:left="708"/>
        <w:jc w:val="both"/>
        <w:rPr>
          <w:rFonts w:ascii="Times New Roman" w:hAnsi="Times New Roman" w:cs="Times New Roman"/>
          <w:sz w:val="20"/>
          <w:szCs w:val="20"/>
        </w:rPr>
      </w:pPr>
      <w:r>
        <w:rPr>
          <w:rFonts w:ascii="Times New Roman" w:eastAsia="Arial" w:hAnsi="Times New Roman" w:cs="Times New Roman"/>
          <w:bCs/>
          <w:sz w:val="20"/>
          <w:szCs w:val="20"/>
        </w:rPr>
        <w:t>II) Impedimento de licitar e contratar</w:t>
      </w:r>
      <w:r>
        <w:rPr>
          <w:rFonts w:ascii="Times New Roman" w:eastAsia="Arial" w:hAnsi="Times New Roman" w:cs="Times New Roman"/>
          <w:sz w:val="20"/>
          <w:szCs w:val="20"/>
        </w:rPr>
        <w:t>, quando praticadas as condutas descritas nas alíneas “b”, “c” e “d” do subitem acima deste Contrato, sempre que não se justificar a imposição de penalidade mais grave (art. 156, § 4º, da Lei nº 14.133, de 2021);</w:t>
      </w:r>
    </w:p>
    <w:p w14:paraId="6DD3C56C" w14:textId="77777777" w:rsidR="00575174" w:rsidRDefault="009F4508">
      <w:pPr>
        <w:tabs>
          <w:tab w:val="left" w:pos="284"/>
        </w:tabs>
        <w:ind w:left="708"/>
        <w:jc w:val="both"/>
        <w:rPr>
          <w:rFonts w:ascii="Times New Roman" w:hAnsi="Times New Roman" w:cs="Times New Roman"/>
          <w:sz w:val="20"/>
          <w:szCs w:val="20"/>
        </w:rPr>
      </w:pPr>
      <w:r>
        <w:rPr>
          <w:rFonts w:ascii="Times New Roman" w:eastAsia="Arial" w:hAnsi="Times New Roman" w:cs="Times New Roman"/>
          <w:bCs/>
          <w:sz w:val="20"/>
          <w:szCs w:val="20"/>
        </w:rPr>
        <w:t>III) Declaração de inidoneidade para licitar e contratar</w:t>
      </w:r>
      <w:r>
        <w:rPr>
          <w:rFonts w:ascii="Times New Roman" w:eastAsia="Arial" w:hAnsi="Times New Roman" w:cs="Times New Roman"/>
          <w:sz w:val="20"/>
          <w:szCs w:val="20"/>
        </w:rPr>
        <w:t>, quando praticadas as condutas descritas nas alíneas “e”, “f”, “g” e “h” do subitem acima deste Contrato, bem como nas alíneas “b”, “c” e “d”, que justifiquem a imposição de penalidade mais grave (art. 156, §5º, da Lei nº 14.133, de 2021).</w:t>
      </w:r>
    </w:p>
    <w:p w14:paraId="7049A349" w14:textId="77777777" w:rsidR="00575174" w:rsidRDefault="009F4508">
      <w:pPr>
        <w:tabs>
          <w:tab w:val="left" w:pos="284"/>
        </w:tabs>
        <w:jc w:val="both"/>
        <w:rPr>
          <w:rFonts w:ascii="Times New Roman" w:hAnsi="Times New Roman" w:cs="Times New Roman"/>
          <w:sz w:val="20"/>
          <w:szCs w:val="20"/>
        </w:rPr>
      </w:pPr>
      <w:r>
        <w:rPr>
          <w:rFonts w:ascii="Times New Roman" w:eastAsia="Arial" w:hAnsi="Times New Roman" w:cs="Times New Roman"/>
          <w:bCs/>
          <w:sz w:val="20"/>
          <w:szCs w:val="20"/>
        </w:rPr>
        <w:t>I – Multa:</w:t>
      </w:r>
    </w:p>
    <w:p w14:paraId="540A2CD1" w14:textId="77777777" w:rsidR="00575174" w:rsidRDefault="009F4508">
      <w:pPr>
        <w:tabs>
          <w:tab w:val="left" w:pos="284"/>
        </w:tabs>
        <w:ind w:left="708"/>
        <w:jc w:val="both"/>
        <w:rPr>
          <w:rFonts w:ascii="Times New Roman" w:hAnsi="Times New Roman" w:cs="Times New Roman"/>
          <w:sz w:val="20"/>
          <w:szCs w:val="20"/>
        </w:rPr>
      </w:pPr>
      <w:r>
        <w:rPr>
          <w:rFonts w:ascii="Times New Roman" w:eastAsia="Arial" w:hAnsi="Times New Roman" w:cs="Times New Roman"/>
          <w:sz w:val="20"/>
          <w:szCs w:val="20"/>
        </w:rPr>
        <w:t>1 – Moratória de 1% (um por cento) por dia de atraso injustificado sobre o valor da parcela inadimplida, até o limite de 30 (trinta) dias;</w:t>
      </w:r>
    </w:p>
    <w:p w14:paraId="25662D29" w14:textId="77777777" w:rsidR="00575174" w:rsidRDefault="009F4508">
      <w:pPr>
        <w:tabs>
          <w:tab w:val="left" w:pos="284"/>
        </w:tabs>
        <w:ind w:left="708"/>
        <w:jc w:val="both"/>
        <w:rPr>
          <w:rFonts w:ascii="Times New Roman" w:hAnsi="Times New Roman" w:cs="Times New Roman"/>
          <w:sz w:val="20"/>
          <w:szCs w:val="20"/>
        </w:rPr>
      </w:pPr>
      <w:r>
        <w:rPr>
          <w:rFonts w:ascii="Times New Roman" w:eastAsia="Arial" w:hAnsi="Times New Roman" w:cs="Times New Roman"/>
          <w:iCs/>
          <w:sz w:val="20"/>
          <w:szCs w:val="20"/>
        </w:rPr>
        <w:t>2 – Moratória de 1% (um por cento) por dia de atraso injustificado sobre o valor total do contrato, até o máximo de 50% (cinquenta por cento), pela inobservância do prazo fixado para apresentação, suplementação ou reposição da garantia.</w:t>
      </w:r>
    </w:p>
    <w:p w14:paraId="5BDF5290" w14:textId="77777777" w:rsidR="00575174" w:rsidRDefault="009F4508">
      <w:pPr>
        <w:tabs>
          <w:tab w:val="left" w:pos="284"/>
        </w:tabs>
        <w:jc w:val="both"/>
        <w:rPr>
          <w:rFonts w:ascii="Times New Roman" w:hAnsi="Times New Roman" w:cs="Times New Roman"/>
          <w:sz w:val="20"/>
          <w:szCs w:val="20"/>
        </w:rPr>
      </w:pPr>
      <w:r>
        <w:rPr>
          <w:rFonts w:ascii="Times New Roman" w:eastAsia="Arial" w:hAnsi="Times New Roman" w:cs="Times New Roman"/>
          <w:iCs/>
          <w:sz w:val="20"/>
          <w:szCs w:val="20"/>
        </w:rPr>
        <w:t xml:space="preserve">I) O atraso superior a 10 (dez) dias autoriza a Administração a promover a extinção do contrato por descumprimento ou cumprimento irregular de suas cláusulas, conforme dispõe o inciso I do art. 137 da Lei n. 14.133, de 2021. </w:t>
      </w:r>
    </w:p>
    <w:p w14:paraId="216F41E5" w14:textId="77777777" w:rsidR="00575174" w:rsidRDefault="009F4508">
      <w:pPr>
        <w:tabs>
          <w:tab w:val="left" w:pos="284"/>
        </w:tabs>
        <w:ind w:left="708"/>
        <w:jc w:val="both"/>
        <w:rPr>
          <w:rFonts w:ascii="Times New Roman" w:hAnsi="Times New Roman" w:cs="Times New Roman"/>
          <w:sz w:val="20"/>
          <w:szCs w:val="20"/>
        </w:rPr>
      </w:pPr>
      <w:r>
        <w:rPr>
          <w:rFonts w:ascii="Times New Roman" w:eastAsia="Arial" w:hAnsi="Times New Roman" w:cs="Times New Roman"/>
          <w:sz w:val="20"/>
          <w:szCs w:val="20"/>
        </w:rPr>
        <w:t>1 – Compensatória de 30% (trinta por cento) sobre o valor total do contrato, no caso de inexecução total do objeto.</w:t>
      </w:r>
    </w:p>
    <w:p w14:paraId="443FB107" w14:textId="77777777" w:rsidR="00575174" w:rsidRDefault="009F4508">
      <w:pPr>
        <w:pStyle w:val="Nivel2"/>
        <w:numPr>
          <w:ilvl w:val="0"/>
          <w:numId w:val="0"/>
        </w:numPr>
        <w:spacing w:before="0" w:after="0" w:line="240" w:lineRule="auto"/>
        <w:rPr>
          <w:rFonts w:ascii="Times New Roman" w:hAnsi="Times New Roman" w:cs="Times New Roman"/>
          <w:color w:val="auto"/>
        </w:rPr>
      </w:pPr>
      <w:r>
        <w:rPr>
          <w:rFonts w:ascii="Times New Roman" w:hAnsi="Times New Roman" w:cs="Times New Roman"/>
          <w:color w:val="auto"/>
        </w:rPr>
        <w:t>12.3 – A aplicação das sanções previstas neste Contrato não exclui, em hipótese alguma, a obrigação de reparação integral do dano causado ao Contratante (art. 156, §9º, da Lei nº 14.133, de 2021)</w:t>
      </w:r>
    </w:p>
    <w:p w14:paraId="5A773448" w14:textId="77777777" w:rsidR="00575174" w:rsidRDefault="009F4508">
      <w:pPr>
        <w:pStyle w:val="Nivel2"/>
        <w:numPr>
          <w:ilvl w:val="0"/>
          <w:numId w:val="0"/>
        </w:numPr>
        <w:spacing w:before="0" w:after="0" w:line="240" w:lineRule="auto"/>
        <w:rPr>
          <w:rFonts w:ascii="Times New Roman" w:hAnsi="Times New Roman" w:cs="Times New Roman"/>
          <w:color w:val="auto"/>
        </w:rPr>
      </w:pPr>
      <w:r>
        <w:rPr>
          <w:rFonts w:ascii="Times New Roman" w:hAnsi="Times New Roman" w:cs="Times New Roman"/>
          <w:color w:val="auto"/>
        </w:rPr>
        <w:t>12.4 – Todas as sanções previstas neste Contrato poderão ser aplicadas cumulativamente com a multa (art. 156, §7º, da Lei nº 14.133, de 2021).</w:t>
      </w:r>
    </w:p>
    <w:p w14:paraId="2A1D86B9" w14:textId="77777777" w:rsidR="00575174" w:rsidRDefault="009F4508">
      <w:pPr>
        <w:pStyle w:val="Nivel3"/>
        <w:numPr>
          <w:ilvl w:val="0"/>
          <w:numId w:val="0"/>
        </w:numPr>
        <w:spacing w:before="0" w:after="0" w:line="240" w:lineRule="auto"/>
        <w:ind w:left="708"/>
        <w:rPr>
          <w:rFonts w:ascii="Times New Roman" w:hAnsi="Times New Roman" w:cs="Times New Roman"/>
          <w:color w:val="auto"/>
        </w:rPr>
      </w:pPr>
      <w:r>
        <w:rPr>
          <w:rFonts w:ascii="Times New Roman" w:hAnsi="Times New Roman" w:cs="Times New Roman"/>
          <w:color w:val="auto"/>
        </w:rPr>
        <w:t>12.4.1 – Antes da aplicação da multa será facultada a defesa do interessado no prazo de 15 (quinze) dias úteis, contado da data de sua intimação (art. 157, da Lei nº 14.133, de 2021)</w:t>
      </w:r>
    </w:p>
    <w:p w14:paraId="49C63582" w14:textId="77777777" w:rsidR="00575174" w:rsidRDefault="009F4508">
      <w:pPr>
        <w:pStyle w:val="Nivel3"/>
        <w:numPr>
          <w:ilvl w:val="0"/>
          <w:numId w:val="0"/>
        </w:numPr>
        <w:spacing w:before="0" w:after="0" w:line="240" w:lineRule="auto"/>
        <w:ind w:left="708"/>
        <w:rPr>
          <w:rFonts w:ascii="Times New Roman" w:hAnsi="Times New Roman" w:cs="Times New Roman"/>
          <w:color w:val="auto"/>
        </w:rPr>
      </w:pPr>
      <w:r>
        <w:rPr>
          <w:rFonts w:ascii="Times New Roman" w:hAnsi="Times New Roman" w:cs="Times New Roman"/>
          <w:color w:val="auto"/>
        </w:rPr>
        <w:t>12.4.2 –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53FF8EF2" w14:textId="77777777" w:rsidR="00575174" w:rsidRDefault="009F4508">
      <w:pPr>
        <w:pStyle w:val="Nivel3"/>
        <w:numPr>
          <w:ilvl w:val="0"/>
          <w:numId w:val="0"/>
        </w:numPr>
        <w:spacing w:before="0" w:after="0" w:line="240" w:lineRule="auto"/>
        <w:ind w:left="708"/>
        <w:rPr>
          <w:rFonts w:ascii="Times New Roman" w:hAnsi="Times New Roman" w:cs="Times New Roman"/>
          <w:color w:val="auto"/>
        </w:rPr>
      </w:pPr>
      <w:r>
        <w:rPr>
          <w:rFonts w:ascii="Times New Roman" w:hAnsi="Times New Roman" w:cs="Times New Roman"/>
          <w:color w:val="auto"/>
        </w:rPr>
        <w:t xml:space="preserve">12.4.3 – Previamente ao encaminhamento à cobrança judicial, a multa poderá ser recolhida administrativamente no prazo máximo de </w:t>
      </w:r>
      <w:r>
        <w:rPr>
          <w:rFonts w:ascii="Times New Roman" w:hAnsi="Times New Roman" w:cs="Times New Roman"/>
          <w:iCs/>
          <w:color w:val="auto"/>
        </w:rPr>
        <w:t xml:space="preserve">15 (quinze) </w:t>
      </w:r>
      <w:r>
        <w:rPr>
          <w:rFonts w:ascii="Times New Roman" w:hAnsi="Times New Roman" w:cs="Times New Roman"/>
          <w:color w:val="auto"/>
        </w:rPr>
        <w:t>dias, a contar da data do recebimento da comunicação enviada pela autoridade competente.</w:t>
      </w:r>
      <w:bookmarkStart w:id="40" w:name="_Hlk78351618"/>
      <w:bookmarkEnd w:id="40"/>
    </w:p>
    <w:p w14:paraId="0E1BC823" w14:textId="77777777" w:rsidR="00575174" w:rsidRDefault="009F4508">
      <w:pPr>
        <w:pStyle w:val="Nivel2"/>
        <w:numPr>
          <w:ilvl w:val="0"/>
          <w:numId w:val="0"/>
        </w:numPr>
        <w:spacing w:before="0" w:after="0" w:line="240" w:lineRule="auto"/>
        <w:rPr>
          <w:rFonts w:ascii="Times New Roman" w:hAnsi="Times New Roman" w:cs="Times New Roman"/>
          <w:color w:val="auto"/>
        </w:rPr>
      </w:pPr>
      <w:r>
        <w:rPr>
          <w:rFonts w:ascii="Times New Roman" w:hAnsi="Times New Roman" w:cs="Times New Roman"/>
          <w:color w:val="auto"/>
        </w:rPr>
        <w:t xml:space="preserve">12.5 – A aplicação das sanções realizar-se-á em processo administrativo que assegure o contraditório e a ampla defesa ao Contratado, observando-se o procedimento previsto no </w:t>
      </w:r>
      <w:r>
        <w:rPr>
          <w:rFonts w:ascii="Times New Roman" w:hAnsi="Times New Roman" w:cs="Times New Roman"/>
          <w:b/>
          <w:bCs/>
          <w:color w:val="auto"/>
        </w:rPr>
        <w:t xml:space="preserve">caput </w:t>
      </w:r>
      <w:r>
        <w:rPr>
          <w:rFonts w:ascii="Times New Roman" w:hAnsi="Times New Roman" w:cs="Times New Roman"/>
          <w:color w:val="auto"/>
        </w:rPr>
        <w:t>e parágrafos do art. 158 da Lei nº 14.133, de 2021, para as penalidades de impedimento de licitar e contratar e de declaração de inidoneidade para licitar ou contratar.</w:t>
      </w:r>
    </w:p>
    <w:p w14:paraId="5AD9A19B" w14:textId="77777777" w:rsidR="00575174" w:rsidRDefault="009F4508">
      <w:pPr>
        <w:pStyle w:val="Nivel2"/>
        <w:numPr>
          <w:ilvl w:val="0"/>
          <w:numId w:val="0"/>
        </w:numPr>
        <w:tabs>
          <w:tab w:val="left" w:pos="284"/>
        </w:tabs>
        <w:spacing w:before="0" w:after="0" w:line="240" w:lineRule="auto"/>
        <w:rPr>
          <w:rFonts w:ascii="Times New Roman" w:hAnsi="Times New Roman" w:cs="Times New Roman"/>
          <w:color w:val="auto"/>
        </w:rPr>
      </w:pPr>
      <w:r>
        <w:rPr>
          <w:rFonts w:ascii="Times New Roman" w:hAnsi="Times New Roman" w:cs="Times New Roman"/>
          <w:color w:val="auto"/>
        </w:rPr>
        <w:t>12.6 – Na aplicação das sanções serão considerados (art. 156, §1º, da Lei nº 14.133, de 2021):</w:t>
      </w:r>
    </w:p>
    <w:p w14:paraId="6A19AEAB" w14:textId="77777777" w:rsidR="00575174" w:rsidRDefault="009F4508">
      <w:pPr>
        <w:tabs>
          <w:tab w:val="left" w:pos="284"/>
        </w:tabs>
        <w:ind w:left="708"/>
        <w:contextualSpacing/>
        <w:jc w:val="both"/>
        <w:rPr>
          <w:rFonts w:ascii="Times New Roman" w:hAnsi="Times New Roman" w:cs="Times New Roman"/>
          <w:sz w:val="20"/>
          <w:szCs w:val="20"/>
        </w:rPr>
      </w:pPr>
      <w:r>
        <w:rPr>
          <w:rFonts w:ascii="Times New Roman" w:eastAsia="Arial" w:hAnsi="Times New Roman" w:cs="Times New Roman"/>
          <w:sz w:val="20"/>
          <w:szCs w:val="20"/>
        </w:rPr>
        <w:t>a) a natureza e a gravidade da infração cometida;</w:t>
      </w:r>
    </w:p>
    <w:p w14:paraId="764EBD85" w14:textId="77777777" w:rsidR="00575174" w:rsidRDefault="009F4508">
      <w:pPr>
        <w:tabs>
          <w:tab w:val="left" w:pos="284"/>
        </w:tabs>
        <w:ind w:left="708"/>
        <w:contextualSpacing/>
        <w:jc w:val="both"/>
        <w:rPr>
          <w:rFonts w:ascii="Times New Roman" w:hAnsi="Times New Roman" w:cs="Times New Roman"/>
          <w:sz w:val="20"/>
          <w:szCs w:val="20"/>
        </w:rPr>
      </w:pPr>
      <w:r>
        <w:rPr>
          <w:rFonts w:ascii="Times New Roman" w:eastAsia="Arial" w:hAnsi="Times New Roman" w:cs="Times New Roman"/>
          <w:sz w:val="20"/>
          <w:szCs w:val="20"/>
        </w:rPr>
        <w:t>b) as peculiaridades do caso concreto;</w:t>
      </w:r>
    </w:p>
    <w:p w14:paraId="45C98AA2" w14:textId="77777777" w:rsidR="00575174" w:rsidRDefault="009F4508">
      <w:pPr>
        <w:tabs>
          <w:tab w:val="left" w:pos="284"/>
        </w:tabs>
        <w:ind w:left="708"/>
        <w:contextualSpacing/>
        <w:jc w:val="both"/>
        <w:rPr>
          <w:rFonts w:ascii="Times New Roman" w:hAnsi="Times New Roman" w:cs="Times New Roman"/>
          <w:sz w:val="20"/>
          <w:szCs w:val="20"/>
        </w:rPr>
      </w:pPr>
      <w:r>
        <w:rPr>
          <w:rFonts w:ascii="Times New Roman" w:eastAsia="Arial" w:hAnsi="Times New Roman" w:cs="Times New Roman"/>
          <w:sz w:val="20"/>
          <w:szCs w:val="20"/>
        </w:rPr>
        <w:t>c) as circunstâncias agravantes ou atenuantes;</w:t>
      </w:r>
    </w:p>
    <w:p w14:paraId="5FD8314E" w14:textId="77777777" w:rsidR="00575174" w:rsidRDefault="009F4508">
      <w:pPr>
        <w:tabs>
          <w:tab w:val="left" w:pos="284"/>
        </w:tabs>
        <w:ind w:left="708"/>
        <w:contextualSpacing/>
        <w:jc w:val="both"/>
        <w:rPr>
          <w:rFonts w:ascii="Times New Roman" w:hAnsi="Times New Roman" w:cs="Times New Roman"/>
          <w:sz w:val="20"/>
          <w:szCs w:val="20"/>
        </w:rPr>
      </w:pPr>
      <w:r>
        <w:rPr>
          <w:rFonts w:ascii="Times New Roman" w:eastAsia="Arial" w:hAnsi="Times New Roman" w:cs="Times New Roman"/>
          <w:sz w:val="20"/>
          <w:szCs w:val="20"/>
        </w:rPr>
        <w:t>d) os danos que dela provierem para o Contratante;</w:t>
      </w:r>
    </w:p>
    <w:p w14:paraId="03E86FFB" w14:textId="77777777" w:rsidR="00575174" w:rsidRDefault="009F4508">
      <w:pPr>
        <w:tabs>
          <w:tab w:val="left" w:pos="284"/>
        </w:tabs>
        <w:ind w:left="708"/>
        <w:contextualSpacing/>
        <w:jc w:val="both"/>
        <w:rPr>
          <w:rFonts w:ascii="Times New Roman" w:hAnsi="Times New Roman" w:cs="Times New Roman"/>
          <w:sz w:val="20"/>
          <w:szCs w:val="20"/>
        </w:rPr>
      </w:pPr>
      <w:r>
        <w:rPr>
          <w:rFonts w:ascii="Times New Roman" w:eastAsia="Arial" w:hAnsi="Times New Roman" w:cs="Times New Roman"/>
          <w:sz w:val="20"/>
          <w:szCs w:val="20"/>
        </w:rPr>
        <w:t>e) a implantação ou o aperfeiçoamento de programa de integridade, conforme normas e orientações dos órgãos de controle.</w:t>
      </w:r>
    </w:p>
    <w:p w14:paraId="071CA037" w14:textId="77777777" w:rsidR="00575174" w:rsidRDefault="009F4508">
      <w:pPr>
        <w:pStyle w:val="Nivel2"/>
        <w:numPr>
          <w:ilvl w:val="0"/>
          <w:numId w:val="0"/>
        </w:numPr>
        <w:spacing w:before="0" w:after="0" w:line="240" w:lineRule="auto"/>
        <w:rPr>
          <w:rFonts w:ascii="Times New Roman" w:hAnsi="Times New Roman" w:cs="Times New Roman"/>
          <w:color w:val="auto"/>
        </w:rPr>
      </w:pPr>
      <w:r>
        <w:rPr>
          <w:rFonts w:ascii="Times New Roman" w:hAnsi="Times New Roman" w:cs="Times New Roman"/>
          <w:color w:val="auto"/>
        </w:rPr>
        <w:t>12.7 –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703B2203" w14:textId="77777777" w:rsidR="00575174" w:rsidRDefault="009F4508">
      <w:pPr>
        <w:pStyle w:val="Nivel2"/>
        <w:numPr>
          <w:ilvl w:val="0"/>
          <w:numId w:val="0"/>
        </w:numPr>
        <w:spacing w:before="0" w:after="0" w:line="240" w:lineRule="auto"/>
        <w:rPr>
          <w:rFonts w:ascii="Times New Roman" w:hAnsi="Times New Roman" w:cs="Times New Roman"/>
          <w:i/>
          <w:iCs/>
          <w:color w:val="auto"/>
        </w:rPr>
      </w:pPr>
      <w:r>
        <w:rPr>
          <w:rFonts w:ascii="Times New Roman" w:hAnsi="Times New Roman" w:cs="Times New Roman"/>
          <w:color w:val="auto"/>
        </w:rPr>
        <w:t>12.8 -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2794CA99" w14:textId="77777777" w:rsidR="00575174" w:rsidRDefault="009F4508">
      <w:pPr>
        <w:pStyle w:val="Nivel2"/>
        <w:numPr>
          <w:ilvl w:val="0"/>
          <w:numId w:val="0"/>
        </w:numPr>
        <w:spacing w:before="0" w:after="0" w:line="240" w:lineRule="auto"/>
        <w:rPr>
          <w:rFonts w:ascii="Times New Roman" w:hAnsi="Times New Roman" w:cs="Times New Roman"/>
          <w:i/>
          <w:iCs/>
          <w:color w:val="auto"/>
        </w:rPr>
      </w:pPr>
      <w:r>
        <w:rPr>
          <w:rFonts w:ascii="Times New Roman" w:hAnsi="Times New Roman" w:cs="Times New Roman"/>
          <w:color w:val="auto"/>
        </w:rPr>
        <w:t>12.9 –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w:t>
      </w:r>
    </w:p>
    <w:p w14:paraId="122D0CA7" w14:textId="77777777" w:rsidR="00575174" w:rsidRDefault="009F4508">
      <w:pPr>
        <w:pStyle w:val="Nivel2"/>
        <w:numPr>
          <w:ilvl w:val="0"/>
          <w:numId w:val="0"/>
        </w:numPr>
        <w:spacing w:before="0" w:after="0" w:line="240" w:lineRule="auto"/>
        <w:rPr>
          <w:rFonts w:ascii="Times New Roman" w:hAnsi="Times New Roman" w:cs="Times New Roman"/>
          <w:i/>
          <w:iCs/>
          <w:color w:val="auto"/>
        </w:rPr>
      </w:pPr>
      <w:r>
        <w:rPr>
          <w:rFonts w:ascii="Times New Roman" w:hAnsi="Times New Roman" w:cs="Times New Roman"/>
          <w:color w:val="auto"/>
        </w:rPr>
        <w:t>12.10 – As sanções de impedimento de licitar e contratar e declaração de inidoneidade para licitar ou contratar são passíveis de reabilitação na forma do art. 163 da Lei nº 14.133/21.</w:t>
      </w:r>
    </w:p>
    <w:p w14:paraId="654B1791" w14:textId="77777777" w:rsidR="00575174" w:rsidRDefault="009F4508">
      <w:pPr>
        <w:pStyle w:val="Nivel2"/>
        <w:numPr>
          <w:ilvl w:val="0"/>
          <w:numId w:val="0"/>
        </w:numPr>
        <w:spacing w:before="0" w:after="0" w:line="240" w:lineRule="auto"/>
        <w:rPr>
          <w:rFonts w:ascii="Times New Roman" w:hAnsi="Times New Roman" w:cs="Times New Roman"/>
          <w:color w:val="auto"/>
        </w:rPr>
      </w:pPr>
      <w:r>
        <w:rPr>
          <w:rFonts w:ascii="Times New Roman" w:hAnsi="Times New Roman" w:cs="Times New Roman"/>
          <w:color w:val="auto"/>
        </w:rPr>
        <w:t xml:space="preserve">12.11 –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w:t>
      </w:r>
    </w:p>
    <w:p w14:paraId="0CD3F8A9" w14:textId="77777777" w:rsidR="00575174" w:rsidRDefault="009F4508">
      <w:pPr>
        <w:pStyle w:val="PargrafodaLista"/>
        <w:widowControl w:val="0"/>
        <w:tabs>
          <w:tab w:val="left" w:pos="909"/>
        </w:tabs>
        <w:ind w:left="0"/>
        <w:contextualSpacing w:val="0"/>
        <w:jc w:val="both"/>
        <w:rPr>
          <w:rFonts w:ascii="Times New Roman" w:hAnsi="Times New Roman" w:cs="Times New Roman"/>
          <w:sz w:val="20"/>
          <w:szCs w:val="20"/>
        </w:rPr>
      </w:pPr>
      <w:r>
        <w:rPr>
          <w:rFonts w:ascii="Times New Roman" w:hAnsi="Times New Roman" w:cs="Times New Roman"/>
          <w:sz w:val="20"/>
          <w:szCs w:val="20"/>
        </w:rPr>
        <w:t xml:space="preserve">12.12 – </w:t>
      </w:r>
      <w:r>
        <w:rPr>
          <w:rFonts w:ascii="Times New Roman" w:eastAsia="Times New Roman" w:hAnsi="Times New Roman" w:cs="Times New Roman"/>
          <w:sz w:val="20"/>
          <w:szCs w:val="20"/>
        </w:rPr>
        <w:t>Aquele que convocado para assinatura da ata ou contrato não o fizer dentro do prazo estabelecido pela Administração, deixar de entregar documentação exigida, apresentar documentação falsa, ensejar o retardamento da execução de seu objeto, não mantiver a proposta, falhar ou fraudar na execução do contrato, comportar-se de modo inidôneo, fizer declaração falsa ou cometer fraude fiscal, sendo-lhe garantido o direito à ampla defesa, serão aplicadas as sanções de multa de 10% (dez por cento) sobre o valor estabelecido em sua proposta e a penalidade de impedimento do direito de licitar e contratar com a Administração Pública Municipal ou a declaração de inidoneidade para licitar e contratar com a Administração Pública, sem prejuízo das demais cominações legais, incluindo as sanções previstas na Lei nº 14.133/2021 e, suas alterações.</w:t>
      </w:r>
    </w:p>
    <w:p w14:paraId="3AF71CD9" w14:textId="77777777" w:rsidR="00575174" w:rsidRDefault="009F4508">
      <w:pPr>
        <w:pStyle w:val="Nivel01"/>
        <w:numPr>
          <w:ilvl w:val="0"/>
          <w:numId w:val="0"/>
        </w:numPr>
        <w:spacing w:before="0" w:after="0" w:line="240" w:lineRule="auto"/>
        <w:rPr>
          <w:rFonts w:ascii="Times New Roman" w:hAnsi="Times New Roman" w:cs="Times New Roman"/>
          <w:color w:val="auto"/>
        </w:rPr>
      </w:pPr>
      <w:r>
        <w:rPr>
          <w:rFonts w:ascii="Times New Roman" w:hAnsi="Times New Roman" w:cs="Times New Roman"/>
          <w:color w:val="auto"/>
        </w:rPr>
        <w:t>13 – FORMA E CRITÉRIOS DE SELEÇÃO DO FORNECEDOR</w:t>
      </w:r>
    </w:p>
    <w:p w14:paraId="351A862D" w14:textId="77777777" w:rsidR="00575174" w:rsidRDefault="009F4508">
      <w:pPr>
        <w:pStyle w:val="Nvel1-SemNum"/>
        <w:spacing w:before="0" w:after="0" w:line="240" w:lineRule="auto"/>
        <w:ind w:left="0"/>
        <w:rPr>
          <w:rFonts w:ascii="Times New Roman" w:hAnsi="Times New Roman" w:cs="Times New Roman"/>
          <w:color w:val="auto"/>
          <w:highlight w:val="yellow"/>
        </w:rPr>
      </w:pPr>
      <w:r>
        <w:rPr>
          <w:rFonts w:ascii="Times New Roman" w:hAnsi="Times New Roman" w:cs="Times New Roman"/>
          <w:color w:val="auto"/>
          <w:lang w:eastAsia="en-US"/>
        </w:rPr>
        <w:t>Forma de seleção e critério de julgamento da proposta</w:t>
      </w:r>
    </w:p>
    <w:p w14:paraId="559A41EA" w14:textId="77777777" w:rsidR="00575174" w:rsidRDefault="009F4508">
      <w:pPr>
        <w:pStyle w:val="Nivel2"/>
        <w:numPr>
          <w:ilvl w:val="0"/>
          <w:numId w:val="0"/>
        </w:numPr>
        <w:spacing w:before="0" w:after="0" w:line="240" w:lineRule="auto"/>
        <w:rPr>
          <w:rFonts w:ascii="Times New Roman" w:hAnsi="Times New Roman" w:cs="Times New Roman"/>
          <w:b/>
          <w:color w:val="auto"/>
        </w:rPr>
      </w:pPr>
      <w:r>
        <w:rPr>
          <w:rFonts w:ascii="Times New Roman" w:eastAsia="Arial" w:hAnsi="Times New Roman" w:cs="Times New Roman"/>
          <w:color w:val="auto"/>
        </w:rPr>
        <w:t xml:space="preserve">13.1 – O fornecedor será selecionado por meio da realização de procedimento de LICITAÇÃO, na modalidade PREGÃO, sob a forma ELETRÔNICA, com adoção do critério de julgamento pelo </w:t>
      </w:r>
      <w:r>
        <w:rPr>
          <w:rFonts w:ascii="Times New Roman" w:eastAsia="Arial" w:hAnsi="Times New Roman" w:cs="Times New Roman"/>
          <w:b/>
          <w:color w:val="auto"/>
        </w:rPr>
        <w:t>MENOR PREÇO POR ITEM.</w:t>
      </w:r>
    </w:p>
    <w:p w14:paraId="19DF987C" w14:textId="77777777" w:rsidR="00575174" w:rsidRDefault="009F4508">
      <w:pPr>
        <w:pStyle w:val="Nvel1-SemNum"/>
        <w:spacing w:before="0" w:after="0" w:line="240" w:lineRule="auto"/>
        <w:ind w:left="0"/>
        <w:rPr>
          <w:rFonts w:ascii="Times New Roman" w:hAnsi="Times New Roman" w:cs="Times New Roman"/>
          <w:color w:val="auto"/>
        </w:rPr>
      </w:pPr>
      <w:r>
        <w:rPr>
          <w:rFonts w:ascii="Times New Roman" w:hAnsi="Times New Roman" w:cs="Times New Roman"/>
          <w:color w:val="auto"/>
          <w:lang w:eastAsia="en-US"/>
        </w:rPr>
        <w:t>Exigências de habilitação</w:t>
      </w:r>
    </w:p>
    <w:p w14:paraId="31E984CB" w14:textId="77777777" w:rsidR="00575174" w:rsidRDefault="009F4508">
      <w:pPr>
        <w:widowControl w:val="0"/>
        <w:ind w:firstLine="567"/>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13.1.1. </w:t>
      </w:r>
      <w:r>
        <w:rPr>
          <w:rFonts w:ascii="Times New Roman" w:eastAsia="Times New Roman" w:hAnsi="Times New Roman" w:cs="Times New Roman"/>
          <w:b/>
          <w:bCs/>
          <w:sz w:val="20"/>
          <w:szCs w:val="20"/>
        </w:rPr>
        <w:t>Documentos relativos à habilitação jurídica</w:t>
      </w:r>
      <w:r>
        <w:rPr>
          <w:rFonts w:ascii="Times New Roman" w:eastAsia="Times New Roman" w:hAnsi="Times New Roman" w:cs="Times New Roman"/>
          <w:b/>
          <w:sz w:val="20"/>
          <w:szCs w:val="20"/>
        </w:rPr>
        <w:t>:</w:t>
      </w:r>
    </w:p>
    <w:p w14:paraId="66983EFA" w14:textId="77777777" w:rsidR="00575174" w:rsidRDefault="009F4508">
      <w:pPr>
        <w:ind w:left="1418" w:hanging="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13.1.1.1 Registro comercial, em vigor, no caso de empresa individual; </w:t>
      </w:r>
    </w:p>
    <w:p w14:paraId="79B4F7D9" w14:textId="77777777" w:rsidR="00575174" w:rsidRDefault="009F4508">
      <w:pPr>
        <w:ind w:left="113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13.1.1.2. Ato constitutivo, estatuto ou contrato social em vigor, devidamente registrado, em se tratando de sociedades comerciais, e, no caso de sociedades por ações, acompanhado de documentos de eleição de seus administradores.</w:t>
      </w:r>
    </w:p>
    <w:p w14:paraId="2E9549C7" w14:textId="77777777" w:rsidR="00575174" w:rsidRDefault="009F4508">
      <w:pPr>
        <w:ind w:left="113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13.1.1.3. Alvará de Funcionamento, compatível com os serviços contratados</w:t>
      </w:r>
    </w:p>
    <w:p w14:paraId="303C1A35" w14:textId="77777777" w:rsidR="00575174" w:rsidRDefault="009F4508">
      <w:pPr>
        <w:widowControl w:val="0"/>
        <w:ind w:firstLine="567"/>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13.1.2. </w:t>
      </w:r>
      <w:r>
        <w:rPr>
          <w:rFonts w:ascii="Times New Roman" w:eastAsia="Times New Roman" w:hAnsi="Times New Roman" w:cs="Times New Roman"/>
          <w:b/>
          <w:bCs/>
          <w:sz w:val="20"/>
          <w:szCs w:val="20"/>
        </w:rPr>
        <w:t xml:space="preserve">Documentos relativos à </w:t>
      </w:r>
      <w:r>
        <w:rPr>
          <w:rFonts w:ascii="Times New Roman" w:eastAsia="Times New Roman" w:hAnsi="Times New Roman" w:cs="Times New Roman"/>
          <w:b/>
          <w:sz w:val="20"/>
          <w:szCs w:val="20"/>
        </w:rPr>
        <w:t>regularidade fiscal e trabalhista:</w:t>
      </w:r>
    </w:p>
    <w:p w14:paraId="0CC61E9A" w14:textId="77777777" w:rsidR="00575174" w:rsidRDefault="009F4508">
      <w:pPr>
        <w:widowControl w:val="0"/>
        <w:ind w:left="113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13.1.2.1. Certidão Conjunta Negativa de Débitos de Tributos e Contribuições Federais à Dívida Ativa da União, expedida pela Secretaria da Receita Federal, acompanhado da Prova de regularidade junto a Seguridade Social – CND INSS;</w:t>
      </w:r>
    </w:p>
    <w:p w14:paraId="2790A807" w14:textId="77777777" w:rsidR="00575174" w:rsidRDefault="009F4508">
      <w:pPr>
        <w:widowControl w:val="0"/>
        <w:ind w:left="1418" w:hanging="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13.1.2.2. Prova de regularidade junto a Fazenda Estadual relativo ao domicílio ou sede do licitante;</w:t>
      </w:r>
    </w:p>
    <w:p w14:paraId="738AE337" w14:textId="77777777" w:rsidR="00575174" w:rsidRDefault="009F4508">
      <w:pPr>
        <w:widowControl w:val="0"/>
        <w:ind w:left="1418" w:hanging="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13.1.2.3. Prova de regularidade junto a Fazenda Municipal, relativo ao domicílio ou sede do licitante;</w:t>
      </w:r>
    </w:p>
    <w:p w14:paraId="323BAA8B" w14:textId="77777777" w:rsidR="00575174" w:rsidRDefault="009F4508">
      <w:pPr>
        <w:widowControl w:val="0"/>
        <w:ind w:left="1418" w:hanging="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13.1.2.4. Certificado de Regularidade de Situação – CRS, perante o FGTS, expedido pela Caixa Econômica Federal;</w:t>
      </w:r>
    </w:p>
    <w:p w14:paraId="360A7030" w14:textId="77777777" w:rsidR="00575174" w:rsidRDefault="009F4508">
      <w:pPr>
        <w:widowControl w:val="0"/>
        <w:ind w:left="1418" w:hanging="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13.1.2.5. Certidão Negativa de Débitos Trabalhistas – CNDT.</w:t>
      </w:r>
    </w:p>
    <w:p w14:paraId="497EA52C" w14:textId="77777777" w:rsidR="00575174" w:rsidRDefault="009F4508">
      <w:pPr>
        <w:widowControl w:val="0"/>
        <w:ind w:left="1418" w:hanging="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13.1.2.6. Prova de inscrição no Cadastro Nacional de Pessoas Jurídicas – Cartão CNPJ</w:t>
      </w:r>
    </w:p>
    <w:p w14:paraId="1A936A9E" w14:textId="77777777" w:rsidR="00575174" w:rsidRDefault="009F4508">
      <w:pPr>
        <w:widowControl w:val="0"/>
        <w:ind w:left="567"/>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13.1.3. Documentos referente a qualificação econômico financeira:</w:t>
      </w:r>
    </w:p>
    <w:p w14:paraId="246DFCE0" w14:textId="77777777" w:rsidR="00575174" w:rsidRDefault="009F4508">
      <w:pPr>
        <w:widowControl w:val="0"/>
        <w:ind w:left="113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13.1.3.1. Certidão negativa de falência ou concordata expedida pelo distribuidor da sede da pessoa jurídica, ou de execução patrimonial, expedida no domicílio da pessoa física;</w:t>
      </w:r>
    </w:p>
    <w:p w14:paraId="2A8AF02C" w14:textId="77777777" w:rsidR="00575174" w:rsidRDefault="009F4508">
      <w:pPr>
        <w:ind w:firstLine="567"/>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13.1.4. Declaração de atendimento à norma do inciso XXXIII do art. 7º da Constituição Federal</w:t>
      </w:r>
      <w:r>
        <w:rPr>
          <w:rFonts w:ascii="Times New Roman" w:eastAsia="Times New Roman" w:hAnsi="Times New Roman" w:cs="Times New Roman"/>
          <w:sz w:val="20"/>
          <w:szCs w:val="20"/>
        </w:rPr>
        <w:t xml:space="preserve">, com redação dada pela emenda constitucional nº 20/98, que proíbe trabalho noturno, perigoso ou insalubre aos menores de 18 anos e de que qualquer trabalho a menores de 16 anos, salvo na condição de aprendiz a partir de 14 anos conforme </w:t>
      </w:r>
      <w:r>
        <w:rPr>
          <w:rFonts w:ascii="Times New Roman" w:eastAsia="Times New Roman" w:hAnsi="Times New Roman" w:cs="Times New Roman"/>
          <w:b/>
          <w:sz w:val="20"/>
          <w:szCs w:val="20"/>
        </w:rPr>
        <w:t>Anexo IV</w:t>
      </w:r>
      <w:r>
        <w:rPr>
          <w:rFonts w:ascii="Times New Roman" w:eastAsia="Times New Roman" w:hAnsi="Times New Roman" w:cs="Times New Roman"/>
          <w:sz w:val="20"/>
          <w:szCs w:val="20"/>
        </w:rPr>
        <w:t>, deste Edital;</w:t>
      </w:r>
    </w:p>
    <w:p w14:paraId="2F2C96CF" w14:textId="77777777" w:rsidR="00575174" w:rsidRDefault="009F4508">
      <w:pPr>
        <w:widowControl w:val="0"/>
        <w:ind w:firstLine="567"/>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13.1.5. Certidão simplificada expedida pela Junta Comercial,</w:t>
      </w:r>
      <w:r>
        <w:rPr>
          <w:rFonts w:ascii="Times New Roman" w:eastAsia="Times New Roman" w:hAnsi="Times New Roman" w:cs="Times New Roman"/>
          <w:sz w:val="20"/>
          <w:szCs w:val="20"/>
        </w:rPr>
        <w:t xml:space="preserve"> conforme art. 8º da Instrução Normativa nº 103/2007 do Departamento Nacional do Registro do Comércio – DNRC, com data de emissão não inferior a</w:t>
      </w:r>
      <w:r>
        <w:rPr>
          <w:rFonts w:ascii="Times New Roman" w:eastAsia="Times New Roman" w:hAnsi="Times New Roman" w:cs="Times New Roman"/>
          <w:b/>
          <w:sz w:val="20"/>
          <w:szCs w:val="20"/>
        </w:rPr>
        <w:t xml:space="preserve"> 01 de janeiro de 2025</w:t>
      </w:r>
      <w:r>
        <w:rPr>
          <w:rFonts w:ascii="Times New Roman" w:eastAsia="Times New Roman" w:hAnsi="Times New Roman" w:cs="Times New Roman"/>
          <w:sz w:val="20"/>
          <w:szCs w:val="20"/>
        </w:rPr>
        <w:t>, para os licitantes que usufruírem dos benefícios previstos na LC 123/2006;</w:t>
      </w:r>
    </w:p>
    <w:p w14:paraId="5CA26055" w14:textId="77777777" w:rsidR="00575174" w:rsidRDefault="009F4508">
      <w:pPr>
        <w:widowControl w:val="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13.2. Não tendo, a empresa melhor classificada no certame apresentado a documentação exigida, no todo ou em parte, será esta inabilitada, podendo a ela ser aplicada as penalidades previstas na legislação que rege o procedimento, e será convocada então a empresa seguinte na ordem de classificação, observada as mesmas condições propostas pela vencedora;</w:t>
      </w:r>
    </w:p>
    <w:p w14:paraId="5C56949D" w14:textId="77777777" w:rsidR="00575174" w:rsidRDefault="009F4508">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13.3. A documentação, na fase pertinente, será rubricada pelo Pregoeiro e pela Equipe de Apoio e após examinada será anexada ao processo desta licitação, sendo INABILITADOS aqueles proponentes cuja documentação apresente irregularidades;</w:t>
      </w:r>
    </w:p>
    <w:p w14:paraId="00902EEB" w14:textId="77777777" w:rsidR="00575174" w:rsidRDefault="009F4508">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13.4. As microempresas ou empresas de pequeno porte deverão apresentar os documentos, mesmo que estes apresentem alguma restrição, nos termos da legislação pertinente;</w:t>
      </w:r>
    </w:p>
    <w:p w14:paraId="3664A5B8" w14:textId="77777777" w:rsidR="00575174" w:rsidRDefault="009F4508">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13.5. Havendo alguma restrição na comprovação da regularidade fiscal da microempresa ou da empresa de pequeno porte, esta não será inabilitada, caso atenda as disposições da legislação pertinente.</w:t>
      </w:r>
    </w:p>
    <w:p w14:paraId="4E364E19" w14:textId="77777777" w:rsidR="00575174" w:rsidRDefault="009F4508">
      <w:pPr>
        <w:pStyle w:val="Nivel01"/>
        <w:numPr>
          <w:ilvl w:val="0"/>
          <w:numId w:val="0"/>
        </w:numPr>
        <w:spacing w:before="0" w:after="0" w:line="240" w:lineRule="auto"/>
        <w:rPr>
          <w:rFonts w:ascii="Times New Roman" w:hAnsi="Times New Roman" w:cs="Times New Roman"/>
          <w:color w:val="auto"/>
        </w:rPr>
      </w:pPr>
      <w:r>
        <w:rPr>
          <w:rFonts w:ascii="Times New Roman" w:hAnsi="Times New Roman" w:cs="Times New Roman"/>
          <w:color w:val="auto"/>
        </w:rPr>
        <w:t>14 – ESTIMATIVAS DO VALOR DA CONTRATAÇÃO</w:t>
      </w:r>
    </w:p>
    <w:p w14:paraId="145EFA9D" w14:textId="3BF8F6DD" w:rsidR="00575174" w:rsidRDefault="009F4508">
      <w:pPr>
        <w:jc w:val="both"/>
        <w:rPr>
          <w:rFonts w:ascii="Times New Roman" w:hAnsi="Times New Roman" w:cs="Times New Roman"/>
          <w:bCs/>
          <w:i/>
          <w:sz w:val="20"/>
          <w:szCs w:val="20"/>
        </w:rPr>
      </w:pPr>
      <w:r>
        <w:rPr>
          <w:rFonts w:ascii="Times New Roman" w:hAnsi="Times New Roman" w:cs="Times New Roman"/>
          <w:i/>
          <w:iCs/>
          <w:sz w:val="20"/>
          <w:szCs w:val="20"/>
        </w:rPr>
        <w:t xml:space="preserve">14.1 – O orçamento R$ </w:t>
      </w:r>
      <w:r w:rsidR="00EE5824">
        <w:rPr>
          <w:rFonts w:ascii="Times New Roman" w:hAnsi="Times New Roman" w:cs="Times New Roman"/>
          <w:i/>
          <w:iCs/>
          <w:sz w:val="20"/>
          <w:szCs w:val="20"/>
        </w:rPr>
        <w:t>14.753,76</w:t>
      </w:r>
    </w:p>
    <w:p w14:paraId="1AC1113C" w14:textId="77777777" w:rsidR="00575174" w:rsidRDefault="009F4508">
      <w:pPr>
        <w:pStyle w:val="Nivel1"/>
        <w:tabs>
          <w:tab w:val="left" w:pos="284"/>
          <w:tab w:val="left" w:pos="426"/>
          <w:tab w:val="left" w:pos="567"/>
          <w:tab w:val="left" w:pos="851"/>
        </w:tabs>
        <w:spacing w:before="0" w:line="240" w:lineRule="auto"/>
        <w:ind w:left="0" w:firstLine="0"/>
        <w:rPr>
          <w:rFonts w:ascii="Times New Roman" w:hAnsi="Times New Roman" w:cs="Times New Roman"/>
          <w:color w:val="auto"/>
          <w:sz w:val="20"/>
          <w:szCs w:val="20"/>
        </w:rPr>
      </w:pPr>
      <w:r>
        <w:rPr>
          <w:rFonts w:ascii="Times New Roman" w:hAnsi="Times New Roman" w:cs="Times New Roman"/>
          <w:color w:val="auto"/>
          <w:sz w:val="20"/>
          <w:szCs w:val="20"/>
        </w:rPr>
        <w:t xml:space="preserve">15 – DOTAÇÃO ORÇAMENTÁRIA </w:t>
      </w:r>
    </w:p>
    <w:p w14:paraId="60081838" w14:textId="67779BF8" w:rsidR="00575174" w:rsidRDefault="009F4508">
      <w:pPr>
        <w:tabs>
          <w:tab w:val="left" w:pos="426"/>
        </w:tabs>
        <w:jc w:val="both"/>
        <w:rPr>
          <w:rFonts w:ascii="Times New Roman" w:eastAsia="Calibri" w:hAnsi="Times New Roman" w:cs="Times New Roman"/>
          <w:sz w:val="20"/>
          <w:szCs w:val="20"/>
          <w:lang w:eastAsia="en-US"/>
        </w:rPr>
      </w:pPr>
      <w:r>
        <w:rPr>
          <w:rFonts w:ascii="Times New Roman" w:hAnsi="Times New Roman" w:cs="Times New Roman"/>
          <w:sz w:val="20"/>
          <w:szCs w:val="20"/>
        </w:rPr>
        <w:t xml:space="preserve">15.1 – </w:t>
      </w:r>
      <w:r>
        <w:rPr>
          <w:rFonts w:ascii="Times New Roman" w:eastAsia="Calibri" w:hAnsi="Times New Roman" w:cs="Times New Roman"/>
          <w:sz w:val="20"/>
          <w:szCs w:val="20"/>
          <w:lang w:eastAsia="en-US"/>
        </w:rPr>
        <w:t>As classificações orçamentárias para suportar a presente despesa constam da programação orçamentária das Secretarias Municipais solicitantes que serão devidamente identificadas no momento da efetiva contratação</w:t>
      </w:r>
    </w:p>
    <w:p w14:paraId="31960D1D" w14:textId="77777777" w:rsidR="00575174" w:rsidRDefault="00575174">
      <w:pPr>
        <w:tabs>
          <w:tab w:val="left" w:pos="284"/>
          <w:tab w:val="left" w:pos="426"/>
          <w:tab w:val="left" w:pos="567"/>
          <w:tab w:val="left" w:pos="851"/>
        </w:tabs>
        <w:rPr>
          <w:rFonts w:ascii="Times New Roman" w:hAnsi="Times New Roman" w:cs="Times New Roman"/>
          <w:iCs/>
          <w:sz w:val="20"/>
          <w:szCs w:val="20"/>
        </w:rPr>
      </w:pPr>
    </w:p>
    <w:p w14:paraId="6481D32C" w14:textId="3501C033" w:rsidR="00575174" w:rsidRDefault="009F4508">
      <w:pPr>
        <w:tabs>
          <w:tab w:val="left" w:pos="284"/>
          <w:tab w:val="left" w:pos="426"/>
          <w:tab w:val="left" w:pos="567"/>
          <w:tab w:val="left" w:pos="851"/>
        </w:tabs>
        <w:jc w:val="right"/>
        <w:rPr>
          <w:rFonts w:ascii="Times New Roman" w:hAnsi="Times New Roman" w:cs="Times New Roman"/>
          <w:iCs/>
          <w:sz w:val="20"/>
          <w:szCs w:val="20"/>
        </w:rPr>
      </w:pPr>
      <w:r>
        <w:rPr>
          <w:rFonts w:ascii="Times New Roman" w:hAnsi="Times New Roman" w:cs="Times New Roman"/>
          <w:iCs/>
          <w:sz w:val="20"/>
          <w:szCs w:val="20"/>
        </w:rPr>
        <w:t xml:space="preserve">Santa Bárbara do Sul/RS, </w:t>
      </w:r>
      <w:r w:rsidR="00EE5824">
        <w:rPr>
          <w:rFonts w:ascii="Times New Roman" w:hAnsi="Times New Roman" w:cs="Times New Roman"/>
          <w:iCs/>
          <w:sz w:val="20"/>
          <w:szCs w:val="20"/>
        </w:rPr>
        <w:t>17 de novem</w:t>
      </w:r>
      <w:r>
        <w:rPr>
          <w:rFonts w:ascii="Times New Roman" w:hAnsi="Times New Roman" w:cs="Times New Roman"/>
          <w:iCs/>
          <w:sz w:val="20"/>
          <w:szCs w:val="20"/>
        </w:rPr>
        <w:t>bro de 2025.</w:t>
      </w:r>
    </w:p>
    <w:p w14:paraId="638F1D51" w14:textId="77777777" w:rsidR="00575174" w:rsidRDefault="00575174">
      <w:pPr>
        <w:tabs>
          <w:tab w:val="left" w:pos="284"/>
          <w:tab w:val="left" w:pos="426"/>
          <w:tab w:val="left" w:pos="567"/>
          <w:tab w:val="left" w:pos="851"/>
        </w:tabs>
        <w:jc w:val="right"/>
        <w:rPr>
          <w:rFonts w:ascii="Times New Roman" w:hAnsi="Times New Roman" w:cs="Times New Roman"/>
          <w:iCs/>
          <w:sz w:val="20"/>
          <w:szCs w:val="20"/>
        </w:rPr>
      </w:pPr>
    </w:p>
    <w:p w14:paraId="0464A092" w14:textId="77777777" w:rsidR="00575174" w:rsidRDefault="00575174">
      <w:pPr>
        <w:tabs>
          <w:tab w:val="left" w:pos="284"/>
          <w:tab w:val="left" w:pos="426"/>
          <w:tab w:val="left" w:pos="567"/>
          <w:tab w:val="left" w:pos="851"/>
        </w:tabs>
        <w:jc w:val="right"/>
        <w:rPr>
          <w:rFonts w:ascii="Times New Roman" w:hAnsi="Times New Roman" w:cs="Times New Roman"/>
          <w:iCs/>
          <w:sz w:val="20"/>
          <w:szCs w:val="20"/>
        </w:rPr>
      </w:pPr>
    </w:p>
    <w:p w14:paraId="2370A2FC" w14:textId="77777777" w:rsidR="00575174" w:rsidRDefault="00575174">
      <w:pPr>
        <w:tabs>
          <w:tab w:val="left" w:pos="284"/>
          <w:tab w:val="left" w:pos="426"/>
          <w:tab w:val="left" w:pos="567"/>
          <w:tab w:val="left" w:pos="851"/>
        </w:tabs>
        <w:jc w:val="right"/>
        <w:rPr>
          <w:rFonts w:ascii="Times New Roman" w:hAnsi="Times New Roman" w:cs="Times New Roman"/>
          <w:iCs/>
          <w:sz w:val="20"/>
          <w:szCs w:val="20"/>
        </w:rPr>
      </w:pPr>
    </w:p>
    <w:p w14:paraId="4C1FDD38" w14:textId="77777777" w:rsidR="00EE5824" w:rsidRDefault="00EE5824">
      <w:pPr>
        <w:tabs>
          <w:tab w:val="left" w:pos="284"/>
          <w:tab w:val="left" w:pos="426"/>
          <w:tab w:val="left" w:pos="567"/>
          <w:tab w:val="left" w:pos="851"/>
        </w:tabs>
        <w:jc w:val="right"/>
        <w:rPr>
          <w:rFonts w:ascii="Times New Roman" w:hAnsi="Times New Roman" w:cs="Times New Roman"/>
          <w:iCs/>
          <w:sz w:val="20"/>
          <w:szCs w:val="20"/>
        </w:rPr>
      </w:pPr>
    </w:p>
    <w:p w14:paraId="462A3363" w14:textId="77777777" w:rsidR="00EE5824" w:rsidRDefault="00EE5824">
      <w:pPr>
        <w:tabs>
          <w:tab w:val="left" w:pos="284"/>
          <w:tab w:val="left" w:pos="426"/>
          <w:tab w:val="left" w:pos="567"/>
          <w:tab w:val="left" w:pos="851"/>
        </w:tabs>
        <w:jc w:val="right"/>
        <w:rPr>
          <w:rFonts w:ascii="Times New Roman" w:hAnsi="Times New Roman" w:cs="Times New Roman"/>
          <w:iCs/>
          <w:sz w:val="20"/>
          <w:szCs w:val="20"/>
        </w:rPr>
      </w:pPr>
    </w:p>
    <w:p w14:paraId="315AA4C6" w14:textId="77777777" w:rsidR="00575174" w:rsidRDefault="00575174">
      <w:pPr>
        <w:tabs>
          <w:tab w:val="left" w:pos="284"/>
          <w:tab w:val="left" w:pos="426"/>
          <w:tab w:val="left" w:pos="567"/>
          <w:tab w:val="left" w:pos="851"/>
        </w:tabs>
        <w:rPr>
          <w:rFonts w:ascii="Times New Roman" w:hAnsi="Times New Roman" w:cs="Times New Roman"/>
          <w:iCs/>
          <w:sz w:val="20"/>
          <w:szCs w:val="20"/>
        </w:rPr>
      </w:pPr>
    </w:p>
    <w:p w14:paraId="5148C459" w14:textId="77777777" w:rsidR="00575174" w:rsidRDefault="009F4508">
      <w:pPr>
        <w:jc w:val="center"/>
        <w:rPr>
          <w:rFonts w:ascii="Times New Roman" w:hAnsi="Times New Roman" w:cs="Times New Roman"/>
          <w:b/>
          <w:bCs/>
          <w:sz w:val="20"/>
          <w:szCs w:val="20"/>
        </w:rPr>
      </w:pPr>
      <w:r>
        <w:rPr>
          <w:rFonts w:ascii="Times New Roman" w:hAnsi="Times New Roman" w:cs="Times New Roman"/>
          <w:b/>
          <w:sz w:val="20"/>
          <w:szCs w:val="20"/>
        </w:rPr>
        <w:t>ANEXO II</w:t>
      </w:r>
    </w:p>
    <w:p w14:paraId="6FA174F4" w14:textId="77777777" w:rsidR="00575174" w:rsidRDefault="009F4508">
      <w:pPr>
        <w:jc w:val="center"/>
        <w:rPr>
          <w:rFonts w:ascii="Times New Roman" w:hAnsi="Times New Roman" w:cs="Times New Roman"/>
          <w:sz w:val="20"/>
          <w:szCs w:val="20"/>
        </w:rPr>
      </w:pPr>
      <w:r>
        <w:rPr>
          <w:rFonts w:ascii="Times New Roman" w:hAnsi="Times New Roman" w:cs="Times New Roman"/>
          <w:b/>
          <w:sz w:val="20"/>
          <w:szCs w:val="20"/>
        </w:rPr>
        <w:t>PROPOSTA FINANCEIRA</w:t>
      </w:r>
    </w:p>
    <w:tbl>
      <w:tblPr>
        <w:tblW w:w="9982" w:type="dxa"/>
        <w:tblInd w:w="9" w:type="dxa"/>
        <w:tblLayout w:type="fixed"/>
        <w:tblCellMar>
          <w:left w:w="70" w:type="dxa"/>
          <w:right w:w="70" w:type="dxa"/>
        </w:tblCellMar>
        <w:tblLook w:val="04A0" w:firstRow="1" w:lastRow="0" w:firstColumn="1" w:lastColumn="0" w:noHBand="0" w:noVBand="1"/>
      </w:tblPr>
      <w:tblGrid>
        <w:gridCol w:w="4119"/>
        <w:gridCol w:w="2970"/>
        <w:gridCol w:w="2893"/>
      </w:tblGrid>
      <w:tr w:rsidR="00575174" w14:paraId="38F15714" w14:textId="77777777">
        <w:tc>
          <w:tcPr>
            <w:tcW w:w="9981" w:type="dxa"/>
            <w:gridSpan w:val="3"/>
            <w:tcBorders>
              <w:top w:val="single" w:sz="6" w:space="0" w:color="000000"/>
              <w:left w:val="single" w:sz="6" w:space="0" w:color="000000"/>
              <w:bottom w:val="single" w:sz="6" w:space="0" w:color="000000"/>
              <w:right w:val="single" w:sz="6" w:space="0" w:color="000000"/>
            </w:tcBorders>
          </w:tcPr>
          <w:p w14:paraId="2010A0B1" w14:textId="77777777" w:rsidR="00575174" w:rsidRDefault="009F4508">
            <w:pPr>
              <w:widowControl w:val="0"/>
              <w:jc w:val="both"/>
              <w:rPr>
                <w:rFonts w:ascii="Times New Roman" w:hAnsi="Times New Roman" w:cs="Times New Roman"/>
                <w:bCs/>
                <w:sz w:val="20"/>
                <w:szCs w:val="20"/>
              </w:rPr>
            </w:pPr>
            <w:r>
              <w:rPr>
                <w:rFonts w:ascii="Times New Roman" w:hAnsi="Times New Roman" w:cs="Times New Roman"/>
                <w:b/>
                <w:sz w:val="20"/>
                <w:szCs w:val="20"/>
              </w:rPr>
              <w:t>Fornecedor:</w:t>
            </w:r>
          </w:p>
        </w:tc>
      </w:tr>
      <w:tr w:rsidR="00575174" w14:paraId="172E110F" w14:textId="77777777">
        <w:tc>
          <w:tcPr>
            <w:tcW w:w="9981" w:type="dxa"/>
            <w:gridSpan w:val="3"/>
            <w:tcBorders>
              <w:top w:val="single" w:sz="6" w:space="0" w:color="000000"/>
              <w:left w:val="single" w:sz="6" w:space="0" w:color="000000"/>
              <w:bottom w:val="single" w:sz="6" w:space="0" w:color="000000"/>
              <w:right w:val="single" w:sz="6" w:space="0" w:color="000000"/>
            </w:tcBorders>
          </w:tcPr>
          <w:p w14:paraId="1DA67D9F" w14:textId="77777777" w:rsidR="00575174" w:rsidRDefault="009F4508">
            <w:pPr>
              <w:widowControl w:val="0"/>
              <w:jc w:val="both"/>
              <w:rPr>
                <w:rFonts w:ascii="Times New Roman" w:hAnsi="Times New Roman" w:cs="Times New Roman"/>
                <w:bCs/>
                <w:sz w:val="20"/>
                <w:szCs w:val="20"/>
              </w:rPr>
            </w:pPr>
            <w:r>
              <w:rPr>
                <w:rFonts w:ascii="Times New Roman" w:hAnsi="Times New Roman" w:cs="Times New Roman"/>
                <w:b/>
                <w:sz w:val="20"/>
                <w:szCs w:val="20"/>
              </w:rPr>
              <w:t>Endereço:</w:t>
            </w:r>
          </w:p>
        </w:tc>
      </w:tr>
      <w:tr w:rsidR="00575174" w14:paraId="309ACD9B" w14:textId="77777777">
        <w:tc>
          <w:tcPr>
            <w:tcW w:w="7088" w:type="dxa"/>
            <w:gridSpan w:val="2"/>
            <w:tcBorders>
              <w:top w:val="single" w:sz="6" w:space="0" w:color="000000"/>
              <w:left w:val="single" w:sz="6" w:space="0" w:color="000000"/>
              <w:bottom w:val="single" w:sz="6" w:space="0" w:color="000000"/>
              <w:right w:val="single" w:sz="6" w:space="0" w:color="000000"/>
            </w:tcBorders>
          </w:tcPr>
          <w:p w14:paraId="5D512D30" w14:textId="77777777" w:rsidR="00575174" w:rsidRDefault="009F4508">
            <w:pPr>
              <w:widowControl w:val="0"/>
              <w:jc w:val="both"/>
              <w:rPr>
                <w:rFonts w:ascii="Times New Roman" w:hAnsi="Times New Roman" w:cs="Times New Roman"/>
                <w:bCs/>
                <w:sz w:val="20"/>
                <w:szCs w:val="20"/>
              </w:rPr>
            </w:pPr>
            <w:r>
              <w:rPr>
                <w:rFonts w:ascii="Times New Roman" w:hAnsi="Times New Roman" w:cs="Times New Roman"/>
                <w:b/>
                <w:sz w:val="20"/>
                <w:szCs w:val="20"/>
              </w:rPr>
              <w:t>Cidade:</w:t>
            </w:r>
          </w:p>
        </w:tc>
        <w:tc>
          <w:tcPr>
            <w:tcW w:w="2893" w:type="dxa"/>
            <w:tcBorders>
              <w:top w:val="single" w:sz="6" w:space="0" w:color="000000"/>
              <w:left w:val="single" w:sz="6" w:space="0" w:color="000000"/>
              <w:bottom w:val="single" w:sz="6" w:space="0" w:color="000000"/>
              <w:right w:val="single" w:sz="6" w:space="0" w:color="000000"/>
            </w:tcBorders>
          </w:tcPr>
          <w:p w14:paraId="0E3F61E2" w14:textId="77777777" w:rsidR="00575174" w:rsidRDefault="009F4508">
            <w:pPr>
              <w:widowControl w:val="0"/>
              <w:jc w:val="both"/>
              <w:rPr>
                <w:rFonts w:ascii="Times New Roman" w:hAnsi="Times New Roman" w:cs="Times New Roman"/>
                <w:bCs/>
                <w:sz w:val="20"/>
                <w:szCs w:val="20"/>
              </w:rPr>
            </w:pPr>
            <w:r>
              <w:rPr>
                <w:rFonts w:ascii="Times New Roman" w:hAnsi="Times New Roman" w:cs="Times New Roman"/>
                <w:b/>
                <w:sz w:val="20"/>
                <w:szCs w:val="20"/>
              </w:rPr>
              <w:t>Estado:</w:t>
            </w:r>
          </w:p>
        </w:tc>
      </w:tr>
      <w:tr w:rsidR="00575174" w14:paraId="43B2D1DB" w14:textId="77777777">
        <w:tc>
          <w:tcPr>
            <w:tcW w:w="4118" w:type="dxa"/>
            <w:tcBorders>
              <w:top w:val="single" w:sz="6" w:space="0" w:color="000000"/>
              <w:left w:val="single" w:sz="6" w:space="0" w:color="000000"/>
              <w:bottom w:val="single" w:sz="6" w:space="0" w:color="000000"/>
              <w:right w:val="single" w:sz="6" w:space="0" w:color="000000"/>
            </w:tcBorders>
          </w:tcPr>
          <w:p w14:paraId="3DCE771F" w14:textId="77777777" w:rsidR="00575174" w:rsidRDefault="009F4508">
            <w:pPr>
              <w:widowControl w:val="0"/>
              <w:jc w:val="both"/>
              <w:rPr>
                <w:rFonts w:ascii="Times New Roman" w:hAnsi="Times New Roman" w:cs="Times New Roman"/>
                <w:bCs/>
                <w:sz w:val="20"/>
                <w:szCs w:val="20"/>
              </w:rPr>
            </w:pPr>
            <w:r>
              <w:rPr>
                <w:rFonts w:ascii="Times New Roman" w:hAnsi="Times New Roman" w:cs="Times New Roman"/>
                <w:b/>
                <w:sz w:val="20"/>
                <w:szCs w:val="20"/>
              </w:rPr>
              <w:t>CNPJ:</w:t>
            </w:r>
          </w:p>
        </w:tc>
        <w:tc>
          <w:tcPr>
            <w:tcW w:w="5863" w:type="dxa"/>
            <w:gridSpan w:val="2"/>
            <w:tcBorders>
              <w:top w:val="single" w:sz="6" w:space="0" w:color="000000"/>
              <w:left w:val="single" w:sz="6" w:space="0" w:color="000000"/>
              <w:bottom w:val="single" w:sz="6" w:space="0" w:color="000000"/>
              <w:right w:val="single" w:sz="6" w:space="0" w:color="000000"/>
            </w:tcBorders>
          </w:tcPr>
          <w:p w14:paraId="34BCA280" w14:textId="77777777" w:rsidR="00575174" w:rsidRDefault="009F4508">
            <w:pPr>
              <w:widowControl w:val="0"/>
              <w:jc w:val="both"/>
              <w:rPr>
                <w:rFonts w:ascii="Times New Roman" w:hAnsi="Times New Roman" w:cs="Times New Roman"/>
                <w:bCs/>
                <w:sz w:val="20"/>
                <w:szCs w:val="20"/>
              </w:rPr>
            </w:pPr>
            <w:r>
              <w:rPr>
                <w:rFonts w:ascii="Times New Roman" w:hAnsi="Times New Roman" w:cs="Times New Roman"/>
                <w:b/>
                <w:sz w:val="20"/>
                <w:szCs w:val="20"/>
              </w:rPr>
              <w:t>Inscrição Estadual:</w:t>
            </w:r>
          </w:p>
        </w:tc>
      </w:tr>
      <w:tr w:rsidR="00575174" w14:paraId="359FB2B1" w14:textId="77777777">
        <w:tc>
          <w:tcPr>
            <w:tcW w:w="4118" w:type="dxa"/>
            <w:tcBorders>
              <w:top w:val="single" w:sz="6" w:space="0" w:color="000000"/>
              <w:left w:val="single" w:sz="6" w:space="0" w:color="000000"/>
              <w:bottom w:val="single" w:sz="6" w:space="0" w:color="000000"/>
              <w:right w:val="single" w:sz="6" w:space="0" w:color="000000"/>
            </w:tcBorders>
          </w:tcPr>
          <w:p w14:paraId="3E2991BB" w14:textId="77777777" w:rsidR="00575174" w:rsidRDefault="009F4508">
            <w:pPr>
              <w:widowControl w:val="0"/>
              <w:jc w:val="both"/>
              <w:rPr>
                <w:rFonts w:ascii="Times New Roman" w:hAnsi="Times New Roman" w:cs="Times New Roman"/>
                <w:bCs/>
                <w:sz w:val="20"/>
                <w:szCs w:val="20"/>
              </w:rPr>
            </w:pPr>
            <w:r>
              <w:rPr>
                <w:rFonts w:ascii="Times New Roman" w:hAnsi="Times New Roman" w:cs="Times New Roman"/>
                <w:b/>
                <w:sz w:val="20"/>
                <w:szCs w:val="20"/>
              </w:rPr>
              <w:t>Banco:</w:t>
            </w:r>
          </w:p>
        </w:tc>
        <w:tc>
          <w:tcPr>
            <w:tcW w:w="5863" w:type="dxa"/>
            <w:gridSpan w:val="2"/>
            <w:tcBorders>
              <w:top w:val="single" w:sz="6" w:space="0" w:color="000000"/>
              <w:left w:val="single" w:sz="6" w:space="0" w:color="000000"/>
              <w:bottom w:val="single" w:sz="6" w:space="0" w:color="000000"/>
              <w:right w:val="single" w:sz="6" w:space="0" w:color="000000"/>
            </w:tcBorders>
          </w:tcPr>
          <w:p w14:paraId="5BC87E3C" w14:textId="77777777" w:rsidR="00575174" w:rsidRDefault="009F4508">
            <w:pPr>
              <w:widowControl w:val="0"/>
              <w:jc w:val="both"/>
              <w:rPr>
                <w:rFonts w:ascii="Times New Roman" w:hAnsi="Times New Roman" w:cs="Times New Roman"/>
                <w:bCs/>
                <w:sz w:val="20"/>
                <w:szCs w:val="20"/>
              </w:rPr>
            </w:pPr>
            <w:r>
              <w:rPr>
                <w:rFonts w:ascii="Times New Roman" w:hAnsi="Times New Roman" w:cs="Times New Roman"/>
                <w:b/>
                <w:sz w:val="20"/>
                <w:szCs w:val="20"/>
              </w:rPr>
              <w:t>Agência:</w:t>
            </w:r>
          </w:p>
        </w:tc>
      </w:tr>
      <w:tr w:rsidR="00575174" w14:paraId="1E6FE422" w14:textId="77777777">
        <w:tc>
          <w:tcPr>
            <w:tcW w:w="9981" w:type="dxa"/>
            <w:gridSpan w:val="3"/>
            <w:tcBorders>
              <w:top w:val="single" w:sz="6" w:space="0" w:color="000000"/>
              <w:left w:val="single" w:sz="6" w:space="0" w:color="000000"/>
              <w:bottom w:val="single" w:sz="6" w:space="0" w:color="000000"/>
              <w:right w:val="single" w:sz="6" w:space="0" w:color="000000"/>
            </w:tcBorders>
          </w:tcPr>
          <w:p w14:paraId="4A97038C" w14:textId="77777777" w:rsidR="00575174" w:rsidRDefault="009F4508">
            <w:pPr>
              <w:widowControl w:val="0"/>
              <w:jc w:val="both"/>
              <w:rPr>
                <w:rFonts w:ascii="Times New Roman" w:hAnsi="Times New Roman" w:cs="Times New Roman"/>
                <w:bCs/>
                <w:sz w:val="20"/>
                <w:szCs w:val="20"/>
              </w:rPr>
            </w:pPr>
            <w:r>
              <w:rPr>
                <w:rFonts w:ascii="Times New Roman" w:hAnsi="Times New Roman" w:cs="Times New Roman"/>
                <w:b/>
                <w:sz w:val="20"/>
                <w:szCs w:val="20"/>
              </w:rPr>
              <w:t>C.C:</w:t>
            </w:r>
          </w:p>
        </w:tc>
      </w:tr>
    </w:tbl>
    <w:p w14:paraId="458FB0C3" w14:textId="77777777" w:rsidR="00575174" w:rsidRDefault="00575174">
      <w:pPr>
        <w:tabs>
          <w:tab w:val="left" w:pos="792"/>
        </w:tabs>
        <w:jc w:val="both"/>
        <w:rPr>
          <w:rFonts w:ascii="Times New Roman" w:hAnsi="Times New Roman" w:cs="Times New Roman"/>
          <w:sz w:val="20"/>
          <w:szCs w:val="20"/>
        </w:rPr>
      </w:pPr>
    </w:p>
    <w:tbl>
      <w:tblPr>
        <w:tblW w:w="9991" w:type="dxa"/>
        <w:tblLayout w:type="fixed"/>
        <w:tblCellMar>
          <w:left w:w="70" w:type="dxa"/>
          <w:right w:w="70" w:type="dxa"/>
        </w:tblCellMar>
        <w:tblLook w:val="04A0" w:firstRow="1" w:lastRow="0" w:firstColumn="1" w:lastColumn="0" w:noHBand="0" w:noVBand="1"/>
      </w:tblPr>
      <w:tblGrid>
        <w:gridCol w:w="9991"/>
      </w:tblGrid>
      <w:tr w:rsidR="00575174" w14:paraId="39EE099E" w14:textId="77777777">
        <w:trPr>
          <w:trHeight w:val="394"/>
        </w:trPr>
        <w:tc>
          <w:tcPr>
            <w:tcW w:w="9991" w:type="dxa"/>
            <w:tcBorders>
              <w:top w:val="single" w:sz="6" w:space="0" w:color="000000"/>
              <w:left w:val="single" w:sz="6" w:space="0" w:color="000000"/>
              <w:bottom w:val="single" w:sz="6" w:space="0" w:color="000000"/>
              <w:right w:val="single" w:sz="6" w:space="0" w:color="000000"/>
            </w:tcBorders>
          </w:tcPr>
          <w:p w14:paraId="347CFC76" w14:textId="290AD928" w:rsidR="00575174" w:rsidRDefault="009F4508">
            <w:pPr>
              <w:pStyle w:val="Nivel01"/>
              <w:widowControl w:val="0"/>
              <w:numPr>
                <w:ilvl w:val="0"/>
                <w:numId w:val="0"/>
              </w:numPr>
              <w:spacing w:before="0" w:after="0" w:line="240" w:lineRule="auto"/>
              <w:rPr>
                <w:rFonts w:ascii="Times New Roman" w:hAnsi="Times New Roman" w:cs="Times New Roman"/>
                <w:b w:val="0"/>
                <w:bCs w:val="0"/>
                <w:color w:val="auto"/>
              </w:rPr>
            </w:pPr>
            <w:r>
              <w:rPr>
                <w:rFonts w:ascii="Times New Roman" w:hAnsi="Times New Roman" w:cs="Times New Roman"/>
                <w:color w:val="auto"/>
              </w:rPr>
              <w:t xml:space="preserve">REGISTRO DE PREÇO para eventual </w:t>
            </w:r>
            <w:r w:rsidR="00F4120B">
              <w:rPr>
                <w:rFonts w:ascii="Times New Roman" w:hAnsi="Times New Roman" w:cs="Times New Roman"/>
                <w:color w:val="auto"/>
              </w:rPr>
              <w:t>AQUISIÇÃO DE PNEUS PARA TIGGO (235/55R 18)</w:t>
            </w:r>
          </w:p>
        </w:tc>
      </w:tr>
    </w:tbl>
    <w:p w14:paraId="7BF3C890" w14:textId="77777777" w:rsidR="00575174" w:rsidRDefault="00575174">
      <w:pPr>
        <w:jc w:val="both"/>
        <w:rPr>
          <w:rFonts w:ascii="Times New Roman" w:hAnsi="Times New Roman" w:cs="Times New Roman"/>
          <w:sz w:val="20"/>
          <w:szCs w:val="20"/>
        </w:rPr>
      </w:pPr>
    </w:p>
    <w:tbl>
      <w:tblPr>
        <w:tblW w:w="9065" w:type="dxa"/>
        <w:jc w:val="center"/>
        <w:tblCellMar>
          <w:left w:w="70" w:type="dxa"/>
          <w:right w:w="70" w:type="dxa"/>
        </w:tblCellMar>
        <w:tblLook w:val="04A0" w:firstRow="1" w:lastRow="0" w:firstColumn="1" w:lastColumn="0" w:noHBand="0" w:noVBand="1"/>
      </w:tblPr>
      <w:tblGrid>
        <w:gridCol w:w="984"/>
        <w:gridCol w:w="6054"/>
        <w:gridCol w:w="631"/>
        <w:gridCol w:w="545"/>
        <w:gridCol w:w="851"/>
      </w:tblGrid>
      <w:tr w:rsidR="00EE5824" w:rsidRPr="00EE5824" w14:paraId="39C43119" w14:textId="77777777" w:rsidTr="00EE5824">
        <w:trPr>
          <w:trHeight w:val="345"/>
          <w:jc w:val="center"/>
        </w:trPr>
        <w:tc>
          <w:tcPr>
            <w:tcW w:w="984" w:type="dxa"/>
            <w:tcBorders>
              <w:top w:val="single" w:sz="4" w:space="0" w:color="auto"/>
              <w:left w:val="single" w:sz="4" w:space="0" w:color="auto"/>
              <w:bottom w:val="single" w:sz="4" w:space="0" w:color="auto"/>
              <w:right w:val="single" w:sz="4" w:space="0" w:color="auto"/>
            </w:tcBorders>
            <w:shd w:val="clear" w:color="000000" w:fill="F0FFFF"/>
            <w:noWrap/>
            <w:vAlign w:val="center"/>
            <w:hideMark/>
          </w:tcPr>
          <w:p w14:paraId="592348F0" w14:textId="77777777" w:rsidR="00EE5824" w:rsidRPr="00EE5824" w:rsidRDefault="00EE5824" w:rsidP="009C066D">
            <w:pPr>
              <w:suppressAutoHyphens w:val="0"/>
              <w:jc w:val="center"/>
              <w:rPr>
                <w:rFonts w:ascii="Calibri" w:eastAsia="Times New Roman" w:hAnsi="Calibri" w:cs="Calibri"/>
                <w:b/>
                <w:bCs/>
                <w:color w:val="000000"/>
                <w:sz w:val="14"/>
                <w:szCs w:val="14"/>
              </w:rPr>
            </w:pPr>
            <w:r w:rsidRPr="00EE5824">
              <w:rPr>
                <w:rFonts w:ascii="Calibri" w:eastAsia="Times New Roman" w:hAnsi="Calibri" w:cs="Calibri"/>
                <w:b/>
                <w:bCs/>
                <w:color w:val="000000"/>
                <w:sz w:val="14"/>
                <w:szCs w:val="14"/>
              </w:rPr>
              <w:t>Item</w:t>
            </w:r>
          </w:p>
        </w:tc>
        <w:tc>
          <w:tcPr>
            <w:tcW w:w="6054" w:type="dxa"/>
            <w:tcBorders>
              <w:top w:val="single" w:sz="4" w:space="0" w:color="auto"/>
              <w:left w:val="nil"/>
              <w:bottom w:val="single" w:sz="4" w:space="0" w:color="auto"/>
              <w:right w:val="single" w:sz="4" w:space="0" w:color="auto"/>
            </w:tcBorders>
            <w:shd w:val="clear" w:color="000000" w:fill="F0FFFF"/>
            <w:noWrap/>
            <w:vAlign w:val="center"/>
            <w:hideMark/>
          </w:tcPr>
          <w:p w14:paraId="39B1F20F" w14:textId="77777777" w:rsidR="00EE5824" w:rsidRPr="00EE5824" w:rsidRDefault="00EE5824" w:rsidP="009C066D">
            <w:pPr>
              <w:suppressAutoHyphens w:val="0"/>
              <w:jc w:val="center"/>
              <w:rPr>
                <w:rFonts w:ascii="Calibri" w:eastAsia="Times New Roman" w:hAnsi="Calibri" w:cs="Calibri"/>
                <w:b/>
                <w:bCs/>
                <w:color w:val="000000"/>
                <w:sz w:val="14"/>
                <w:szCs w:val="14"/>
              </w:rPr>
            </w:pPr>
            <w:r w:rsidRPr="00EE5824">
              <w:rPr>
                <w:rFonts w:ascii="Calibri" w:eastAsia="Times New Roman" w:hAnsi="Calibri" w:cs="Calibri"/>
                <w:b/>
                <w:bCs/>
                <w:color w:val="000000"/>
                <w:sz w:val="14"/>
                <w:szCs w:val="14"/>
              </w:rPr>
              <w:t>Descrição</w:t>
            </w:r>
          </w:p>
        </w:tc>
        <w:tc>
          <w:tcPr>
            <w:tcW w:w="631" w:type="dxa"/>
            <w:tcBorders>
              <w:top w:val="single" w:sz="4" w:space="0" w:color="auto"/>
              <w:left w:val="nil"/>
              <w:bottom w:val="single" w:sz="4" w:space="0" w:color="auto"/>
              <w:right w:val="single" w:sz="4" w:space="0" w:color="auto"/>
            </w:tcBorders>
            <w:shd w:val="clear" w:color="000000" w:fill="F0FFFF"/>
            <w:noWrap/>
            <w:vAlign w:val="center"/>
            <w:hideMark/>
          </w:tcPr>
          <w:p w14:paraId="7A9FFF3D" w14:textId="77777777" w:rsidR="00EE5824" w:rsidRPr="00EE5824" w:rsidRDefault="00EE5824" w:rsidP="009C066D">
            <w:pPr>
              <w:suppressAutoHyphens w:val="0"/>
              <w:jc w:val="center"/>
              <w:rPr>
                <w:rFonts w:ascii="Calibri" w:eastAsia="Times New Roman" w:hAnsi="Calibri" w:cs="Calibri"/>
                <w:b/>
                <w:bCs/>
                <w:color w:val="000000"/>
                <w:sz w:val="14"/>
                <w:szCs w:val="14"/>
              </w:rPr>
            </w:pPr>
            <w:r w:rsidRPr="00EE5824">
              <w:rPr>
                <w:rFonts w:ascii="Calibri" w:eastAsia="Times New Roman" w:hAnsi="Calibri" w:cs="Calibri"/>
                <w:b/>
                <w:bCs/>
                <w:color w:val="000000"/>
                <w:sz w:val="14"/>
                <w:szCs w:val="14"/>
              </w:rPr>
              <w:t>Unidade</w:t>
            </w:r>
          </w:p>
        </w:tc>
        <w:tc>
          <w:tcPr>
            <w:tcW w:w="545" w:type="dxa"/>
            <w:tcBorders>
              <w:top w:val="single" w:sz="4" w:space="0" w:color="auto"/>
              <w:left w:val="nil"/>
              <w:bottom w:val="single" w:sz="4" w:space="0" w:color="auto"/>
              <w:right w:val="single" w:sz="4" w:space="0" w:color="auto"/>
            </w:tcBorders>
            <w:shd w:val="clear" w:color="000000" w:fill="F0FFFF"/>
            <w:noWrap/>
            <w:vAlign w:val="center"/>
            <w:hideMark/>
          </w:tcPr>
          <w:p w14:paraId="670FC689" w14:textId="77777777" w:rsidR="00EE5824" w:rsidRPr="00EE5824" w:rsidRDefault="00EE5824" w:rsidP="009C066D">
            <w:pPr>
              <w:suppressAutoHyphens w:val="0"/>
              <w:jc w:val="center"/>
              <w:rPr>
                <w:rFonts w:ascii="Calibri" w:eastAsia="Times New Roman" w:hAnsi="Calibri" w:cs="Calibri"/>
                <w:b/>
                <w:bCs/>
                <w:color w:val="000000"/>
                <w:sz w:val="14"/>
                <w:szCs w:val="14"/>
              </w:rPr>
            </w:pPr>
            <w:r w:rsidRPr="00EE5824">
              <w:rPr>
                <w:rFonts w:ascii="Calibri" w:eastAsia="Times New Roman" w:hAnsi="Calibri" w:cs="Calibri"/>
                <w:b/>
                <w:bCs/>
                <w:color w:val="000000"/>
                <w:sz w:val="14"/>
                <w:szCs w:val="14"/>
              </w:rPr>
              <w:t>Quant.</w:t>
            </w:r>
          </w:p>
        </w:tc>
        <w:tc>
          <w:tcPr>
            <w:tcW w:w="851" w:type="dxa"/>
            <w:tcBorders>
              <w:top w:val="single" w:sz="4" w:space="0" w:color="auto"/>
              <w:left w:val="nil"/>
              <w:bottom w:val="single" w:sz="4" w:space="0" w:color="auto"/>
              <w:right w:val="single" w:sz="4" w:space="0" w:color="auto"/>
            </w:tcBorders>
            <w:shd w:val="clear" w:color="000000" w:fill="F0FFFF"/>
            <w:noWrap/>
            <w:vAlign w:val="center"/>
            <w:hideMark/>
          </w:tcPr>
          <w:p w14:paraId="63406DE1" w14:textId="77777777" w:rsidR="00EE5824" w:rsidRPr="00EE5824" w:rsidRDefault="00EE5824" w:rsidP="009C066D">
            <w:pPr>
              <w:suppressAutoHyphens w:val="0"/>
              <w:jc w:val="center"/>
              <w:rPr>
                <w:rFonts w:ascii="Calibri" w:eastAsia="Times New Roman" w:hAnsi="Calibri" w:cs="Calibri"/>
                <w:b/>
                <w:bCs/>
                <w:color w:val="000000"/>
                <w:sz w:val="14"/>
                <w:szCs w:val="14"/>
              </w:rPr>
            </w:pPr>
            <w:r w:rsidRPr="00EE5824">
              <w:rPr>
                <w:rFonts w:ascii="Calibri" w:eastAsia="Times New Roman" w:hAnsi="Calibri" w:cs="Calibri"/>
                <w:b/>
                <w:bCs/>
                <w:color w:val="000000"/>
                <w:sz w:val="14"/>
                <w:szCs w:val="14"/>
              </w:rPr>
              <w:t>Preço Unit. Estimado</w:t>
            </w:r>
          </w:p>
        </w:tc>
      </w:tr>
      <w:tr w:rsidR="00EE5824" w:rsidRPr="00EE5824" w14:paraId="1584BE37" w14:textId="77777777" w:rsidTr="00EE5824">
        <w:trPr>
          <w:trHeight w:val="300"/>
          <w:jc w:val="center"/>
        </w:trPr>
        <w:tc>
          <w:tcPr>
            <w:tcW w:w="984" w:type="dxa"/>
            <w:tcBorders>
              <w:top w:val="nil"/>
              <w:left w:val="single" w:sz="4" w:space="0" w:color="auto"/>
              <w:bottom w:val="single" w:sz="4" w:space="0" w:color="auto"/>
              <w:right w:val="single" w:sz="4" w:space="0" w:color="auto"/>
            </w:tcBorders>
            <w:shd w:val="clear" w:color="auto" w:fill="auto"/>
            <w:noWrap/>
            <w:vAlign w:val="center"/>
            <w:hideMark/>
          </w:tcPr>
          <w:p w14:paraId="369C5630" w14:textId="77777777" w:rsidR="00EE5824" w:rsidRPr="00EE5824" w:rsidRDefault="00EE5824" w:rsidP="009C066D">
            <w:pPr>
              <w:suppressAutoHyphens w:val="0"/>
              <w:jc w:val="center"/>
              <w:rPr>
                <w:rFonts w:ascii="Calibri" w:eastAsia="Times New Roman" w:hAnsi="Calibri" w:cs="Calibri"/>
                <w:color w:val="000000"/>
                <w:sz w:val="14"/>
                <w:szCs w:val="14"/>
              </w:rPr>
            </w:pPr>
            <w:r w:rsidRPr="00EE5824">
              <w:rPr>
                <w:rFonts w:ascii="Calibri" w:eastAsia="Times New Roman" w:hAnsi="Calibri" w:cs="Calibri"/>
                <w:color w:val="000000"/>
                <w:sz w:val="14"/>
                <w:szCs w:val="14"/>
              </w:rPr>
              <w:t>1</w:t>
            </w:r>
          </w:p>
        </w:tc>
        <w:tc>
          <w:tcPr>
            <w:tcW w:w="6054" w:type="dxa"/>
            <w:tcBorders>
              <w:top w:val="nil"/>
              <w:left w:val="nil"/>
              <w:bottom w:val="single" w:sz="4" w:space="0" w:color="auto"/>
              <w:right w:val="single" w:sz="4" w:space="0" w:color="auto"/>
            </w:tcBorders>
            <w:shd w:val="clear" w:color="auto" w:fill="auto"/>
            <w:noWrap/>
            <w:vAlign w:val="center"/>
            <w:hideMark/>
          </w:tcPr>
          <w:p w14:paraId="26A33B91" w14:textId="77777777" w:rsidR="00EE5824" w:rsidRPr="00EE5824" w:rsidRDefault="00EE5824" w:rsidP="009C066D">
            <w:pPr>
              <w:suppressAutoHyphens w:val="0"/>
              <w:spacing w:after="240"/>
              <w:jc w:val="center"/>
              <w:rPr>
                <w:rFonts w:ascii="Calibri" w:eastAsia="Times New Roman" w:hAnsi="Calibri" w:cs="Calibri"/>
                <w:color w:val="000000"/>
                <w:sz w:val="14"/>
                <w:szCs w:val="14"/>
              </w:rPr>
            </w:pPr>
            <w:r w:rsidRPr="00EE5824">
              <w:rPr>
                <w:rFonts w:ascii="Calibri" w:eastAsia="Times New Roman" w:hAnsi="Calibri" w:cs="Calibri"/>
                <w:color w:val="000000"/>
                <w:sz w:val="14"/>
                <w:szCs w:val="14"/>
              </w:rPr>
              <w:t>PNEU NOVO 235/55R 18 104 V - DEVENDO ATENDER AOS SEGUINTES CRITÉRIOS DA ENCE - INMETRO</w:t>
            </w:r>
            <w:r w:rsidRPr="00EE5824">
              <w:rPr>
                <w:rFonts w:ascii="Calibri" w:eastAsia="Times New Roman" w:hAnsi="Calibri" w:cs="Calibri"/>
                <w:color w:val="000000"/>
                <w:sz w:val="14"/>
                <w:szCs w:val="14"/>
              </w:rPr>
              <w:br/>
            </w:r>
            <w:r w:rsidRPr="00EE5824">
              <w:rPr>
                <w:rFonts w:ascii="Calibri" w:eastAsia="Times New Roman" w:hAnsi="Calibri" w:cs="Calibri"/>
                <w:color w:val="000000"/>
                <w:sz w:val="14"/>
                <w:szCs w:val="14"/>
              </w:rPr>
              <w:br/>
              <w:t>EFICIÊNCIA ENERGÉTICA ( OU DE COMBUSTÍVEL) : CLASSIFICAÇÃO B OU A;</w:t>
            </w:r>
            <w:r w:rsidRPr="00EE5824">
              <w:rPr>
                <w:rFonts w:ascii="Calibri" w:eastAsia="Times New Roman" w:hAnsi="Calibri" w:cs="Calibri"/>
                <w:color w:val="000000"/>
                <w:sz w:val="14"/>
                <w:szCs w:val="14"/>
              </w:rPr>
              <w:br/>
            </w:r>
            <w:r w:rsidRPr="00EE5824">
              <w:rPr>
                <w:rFonts w:ascii="Calibri" w:eastAsia="Times New Roman" w:hAnsi="Calibri" w:cs="Calibri"/>
                <w:color w:val="000000"/>
                <w:sz w:val="14"/>
                <w:szCs w:val="14"/>
              </w:rPr>
              <w:br/>
              <w:t>EFICIÊNCIA DE ADERÊNCIA EM PISTA MOLHADA : CLASSIFICAÇÃO B OU A;</w:t>
            </w:r>
            <w:r w:rsidRPr="00EE5824">
              <w:rPr>
                <w:rFonts w:ascii="Calibri" w:eastAsia="Times New Roman" w:hAnsi="Calibri" w:cs="Calibri"/>
                <w:color w:val="000000"/>
                <w:sz w:val="14"/>
                <w:szCs w:val="14"/>
              </w:rPr>
              <w:br/>
            </w:r>
            <w:r w:rsidRPr="00EE5824">
              <w:rPr>
                <w:rFonts w:ascii="Calibri" w:eastAsia="Times New Roman" w:hAnsi="Calibri" w:cs="Calibri"/>
                <w:color w:val="000000"/>
                <w:sz w:val="14"/>
                <w:szCs w:val="14"/>
              </w:rPr>
              <w:br/>
              <w:t>NÍVEL DE RUÍDO EXTERNO: MÁXIMO 70 dB;</w:t>
            </w:r>
            <w:r w:rsidRPr="00EE5824">
              <w:rPr>
                <w:rFonts w:ascii="Calibri" w:eastAsia="Times New Roman" w:hAnsi="Calibri" w:cs="Calibri"/>
                <w:color w:val="000000"/>
                <w:sz w:val="14"/>
                <w:szCs w:val="14"/>
              </w:rPr>
              <w:br/>
            </w:r>
            <w:r w:rsidRPr="00EE5824">
              <w:rPr>
                <w:rFonts w:ascii="Calibri" w:eastAsia="Times New Roman" w:hAnsi="Calibri" w:cs="Calibri"/>
                <w:color w:val="000000"/>
                <w:sz w:val="14"/>
                <w:szCs w:val="14"/>
              </w:rPr>
              <w:br/>
              <w:t>INDICE DE CARGA E VELOCIDADE: MÍNIMO 104V ( EQUIVALENTE A 900 KG E 240 KM/H) OU SUPERIOR.</w:t>
            </w:r>
            <w:r w:rsidRPr="00EE5824">
              <w:rPr>
                <w:rFonts w:ascii="Calibri" w:eastAsia="Times New Roman" w:hAnsi="Calibri" w:cs="Calibri"/>
                <w:color w:val="000000"/>
                <w:sz w:val="14"/>
                <w:szCs w:val="14"/>
              </w:rPr>
              <w:br/>
            </w:r>
          </w:p>
        </w:tc>
        <w:tc>
          <w:tcPr>
            <w:tcW w:w="631" w:type="dxa"/>
            <w:tcBorders>
              <w:top w:val="nil"/>
              <w:left w:val="nil"/>
              <w:bottom w:val="single" w:sz="4" w:space="0" w:color="auto"/>
              <w:right w:val="single" w:sz="4" w:space="0" w:color="auto"/>
            </w:tcBorders>
            <w:shd w:val="clear" w:color="auto" w:fill="auto"/>
            <w:noWrap/>
            <w:vAlign w:val="center"/>
            <w:hideMark/>
          </w:tcPr>
          <w:p w14:paraId="5F30F221" w14:textId="77777777" w:rsidR="00EE5824" w:rsidRPr="00EE5824" w:rsidRDefault="00EE5824" w:rsidP="009C066D">
            <w:pPr>
              <w:suppressAutoHyphens w:val="0"/>
              <w:jc w:val="center"/>
              <w:rPr>
                <w:rFonts w:ascii="Calibri" w:eastAsia="Times New Roman" w:hAnsi="Calibri" w:cs="Calibri"/>
                <w:color w:val="000000"/>
                <w:sz w:val="14"/>
                <w:szCs w:val="14"/>
              </w:rPr>
            </w:pPr>
            <w:r w:rsidRPr="00EE5824">
              <w:rPr>
                <w:rFonts w:ascii="Calibri" w:eastAsia="Times New Roman" w:hAnsi="Calibri" w:cs="Calibri"/>
                <w:color w:val="000000"/>
                <w:sz w:val="14"/>
                <w:szCs w:val="14"/>
              </w:rPr>
              <w:t>UN</w:t>
            </w:r>
          </w:p>
        </w:tc>
        <w:tc>
          <w:tcPr>
            <w:tcW w:w="545" w:type="dxa"/>
            <w:tcBorders>
              <w:top w:val="nil"/>
              <w:left w:val="nil"/>
              <w:bottom w:val="single" w:sz="4" w:space="0" w:color="auto"/>
              <w:right w:val="single" w:sz="4" w:space="0" w:color="auto"/>
            </w:tcBorders>
            <w:shd w:val="clear" w:color="auto" w:fill="auto"/>
            <w:noWrap/>
            <w:vAlign w:val="center"/>
            <w:hideMark/>
          </w:tcPr>
          <w:p w14:paraId="73C5CEA0" w14:textId="77777777" w:rsidR="00EE5824" w:rsidRPr="00EE5824" w:rsidRDefault="00EE5824" w:rsidP="009C066D">
            <w:pPr>
              <w:suppressAutoHyphens w:val="0"/>
              <w:jc w:val="center"/>
              <w:rPr>
                <w:rFonts w:ascii="Calibri" w:eastAsia="Times New Roman" w:hAnsi="Calibri" w:cs="Calibri"/>
                <w:color w:val="000000"/>
                <w:sz w:val="14"/>
                <w:szCs w:val="14"/>
              </w:rPr>
            </w:pPr>
            <w:r w:rsidRPr="00EE5824">
              <w:rPr>
                <w:rFonts w:ascii="Calibri" w:eastAsia="Times New Roman" w:hAnsi="Calibri" w:cs="Calibri"/>
                <w:color w:val="000000"/>
                <w:sz w:val="14"/>
                <w:szCs w:val="14"/>
              </w:rPr>
              <w:t>12</w:t>
            </w:r>
          </w:p>
        </w:tc>
        <w:tc>
          <w:tcPr>
            <w:tcW w:w="851" w:type="dxa"/>
            <w:tcBorders>
              <w:top w:val="nil"/>
              <w:left w:val="nil"/>
              <w:bottom w:val="single" w:sz="4" w:space="0" w:color="auto"/>
              <w:right w:val="single" w:sz="4" w:space="0" w:color="auto"/>
            </w:tcBorders>
            <w:shd w:val="clear" w:color="auto" w:fill="auto"/>
            <w:noWrap/>
            <w:vAlign w:val="center"/>
            <w:hideMark/>
          </w:tcPr>
          <w:p w14:paraId="0694CCE2" w14:textId="77777777" w:rsidR="00EE5824" w:rsidRPr="00EE5824" w:rsidRDefault="00EE5824" w:rsidP="009C066D">
            <w:pPr>
              <w:suppressAutoHyphens w:val="0"/>
              <w:jc w:val="center"/>
              <w:rPr>
                <w:rFonts w:ascii="Calibri" w:eastAsia="Times New Roman" w:hAnsi="Calibri" w:cs="Calibri"/>
                <w:color w:val="000000"/>
                <w:sz w:val="14"/>
                <w:szCs w:val="14"/>
              </w:rPr>
            </w:pPr>
            <w:r w:rsidRPr="00EE5824">
              <w:rPr>
                <w:rFonts w:ascii="Calibri" w:eastAsia="Times New Roman" w:hAnsi="Calibri" w:cs="Calibri"/>
                <w:color w:val="000000"/>
                <w:sz w:val="14"/>
                <w:szCs w:val="14"/>
              </w:rPr>
              <w:t>R$ 1.229,48</w:t>
            </w:r>
          </w:p>
        </w:tc>
      </w:tr>
    </w:tbl>
    <w:p w14:paraId="40E76463" w14:textId="77777777" w:rsidR="00575174" w:rsidRDefault="00575174">
      <w:pPr>
        <w:jc w:val="both"/>
        <w:rPr>
          <w:rFonts w:ascii="Times New Roman" w:hAnsi="Times New Roman" w:cs="Times New Roman"/>
          <w:b/>
          <w:bCs/>
          <w:sz w:val="20"/>
          <w:szCs w:val="20"/>
        </w:rPr>
      </w:pPr>
    </w:p>
    <w:tbl>
      <w:tblPr>
        <w:tblW w:w="9882" w:type="dxa"/>
        <w:tblInd w:w="71" w:type="dxa"/>
        <w:tblLayout w:type="fixed"/>
        <w:tblCellMar>
          <w:left w:w="71" w:type="dxa"/>
          <w:right w:w="71" w:type="dxa"/>
        </w:tblCellMar>
        <w:tblLook w:val="04A0" w:firstRow="1" w:lastRow="0" w:firstColumn="1" w:lastColumn="0" w:noHBand="0" w:noVBand="1"/>
      </w:tblPr>
      <w:tblGrid>
        <w:gridCol w:w="4956"/>
        <w:gridCol w:w="572"/>
        <w:gridCol w:w="4354"/>
      </w:tblGrid>
      <w:tr w:rsidR="00575174" w14:paraId="053AE4C2" w14:textId="77777777">
        <w:trPr>
          <w:trHeight w:val="2271"/>
        </w:trPr>
        <w:tc>
          <w:tcPr>
            <w:tcW w:w="4956" w:type="dxa"/>
          </w:tcPr>
          <w:p w14:paraId="080307C7" w14:textId="77777777" w:rsidR="00575174" w:rsidRDefault="00575174">
            <w:pPr>
              <w:widowControl w:val="0"/>
              <w:jc w:val="both"/>
              <w:rPr>
                <w:rFonts w:ascii="Times New Roman" w:hAnsi="Times New Roman" w:cs="Times New Roman"/>
                <w:sz w:val="20"/>
                <w:szCs w:val="20"/>
              </w:rPr>
            </w:pPr>
          </w:p>
          <w:p w14:paraId="774E20A7" w14:textId="77777777" w:rsidR="00575174" w:rsidRDefault="009F4508">
            <w:pPr>
              <w:widowControl w:val="0"/>
              <w:jc w:val="both"/>
              <w:rPr>
                <w:rFonts w:ascii="Times New Roman" w:hAnsi="Times New Roman" w:cs="Times New Roman"/>
                <w:sz w:val="20"/>
                <w:szCs w:val="20"/>
              </w:rPr>
            </w:pPr>
            <w:r>
              <w:rPr>
                <w:rFonts w:ascii="Times New Roman" w:hAnsi="Times New Roman" w:cs="Times New Roman"/>
                <w:b/>
                <w:sz w:val="20"/>
                <w:szCs w:val="20"/>
                <w:shd w:val="clear" w:color="auto" w:fill="FFFFFF"/>
              </w:rPr>
              <w:t>Validade da proposta: (mínimo 60 dias):______</w:t>
            </w:r>
          </w:p>
          <w:p w14:paraId="0B478BD3" w14:textId="77777777" w:rsidR="00575174" w:rsidRDefault="00575174">
            <w:pPr>
              <w:widowControl w:val="0"/>
              <w:jc w:val="both"/>
              <w:rPr>
                <w:rFonts w:ascii="Times New Roman" w:hAnsi="Times New Roman" w:cs="Times New Roman"/>
                <w:sz w:val="20"/>
                <w:szCs w:val="20"/>
              </w:rPr>
            </w:pPr>
          </w:p>
          <w:p w14:paraId="52CBD985" w14:textId="77777777" w:rsidR="00575174" w:rsidRDefault="00575174">
            <w:pPr>
              <w:widowControl w:val="0"/>
              <w:jc w:val="both"/>
              <w:rPr>
                <w:rFonts w:ascii="Times New Roman" w:hAnsi="Times New Roman" w:cs="Times New Roman"/>
                <w:sz w:val="20"/>
                <w:szCs w:val="20"/>
              </w:rPr>
            </w:pPr>
          </w:p>
          <w:p w14:paraId="7164A22C" w14:textId="77777777" w:rsidR="00575174" w:rsidRDefault="00575174">
            <w:pPr>
              <w:widowControl w:val="0"/>
              <w:jc w:val="both"/>
              <w:rPr>
                <w:rFonts w:ascii="Times New Roman" w:hAnsi="Times New Roman" w:cs="Times New Roman"/>
                <w:sz w:val="20"/>
                <w:szCs w:val="20"/>
              </w:rPr>
            </w:pPr>
          </w:p>
          <w:p w14:paraId="3CAE708A" w14:textId="77777777" w:rsidR="00575174" w:rsidRDefault="009F4508">
            <w:pPr>
              <w:widowControl w:val="0"/>
              <w:jc w:val="both"/>
              <w:rPr>
                <w:rFonts w:ascii="Times New Roman" w:hAnsi="Times New Roman" w:cs="Times New Roman"/>
                <w:sz w:val="20"/>
                <w:szCs w:val="20"/>
              </w:rPr>
            </w:pPr>
            <w:r>
              <w:rPr>
                <w:rFonts w:ascii="Times New Roman" w:hAnsi="Times New Roman" w:cs="Times New Roman"/>
                <w:b/>
                <w:sz w:val="20"/>
                <w:szCs w:val="20"/>
              </w:rPr>
              <w:t>Data: ______ / ____________ de 2025</w:t>
            </w:r>
          </w:p>
          <w:p w14:paraId="0B203008" w14:textId="77777777" w:rsidR="00575174" w:rsidRDefault="00575174">
            <w:pPr>
              <w:widowControl w:val="0"/>
              <w:jc w:val="both"/>
              <w:rPr>
                <w:rFonts w:ascii="Times New Roman" w:hAnsi="Times New Roman" w:cs="Times New Roman"/>
                <w:sz w:val="20"/>
                <w:szCs w:val="20"/>
              </w:rPr>
            </w:pPr>
          </w:p>
          <w:p w14:paraId="6CDF6AD6" w14:textId="77777777" w:rsidR="00575174" w:rsidRDefault="009F4508">
            <w:pPr>
              <w:widowControl w:val="0"/>
              <w:jc w:val="both"/>
              <w:rPr>
                <w:rFonts w:ascii="Times New Roman" w:hAnsi="Times New Roman" w:cs="Times New Roman"/>
                <w:sz w:val="20"/>
                <w:szCs w:val="20"/>
              </w:rPr>
            </w:pPr>
            <w:r>
              <w:rPr>
                <w:rFonts w:ascii="Times New Roman" w:hAnsi="Times New Roman" w:cs="Times New Roman"/>
                <w:b/>
                <w:sz w:val="20"/>
                <w:szCs w:val="20"/>
              </w:rPr>
              <w:t>________________________________________</w:t>
            </w:r>
          </w:p>
          <w:p w14:paraId="52127BF7" w14:textId="77777777" w:rsidR="00575174" w:rsidRDefault="009F4508">
            <w:pPr>
              <w:widowControl w:val="0"/>
              <w:jc w:val="both"/>
              <w:rPr>
                <w:rFonts w:ascii="Times New Roman" w:hAnsi="Times New Roman" w:cs="Times New Roman"/>
                <w:bCs/>
                <w:sz w:val="20"/>
                <w:szCs w:val="20"/>
              </w:rPr>
            </w:pPr>
            <w:r>
              <w:rPr>
                <w:rFonts w:ascii="Times New Roman" w:hAnsi="Times New Roman" w:cs="Times New Roman"/>
                <w:b/>
                <w:sz w:val="20"/>
                <w:szCs w:val="20"/>
              </w:rPr>
              <w:t>Assinatura e Identificação do Proponente Legal</w:t>
            </w:r>
          </w:p>
        </w:tc>
        <w:tc>
          <w:tcPr>
            <w:tcW w:w="572" w:type="dxa"/>
          </w:tcPr>
          <w:p w14:paraId="2A2AA60C" w14:textId="77777777" w:rsidR="00575174" w:rsidRDefault="00575174">
            <w:pPr>
              <w:widowControl w:val="0"/>
              <w:jc w:val="both"/>
              <w:rPr>
                <w:rFonts w:ascii="Times New Roman" w:hAnsi="Times New Roman" w:cs="Times New Roman"/>
                <w:sz w:val="20"/>
                <w:szCs w:val="20"/>
              </w:rPr>
            </w:pPr>
          </w:p>
        </w:tc>
        <w:tc>
          <w:tcPr>
            <w:tcW w:w="4354" w:type="dxa"/>
            <w:tcBorders>
              <w:top w:val="single" w:sz="6" w:space="0" w:color="000000"/>
              <w:left w:val="single" w:sz="6" w:space="0" w:color="000000"/>
              <w:bottom w:val="single" w:sz="6" w:space="0" w:color="000000"/>
              <w:right w:val="single" w:sz="6" w:space="0" w:color="000000"/>
            </w:tcBorders>
          </w:tcPr>
          <w:p w14:paraId="4130E2BE" w14:textId="77777777" w:rsidR="00575174" w:rsidRDefault="009F4508">
            <w:pPr>
              <w:widowControl w:val="0"/>
              <w:jc w:val="both"/>
              <w:rPr>
                <w:rFonts w:ascii="Times New Roman" w:hAnsi="Times New Roman" w:cs="Times New Roman"/>
                <w:sz w:val="20"/>
                <w:szCs w:val="20"/>
              </w:rPr>
            </w:pPr>
            <w:r>
              <w:rPr>
                <w:rFonts w:ascii="Times New Roman" w:hAnsi="Times New Roman" w:cs="Times New Roman"/>
                <w:b/>
                <w:sz w:val="20"/>
                <w:szCs w:val="20"/>
              </w:rPr>
              <w:t>Carimbo do CNPJ</w:t>
            </w:r>
          </w:p>
          <w:p w14:paraId="0B775856" w14:textId="77777777" w:rsidR="00575174" w:rsidRDefault="00575174">
            <w:pPr>
              <w:widowControl w:val="0"/>
              <w:jc w:val="both"/>
              <w:rPr>
                <w:rFonts w:ascii="Times New Roman" w:hAnsi="Times New Roman" w:cs="Times New Roman"/>
                <w:sz w:val="20"/>
                <w:szCs w:val="20"/>
              </w:rPr>
            </w:pPr>
          </w:p>
          <w:p w14:paraId="7C848F64" w14:textId="77777777" w:rsidR="00575174" w:rsidRDefault="00575174">
            <w:pPr>
              <w:widowControl w:val="0"/>
              <w:jc w:val="both"/>
              <w:rPr>
                <w:rFonts w:ascii="Times New Roman" w:hAnsi="Times New Roman" w:cs="Times New Roman"/>
                <w:sz w:val="20"/>
                <w:szCs w:val="20"/>
              </w:rPr>
            </w:pPr>
          </w:p>
          <w:p w14:paraId="047DD95B" w14:textId="77777777" w:rsidR="00575174" w:rsidRDefault="00575174">
            <w:pPr>
              <w:widowControl w:val="0"/>
              <w:jc w:val="both"/>
              <w:rPr>
                <w:rFonts w:ascii="Times New Roman" w:hAnsi="Times New Roman" w:cs="Times New Roman"/>
                <w:sz w:val="20"/>
                <w:szCs w:val="20"/>
              </w:rPr>
            </w:pPr>
          </w:p>
          <w:p w14:paraId="6B082C6E" w14:textId="77777777" w:rsidR="00575174" w:rsidRDefault="00575174">
            <w:pPr>
              <w:widowControl w:val="0"/>
              <w:jc w:val="both"/>
              <w:rPr>
                <w:rFonts w:ascii="Times New Roman" w:hAnsi="Times New Roman" w:cs="Times New Roman"/>
                <w:sz w:val="20"/>
                <w:szCs w:val="20"/>
              </w:rPr>
            </w:pPr>
          </w:p>
          <w:p w14:paraId="339D76E4" w14:textId="77777777" w:rsidR="00575174" w:rsidRDefault="00575174">
            <w:pPr>
              <w:widowControl w:val="0"/>
              <w:jc w:val="both"/>
              <w:rPr>
                <w:rFonts w:ascii="Times New Roman" w:hAnsi="Times New Roman" w:cs="Times New Roman"/>
                <w:sz w:val="20"/>
                <w:szCs w:val="20"/>
              </w:rPr>
            </w:pPr>
          </w:p>
          <w:p w14:paraId="3AE6D747" w14:textId="77777777" w:rsidR="00575174" w:rsidRDefault="00575174">
            <w:pPr>
              <w:widowControl w:val="0"/>
              <w:jc w:val="both"/>
              <w:rPr>
                <w:rFonts w:ascii="Times New Roman" w:hAnsi="Times New Roman" w:cs="Times New Roman"/>
                <w:sz w:val="20"/>
                <w:szCs w:val="20"/>
              </w:rPr>
            </w:pPr>
          </w:p>
          <w:p w14:paraId="44DD9F73" w14:textId="77777777" w:rsidR="00575174" w:rsidRDefault="00575174">
            <w:pPr>
              <w:widowControl w:val="0"/>
              <w:jc w:val="both"/>
              <w:rPr>
                <w:rFonts w:ascii="Times New Roman" w:hAnsi="Times New Roman" w:cs="Times New Roman"/>
                <w:sz w:val="20"/>
                <w:szCs w:val="20"/>
              </w:rPr>
            </w:pPr>
          </w:p>
        </w:tc>
      </w:tr>
    </w:tbl>
    <w:p w14:paraId="3F66A21F" w14:textId="77777777" w:rsidR="00575174" w:rsidRDefault="00575174">
      <w:pPr>
        <w:rPr>
          <w:rFonts w:ascii="Times New Roman" w:hAnsi="Times New Roman" w:cs="Times New Roman"/>
          <w:b/>
          <w:bCs/>
          <w:sz w:val="20"/>
          <w:szCs w:val="20"/>
        </w:rPr>
      </w:pPr>
    </w:p>
    <w:p w14:paraId="5F664937" w14:textId="77777777" w:rsidR="00575174" w:rsidRDefault="00575174">
      <w:pPr>
        <w:rPr>
          <w:rFonts w:ascii="Times New Roman" w:hAnsi="Times New Roman" w:cs="Times New Roman"/>
          <w:b/>
          <w:bCs/>
          <w:sz w:val="20"/>
          <w:szCs w:val="20"/>
        </w:rPr>
      </w:pPr>
    </w:p>
    <w:p w14:paraId="7213A788" w14:textId="77777777" w:rsidR="00575174" w:rsidRDefault="00575174">
      <w:pPr>
        <w:jc w:val="center"/>
        <w:rPr>
          <w:rFonts w:ascii="Times New Roman" w:hAnsi="Times New Roman" w:cs="Times New Roman"/>
          <w:b/>
          <w:bCs/>
          <w:sz w:val="20"/>
          <w:szCs w:val="20"/>
        </w:rPr>
      </w:pPr>
    </w:p>
    <w:p w14:paraId="13941938" w14:textId="77777777" w:rsidR="00EF1BCE" w:rsidRDefault="00EF1BCE">
      <w:pPr>
        <w:jc w:val="center"/>
        <w:rPr>
          <w:rFonts w:ascii="Times New Roman" w:hAnsi="Times New Roman" w:cs="Times New Roman"/>
          <w:b/>
          <w:bCs/>
          <w:sz w:val="20"/>
          <w:szCs w:val="20"/>
        </w:rPr>
      </w:pPr>
    </w:p>
    <w:p w14:paraId="7077E066" w14:textId="77777777" w:rsidR="00EF1BCE" w:rsidRDefault="00EF1BCE">
      <w:pPr>
        <w:jc w:val="center"/>
        <w:rPr>
          <w:rFonts w:ascii="Times New Roman" w:hAnsi="Times New Roman" w:cs="Times New Roman"/>
          <w:b/>
          <w:bCs/>
          <w:sz w:val="20"/>
          <w:szCs w:val="20"/>
        </w:rPr>
      </w:pPr>
    </w:p>
    <w:p w14:paraId="1211A46C" w14:textId="77777777" w:rsidR="00EF1BCE" w:rsidRDefault="00EF1BCE">
      <w:pPr>
        <w:jc w:val="center"/>
        <w:rPr>
          <w:rFonts w:ascii="Times New Roman" w:hAnsi="Times New Roman" w:cs="Times New Roman"/>
          <w:b/>
          <w:bCs/>
          <w:sz w:val="20"/>
          <w:szCs w:val="20"/>
        </w:rPr>
      </w:pPr>
    </w:p>
    <w:p w14:paraId="5410E865" w14:textId="77777777" w:rsidR="00EF1BCE" w:rsidRDefault="00EF1BCE">
      <w:pPr>
        <w:jc w:val="center"/>
        <w:rPr>
          <w:rFonts w:ascii="Times New Roman" w:hAnsi="Times New Roman" w:cs="Times New Roman"/>
          <w:b/>
          <w:bCs/>
          <w:sz w:val="20"/>
          <w:szCs w:val="20"/>
        </w:rPr>
      </w:pPr>
    </w:p>
    <w:p w14:paraId="31E2B454" w14:textId="77777777" w:rsidR="00EF1BCE" w:rsidRDefault="00EF1BCE">
      <w:pPr>
        <w:jc w:val="center"/>
        <w:rPr>
          <w:rFonts w:ascii="Times New Roman" w:hAnsi="Times New Roman" w:cs="Times New Roman"/>
          <w:b/>
          <w:bCs/>
          <w:sz w:val="20"/>
          <w:szCs w:val="20"/>
        </w:rPr>
      </w:pPr>
    </w:p>
    <w:p w14:paraId="0C7A3FA9" w14:textId="77777777" w:rsidR="00EF1BCE" w:rsidRDefault="00EF1BCE">
      <w:pPr>
        <w:jc w:val="center"/>
        <w:rPr>
          <w:rFonts w:ascii="Times New Roman" w:hAnsi="Times New Roman" w:cs="Times New Roman"/>
          <w:b/>
          <w:bCs/>
          <w:sz w:val="20"/>
          <w:szCs w:val="20"/>
        </w:rPr>
      </w:pPr>
    </w:p>
    <w:p w14:paraId="2C3B2C59" w14:textId="77777777" w:rsidR="00EF1BCE" w:rsidRDefault="00EF1BCE">
      <w:pPr>
        <w:jc w:val="center"/>
        <w:rPr>
          <w:rFonts w:ascii="Times New Roman" w:hAnsi="Times New Roman" w:cs="Times New Roman"/>
          <w:b/>
          <w:bCs/>
          <w:sz w:val="20"/>
          <w:szCs w:val="20"/>
        </w:rPr>
      </w:pPr>
    </w:p>
    <w:p w14:paraId="106CB66A" w14:textId="77777777" w:rsidR="00EF1BCE" w:rsidRDefault="00EF1BCE">
      <w:pPr>
        <w:jc w:val="center"/>
        <w:rPr>
          <w:rFonts w:ascii="Times New Roman" w:hAnsi="Times New Roman" w:cs="Times New Roman"/>
          <w:b/>
          <w:bCs/>
          <w:sz w:val="20"/>
          <w:szCs w:val="20"/>
        </w:rPr>
      </w:pPr>
    </w:p>
    <w:p w14:paraId="273A3BE4" w14:textId="77777777" w:rsidR="00EF1BCE" w:rsidRDefault="00EF1BCE">
      <w:pPr>
        <w:jc w:val="center"/>
        <w:rPr>
          <w:rFonts w:ascii="Times New Roman" w:hAnsi="Times New Roman" w:cs="Times New Roman"/>
          <w:b/>
          <w:bCs/>
          <w:sz w:val="20"/>
          <w:szCs w:val="20"/>
        </w:rPr>
      </w:pPr>
    </w:p>
    <w:p w14:paraId="401DF237" w14:textId="77777777" w:rsidR="00EF1BCE" w:rsidRDefault="00EF1BCE">
      <w:pPr>
        <w:jc w:val="center"/>
        <w:rPr>
          <w:rFonts w:ascii="Times New Roman" w:hAnsi="Times New Roman" w:cs="Times New Roman"/>
          <w:b/>
          <w:bCs/>
          <w:sz w:val="20"/>
          <w:szCs w:val="20"/>
        </w:rPr>
      </w:pPr>
    </w:p>
    <w:p w14:paraId="129B098D" w14:textId="77777777" w:rsidR="00EF1BCE" w:rsidRDefault="00EF1BCE">
      <w:pPr>
        <w:jc w:val="center"/>
        <w:rPr>
          <w:rFonts w:ascii="Times New Roman" w:hAnsi="Times New Roman" w:cs="Times New Roman"/>
          <w:b/>
          <w:bCs/>
          <w:sz w:val="20"/>
          <w:szCs w:val="20"/>
        </w:rPr>
      </w:pPr>
    </w:p>
    <w:p w14:paraId="46DDDBF4" w14:textId="77777777" w:rsidR="00EF1BCE" w:rsidRDefault="00EF1BCE">
      <w:pPr>
        <w:jc w:val="center"/>
        <w:rPr>
          <w:rFonts w:ascii="Times New Roman" w:hAnsi="Times New Roman" w:cs="Times New Roman"/>
          <w:b/>
          <w:bCs/>
          <w:sz w:val="20"/>
          <w:szCs w:val="20"/>
        </w:rPr>
      </w:pPr>
    </w:p>
    <w:p w14:paraId="274CA2BC" w14:textId="77777777" w:rsidR="00EF1BCE" w:rsidRDefault="00EF1BCE">
      <w:pPr>
        <w:jc w:val="center"/>
        <w:rPr>
          <w:rFonts w:ascii="Times New Roman" w:hAnsi="Times New Roman" w:cs="Times New Roman"/>
          <w:b/>
          <w:bCs/>
          <w:sz w:val="20"/>
          <w:szCs w:val="20"/>
        </w:rPr>
      </w:pPr>
    </w:p>
    <w:p w14:paraId="59DF5033" w14:textId="77777777" w:rsidR="00EF1BCE" w:rsidRDefault="00EF1BCE">
      <w:pPr>
        <w:jc w:val="center"/>
        <w:rPr>
          <w:rFonts w:ascii="Times New Roman" w:hAnsi="Times New Roman" w:cs="Times New Roman"/>
          <w:b/>
          <w:bCs/>
          <w:sz w:val="20"/>
          <w:szCs w:val="20"/>
        </w:rPr>
      </w:pPr>
    </w:p>
    <w:p w14:paraId="1D07E268" w14:textId="77777777" w:rsidR="00EF1BCE" w:rsidRDefault="00EF1BCE">
      <w:pPr>
        <w:jc w:val="center"/>
        <w:rPr>
          <w:rFonts w:ascii="Times New Roman" w:hAnsi="Times New Roman" w:cs="Times New Roman"/>
          <w:b/>
          <w:bCs/>
          <w:sz w:val="20"/>
          <w:szCs w:val="20"/>
        </w:rPr>
      </w:pPr>
    </w:p>
    <w:p w14:paraId="6379DE6C" w14:textId="77777777" w:rsidR="00EF1BCE" w:rsidRDefault="00EF1BCE">
      <w:pPr>
        <w:jc w:val="center"/>
        <w:rPr>
          <w:rFonts w:ascii="Times New Roman" w:hAnsi="Times New Roman" w:cs="Times New Roman"/>
          <w:b/>
          <w:bCs/>
          <w:sz w:val="20"/>
          <w:szCs w:val="20"/>
        </w:rPr>
      </w:pPr>
    </w:p>
    <w:p w14:paraId="75967DC5" w14:textId="77777777" w:rsidR="00EE5824" w:rsidRDefault="00EE5824">
      <w:pPr>
        <w:jc w:val="center"/>
        <w:rPr>
          <w:rFonts w:ascii="Times New Roman" w:hAnsi="Times New Roman" w:cs="Times New Roman"/>
          <w:b/>
          <w:bCs/>
          <w:sz w:val="20"/>
          <w:szCs w:val="20"/>
        </w:rPr>
      </w:pPr>
    </w:p>
    <w:p w14:paraId="77A6C5F0" w14:textId="77777777" w:rsidR="00EE5824" w:rsidRDefault="00EE5824">
      <w:pPr>
        <w:jc w:val="center"/>
        <w:rPr>
          <w:rFonts w:ascii="Times New Roman" w:hAnsi="Times New Roman" w:cs="Times New Roman"/>
          <w:b/>
          <w:bCs/>
          <w:sz w:val="20"/>
          <w:szCs w:val="20"/>
        </w:rPr>
      </w:pPr>
    </w:p>
    <w:p w14:paraId="4A19F6DE" w14:textId="77777777" w:rsidR="00EE5824" w:rsidRDefault="00EE5824">
      <w:pPr>
        <w:jc w:val="center"/>
        <w:rPr>
          <w:rFonts w:ascii="Times New Roman" w:hAnsi="Times New Roman" w:cs="Times New Roman"/>
          <w:b/>
          <w:bCs/>
          <w:sz w:val="20"/>
          <w:szCs w:val="20"/>
        </w:rPr>
      </w:pPr>
    </w:p>
    <w:p w14:paraId="395F9609" w14:textId="77777777" w:rsidR="00EE5824" w:rsidRDefault="00EE5824">
      <w:pPr>
        <w:jc w:val="center"/>
        <w:rPr>
          <w:rFonts w:ascii="Times New Roman" w:hAnsi="Times New Roman" w:cs="Times New Roman"/>
          <w:b/>
          <w:bCs/>
          <w:sz w:val="20"/>
          <w:szCs w:val="20"/>
        </w:rPr>
      </w:pPr>
    </w:p>
    <w:p w14:paraId="11E138FF" w14:textId="77777777" w:rsidR="00EE5824" w:rsidRDefault="00EE5824">
      <w:pPr>
        <w:jc w:val="center"/>
        <w:rPr>
          <w:rFonts w:ascii="Times New Roman" w:hAnsi="Times New Roman" w:cs="Times New Roman"/>
          <w:b/>
          <w:bCs/>
          <w:sz w:val="20"/>
          <w:szCs w:val="20"/>
        </w:rPr>
      </w:pPr>
    </w:p>
    <w:p w14:paraId="2211D460" w14:textId="77777777" w:rsidR="00EE5824" w:rsidRDefault="00EE5824">
      <w:pPr>
        <w:jc w:val="center"/>
        <w:rPr>
          <w:rFonts w:ascii="Times New Roman" w:hAnsi="Times New Roman" w:cs="Times New Roman"/>
          <w:b/>
          <w:bCs/>
          <w:sz w:val="20"/>
          <w:szCs w:val="20"/>
        </w:rPr>
      </w:pPr>
    </w:p>
    <w:p w14:paraId="111D04D3" w14:textId="77777777" w:rsidR="00EE5824" w:rsidRDefault="00EE5824">
      <w:pPr>
        <w:jc w:val="center"/>
        <w:rPr>
          <w:rFonts w:ascii="Times New Roman" w:hAnsi="Times New Roman" w:cs="Times New Roman"/>
          <w:b/>
          <w:bCs/>
          <w:sz w:val="20"/>
          <w:szCs w:val="20"/>
        </w:rPr>
      </w:pPr>
    </w:p>
    <w:p w14:paraId="7A843231" w14:textId="77777777" w:rsidR="00EF1BCE" w:rsidRDefault="00EF1BCE">
      <w:pPr>
        <w:jc w:val="center"/>
        <w:rPr>
          <w:rFonts w:ascii="Times New Roman" w:hAnsi="Times New Roman" w:cs="Times New Roman"/>
          <w:b/>
          <w:bCs/>
          <w:sz w:val="20"/>
          <w:szCs w:val="20"/>
        </w:rPr>
      </w:pPr>
    </w:p>
    <w:p w14:paraId="770F0377" w14:textId="77777777" w:rsidR="00575174" w:rsidRDefault="009F4508">
      <w:pPr>
        <w:jc w:val="center"/>
        <w:rPr>
          <w:rFonts w:ascii="Times New Roman" w:hAnsi="Times New Roman" w:cs="Times New Roman"/>
          <w:b/>
          <w:bCs/>
          <w:sz w:val="20"/>
          <w:szCs w:val="20"/>
        </w:rPr>
      </w:pPr>
      <w:r>
        <w:rPr>
          <w:rFonts w:ascii="Times New Roman" w:hAnsi="Times New Roman" w:cs="Times New Roman"/>
          <w:b/>
          <w:bCs/>
          <w:sz w:val="20"/>
          <w:szCs w:val="20"/>
        </w:rPr>
        <w:t>ANEXO III</w:t>
      </w:r>
    </w:p>
    <w:p w14:paraId="1604DE33" w14:textId="77777777" w:rsidR="00575174" w:rsidRDefault="009F4508">
      <w:pPr>
        <w:widowControl w:val="0"/>
        <w:ind w:right="-15"/>
        <w:jc w:val="center"/>
        <w:rPr>
          <w:rFonts w:ascii="Times New Roman" w:hAnsi="Times New Roman" w:cs="Times New Roman"/>
          <w:b/>
          <w:bCs/>
          <w:sz w:val="20"/>
          <w:szCs w:val="20"/>
        </w:rPr>
      </w:pPr>
      <w:r>
        <w:rPr>
          <w:rFonts w:ascii="Times New Roman" w:hAnsi="Times New Roman" w:cs="Times New Roman"/>
          <w:b/>
          <w:bCs/>
          <w:sz w:val="20"/>
          <w:szCs w:val="20"/>
        </w:rPr>
        <w:t>PREFEITURA DE SANTA BÁRBARA DO SUL/RS</w:t>
      </w:r>
    </w:p>
    <w:p w14:paraId="53CD08A4" w14:textId="57DD62BF" w:rsidR="00575174" w:rsidRDefault="009F4508">
      <w:pPr>
        <w:widowControl w:val="0"/>
        <w:ind w:right="-30"/>
        <w:jc w:val="center"/>
        <w:rPr>
          <w:rFonts w:ascii="Times New Roman" w:hAnsi="Times New Roman" w:cs="Times New Roman"/>
          <w:sz w:val="20"/>
          <w:szCs w:val="20"/>
        </w:rPr>
      </w:pPr>
      <w:r>
        <w:rPr>
          <w:rFonts w:ascii="Times New Roman" w:hAnsi="Times New Roman" w:cs="Times New Roman"/>
          <w:b/>
          <w:bCs/>
          <w:sz w:val="20"/>
          <w:szCs w:val="20"/>
        </w:rPr>
        <w:t xml:space="preserve">ATA DE REGISTRO DE PREÇOS N.º </w:t>
      </w:r>
      <w:r w:rsidR="007659FC">
        <w:rPr>
          <w:rFonts w:ascii="Times New Roman" w:hAnsi="Times New Roman" w:cs="Times New Roman"/>
          <w:b/>
          <w:bCs/>
          <w:sz w:val="20"/>
          <w:szCs w:val="20"/>
        </w:rPr>
        <w:t>59/2025</w:t>
      </w:r>
    </w:p>
    <w:p w14:paraId="7BD16BAB" w14:textId="77777777" w:rsidR="00575174" w:rsidRDefault="009F4508">
      <w:pPr>
        <w:widowControl w:val="0"/>
        <w:ind w:right="-30"/>
        <w:rPr>
          <w:rFonts w:ascii="Times New Roman" w:hAnsi="Times New Roman" w:cs="Times New Roman"/>
          <w:b/>
          <w:bCs/>
          <w:sz w:val="20"/>
          <w:szCs w:val="20"/>
        </w:rPr>
      </w:pPr>
      <w:r>
        <w:rPr>
          <w:rFonts w:ascii="Times New Roman" w:hAnsi="Times New Roman" w:cs="Times New Roman"/>
          <w:b/>
          <w:bCs/>
          <w:sz w:val="20"/>
          <w:szCs w:val="20"/>
        </w:rPr>
        <w:t>VIGÊNCIA DA ATA:</w:t>
      </w:r>
    </w:p>
    <w:p w14:paraId="2C1C7522" w14:textId="2FDAAC21" w:rsidR="00575174" w:rsidRDefault="009F4508">
      <w:pPr>
        <w:widowControl w:val="0"/>
        <w:tabs>
          <w:tab w:val="center" w:pos="4779"/>
          <w:tab w:val="right" w:pos="9198"/>
        </w:tabs>
        <w:spacing w:before="120"/>
        <w:ind w:right="-28" w:firstLine="709"/>
        <w:jc w:val="both"/>
        <w:rPr>
          <w:rFonts w:ascii="Times New Roman" w:hAnsi="Times New Roman" w:cs="Times New Roman"/>
          <w:sz w:val="20"/>
          <w:szCs w:val="20"/>
        </w:rPr>
      </w:pPr>
      <w:r>
        <w:rPr>
          <w:rFonts w:ascii="Times New Roman" w:hAnsi="Times New Roman" w:cs="Times New Roman"/>
          <w:sz w:val="20"/>
          <w:szCs w:val="20"/>
        </w:rPr>
        <w:t xml:space="preserve">A Prefeitura Municipal de Santa Bárbara do Sul, com sede na Avenida Eduardo de Brito, 101, na cidade de Santa Bárbara do Sul inscrita no CNPJ nº 88.496.468/0001-60, considerando o julgamento da licitação na modalidade de Pregão Eletrônico </w:t>
      </w:r>
      <w:r w:rsidR="007659FC">
        <w:rPr>
          <w:rFonts w:ascii="Times New Roman" w:hAnsi="Times New Roman" w:cs="Times New Roman"/>
          <w:sz w:val="20"/>
          <w:szCs w:val="20"/>
        </w:rPr>
        <w:t>75/2025</w:t>
      </w:r>
      <w:r>
        <w:rPr>
          <w:rFonts w:ascii="Times New Roman" w:hAnsi="Times New Roman" w:cs="Times New Roman"/>
          <w:sz w:val="20"/>
          <w:szCs w:val="20"/>
        </w:rPr>
        <w:t xml:space="preserve">, para Registro de Preços nº </w:t>
      </w:r>
      <w:r w:rsidR="007659FC">
        <w:rPr>
          <w:rFonts w:ascii="Times New Roman" w:hAnsi="Times New Roman" w:cs="Times New Roman"/>
          <w:sz w:val="20"/>
          <w:szCs w:val="20"/>
        </w:rPr>
        <w:t>59/2025</w:t>
      </w:r>
      <w:r>
        <w:rPr>
          <w:rFonts w:ascii="Times New Roman" w:hAnsi="Times New Roman" w:cs="Times New Roman"/>
          <w:sz w:val="20"/>
          <w:szCs w:val="20"/>
        </w:rPr>
        <w:t xml:space="preserve">, Processo Licitatório nº </w:t>
      </w:r>
      <w:r w:rsidR="007659FC">
        <w:rPr>
          <w:rFonts w:ascii="Times New Roman" w:hAnsi="Times New Roman" w:cs="Times New Roman"/>
          <w:sz w:val="20"/>
          <w:szCs w:val="20"/>
        </w:rPr>
        <w:t>278/2025</w:t>
      </w:r>
      <w:r>
        <w:rPr>
          <w:rFonts w:ascii="Times New Roman" w:hAnsi="Times New Roman" w:cs="Times New Roman"/>
          <w:sz w:val="20"/>
          <w:szCs w:val="20"/>
        </w:rPr>
        <w:t>, RESOLVE registrar o preço da empresa indicada e qualificada nesta ATA, de acordo com a classificação por ela alcançada e nas quantidades  cotadas, atendendo as condições previstas no edital, sujeitando-se as partes às normas constantes na Lei nº14.133/21 e suas alterações, em conformidade com as disposições a seguir:</w:t>
      </w:r>
    </w:p>
    <w:p w14:paraId="5AC6767C" w14:textId="77777777" w:rsidR="00575174" w:rsidRDefault="009F4508">
      <w:pPr>
        <w:pStyle w:val="Nivel01"/>
        <w:numPr>
          <w:ilvl w:val="0"/>
          <w:numId w:val="4"/>
        </w:numPr>
        <w:spacing w:before="57" w:after="57" w:line="240" w:lineRule="auto"/>
        <w:ind w:hanging="7731"/>
        <w:rPr>
          <w:rFonts w:ascii="Times New Roman" w:hAnsi="Times New Roman" w:cs="Times New Roman"/>
          <w:color w:val="auto"/>
        </w:rPr>
      </w:pPr>
      <w:r>
        <w:rPr>
          <w:rFonts w:ascii="Times New Roman" w:hAnsi="Times New Roman" w:cs="Times New Roman"/>
          <w:color w:val="auto"/>
        </w:rPr>
        <w:t>DO OBJETO</w:t>
      </w:r>
    </w:p>
    <w:p w14:paraId="0ABC6AC9" w14:textId="4A509A30" w:rsidR="00575174" w:rsidRDefault="009F4508">
      <w:pPr>
        <w:pStyle w:val="Nivel2"/>
        <w:numPr>
          <w:ilvl w:val="0"/>
          <w:numId w:val="0"/>
        </w:numPr>
        <w:spacing w:before="0" w:after="0" w:line="240" w:lineRule="auto"/>
        <w:rPr>
          <w:rFonts w:ascii="Times New Roman" w:hAnsi="Times New Roman" w:cs="Times New Roman"/>
          <w:color w:val="auto"/>
        </w:rPr>
      </w:pPr>
      <w:r>
        <w:rPr>
          <w:rFonts w:ascii="Times New Roman" w:hAnsi="Times New Roman" w:cs="Times New Roman"/>
        </w:rPr>
        <w:t xml:space="preserve">A presente Ata tem por objeto o registro de preços para a eventual </w:t>
      </w:r>
      <w:r w:rsidR="007659FC">
        <w:rPr>
          <w:rFonts w:ascii="Times New Roman" w:hAnsi="Times New Roman" w:cs="Times New Roman"/>
        </w:rPr>
        <w:t>AQUISIÇÃO DE PNEUS PARA TIGGO (235/55R 18)</w:t>
      </w:r>
      <w:r>
        <w:rPr>
          <w:rFonts w:ascii="Times New Roman" w:hAnsi="Times New Roman" w:cs="Times New Roman"/>
        </w:rPr>
        <w:t xml:space="preserve">especificados no Termo de Referência, anexo do edital de Licitação nº </w:t>
      </w:r>
      <w:r w:rsidR="007659FC">
        <w:rPr>
          <w:rFonts w:ascii="Times New Roman" w:hAnsi="Times New Roman" w:cs="Times New Roman"/>
        </w:rPr>
        <w:t>75/2025</w:t>
      </w:r>
      <w:r>
        <w:rPr>
          <w:rFonts w:ascii="Times New Roman" w:hAnsi="Times New Roman" w:cs="Times New Roman"/>
        </w:rPr>
        <w:t>, que é parte integrante desta Ata, assim como as propostas cujos preços tenham sido registrados, independentemente de transcrição.</w:t>
      </w:r>
    </w:p>
    <w:p w14:paraId="79595E88" w14:textId="77777777" w:rsidR="00575174" w:rsidRDefault="009F4508">
      <w:pPr>
        <w:pStyle w:val="Nivel01"/>
        <w:numPr>
          <w:ilvl w:val="0"/>
          <w:numId w:val="4"/>
        </w:numPr>
        <w:spacing w:before="57" w:after="57" w:line="240" w:lineRule="auto"/>
        <w:ind w:hanging="7731"/>
        <w:rPr>
          <w:rFonts w:ascii="Times New Roman" w:hAnsi="Times New Roman" w:cs="Times New Roman"/>
          <w:color w:val="auto"/>
        </w:rPr>
      </w:pPr>
      <w:r>
        <w:rPr>
          <w:rFonts w:ascii="Times New Roman" w:hAnsi="Times New Roman" w:cs="Times New Roman"/>
          <w:color w:val="auto"/>
        </w:rPr>
        <w:t>DOS PREÇOS, ESPECIFICAÇÕES E QUANTITATIVOS</w:t>
      </w:r>
    </w:p>
    <w:p w14:paraId="748C8C7A" w14:textId="77777777" w:rsidR="00575174" w:rsidRDefault="009F4508">
      <w:pPr>
        <w:pStyle w:val="Nivel2"/>
        <w:numPr>
          <w:ilvl w:val="0"/>
          <w:numId w:val="0"/>
        </w:numPr>
        <w:spacing w:before="0" w:after="0" w:line="240" w:lineRule="auto"/>
        <w:rPr>
          <w:rFonts w:ascii="Times New Roman" w:hAnsi="Times New Roman" w:cs="Times New Roman"/>
          <w:color w:val="auto"/>
        </w:rPr>
      </w:pPr>
      <w:r>
        <w:rPr>
          <w:rFonts w:ascii="Times New Roman" w:hAnsi="Times New Roman" w:cs="Times New Roman"/>
          <w:color w:val="auto"/>
        </w:rPr>
        <w:t xml:space="preserve">O preço registrado, as especificações do objeto, as quantidades mínimas e máximas de cada item, fornecedor(es) e as demais condições ofertadas na(s) proposta(s) são as que seguem na tabela em anexo. </w:t>
      </w:r>
    </w:p>
    <w:p w14:paraId="4EF614F0" w14:textId="77777777" w:rsidR="00575174" w:rsidRDefault="009F4508">
      <w:pPr>
        <w:pStyle w:val="Nivel2"/>
        <w:numPr>
          <w:ilvl w:val="0"/>
          <w:numId w:val="0"/>
        </w:numPr>
        <w:spacing w:before="0" w:after="0" w:line="240" w:lineRule="auto"/>
        <w:rPr>
          <w:rFonts w:ascii="Times New Roman" w:hAnsi="Times New Roman" w:cs="Times New Roman"/>
          <w:color w:val="auto"/>
        </w:rPr>
      </w:pPr>
      <w:r>
        <w:rPr>
          <w:rFonts w:ascii="Times New Roman" w:hAnsi="Times New Roman" w:cs="Times New Roman"/>
          <w:color w:val="auto"/>
          <w:lang w:eastAsia="en-US"/>
        </w:rPr>
        <w:t>A listagem do cadastro de reserva referente ao presente registro de preços consta como anexo a esta Ata.</w:t>
      </w:r>
    </w:p>
    <w:p w14:paraId="518E1553" w14:textId="77777777" w:rsidR="00575174" w:rsidRDefault="009F4508">
      <w:pPr>
        <w:pStyle w:val="Nivel01"/>
        <w:numPr>
          <w:ilvl w:val="0"/>
          <w:numId w:val="4"/>
        </w:numPr>
        <w:spacing w:before="57" w:after="57" w:line="240" w:lineRule="auto"/>
        <w:ind w:hanging="7731"/>
        <w:rPr>
          <w:rFonts w:ascii="Times New Roman" w:hAnsi="Times New Roman" w:cs="Times New Roman"/>
          <w:color w:val="auto"/>
        </w:rPr>
      </w:pPr>
      <w:r>
        <w:rPr>
          <w:rFonts w:ascii="Times New Roman" w:hAnsi="Times New Roman" w:cs="Times New Roman"/>
          <w:color w:val="auto"/>
        </w:rPr>
        <w:t xml:space="preserve">DA ADESÃO À ATA DE REGISTRO DE PREÇOS </w:t>
      </w:r>
    </w:p>
    <w:p w14:paraId="52D4FEB2" w14:textId="77777777" w:rsidR="00575174" w:rsidRDefault="009F4508">
      <w:pPr>
        <w:pStyle w:val="Nvel2-Red"/>
        <w:numPr>
          <w:ilvl w:val="0"/>
          <w:numId w:val="0"/>
        </w:numPr>
        <w:tabs>
          <w:tab w:val="left" w:pos="567"/>
        </w:tabs>
        <w:spacing w:before="0" w:after="0" w:line="240" w:lineRule="auto"/>
        <w:rPr>
          <w:rFonts w:ascii="Times New Roman" w:hAnsi="Times New Roman" w:cs="Times New Roman"/>
          <w:color w:val="auto"/>
        </w:rPr>
      </w:pPr>
      <w:r>
        <w:rPr>
          <w:rFonts w:ascii="Times New Roman" w:hAnsi="Times New Roman" w:cs="Times New Roman"/>
          <w:color w:val="auto"/>
          <w:lang w:eastAsia="en-US"/>
        </w:rPr>
        <w:t xml:space="preserve">Não será admitida a adesão à ata de registro de preços decorrente desta licitação ou desta contratação direta, tendo em vista trata-se de ata municipal. </w:t>
      </w:r>
    </w:p>
    <w:p w14:paraId="503BE1EF" w14:textId="77777777" w:rsidR="00575174" w:rsidRDefault="009F4508">
      <w:pPr>
        <w:pStyle w:val="Nivel01"/>
        <w:numPr>
          <w:ilvl w:val="0"/>
          <w:numId w:val="4"/>
        </w:numPr>
        <w:spacing w:before="57" w:after="57" w:line="240" w:lineRule="auto"/>
        <w:ind w:hanging="7731"/>
        <w:rPr>
          <w:rFonts w:ascii="Times New Roman" w:hAnsi="Times New Roman" w:cs="Times New Roman"/>
          <w:color w:val="auto"/>
        </w:rPr>
      </w:pPr>
      <w:r>
        <w:rPr>
          <w:rFonts w:ascii="Times New Roman" w:hAnsi="Times New Roman" w:cs="Times New Roman"/>
          <w:color w:val="auto"/>
        </w:rPr>
        <w:t>VALIDADE, FORMALIZAÇÃO DA ATA DE REGISTRO DE PREÇOS E CADASTRO RESERVA</w:t>
      </w:r>
    </w:p>
    <w:p w14:paraId="24575D8D" w14:textId="77777777" w:rsidR="00575174" w:rsidRDefault="009F4508">
      <w:pPr>
        <w:pStyle w:val="Nivel2"/>
        <w:numPr>
          <w:ilvl w:val="1"/>
          <w:numId w:val="4"/>
        </w:numPr>
        <w:spacing w:before="0" w:after="0" w:line="240" w:lineRule="auto"/>
        <w:rPr>
          <w:rFonts w:ascii="Times New Roman" w:hAnsi="Times New Roman" w:cs="Times New Roman"/>
          <w:color w:val="auto"/>
        </w:rPr>
      </w:pPr>
      <w:r>
        <w:rPr>
          <w:rFonts w:ascii="Times New Roman" w:hAnsi="Times New Roman" w:cs="Times New Roman"/>
          <w:color w:val="auto"/>
        </w:rPr>
        <w:t>A validade da Ata de Registro de Preços será de 01 (um) ano, contados a partir da homologação do processo licitatório, podendo ser prorrogada por igual período, mediante a anuência do fornecedor, desde que comprovado o preço vantajoso.</w:t>
      </w:r>
    </w:p>
    <w:p w14:paraId="46ACA7E3" w14:textId="77777777" w:rsidR="00575174" w:rsidRDefault="009F4508">
      <w:pPr>
        <w:pStyle w:val="Nivel3"/>
        <w:numPr>
          <w:ilvl w:val="2"/>
          <w:numId w:val="4"/>
        </w:numPr>
        <w:spacing w:before="0" w:after="0" w:line="240" w:lineRule="auto"/>
        <w:rPr>
          <w:rFonts w:ascii="Times New Roman" w:hAnsi="Times New Roman" w:cs="Times New Roman"/>
          <w:color w:val="auto"/>
        </w:rPr>
      </w:pPr>
      <w:r>
        <w:rPr>
          <w:rFonts w:ascii="Times New Roman" w:hAnsi="Times New Roman" w:cs="Times New Roman"/>
          <w:color w:val="auto"/>
        </w:rPr>
        <w:t>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68B19C1C" w14:textId="77777777" w:rsidR="00575174" w:rsidRDefault="009F4508">
      <w:pPr>
        <w:pStyle w:val="Nivel2"/>
        <w:numPr>
          <w:ilvl w:val="1"/>
          <w:numId w:val="4"/>
        </w:numPr>
        <w:spacing w:before="0" w:after="0" w:line="240" w:lineRule="auto"/>
        <w:rPr>
          <w:rFonts w:ascii="Times New Roman" w:hAnsi="Times New Roman" w:cs="Times New Roman"/>
          <w:color w:val="auto"/>
        </w:rPr>
      </w:pPr>
      <w:r>
        <w:rPr>
          <w:rFonts w:ascii="Times New Roman" w:hAnsi="Times New Roman" w:cs="Times New Roman"/>
          <w:color w:val="auto"/>
        </w:rPr>
        <w:t>Na formalização do contrato ou do instrumento substituto deverá haver a indicação da disponibilidade dos créditos orçamentários respectivos.</w:t>
      </w:r>
    </w:p>
    <w:p w14:paraId="00BEC68D" w14:textId="77777777" w:rsidR="00575174" w:rsidRDefault="009F4508">
      <w:pPr>
        <w:pStyle w:val="Nivel2"/>
        <w:numPr>
          <w:ilvl w:val="1"/>
          <w:numId w:val="4"/>
        </w:numPr>
        <w:spacing w:before="0" w:line="240" w:lineRule="auto"/>
        <w:rPr>
          <w:rFonts w:ascii="Times New Roman" w:hAnsi="Times New Roman" w:cs="Times New Roman"/>
          <w:color w:val="auto"/>
        </w:rPr>
      </w:pPr>
      <w:r>
        <w:rPr>
          <w:rFonts w:ascii="Times New Roman" w:hAnsi="Times New Roman" w:cs="Times New Roman"/>
          <w:color w:val="auto"/>
        </w:rPr>
        <w:t>A contratação com os fornecedores registrados na ata será formalizada pelo órgão ou pela en</w:t>
      </w:r>
      <w:r>
        <w:rPr>
          <w:rFonts w:ascii="Times New Roman" w:eastAsia="Arial" w:hAnsi="Times New Roman" w:cs="Times New Roman"/>
          <w:color w:val="auto"/>
        </w:rPr>
        <w:t>ti</w:t>
      </w:r>
      <w:r>
        <w:rPr>
          <w:rFonts w:ascii="Times New Roman" w:hAnsi="Times New Roman" w:cs="Times New Roman"/>
          <w:color w:val="auto"/>
        </w:rPr>
        <w:t>dade interessada por intermédio de instrumento contratual, emissão de notas de empenho de despesas, autorizações de compras ou outros instrumentos hábeis, conforme prevê o art. 95 da Lei nº 14.133, de 2021.</w:t>
      </w:r>
    </w:p>
    <w:p w14:paraId="31D3C3AC" w14:textId="77777777" w:rsidR="00575174" w:rsidRDefault="009F4508">
      <w:pPr>
        <w:pStyle w:val="Nivel3"/>
        <w:numPr>
          <w:ilvl w:val="2"/>
          <w:numId w:val="4"/>
        </w:numPr>
        <w:spacing w:before="0" w:after="0" w:line="240" w:lineRule="auto"/>
        <w:rPr>
          <w:rFonts w:ascii="Times New Roman" w:hAnsi="Times New Roman" w:cs="Times New Roman"/>
          <w:color w:val="auto"/>
        </w:rPr>
      </w:pPr>
      <w:r>
        <w:rPr>
          <w:rFonts w:ascii="Times New Roman" w:hAnsi="Times New Roman" w:cs="Times New Roman"/>
          <w:color w:val="auto"/>
        </w:rPr>
        <w:t xml:space="preserve"> O instrumento contratual de que trata o item 4.2. deverá ser assinado no prazo de validade da ata de registro de preços</w:t>
      </w:r>
    </w:p>
    <w:p w14:paraId="24067D05" w14:textId="77777777" w:rsidR="00575174" w:rsidRDefault="009F4508">
      <w:pPr>
        <w:pStyle w:val="Nivel3"/>
        <w:numPr>
          <w:ilvl w:val="2"/>
          <w:numId w:val="4"/>
        </w:numPr>
        <w:spacing w:before="0" w:after="0" w:line="240" w:lineRule="auto"/>
        <w:rPr>
          <w:rFonts w:ascii="Times New Roman" w:hAnsi="Times New Roman" w:cs="Times New Roman"/>
          <w:color w:val="auto"/>
        </w:rPr>
      </w:pPr>
      <w:r>
        <w:rPr>
          <w:rFonts w:ascii="Times New Roman" w:hAnsi="Times New Roman" w:cs="Times New Roman"/>
          <w:color w:val="auto"/>
        </w:rPr>
        <w:t>Os contratos decorrentes do sistema de registro de preços poderão ser alterados, observado o art. 124 da Lei nº 14.133, de 2021</w:t>
      </w:r>
    </w:p>
    <w:p w14:paraId="27F6FE80" w14:textId="77777777" w:rsidR="00575174" w:rsidRDefault="009F4508">
      <w:pPr>
        <w:pStyle w:val="Nivel3"/>
        <w:numPr>
          <w:ilvl w:val="2"/>
          <w:numId w:val="4"/>
        </w:numPr>
        <w:spacing w:before="0" w:after="0" w:line="240" w:lineRule="auto"/>
        <w:rPr>
          <w:rFonts w:ascii="Times New Roman" w:hAnsi="Times New Roman" w:cs="Times New Roman"/>
          <w:color w:val="auto"/>
        </w:rPr>
      </w:pPr>
      <w:r>
        <w:rPr>
          <w:rFonts w:ascii="Times New Roman" w:hAnsi="Times New Roman" w:cs="Times New Roman"/>
          <w:color w:val="auto"/>
        </w:rPr>
        <w:t>Após a homologação da licitação ou da contratação direta, deverão ser observadas as seguintes condições para formalização da ata de registro de preços:</w:t>
      </w:r>
    </w:p>
    <w:p w14:paraId="498E2FE1" w14:textId="77777777" w:rsidR="00575174" w:rsidRDefault="009F4508">
      <w:pPr>
        <w:pStyle w:val="Nivel3"/>
        <w:numPr>
          <w:ilvl w:val="2"/>
          <w:numId w:val="4"/>
        </w:numPr>
        <w:spacing w:before="0" w:after="0" w:line="240" w:lineRule="auto"/>
        <w:rPr>
          <w:rFonts w:ascii="Times New Roman" w:hAnsi="Times New Roman" w:cs="Times New Roman"/>
          <w:color w:val="auto"/>
        </w:rPr>
      </w:pPr>
      <w:r>
        <w:rPr>
          <w:rFonts w:ascii="Times New Roman" w:hAnsi="Times New Roman" w:cs="Times New Roman"/>
          <w:color w:val="auto"/>
        </w:rPr>
        <w:t>Serão registrados na ata os preços e os quantita</w:t>
      </w:r>
      <w:r>
        <w:rPr>
          <w:rFonts w:ascii="Times New Roman" w:eastAsia="Arial" w:hAnsi="Times New Roman" w:cs="Times New Roman"/>
          <w:color w:val="auto"/>
        </w:rPr>
        <w:t>ti</w:t>
      </w:r>
      <w:r>
        <w:rPr>
          <w:rFonts w:ascii="Times New Roman" w:hAnsi="Times New Roman" w:cs="Times New Roman"/>
          <w:color w:val="auto"/>
        </w:rPr>
        <w:t xml:space="preserve">vos do adjudicatário, devendo ser observada a possibilidade de o licitante oferecer ou não proposta em quantitativo inferior ao máximo previsto </w:t>
      </w:r>
      <w:r>
        <w:rPr>
          <w:rFonts w:ascii="Times New Roman" w:hAnsi="Times New Roman" w:cs="Times New Roman"/>
          <w:i/>
          <w:iCs/>
          <w:color w:val="auto"/>
        </w:rPr>
        <w:t>no edital</w:t>
      </w:r>
      <w:r>
        <w:rPr>
          <w:rFonts w:ascii="Times New Roman" w:hAnsi="Times New Roman" w:cs="Times New Roman"/>
          <w:color w:val="auto"/>
        </w:rPr>
        <w:t xml:space="preserve"> e se obrigar nos limites dela;</w:t>
      </w:r>
    </w:p>
    <w:p w14:paraId="6ECFB5D9" w14:textId="77777777" w:rsidR="00575174" w:rsidRDefault="009F4508">
      <w:pPr>
        <w:pStyle w:val="Nivel3"/>
        <w:numPr>
          <w:ilvl w:val="2"/>
          <w:numId w:val="4"/>
        </w:numPr>
        <w:spacing w:before="0" w:after="0" w:line="240" w:lineRule="auto"/>
        <w:rPr>
          <w:rFonts w:ascii="Times New Roman" w:hAnsi="Times New Roman" w:cs="Times New Roman"/>
          <w:color w:val="auto"/>
        </w:rPr>
      </w:pPr>
      <w:r>
        <w:rPr>
          <w:rFonts w:ascii="Times New Roman" w:hAnsi="Times New Roman" w:cs="Times New Roman"/>
          <w:color w:val="auto"/>
        </w:rPr>
        <w:t>Será incluído na ata, na forma de anexo, o registro dos licitantes ou dos fornecedores que:</w:t>
      </w:r>
    </w:p>
    <w:p w14:paraId="31802597" w14:textId="77777777" w:rsidR="00575174" w:rsidRDefault="009F4508">
      <w:pPr>
        <w:pStyle w:val="Nivel4"/>
        <w:numPr>
          <w:ilvl w:val="3"/>
          <w:numId w:val="4"/>
        </w:numPr>
        <w:spacing w:before="0" w:after="0" w:line="240" w:lineRule="auto"/>
        <w:rPr>
          <w:rFonts w:ascii="Times New Roman" w:hAnsi="Times New Roman" w:cs="Times New Roman"/>
        </w:rPr>
      </w:pPr>
      <w:r>
        <w:rPr>
          <w:rFonts w:ascii="Times New Roman" w:hAnsi="Times New Roman" w:cs="Times New Roman"/>
        </w:rPr>
        <w:t xml:space="preserve">Aceitarem cotar os bens, as obras ou os serviços com preços iguais aos do adjudicatário, observada a classificação da licitação; e </w:t>
      </w:r>
    </w:p>
    <w:p w14:paraId="1C2EF118" w14:textId="77777777" w:rsidR="00575174" w:rsidRDefault="009F4508">
      <w:pPr>
        <w:pStyle w:val="Nivel4"/>
        <w:numPr>
          <w:ilvl w:val="3"/>
          <w:numId w:val="4"/>
        </w:numPr>
        <w:spacing w:before="0" w:after="0" w:line="240" w:lineRule="auto"/>
        <w:rPr>
          <w:rFonts w:ascii="Times New Roman" w:hAnsi="Times New Roman" w:cs="Times New Roman"/>
        </w:rPr>
      </w:pPr>
      <w:r>
        <w:rPr>
          <w:rFonts w:ascii="Times New Roman" w:hAnsi="Times New Roman" w:cs="Times New Roman"/>
        </w:rPr>
        <w:t xml:space="preserve">Mantiverem sua proposta original. </w:t>
      </w:r>
    </w:p>
    <w:p w14:paraId="4FE3D406" w14:textId="77777777" w:rsidR="00575174" w:rsidRDefault="009F4508">
      <w:pPr>
        <w:pStyle w:val="Nivel3"/>
        <w:numPr>
          <w:ilvl w:val="2"/>
          <w:numId w:val="4"/>
        </w:numPr>
        <w:spacing w:before="0" w:after="0" w:line="240" w:lineRule="auto"/>
        <w:rPr>
          <w:rFonts w:ascii="Times New Roman" w:hAnsi="Times New Roman" w:cs="Times New Roman"/>
          <w:color w:val="auto"/>
        </w:rPr>
      </w:pPr>
      <w:r>
        <w:rPr>
          <w:rFonts w:ascii="Times New Roman" w:hAnsi="Times New Roman" w:cs="Times New Roman"/>
          <w:color w:val="auto"/>
        </w:rPr>
        <w:t>Será respeitada, nas contratações, a ordem de classificação dos licitantes ou dos fornecedores registrados na ata.</w:t>
      </w:r>
    </w:p>
    <w:p w14:paraId="7249CDC2" w14:textId="77777777" w:rsidR="00575174" w:rsidRDefault="009F4508">
      <w:pPr>
        <w:pStyle w:val="Nivel2"/>
        <w:numPr>
          <w:ilvl w:val="1"/>
          <w:numId w:val="4"/>
        </w:numPr>
        <w:spacing w:before="0" w:after="0" w:line="240" w:lineRule="auto"/>
        <w:rPr>
          <w:rFonts w:ascii="Times New Roman" w:hAnsi="Times New Roman" w:cs="Times New Roman"/>
          <w:color w:val="auto"/>
        </w:rPr>
      </w:pPr>
      <w:r>
        <w:rPr>
          <w:rFonts w:ascii="Times New Roman" w:hAnsi="Times New Roman" w:cs="Times New Roman"/>
          <w:color w:val="auto"/>
        </w:rPr>
        <w:t>O registro a que se refere o item 4.4.2</w:t>
      </w:r>
      <w:r>
        <w:rPr>
          <w:rFonts w:ascii="Times New Roman" w:hAnsi="Times New Roman" w:cs="Times New Roman"/>
          <w:b/>
          <w:bCs/>
          <w:color w:val="auto"/>
        </w:rPr>
        <w:t xml:space="preserve"> </w:t>
      </w:r>
      <w:r>
        <w:rPr>
          <w:rFonts w:ascii="Times New Roman" w:hAnsi="Times New Roman" w:cs="Times New Roman"/>
          <w:color w:val="auto"/>
        </w:rPr>
        <w:t>tem por obje</w:t>
      </w:r>
      <w:r>
        <w:rPr>
          <w:rFonts w:ascii="Times New Roman" w:eastAsia="Arial" w:hAnsi="Times New Roman" w:cs="Times New Roman"/>
          <w:color w:val="auto"/>
        </w:rPr>
        <w:t>ti</w:t>
      </w:r>
      <w:r>
        <w:rPr>
          <w:rFonts w:ascii="Times New Roman" w:hAnsi="Times New Roman" w:cs="Times New Roman"/>
          <w:color w:val="auto"/>
        </w:rPr>
        <w:t>vo a formação de cadastro de reserva para o caso de impossibilidade de atendimento pelo signatário da ata</w:t>
      </w:r>
    </w:p>
    <w:p w14:paraId="146774AE" w14:textId="77777777" w:rsidR="00575174" w:rsidRDefault="009F4508">
      <w:pPr>
        <w:pStyle w:val="Nivel3"/>
        <w:numPr>
          <w:ilvl w:val="2"/>
          <w:numId w:val="4"/>
        </w:numPr>
        <w:spacing w:before="0" w:after="0" w:line="240" w:lineRule="auto"/>
        <w:rPr>
          <w:rFonts w:ascii="Times New Roman" w:hAnsi="Times New Roman" w:cs="Times New Roman"/>
          <w:color w:val="auto"/>
        </w:rPr>
      </w:pPr>
      <w:r>
        <w:rPr>
          <w:rFonts w:ascii="Times New Roman" w:hAnsi="Times New Roman" w:cs="Times New Roman"/>
          <w:color w:val="auto"/>
        </w:rPr>
        <w:t>Para fins da ordem de classificação, os licitantes ou fornecedores que aceitarem reduzir suas propostas para o preço do adjudicatário antecederão aqueles que mantiverem sua proposta original.</w:t>
      </w:r>
    </w:p>
    <w:p w14:paraId="5FF3EB96" w14:textId="77777777" w:rsidR="00575174" w:rsidRDefault="009F4508">
      <w:pPr>
        <w:pStyle w:val="Nivel4"/>
        <w:numPr>
          <w:ilvl w:val="3"/>
          <w:numId w:val="4"/>
        </w:numPr>
        <w:spacing w:before="0" w:after="0" w:line="240" w:lineRule="auto"/>
        <w:rPr>
          <w:rFonts w:ascii="Times New Roman" w:hAnsi="Times New Roman" w:cs="Times New Roman"/>
        </w:rPr>
      </w:pPr>
      <w:r>
        <w:rPr>
          <w:rFonts w:ascii="Times New Roman" w:hAnsi="Times New Roman" w:cs="Times New Roman"/>
        </w:rPr>
        <w:t>A habilitação dos licitantes que comporão o cadastro de reserva a que se refere o item 4.4.2.2 somente será efetuada quando houver necessidade de contratação dos licitantes remanescentes, nas seguintes hipóteses:</w:t>
      </w:r>
    </w:p>
    <w:p w14:paraId="2BA1B20F" w14:textId="77777777" w:rsidR="00575174" w:rsidRDefault="009F4508">
      <w:pPr>
        <w:pStyle w:val="Nivel3"/>
        <w:numPr>
          <w:ilvl w:val="2"/>
          <w:numId w:val="4"/>
        </w:numPr>
        <w:spacing w:before="0" w:after="0" w:line="240" w:lineRule="auto"/>
        <w:rPr>
          <w:rFonts w:ascii="Times New Roman" w:hAnsi="Times New Roman" w:cs="Times New Roman"/>
          <w:color w:val="auto"/>
        </w:rPr>
      </w:pPr>
      <w:r>
        <w:rPr>
          <w:rFonts w:ascii="Times New Roman" w:hAnsi="Times New Roman" w:cs="Times New Roman"/>
          <w:color w:val="auto"/>
        </w:rPr>
        <w:t xml:space="preserve">Quando o licitante vencedor não assinar a ata de registro de preços, no prazo e nas condições estabelecidos </w:t>
      </w:r>
      <w:r>
        <w:rPr>
          <w:rFonts w:ascii="Times New Roman" w:hAnsi="Times New Roman" w:cs="Times New Roman"/>
          <w:i/>
          <w:iCs/>
          <w:color w:val="auto"/>
        </w:rPr>
        <w:t>no edital</w:t>
      </w:r>
      <w:r>
        <w:rPr>
          <w:rFonts w:ascii="Times New Roman" w:hAnsi="Times New Roman" w:cs="Times New Roman"/>
          <w:color w:val="auto"/>
        </w:rPr>
        <w:t xml:space="preserve"> e termo de referência.</w:t>
      </w:r>
    </w:p>
    <w:p w14:paraId="7538B7BF" w14:textId="77777777" w:rsidR="00575174" w:rsidRDefault="009F4508">
      <w:pPr>
        <w:pStyle w:val="Nivel3"/>
        <w:numPr>
          <w:ilvl w:val="2"/>
          <w:numId w:val="4"/>
        </w:numPr>
        <w:spacing w:before="0" w:after="0" w:line="240" w:lineRule="auto"/>
        <w:rPr>
          <w:rFonts w:ascii="Times New Roman" w:hAnsi="Times New Roman" w:cs="Times New Roman"/>
          <w:color w:val="auto"/>
        </w:rPr>
      </w:pPr>
      <w:r>
        <w:rPr>
          <w:rFonts w:ascii="Times New Roman" w:hAnsi="Times New Roman" w:cs="Times New Roman"/>
          <w:color w:val="auto"/>
        </w:rPr>
        <w:t>Quando houver o cancelamento do registro do licitante ou do registro de preços nas hipóteses previstas.</w:t>
      </w:r>
    </w:p>
    <w:p w14:paraId="1BEE1379" w14:textId="77777777" w:rsidR="00575174" w:rsidRDefault="009F4508">
      <w:pPr>
        <w:pStyle w:val="Nivel3"/>
        <w:numPr>
          <w:ilvl w:val="2"/>
          <w:numId w:val="4"/>
        </w:numPr>
        <w:spacing w:before="0" w:after="0" w:line="240" w:lineRule="auto"/>
        <w:rPr>
          <w:rFonts w:ascii="Times New Roman" w:hAnsi="Times New Roman" w:cs="Times New Roman"/>
          <w:color w:val="auto"/>
        </w:rPr>
      </w:pPr>
      <w:r>
        <w:rPr>
          <w:rFonts w:ascii="Times New Roman" w:hAnsi="Times New Roman" w:cs="Times New Roman"/>
          <w:color w:val="auto"/>
        </w:rPr>
        <w:t>O preço registrado com indicação dos licitantes e fornecedores será divulgado no PNCP e ficará disponibilizado durante a vigência da ata de registro de preços.</w:t>
      </w:r>
    </w:p>
    <w:p w14:paraId="176DD0D1" w14:textId="77777777" w:rsidR="00575174" w:rsidRDefault="009F4508">
      <w:pPr>
        <w:pStyle w:val="Nivel3"/>
        <w:numPr>
          <w:ilvl w:val="2"/>
          <w:numId w:val="4"/>
        </w:numPr>
        <w:spacing w:before="0" w:after="0" w:line="240" w:lineRule="auto"/>
        <w:rPr>
          <w:rFonts w:ascii="Times New Roman" w:hAnsi="Times New Roman" w:cs="Times New Roman"/>
          <w:color w:val="auto"/>
        </w:rPr>
      </w:pPr>
      <w:r>
        <w:rPr>
          <w:rFonts w:ascii="Times New Roman" w:hAnsi="Times New Roman" w:cs="Times New Roman"/>
          <w:color w:val="auto"/>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6AF09CD1" w14:textId="77777777" w:rsidR="00575174" w:rsidRDefault="009F4508">
      <w:pPr>
        <w:pStyle w:val="Nivel3"/>
        <w:numPr>
          <w:ilvl w:val="2"/>
          <w:numId w:val="4"/>
        </w:numPr>
        <w:spacing w:before="0" w:after="0" w:line="240" w:lineRule="auto"/>
        <w:rPr>
          <w:rFonts w:ascii="Times New Roman" w:hAnsi="Times New Roman" w:cs="Times New Roman"/>
          <w:color w:val="auto"/>
        </w:rPr>
      </w:pPr>
      <w:r>
        <w:rPr>
          <w:rFonts w:ascii="Times New Roman" w:hAnsi="Times New Roman" w:cs="Times New Roman"/>
          <w:color w:val="auto"/>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2BBCF54A" w14:textId="77777777" w:rsidR="00575174" w:rsidRDefault="009F4508">
      <w:pPr>
        <w:pStyle w:val="Nivel3"/>
        <w:numPr>
          <w:ilvl w:val="2"/>
          <w:numId w:val="4"/>
        </w:numPr>
        <w:spacing w:before="0" w:after="0" w:line="240" w:lineRule="auto"/>
        <w:rPr>
          <w:rFonts w:ascii="Times New Roman" w:hAnsi="Times New Roman" w:cs="Times New Roman"/>
          <w:color w:val="auto"/>
        </w:rPr>
      </w:pPr>
      <w:r>
        <w:rPr>
          <w:rFonts w:ascii="Times New Roman" w:hAnsi="Times New Roman" w:cs="Times New Roman"/>
          <w:color w:val="auto"/>
        </w:rPr>
        <w:t>A ata de registro de preços será assinada por meio de assinatura digital e disponibilizada no Sistema de Registro de Preços.</w:t>
      </w:r>
    </w:p>
    <w:p w14:paraId="0B1AD900" w14:textId="77777777" w:rsidR="00575174" w:rsidRDefault="009F4508">
      <w:pPr>
        <w:pStyle w:val="Nivel3"/>
        <w:numPr>
          <w:ilvl w:val="2"/>
          <w:numId w:val="4"/>
        </w:numPr>
        <w:spacing w:before="0" w:after="0" w:line="240" w:lineRule="auto"/>
        <w:rPr>
          <w:rFonts w:ascii="Times New Roman" w:hAnsi="Times New Roman" w:cs="Times New Roman"/>
          <w:color w:val="auto"/>
        </w:rPr>
      </w:pPr>
      <w:r>
        <w:rPr>
          <w:rFonts w:ascii="Times New Roman" w:hAnsi="Times New Roman" w:cs="Times New Roman"/>
          <w:color w:val="auto"/>
        </w:rPr>
        <w:t>Quando o convocado não assinar a ata de registro de preços no prazo e nas condições estabelecidos no edital ou no aviso de contratação, e observado o disposto no item 4.7, observando o item 4.7 e subitens, fica facultado à Administração convocar os licitantes remanescentes do cadastro de reserva, na ordem de classificação, para fazê-lo em igual prazo e nas condições propostas pelo primeiro classificado.</w:t>
      </w:r>
    </w:p>
    <w:p w14:paraId="2003828F" w14:textId="77777777" w:rsidR="00575174" w:rsidRDefault="009F4508">
      <w:pPr>
        <w:pStyle w:val="Nivel3"/>
        <w:numPr>
          <w:ilvl w:val="2"/>
          <w:numId w:val="4"/>
        </w:numPr>
        <w:spacing w:before="0" w:after="0" w:line="240" w:lineRule="auto"/>
        <w:rPr>
          <w:rFonts w:ascii="Times New Roman" w:hAnsi="Times New Roman" w:cs="Times New Roman"/>
          <w:color w:val="auto"/>
        </w:rPr>
      </w:pPr>
      <w:r>
        <w:rPr>
          <w:rFonts w:ascii="Times New Roman" w:hAnsi="Times New Roman" w:cs="Times New Roman"/>
          <w:color w:val="auto"/>
        </w:rPr>
        <w:t>Na hipótese de nenhum dos licitantes que trata o item 4.4.2.1, aceitar a contratação nos termos do item anterior, a Administração, observados o valor es</w:t>
      </w:r>
      <w:r>
        <w:rPr>
          <w:rFonts w:ascii="Times New Roman" w:eastAsia="Arial" w:hAnsi="Times New Roman" w:cs="Times New Roman"/>
          <w:color w:val="auto"/>
        </w:rPr>
        <w:t>ti</w:t>
      </w:r>
      <w:r>
        <w:rPr>
          <w:rFonts w:ascii="Times New Roman" w:hAnsi="Times New Roman" w:cs="Times New Roman"/>
          <w:color w:val="auto"/>
        </w:rPr>
        <w:t xml:space="preserve">mado e sua eventual atualização nos termos </w:t>
      </w:r>
      <w:r>
        <w:rPr>
          <w:rFonts w:ascii="Times New Roman" w:hAnsi="Times New Roman" w:cs="Times New Roman"/>
          <w:i/>
          <w:iCs/>
          <w:color w:val="auto"/>
        </w:rPr>
        <w:t>do edital</w:t>
      </w:r>
      <w:r>
        <w:rPr>
          <w:rFonts w:ascii="Times New Roman" w:hAnsi="Times New Roman" w:cs="Times New Roman"/>
          <w:color w:val="auto"/>
        </w:rPr>
        <w:t xml:space="preserve">, poderá: </w:t>
      </w:r>
    </w:p>
    <w:p w14:paraId="41B46C36" w14:textId="77777777" w:rsidR="00575174" w:rsidRDefault="009F4508">
      <w:pPr>
        <w:pStyle w:val="Nivel4"/>
        <w:numPr>
          <w:ilvl w:val="3"/>
          <w:numId w:val="4"/>
        </w:numPr>
        <w:spacing w:line="240" w:lineRule="auto"/>
        <w:rPr>
          <w:rFonts w:ascii="Times New Roman" w:hAnsi="Times New Roman" w:cs="Times New Roman"/>
        </w:rPr>
      </w:pPr>
      <w:r>
        <w:rPr>
          <w:rFonts w:ascii="Times New Roman" w:hAnsi="Times New Roman" w:cs="Times New Roman"/>
        </w:rPr>
        <w:t>Convocar para negociação os demais licitantes ou fornecedores remanescentes cujos preços foram registrados sem redução, observada a ordem de classificação, com vistas à obtenção de preço melhor, mesmo que acima do preço do adjudicatário; ou</w:t>
      </w:r>
    </w:p>
    <w:p w14:paraId="41A8194D" w14:textId="77777777" w:rsidR="00575174" w:rsidRDefault="009F4508">
      <w:pPr>
        <w:pStyle w:val="Nivel4"/>
        <w:numPr>
          <w:ilvl w:val="3"/>
          <w:numId w:val="4"/>
        </w:numPr>
        <w:spacing w:before="0" w:after="0" w:line="240" w:lineRule="auto"/>
        <w:rPr>
          <w:rFonts w:ascii="Times New Roman" w:hAnsi="Times New Roman" w:cs="Times New Roman"/>
        </w:rPr>
      </w:pPr>
      <w:r>
        <w:rPr>
          <w:rFonts w:ascii="Times New Roman" w:hAnsi="Times New Roman" w:cs="Times New Roman"/>
        </w:rPr>
        <w:t>Adjudicar e firmar o contrato nas condições ofertadas pelos licitantes ou fornecedores remanescentes, atendida a ordem classificatória, quando frustrada a negociação de melhor condição.</w:t>
      </w:r>
    </w:p>
    <w:p w14:paraId="68DF75F6" w14:textId="77777777" w:rsidR="00575174" w:rsidRDefault="009F4508">
      <w:pPr>
        <w:pStyle w:val="Nivel4"/>
        <w:numPr>
          <w:ilvl w:val="3"/>
          <w:numId w:val="4"/>
        </w:numPr>
        <w:spacing w:before="6" w:after="6" w:line="240" w:lineRule="auto"/>
        <w:rPr>
          <w:rFonts w:ascii="Times New Roman" w:hAnsi="Times New Roman" w:cs="Times New Roman"/>
        </w:rPr>
      </w:pPr>
      <w:r>
        <w:rPr>
          <w:rFonts w:ascii="Times New Roman" w:hAnsi="Times New Roman" w:cs="Times New Roman"/>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5FBD5A26" w14:textId="77777777" w:rsidR="00575174" w:rsidRDefault="009F4508">
      <w:pPr>
        <w:pStyle w:val="Nivel01"/>
        <w:numPr>
          <w:ilvl w:val="0"/>
          <w:numId w:val="4"/>
        </w:numPr>
        <w:tabs>
          <w:tab w:val="left" w:pos="1096"/>
        </w:tabs>
        <w:spacing w:before="57" w:after="57" w:line="240" w:lineRule="auto"/>
        <w:ind w:hanging="7731"/>
        <w:contextualSpacing/>
        <w:rPr>
          <w:rFonts w:ascii="Times New Roman" w:hAnsi="Times New Roman" w:cs="Times New Roman"/>
          <w:color w:val="auto"/>
        </w:rPr>
      </w:pPr>
      <w:r>
        <w:rPr>
          <w:rFonts w:ascii="Times New Roman" w:hAnsi="Times New Roman" w:cs="Times New Roman"/>
          <w:color w:val="auto"/>
        </w:rPr>
        <w:t>ALTERAÇÃO OU ATUALIZAÇÃO DOS PREÇOS REGISTRADOS</w:t>
      </w:r>
    </w:p>
    <w:p w14:paraId="7E384056" w14:textId="77777777" w:rsidR="00575174" w:rsidRDefault="009F4508">
      <w:pPr>
        <w:pStyle w:val="Nivel2"/>
        <w:numPr>
          <w:ilvl w:val="1"/>
          <w:numId w:val="4"/>
        </w:numPr>
        <w:spacing w:before="0" w:line="240" w:lineRule="auto"/>
        <w:contextualSpacing/>
        <w:rPr>
          <w:rFonts w:ascii="Times New Roman" w:hAnsi="Times New Roman" w:cs="Times New Roman"/>
          <w:color w:val="auto"/>
        </w:rPr>
      </w:pPr>
      <w:r>
        <w:rPr>
          <w:rFonts w:ascii="Times New Roman" w:hAnsi="Times New Roman" w:cs="Times New Roman"/>
          <w:color w:val="auto"/>
        </w:rPr>
        <w:t>Os preços registrados poderão ser alterados ou atualizados em decorrência de eventual redução dos preços pra</w:t>
      </w:r>
      <w:r>
        <w:rPr>
          <w:rFonts w:ascii="Times New Roman" w:eastAsia="Calibri" w:hAnsi="Times New Roman" w:cs="Times New Roman"/>
          <w:color w:val="auto"/>
        </w:rPr>
        <w:t>ti</w:t>
      </w:r>
      <w:r>
        <w:rPr>
          <w:rFonts w:ascii="Times New Roman" w:hAnsi="Times New Roman" w:cs="Times New Roman"/>
          <w:color w:val="auto"/>
        </w:rPr>
        <w:t>cados no mercado ou de fato que eleve o custo dos bens, das obras ou dos serviços registrados, nas seguintes situações:</w:t>
      </w:r>
    </w:p>
    <w:p w14:paraId="4F092FF5" w14:textId="77777777" w:rsidR="00575174" w:rsidRDefault="009F4508">
      <w:pPr>
        <w:pStyle w:val="Nivel3"/>
        <w:numPr>
          <w:ilvl w:val="2"/>
          <w:numId w:val="4"/>
        </w:numPr>
        <w:spacing w:line="240" w:lineRule="auto"/>
        <w:contextualSpacing/>
        <w:rPr>
          <w:rFonts w:ascii="Times New Roman" w:hAnsi="Times New Roman" w:cs="Times New Roman"/>
          <w:color w:val="auto"/>
        </w:rPr>
      </w:pPr>
      <w:r>
        <w:rPr>
          <w:rFonts w:ascii="Times New Roman" w:hAnsi="Times New Roman" w:cs="Times New Roman"/>
          <w:color w:val="auto"/>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2E81A8A4" w14:textId="77777777" w:rsidR="00575174" w:rsidRDefault="009F4508">
      <w:pPr>
        <w:pStyle w:val="Nivel3"/>
        <w:numPr>
          <w:ilvl w:val="2"/>
          <w:numId w:val="4"/>
        </w:numPr>
        <w:spacing w:before="0" w:after="0" w:line="240" w:lineRule="auto"/>
        <w:rPr>
          <w:rFonts w:ascii="Times New Roman" w:hAnsi="Times New Roman" w:cs="Times New Roman"/>
          <w:color w:val="auto"/>
        </w:rPr>
      </w:pPr>
      <w:r>
        <w:rPr>
          <w:rFonts w:ascii="Times New Roman" w:hAnsi="Times New Roman" w:cs="Times New Roman"/>
          <w:color w:val="auto"/>
        </w:rPr>
        <w:t>Em caso de criação, alteração ou ex</w:t>
      </w:r>
      <w:r>
        <w:rPr>
          <w:rFonts w:ascii="Times New Roman" w:eastAsia="Calibri" w:hAnsi="Times New Roman" w:cs="Times New Roman"/>
          <w:color w:val="auto"/>
        </w:rPr>
        <w:t>ti</w:t>
      </w:r>
      <w:r>
        <w:rPr>
          <w:rFonts w:ascii="Times New Roman" w:hAnsi="Times New Roman" w:cs="Times New Roman"/>
          <w:color w:val="auto"/>
        </w:rPr>
        <w:t xml:space="preserve">nção de quaisquer tributos ou encargos legais ou a superveniência de disposições legais, com comprovada repercussão sobre os preços registrados; </w:t>
      </w:r>
    </w:p>
    <w:p w14:paraId="3F2F5EDD" w14:textId="77777777" w:rsidR="00575174" w:rsidRDefault="009F4508">
      <w:pPr>
        <w:pStyle w:val="Nivel3"/>
        <w:numPr>
          <w:ilvl w:val="2"/>
          <w:numId w:val="4"/>
        </w:numPr>
        <w:spacing w:before="0" w:after="0" w:line="240" w:lineRule="auto"/>
        <w:rPr>
          <w:rFonts w:ascii="Times New Roman" w:hAnsi="Times New Roman" w:cs="Times New Roman"/>
          <w:color w:val="auto"/>
        </w:rPr>
      </w:pPr>
      <w:r>
        <w:rPr>
          <w:rFonts w:ascii="Times New Roman" w:hAnsi="Times New Roman" w:cs="Times New Roman"/>
          <w:color w:val="auto"/>
        </w:rPr>
        <w:t>Na hipótese de previsão no edital ou no aviso de contratação direta de cláusula de reajustamento ou repactuação sobre os preços registrados, nos termos da Lei nº 14.133, de 2021.</w:t>
      </w:r>
    </w:p>
    <w:p w14:paraId="17572279" w14:textId="77777777" w:rsidR="00575174" w:rsidRDefault="009F4508">
      <w:pPr>
        <w:pStyle w:val="Nivel4"/>
        <w:numPr>
          <w:ilvl w:val="3"/>
          <w:numId w:val="4"/>
        </w:numPr>
        <w:spacing w:before="0" w:after="0" w:line="240" w:lineRule="auto"/>
        <w:rPr>
          <w:rFonts w:ascii="Times New Roman" w:hAnsi="Times New Roman" w:cs="Times New Roman"/>
        </w:rPr>
      </w:pPr>
      <w:r>
        <w:rPr>
          <w:rFonts w:ascii="Times New Roman" w:hAnsi="Times New Roman" w:cs="Times New Roman"/>
        </w:rPr>
        <w:t xml:space="preserve">No caso do reajustamento, deverá ser respeitada a contagem da anualidade e o índice previstos para a contratação; </w:t>
      </w:r>
    </w:p>
    <w:p w14:paraId="04D23BCD" w14:textId="77777777" w:rsidR="00575174" w:rsidRDefault="009F4508">
      <w:pPr>
        <w:pStyle w:val="Nivel4"/>
        <w:numPr>
          <w:ilvl w:val="3"/>
          <w:numId w:val="4"/>
        </w:numPr>
        <w:spacing w:before="0" w:after="0" w:line="240" w:lineRule="auto"/>
        <w:rPr>
          <w:rFonts w:ascii="Times New Roman" w:hAnsi="Times New Roman" w:cs="Times New Roman"/>
        </w:rPr>
      </w:pPr>
      <w:r>
        <w:rPr>
          <w:rFonts w:ascii="Times New Roman" w:hAnsi="Times New Roman" w:cs="Times New Roman"/>
        </w:rPr>
        <w:t>No caso da repactuação, poderá ser a pedido do interessado, conforme critérios definidos para a contratação.</w:t>
      </w:r>
    </w:p>
    <w:p w14:paraId="104CD1A9" w14:textId="77777777" w:rsidR="00575174" w:rsidRDefault="009F4508">
      <w:pPr>
        <w:pStyle w:val="Nivel01"/>
        <w:numPr>
          <w:ilvl w:val="0"/>
          <w:numId w:val="4"/>
        </w:numPr>
        <w:spacing w:before="57" w:after="57" w:line="240" w:lineRule="auto"/>
        <w:ind w:hanging="7731"/>
        <w:rPr>
          <w:rFonts w:ascii="Times New Roman" w:hAnsi="Times New Roman" w:cs="Times New Roman"/>
          <w:color w:val="auto"/>
        </w:rPr>
      </w:pPr>
      <w:r>
        <w:rPr>
          <w:rFonts w:ascii="Times New Roman" w:hAnsi="Times New Roman" w:cs="Times New Roman"/>
          <w:color w:val="auto"/>
        </w:rPr>
        <w:t>REMANEJAMENTO DAS QUANTIDADES REGISTRADAS NA ATA DE REGISTRO DE PREÇOS</w:t>
      </w:r>
    </w:p>
    <w:p w14:paraId="6E13FDFC" w14:textId="77777777" w:rsidR="00575174" w:rsidRDefault="009F4508">
      <w:pPr>
        <w:pStyle w:val="Nivel2"/>
        <w:numPr>
          <w:ilvl w:val="1"/>
          <w:numId w:val="4"/>
        </w:numPr>
        <w:spacing w:before="0" w:after="0" w:line="240" w:lineRule="auto"/>
        <w:rPr>
          <w:rFonts w:ascii="Times New Roman" w:hAnsi="Times New Roman" w:cs="Times New Roman"/>
          <w:color w:val="auto"/>
        </w:rPr>
      </w:pPr>
      <w:r>
        <w:rPr>
          <w:rFonts w:ascii="Times New Roman" w:hAnsi="Times New Roman" w:cs="Times New Roman"/>
          <w:color w:val="auto"/>
        </w:rPr>
        <w:t>As quan</w:t>
      </w:r>
      <w:r>
        <w:rPr>
          <w:rFonts w:ascii="Times New Roman" w:eastAsia="Arial" w:hAnsi="Times New Roman" w:cs="Times New Roman"/>
          <w:color w:val="auto"/>
        </w:rPr>
        <w:t>ti</w:t>
      </w:r>
      <w:r>
        <w:rPr>
          <w:rFonts w:ascii="Times New Roman" w:hAnsi="Times New Roman" w:cs="Times New Roman"/>
          <w:color w:val="auto"/>
        </w:rPr>
        <w:t>dades previstas para os itens com preços registrados nas atas de registro de preços poderão ser remanejadas pelo órgão ou en</w:t>
      </w:r>
      <w:r>
        <w:rPr>
          <w:rFonts w:ascii="Times New Roman" w:eastAsia="Arial" w:hAnsi="Times New Roman" w:cs="Times New Roman"/>
          <w:color w:val="auto"/>
        </w:rPr>
        <w:t>ti</w:t>
      </w:r>
      <w:r>
        <w:rPr>
          <w:rFonts w:ascii="Times New Roman" w:hAnsi="Times New Roman" w:cs="Times New Roman"/>
          <w:color w:val="auto"/>
        </w:rPr>
        <w:t>dade gerenciadora entre os órgãos ou as en</w:t>
      </w:r>
      <w:r>
        <w:rPr>
          <w:rFonts w:ascii="Times New Roman" w:eastAsia="Arial" w:hAnsi="Times New Roman" w:cs="Times New Roman"/>
          <w:color w:val="auto"/>
        </w:rPr>
        <w:t>ti</w:t>
      </w:r>
      <w:r>
        <w:rPr>
          <w:rFonts w:ascii="Times New Roman" w:hAnsi="Times New Roman" w:cs="Times New Roman"/>
          <w:color w:val="auto"/>
        </w:rPr>
        <w:t>dades par</w:t>
      </w:r>
      <w:r>
        <w:rPr>
          <w:rFonts w:ascii="Times New Roman" w:eastAsia="Arial" w:hAnsi="Times New Roman" w:cs="Times New Roman"/>
          <w:color w:val="auto"/>
        </w:rPr>
        <w:t>ti</w:t>
      </w:r>
      <w:r>
        <w:rPr>
          <w:rFonts w:ascii="Times New Roman" w:hAnsi="Times New Roman" w:cs="Times New Roman"/>
          <w:color w:val="auto"/>
        </w:rPr>
        <w:t>cipantes e não par</w:t>
      </w:r>
      <w:r>
        <w:rPr>
          <w:rFonts w:ascii="Times New Roman" w:eastAsia="Arial" w:hAnsi="Times New Roman" w:cs="Times New Roman"/>
          <w:color w:val="auto"/>
        </w:rPr>
        <w:t>ti</w:t>
      </w:r>
      <w:r>
        <w:rPr>
          <w:rFonts w:ascii="Times New Roman" w:hAnsi="Times New Roman" w:cs="Times New Roman"/>
          <w:color w:val="auto"/>
        </w:rPr>
        <w:t>cipantes do registro de preços.</w:t>
      </w:r>
    </w:p>
    <w:p w14:paraId="1003923A" w14:textId="77777777" w:rsidR="00575174" w:rsidRDefault="009F4508">
      <w:pPr>
        <w:pStyle w:val="Nivel2"/>
        <w:numPr>
          <w:ilvl w:val="0"/>
          <w:numId w:val="0"/>
        </w:numPr>
        <w:spacing w:before="0" w:after="0" w:line="240" w:lineRule="auto"/>
        <w:rPr>
          <w:rFonts w:ascii="Times New Roman" w:hAnsi="Times New Roman" w:cs="Times New Roman"/>
          <w:color w:val="auto"/>
        </w:rPr>
      </w:pPr>
      <w:r>
        <w:rPr>
          <w:rFonts w:ascii="Times New Roman" w:hAnsi="Times New Roman" w:cs="Times New Roman"/>
          <w:color w:val="auto"/>
        </w:rPr>
        <w:t xml:space="preserve"> O remanejamento somente poderá ser feito:</w:t>
      </w:r>
    </w:p>
    <w:p w14:paraId="740D8146" w14:textId="77777777" w:rsidR="00575174" w:rsidRDefault="009F4508">
      <w:pPr>
        <w:pStyle w:val="Nivel3"/>
        <w:numPr>
          <w:ilvl w:val="2"/>
          <w:numId w:val="4"/>
        </w:numPr>
        <w:spacing w:before="0" w:after="0" w:line="240" w:lineRule="auto"/>
        <w:rPr>
          <w:rFonts w:ascii="Times New Roman" w:hAnsi="Times New Roman" w:cs="Times New Roman"/>
          <w:color w:val="auto"/>
        </w:rPr>
      </w:pPr>
      <w:r>
        <w:rPr>
          <w:rFonts w:ascii="Times New Roman" w:hAnsi="Times New Roman" w:cs="Times New Roman"/>
          <w:color w:val="auto"/>
        </w:rPr>
        <w:t>De órgão ou en</w:t>
      </w:r>
      <w:r>
        <w:rPr>
          <w:rFonts w:ascii="Times New Roman" w:eastAsia="Arial" w:hAnsi="Times New Roman" w:cs="Times New Roman"/>
          <w:color w:val="auto"/>
        </w:rPr>
        <w:t>ti</w:t>
      </w:r>
      <w:r>
        <w:rPr>
          <w:rFonts w:ascii="Times New Roman" w:hAnsi="Times New Roman" w:cs="Times New Roman"/>
          <w:color w:val="auto"/>
        </w:rPr>
        <w:t>dade par</w:t>
      </w:r>
      <w:r>
        <w:rPr>
          <w:rFonts w:ascii="Times New Roman" w:eastAsia="Arial" w:hAnsi="Times New Roman" w:cs="Times New Roman"/>
          <w:color w:val="auto"/>
        </w:rPr>
        <w:t>ti</w:t>
      </w:r>
      <w:r>
        <w:rPr>
          <w:rFonts w:ascii="Times New Roman" w:hAnsi="Times New Roman" w:cs="Times New Roman"/>
          <w:color w:val="auto"/>
        </w:rPr>
        <w:t>cipante para órgão ou en</w:t>
      </w:r>
      <w:r>
        <w:rPr>
          <w:rFonts w:ascii="Times New Roman" w:eastAsia="Arial" w:hAnsi="Times New Roman" w:cs="Times New Roman"/>
          <w:color w:val="auto"/>
        </w:rPr>
        <w:t>ti</w:t>
      </w:r>
      <w:r>
        <w:rPr>
          <w:rFonts w:ascii="Times New Roman" w:hAnsi="Times New Roman" w:cs="Times New Roman"/>
          <w:color w:val="auto"/>
        </w:rPr>
        <w:t>dade par</w:t>
      </w:r>
      <w:r>
        <w:rPr>
          <w:rFonts w:ascii="Times New Roman" w:eastAsia="Arial" w:hAnsi="Times New Roman" w:cs="Times New Roman"/>
          <w:color w:val="auto"/>
        </w:rPr>
        <w:t>ti</w:t>
      </w:r>
      <w:r>
        <w:rPr>
          <w:rFonts w:ascii="Times New Roman" w:hAnsi="Times New Roman" w:cs="Times New Roman"/>
          <w:color w:val="auto"/>
        </w:rPr>
        <w:t>cipante; ou</w:t>
      </w:r>
    </w:p>
    <w:p w14:paraId="45256233" w14:textId="77777777" w:rsidR="00575174" w:rsidRDefault="009F4508">
      <w:pPr>
        <w:pStyle w:val="Nivel3"/>
        <w:numPr>
          <w:ilvl w:val="2"/>
          <w:numId w:val="4"/>
        </w:numPr>
        <w:spacing w:before="0" w:after="0" w:line="240" w:lineRule="auto"/>
        <w:rPr>
          <w:rFonts w:ascii="Times New Roman" w:hAnsi="Times New Roman" w:cs="Times New Roman"/>
          <w:color w:val="auto"/>
        </w:rPr>
      </w:pPr>
      <w:r>
        <w:rPr>
          <w:rFonts w:ascii="Times New Roman" w:hAnsi="Times New Roman" w:cs="Times New Roman"/>
          <w:color w:val="auto"/>
        </w:rPr>
        <w:t>De órgão ou en</w:t>
      </w:r>
      <w:r>
        <w:rPr>
          <w:rFonts w:ascii="Times New Roman" w:eastAsia="Arial" w:hAnsi="Times New Roman" w:cs="Times New Roman"/>
          <w:color w:val="auto"/>
        </w:rPr>
        <w:t>ti</w:t>
      </w:r>
      <w:r>
        <w:rPr>
          <w:rFonts w:ascii="Times New Roman" w:hAnsi="Times New Roman" w:cs="Times New Roman"/>
          <w:color w:val="auto"/>
        </w:rPr>
        <w:t>dade par</w:t>
      </w:r>
      <w:r>
        <w:rPr>
          <w:rFonts w:ascii="Times New Roman" w:eastAsia="Arial" w:hAnsi="Times New Roman" w:cs="Times New Roman"/>
          <w:color w:val="auto"/>
        </w:rPr>
        <w:t>ti</w:t>
      </w:r>
      <w:r>
        <w:rPr>
          <w:rFonts w:ascii="Times New Roman" w:hAnsi="Times New Roman" w:cs="Times New Roman"/>
          <w:color w:val="auto"/>
        </w:rPr>
        <w:t>cipante para órgão ou entidade não participante.</w:t>
      </w:r>
    </w:p>
    <w:p w14:paraId="46351D76" w14:textId="77777777" w:rsidR="00575174" w:rsidRDefault="009F4508">
      <w:pPr>
        <w:pStyle w:val="Nivel2"/>
        <w:numPr>
          <w:ilvl w:val="1"/>
          <w:numId w:val="4"/>
        </w:numPr>
        <w:spacing w:before="0" w:after="0" w:line="240" w:lineRule="auto"/>
        <w:rPr>
          <w:rFonts w:ascii="Times New Roman" w:hAnsi="Times New Roman" w:cs="Times New Roman"/>
          <w:color w:val="auto"/>
        </w:rPr>
      </w:pPr>
      <w:r>
        <w:rPr>
          <w:rFonts w:ascii="Times New Roman" w:hAnsi="Times New Roman" w:cs="Times New Roman"/>
          <w:color w:val="auto"/>
        </w:rPr>
        <w:t>O órgão ou en</w:t>
      </w:r>
      <w:r>
        <w:rPr>
          <w:rFonts w:ascii="Times New Roman" w:eastAsia="Arial" w:hAnsi="Times New Roman" w:cs="Times New Roman"/>
          <w:color w:val="auto"/>
        </w:rPr>
        <w:t>ti</w:t>
      </w:r>
      <w:r>
        <w:rPr>
          <w:rFonts w:ascii="Times New Roman" w:hAnsi="Times New Roman" w:cs="Times New Roman"/>
          <w:color w:val="auto"/>
        </w:rPr>
        <w:t>dade gerenciadora que tiver es</w:t>
      </w:r>
      <w:r>
        <w:rPr>
          <w:rFonts w:ascii="Times New Roman" w:eastAsia="Arial" w:hAnsi="Times New Roman" w:cs="Times New Roman"/>
          <w:color w:val="auto"/>
        </w:rPr>
        <w:t>ti</w:t>
      </w:r>
      <w:r>
        <w:rPr>
          <w:rFonts w:ascii="Times New Roman" w:hAnsi="Times New Roman" w:cs="Times New Roman"/>
          <w:color w:val="auto"/>
        </w:rPr>
        <w:t>mado as quan</w:t>
      </w:r>
      <w:r>
        <w:rPr>
          <w:rFonts w:ascii="Times New Roman" w:eastAsia="Arial" w:hAnsi="Times New Roman" w:cs="Times New Roman"/>
          <w:color w:val="auto"/>
        </w:rPr>
        <w:t>ti</w:t>
      </w:r>
      <w:r>
        <w:rPr>
          <w:rFonts w:ascii="Times New Roman" w:hAnsi="Times New Roman" w:cs="Times New Roman"/>
          <w:color w:val="auto"/>
        </w:rPr>
        <w:t>dades que pretende contratar será considerado participante para efeito do remanejamento.</w:t>
      </w:r>
    </w:p>
    <w:p w14:paraId="7EB81706" w14:textId="77777777" w:rsidR="00575174" w:rsidRDefault="009F4508">
      <w:pPr>
        <w:pStyle w:val="Nivel2"/>
        <w:numPr>
          <w:ilvl w:val="1"/>
          <w:numId w:val="4"/>
        </w:numPr>
        <w:spacing w:before="0" w:after="0" w:line="240" w:lineRule="auto"/>
        <w:rPr>
          <w:rFonts w:ascii="Times New Roman" w:hAnsi="Times New Roman" w:cs="Times New Roman"/>
          <w:color w:val="auto"/>
        </w:rPr>
      </w:pPr>
      <w:r>
        <w:rPr>
          <w:rFonts w:ascii="Times New Roman" w:hAnsi="Times New Roman" w:cs="Times New Roman"/>
          <w:color w:val="auto"/>
        </w:rPr>
        <w:t>Na hipótese de remanejamento de órgão ou entidade par</w:t>
      </w:r>
      <w:r>
        <w:rPr>
          <w:rFonts w:ascii="Times New Roman" w:eastAsia="Arial" w:hAnsi="Times New Roman" w:cs="Times New Roman"/>
          <w:color w:val="auto"/>
        </w:rPr>
        <w:t>ti</w:t>
      </w:r>
      <w:r>
        <w:rPr>
          <w:rFonts w:ascii="Times New Roman" w:hAnsi="Times New Roman" w:cs="Times New Roman"/>
          <w:color w:val="auto"/>
        </w:rPr>
        <w:t>cipante para órgão ou entidade não participante, serão observados os limites previstos no Decreto nº 4.773, de 2024.</w:t>
      </w:r>
    </w:p>
    <w:p w14:paraId="7758353E" w14:textId="77777777" w:rsidR="00575174" w:rsidRDefault="009F4508">
      <w:pPr>
        <w:pStyle w:val="Nivel2"/>
        <w:numPr>
          <w:ilvl w:val="1"/>
          <w:numId w:val="4"/>
        </w:numPr>
        <w:spacing w:before="0" w:after="0" w:line="240" w:lineRule="auto"/>
        <w:rPr>
          <w:rFonts w:ascii="Times New Roman" w:hAnsi="Times New Roman" w:cs="Times New Roman"/>
          <w:color w:val="auto"/>
        </w:rPr>
      </w:pPr>
      <w:r>
        <w:rPr>
          <w:rFonts w:ascii="Times New Roman" w:hAnsi="Times New Roman" w:cs="Times New Roman"/>
          <w:color w:val="auto"/>
        </w:rPr>
        <w:t>Competirá ao órgão ou à en</w:t>
      </w:r>
      <w:r>
        <w:rPr>
          <w:rFonts w:ascii="Times New Roman" w:eastAsia="Arial" w:hAnsi="Times New Roman" w:cs="Times New Roman"/>
          <w:color w:val="auto"/>
        </w:rPr>
        <w:t>ti</w:t>
      </w:r>
      <w:r>
        <w:rPr>
          <w:rFonts w:ascii="Times New Roman" w:hAnsi="Times New Roman" w:cs="Times New Roman"/>
          <w:color w:val="auto"/>
        </w:rPr>
        <w:t>dade gerenciadora autorizar o remanejamento solicitado, com a redução do quan</w:t>
      </w:r>
      <w:r>
        <w:rPr>
          <w:rFonts w:ascii="Times New Roman" w:eastAsia="Arial" w:hAnsi="Times New Roman" w:cs="Times New Roman"/>
          <w:color w:val="auto"/>
        </w:rPr>
        <w:t>ti</w:t>
      </w:r>
      <w:r>
        <w:rPr>
          <w:rFonts w:ascii="Times New Roman" w:hAnsi="Times New Roman" w:cs="Times New Roman"/>
          <w:color w:val="auto"/>
        </w:rPr>
        <w:t>ta</w:t>
      </w:r>
      <w:r>
        <w:rPr>
          <w:rFonts w:ascii="Times New Roman" w:eastAsia="Arial" w:hAnsi="Times New Roman" w:cs="Times New Roman"/>
          <w:color w:val="auto"/>
        </w:rPr>
        <w:t>ti</w:t>
      </w:r>
      <w:r>
        <w:rPr>
          <w:rFonts w:ascii="Times New Roman" w:hAnsi="Times New Roman" w:cs="Times New Roman"/>
          <w:color w:val="auto"/>
        </w:rPr>
        <w:t>vo inicialmente informado pelo órgão ou pela en</w:t>
      </w:r>
      <w:r>
        <w:rPr>
          <w:rFonts w:ascii="Times New Roman" w:eastAsia="Arial" w:hAnsi="Times New Roman" w:cs="Times New Roman"/>
          <w:color w:val="auto"/>
        </w:rPr>
        <w:t>ti</w:t>
      </w:r>
      <w:r>
        <w:rPr>
          <w:rFonts w:ascii="Times New Roman" w:hAnsi="Times New Roman" w:cs="Times New Roman"/>
          <w:color w:val="auto"/>
        </w:rPr>
        <w:t>dade par</w:t>
      </w:r>
      <w:r>
        <w:rPr>
          <w:rFonts w:ascii="Times New Roman" w:eastAsia="Arial" w:hAnsi="Times New Roman" w:cs="Times New Roman"/>
          <w:color w:val="auto"/>
        </w:rPr>
        <w:t>ti</w:t>
      </w:r>
      <w:r>
        <w:rPr>
          <w:rFonts w:ascii="Times New Roman" w:hAnsi="Times New Roman" w:cs="Times New Roman"/>
          <w:color w:val="auto"/>
        </w:rPr>
        <w:t>cipante, desde que haja prévia anuência do órgão ou da en</w:t>
      </w:r>
      <w:r>
        <w:rPr>
          <w:rFonts w:ascii="Times New Roman" w:eastAsia="Arial" w:hAnsi="Times New Roman" w:cs="Times New Roman"/>
          <w:color w:val="auto"/>
        </w:rPr>
        <w:t>ti</w:t>
      </w:r>
      <w:r>
        <w:rPr>
          <w:rFonts w:ascii="Times New Roman" w:hAnsi="Times New Roman" w:cs="Times New Roman"/>
          <w:color w:val="auto"/>
        </w:rPr>
        <w:t>dade que sofrer redução dos quantitativos informados.</w:t>
      </w:r>
    </w:p>
    <w:p w14:paraId="0DFF734D" w14:textId="77777777" w:rsidR="00575174" w:rsidRDefault="009F4508">
      <w:pPr>
        <w:pStyle w:val="Nivel2"/>
        <w:numPr>
          <w:ilvl w:val="1"/>
          <w:numId w:val="4"/>
        </w:numPr>
        <w:spacing w:before="0" w:after="0" w:line="240" w:lineRule="auto"/>
        <w:rPr>
          <w:rFonts w:ascii="Times New Roman" w:hAnsi="Times New Roman" w:cs="Times New Roman"/>
          <w:color w:val="auto"/>
        </w:rPr>
      </w:pPr>
      <w:r>
        <w:rPr>
          <w:rFonts w:ascii="Times New Roman" w:hAnsi="Times New Roman" w:cs="Times New Roman"/>
          <w:color w:val="auto"/>
        </w:rPr>
        <w:t>Na hipótese da compra centralizada, não havendo indicação pelo órgão ou pela en</w:t>
      </w:r>
      <w:r>
        <w:rPr>
          <w:rFonts w:ascii="Times New Roman" w:eastAsia="Arial" w:hAnsi="Times New Roman" w:cs="Times New Roman"/>
          <w:color w:val="auto"/>
        </w:rPr>
        <w:t>ti</w:t>
      </w:r>
      <w:r>
        <w:rPr>
          <w:rFonts w:ascii="Times New Roman" w:hAnsi="Times New Roman" w:cs="Times New Roman"/>
          <w:color w:val="auto"/>
        </w:rPr>
        <w:t>dade gerenciadora, dos quan</w:t>
      </w:r>
      <w:r>
        <w:rPr>
          <w:rFonts w:ascii="Times New Roman" w:eastAsia="Arial" w:hAnsi="Times New Roman" w:cs="Times New Roman"/>
          <w:color w:val="auto"/>
        </w:rPr>
        <w:t>ti</w:t>
      </w:r>
      <w:r>
        <w:rPr>
          <w:rFonts w:ascii="Times New Roman" w:hAnsi="Times New Roman" w:cs="Times New Roman"/>
          <w:color w:val="auto"/>
        </w:rPr>
        <w:t>ta</w:t>
      </w:r>
      <w:r>
        <w:rPr>
          <w:rFonts w:ascii="Times New Roman" w:eastAsia="Arial" w:hAnsi="Times New Roman" w:cs="Times New Roman"/>
          <w:color w:val="auto"/>
        </w:rPr>
        <w:t>ti</w:t>
      </w:r>
      <w:r>
        <w:rPr>
          <w:rFonts w:ascii="Times New Roman" w:hAnsi="Times New Roman" w:cs="Times New Roman"/>
          <w:color w:val="auto"/>
        </w:rPr>
        <w:t>vos dos par</w:t>
      </w:r>
      <w:r>
        <w:rPr>
          <w:rFonts w:ascii="Times New Roman" w:eastAsia="Arial" w:hAnsi="Times New Roman" w:cs="Times New Roman"/>
          <w:color w:val="auto"/>
        </w:rPr>
        <w:t>ti</w:t>
      </w:r>
      <w:r>
        <w:rPr>
          <w:rFonts w:ascii="Times New Roman" w:hAnsi="Times New Roman" w:cs="Times New Roman"/>
          <w:color w:val="auto"/>
        </w:rPr>
        <w:t>cipantes da compra centralizada, nos termos do item 7.3, a distribuição das quantidades para a execução descentralizada será por meio do remanejamento.</w:t>
      </w:r>
    </w:p>
    <w:p w14:paraId="1BF71A7B" w14:textId="77777777" w:rsidR="00575174" w:rsidRDefault="009F4508">
      <w:pPr>
        <w:pStyle w:val="Nivel01"/>
        <w:numPr>
          <w:ilvl w:val="0"/>
          <w:numId w:val="4"/>
        </w:numPr>
        <w:spacing w:before="57" w:after="57" w:line="240" w:lineRule="auto"/>
        <w:ind w:hanging="7731"/>
        <w:rPr>
          <w:rFonts w:ascii="Times New Roman" w:hAnsi="Times New Roman" w:cs="Times New Roman"/>
          <w:color w:val="auto"/>
        </w:rPr>
      </w:pPr>
      <w:r>
        <w:rPr>
          <w:rFonts w:ascii="Times New Roman" w:hAnsi="Times New Roman" w:cs="Times New Roman"/>
          <w:color w:val="auto"/>
        </w:rPr>
        <w:t>CANCELAMENTO DO REGISTRO DO LICITANTE VENCEDOR E DOS PREÇOS REGISTRADOS</w:t>
      </w:r>
      <w:bookmarkStart w:id="41" w:name="undefined"/>
    </w:p>
    <w:p w14:paraId="71BF9B6D" w14:textId="77777777" w:rsidR="00575174" w:rsidRDefault="009F4508">
      <w:pPr>
        <w:pStyle w:val="Nivel2"/>
        <w:numPr>
          <w:ilvl w:val="1"/>
          <w:numId w:val="4"/>
        </w:numPr>
        <w:spacing w:before="0" w:after="0" w:line="240" w:lineRule="auto"/>
        <w:rPr>
          <w:rFonts w:ascii="Times New Roman" w:hAnsi="Times New Roman" w:cs="Times New Roman"/>
          <w:color w:val="auto"/>
        </w:rPr>
      </w:pPr>
      <w:r>
        <w:rPr>
          <w:rFonts w:ascii="Times New Roman" w:hAnsi="Times New Roman" w:cs="Times New Roman"/>
          <w:color w:val="auto"/>
        </w:rPr>
        <w:t>O registro do fornecedor será cancelado pelo gerenciador, quando o fornecedor</w:t>
      </w:r>
    </w:p>
    <w:p w14:paraId="5EBA8E05" w14:textId="77777777" w:rsidR="00575174" w:rsidRDefault="009F4508">
      <w:pPr>
        <w:pStyle w:val="Nivel3"/>
        <w:numPr>
          <w:ilvl w:val="2"/>
          <w:numId w:val="4"/>
        </w:numPr>
        <w:spacing w:before="0" w:after="0" w:line="240" w:lineRule="auto"/>
        <w:rPr>
          <w:rFonts w:ascii="Times New Roman" w:hAnsi="Times New Roman" w:cs="Times New Roman"/>
          <w:color w:val="auto"/>
        </w:rPr>
      </w:pPr>
      <w:r>
        <w:rPr>
          <w:rFonts w:ascii="Times New Roman" w:hAnsi="Times New Roman" w:cs="Times New Roman"/>
          <w:color w:val="auto"/>
        </w:rPr>
        <w:t>Descumprir as condições da ata de registro de preços, sem motivo justificado;</w:t>
      </w:r>
    </w:p>
    <w:p w14:paraId="35E74589" w14:textId="77777777" w:rsidR="00575174" w:rsidRDefault="009F4508">
      <w:pPr>
        <w:pStyle w:val="Nivel3"/>
        <w:numPr>
          <w:ilvl w:val="2"/>
          <w:numId w:val="4"/>
        </w:numPr>
        <w:spacing w:before="0" w:after="0" w:line="240" w:lineRule="auto"/>
        <w:rPr>
          <w:rFonts w:ascii="Times New Roman" w:hAnsi="Times New Roman" w:cs="Times New Roman"/>
          <w:color w:val="auto"/>
        </w:rPr>
      </w:pPr>
      <w:r>
        <w:rPr>
          <w:rFonts w:ascii="Times New Roman" w:hAnsi="Times New Roman" w:cs="Times New Roman"/>
          <w:color w:val="auto"/>
        </w:rPr>
        <w:t>Não re</w:t>
      </w:r>
      <w:r>
        <w:rPr>
          <w:rFonts w:ascii="Times New Roman" w:eastAsia="Arial" w:hAnsi="Times New Roman" w:cs="Times New Roman"/>
          <w:color w:val="auto"/>
        </w:rPr>
        <w:t>ti</w:t>
      </w:r>
      <w:r>
        <w:rPr>
          <w:rFonts w:ascii="Times New Roman" w:hAnsi="Times New Roman" w:cs="Times New Roman"/>
          <w:color w:val="auto"/>
        </w:rPr>
        <w:t>rar a nota de empenho, ou instrumento equivalente, no prazo estabelecido pela Administração sem justificativa razoável;</w:t>
      </w:r>
    </w:p>
    <w:p w14:paraId="04636BF2" w14:textId="77777777" w:rsidR="00575174" w:rsidRDefault="009F4508">
      <w:pPr>
        <w:pStyle w:val="Nivel3"/>
        <w:numPr>
          <w:ilvl w:val="2"/>
          <w:numId w:val="4"/>
        </w:numPr>
        <w:spacing w:before="0" w:after="0" w:line="240" w:lineRule="auto"/>
        <w:rPr>
          <w:rFonts w:ascii="Times New Roman" w:hAnsi="Times New Roman" w:cs="Times New Roman"/>
          <w:color w:val="auto"/>
        </w:rPr>
      </w:pPr>
      <w:r>
        <w:rPr>
          <w:rFonts w:ascii="Times New Roman" w:hAnsi="Times New Roman" w:cs="Times New Roman"/>
          <w:color w:val="auto"/>
        </w:rPr>
        <w:t xml:space="preserve">Não aceitar manter seu preço registrado, na hipótese prevista no artigo 28, § 2º, do Decreto nº 4.773, de 2024; </w:t>
      </w:r>
    </w:p>
    <w:p w14:paraId="7530C7DA" w14:textId="77777777" w:rsidR="00575174" w:rsidRDefault="009F4508">
      <w:pPr>
        <w:pStyle w:val="Nivel4"/>
        <w:numPr>
          <w:ilvl w:val="3"/>
          <w:numId w:val="4"/>
        </w:numPr>
        <w:spacing w:before="0" w:after="0" w:line="240" w:lineRule="auto"/>
        <w:rPr>
          <w:rFonts w:ascii="Times New Roman" w:hAnsi="Times New Roman" w:cs="Times New Roman"/>
        </w:rPr>
      </w:pPr>
      <w:r>
        <w:rPr>
          <w:rFonts w:ascii="Times New Roman" w:hAnsi="Times New Roman" w:cs="Times New Roman"/>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6B6FE516" w14:textId="77777777" w:rsidR="00575174" w:rsidRDefault="009F4508">
      <w:pPr>
        <w:pStyle w:val="Nivel3"/>
        <w:numPr>
          <w:ilvl w:val="2"/>
          <w:numId w:val="4"/>
        </w:numPr>
        <w:spacing w:before="0" w:after="0" w:line="240" w:lineRule="auto"/>
        <w:rPr>
          <w:rFonts w:ascii="Times New Roman" w:hAnsi="Times New Roman" w:cs="Times New Roman"/>
          <w:color w:val="auto"/>
        </w:rPr>
      </w:pPr>
      <w:r>
        <w:rPr>
          <w:rFonts w:ascii="Times New Roman" w:hAnsi="Times New Roman" w:cs="Times New Roman"/>
          <w:color w:val="auto"/>
        </w:rPr>
        <w:t xml:space="preserve"> O cancelamento de registros nas hipóteses previstas no item 8.1 será formalizado por despacho do órgão ou da entidade gerenciadora, garantidos os princípios do contraditório e da ampla defesa.</w:t>
      </w:r>
    </w:p>
    <w:p w14:paraId="3EB4769A" w14:textId="77777777" w:rsidR="00575174" w:rsidRDefault="009F4508">
      <w:pPr>
        <w:pStyle w:val="Nivel4"/>
        <w:numPr>
          <w:ilvl w:val="3"/>
          <w:numId w:val="4"/>
        </w:numPr>
        <w:spacing w:before="0" w:after="0" w:line="240" w:lineRule="auto"/>
        <w:rPr>
          <w:rFonts w:ascii="Times New Roman" w:hAnsi="Times New Roman" w:cs="Times New Roman"/>
        </w:rPr>
      </w:pPr>
      <w:r>
        <w:rPr>
          <w:rFonts w:ascii="Times New Roman" w:hAnsi="Times New Roman" w:cs="Times New Roman"/>
        </w:rPr>
        <w:t>Na hipótese de cancelamento do registro do fornecedor, o órgão ou a entidade gerenciadora poderá convocar os licitantes que compõem o cadastro de reserva, observada a ordem de classificação.</w:t>
      </w:r>
    </w:p>
    <w:p w14:paraId="2C36C44B" w14:textId="77777777" w:rsidR="00575174" w:rsidRDefault="009F4508">
      <w:pPr>
        <w:pStyle w:val="Nivel3"/>
        <w:numPr>
          <w:ilvl w:val="2"/>
          <w:numId w:val="4"/>
        </w:numPr>
        <w:spacing w:before="0" w:after="0" w:line="240" w:lineRule="auto"/>
        <w:rPr>
          <w:rFonts w:ascii="Times New Roman" w:hAnsi="Times New Roman" w:cs="Times New Roman"/>
          <w:color w:val="auto"/>
        </w:rPr>
      </w:pPr>
      <w:r>
        <w:rPr>
          <w:rFonts w:ascii="Times New Roman" w:hAnsi="Times New Roman" w:cs="Times New Roman"/>
          <w:color w:val="auto"/>
        </w:rPr>
        <w:t>O cancelamento dos preços registrados poderá ser realizado pelo gerenciador, em determinada ata de registro de preços, total ou parcialmente, nas seguintes hipóteses, desde que devidamente comprovadas e justificadas:</w:t>
      </w:r>
      <w:bookmarkEnd w:id="41"/>
      <w:r>
        <w:rPr>
          <w:rFonts w:ascii="Times New Roman" w:hAnsi="Times New Roman" w:cs="Times New Roman"/>
          <w:color w:val="auto"/>
        </w:rPr>
        <w:t xml:space="preserve"> </w:t>
      </w:r>
    </w:p>
    <w:p w14:paraId="4C153CA0" w14:textId="77777777" w:rsidR="00575174" w:rsidRDefault="009F4508">
      <w:pPr>
        <w:pStyle w:val="Nivel4"/>
        <w:numPr>
          <w:ilvl w:val="3"/>
          <w:numId w:val="4"/>
        </w:numPr>
        <w:spacing w:before="0" w:after="0" w:line="240" w:lineRule="auto"/>
        <w:rPr>
          <w:rFonts w:ascii="Times New Roman" w:hAnsi="Times New Roman" w:cs="Times New Roman"/>
        </w:rPr>
      </w:pPr>
      <w:r>
        <w:rPr>
          <w:rFonts w:ascii="Times New Roman" w:hAnsi="Times New Roman" w:cs="Times New Roman"/>
        </w:rPr>
        <w:t>Por razão de interesse público;</w:t>
      </w:r>
    </w:p>
    <w:p w14:paraId="65C3959F" w14:textId="77777777" w:rsidR="00575174" w:rsidRDefault="009F4508">
      <w:pPr>
        <w:pStyle w:val="Nivel4"/>
        <w:numPr>
          <w:ilvl w:val="3"/>
          <w:numId w:val="4"/>
        </w:numPr>
        <w:spacing w:before="0" w:after="0" w:line="240" w:lineRule="auto"/>
        <w:rPr>
          <w:rFonts w:ascii="Times New Roman" w:hAnsi="Times New Roman" w:cs="Times New Roman"/>
        </w:rPr>
      </w:pPr>
      <w:r>
        <w:rPr>
          <w:rFonts w:ascii="Times New Roman" w:hAnsi="Times New Roman" w:cs="Times New Roman"/>
        </w:rPr>
        <w:t>A pedido do fornecedor, decorrente de caso fortuito ou força maior; ou</w:t>
      </w:r>
    </w:p>
    <w:p w14:paraId="1B4FEA40" w14:textId="77777777" w:rsidR="00575174" w:rsidRDefault="009F4508">
      <w:pPr>
        <w:pStyle w:val="Nivel4"/>
        <w:numPr>
          <w:ilvl w:val="3"/>
          <w:numId w:val="4"/>
        </w:numPr>
        <w:spacing w:before="0" w:after="0" w:line="240" w:lineRule="auto"/>
        <w:rPr>
          <w:rFonts w:ascii="Times New Roman" w:hAnsi="Times New Roman" w:cs="Times New Roman"/>
        </w:rPr>
      </w:pPr>
      <w:r>
        <w:rPr>
          <w:rFonts w:ascii="Times New Roman" w:hAnsi="Times New Roman" w:cs="Times New Roman"/>
        </w:rPr>
        <w:t xml:space="preserve">Se não houver êxito nas negociações, nas hipóteses em que o preço de mercado se tornar superior ou inferior ao preço registrado, nos termos dos artigos 27, § 3º e 28, § 4º, ambos do Decreto nº 4.773, de 2024. </w:t>
      </w:r>
    </w:p>
    <w:p w14:paraId="63DA6BE5" w14:textId="77777777" w:rsidR="00575174" w:rsidRDefault="009F4508">
      <w:pPr>
        <w:pStyle w:val="Nivel01"/>
        <w:numPr>
          <w:ilvl w:val="0"/>
          <w:numId w:val="4"/>
        </w:numPr>
        <w:tabs>
          <w:tab w:val="clear" w:pos="567"/>
          <w:tab w:val="left" w:pos="1134"/>
        </w:tabs>
        <w:spacing w:before="57" w:after="57" w:line="240" w:lineRule="auto"/>
        <w:ind w:left="567"/>
        <w:rPr>
          <w:rFonts w:ascii="Times New Roman" w:hAnsi="Times New Roman" w:cs="Times New Roman"/>
          <w:color w:val="auto"/>
        </w:rPr>
      </w:pPr>
      <w:r>
        <w:rPr>
          <w:rFonts w:ascii="Times New Roman" w:hAnsi="Times New Roman" w:cs="Times New Roman"/>
          <w:color w:val="auto"/>
        </w:rPr>
        <w:t>DAS PENALIDADES</w:t>
      </w:r>
    </w:p>
    <w:p w14:paraId="4D6A1771" w14:textId="77777777" w:rsidR="00575174" w:rsidRDefault="009F4508">
      <w:pPr>
        <w:pStyle w:val="Nivel2"/>
        <w:numPr>
          <w:ilvl w:val="1"/>
          <w:numId w:val="4"/>
        </w:numPr>
        <w:spacing w:before="0" w:after="0" w:line="240" w:lineRule="auto"/>
        <w:rPr>
          <w:rFonts w:ascii="Times New Roman" w:hAnsi="Times New Roman" w:cs="Times New Roman"/>
          <w:color w:val="auto"/>
        </w:rPr>
      </w:pPr>
      <w:r>
        <w:rPr>
          <w:rFonts w:ascii="Times New Roman" w:hAnsi="Times New Roman" w:cs="Times New Roman"/>
          <w:color w:val="auto"/>
        </w:rPr>
        <w:t xml:space="preserve">O descumprimento da Ata de Registro de Preços ensejará aplicação das penalidades estabelecidas </w:t>
      </w:r>
      <w:r>
        <w:rPr>
          <w:rFonts w:ascii="Times New Roman" w:hAnsi="Times New Roman" w:cs="Times New Roman"/>
          <w:i/>
          <w:color w:val="auto"/>
        </w:rPr>
        <w:t>no edital</w:t>
      </w:r>
      <w:r>
        <w:rPr>
          <w:rFonts w:ascii="Times New Roman" w:hAnsi="Times New Roman" w:cs="Times New Roman"/>
          <w:color w:val="auto"/>
        </w:rPr>
        <w:t xml:space="preserve">. As sanções também se aplicam aos integrantes do cadastro de reserva no registro de preços que, convocados, não honrarem o compromisso assumido injustificadamente após terem assinado a ata. </w:t>
      </w:r>
    </w:p>
    <w:p w14:paraId="7A122F6D" w14:textId="77777777" w:rsidR="00575174" w:rsidRDefault="009F4508">
      <w:pPr>
        <w:pStyle w:val="Nivel2"/>
        <w:numPr>
          <w:ilvl w:val="1"/>
          <w:numId w:val="4"/>
        </w:numPr>
        <w:spacing w:before="0" w:after="0" w:line="240" w:lineRule="auto"/>
        <w:rPr>
          <w:rFonts w:ascii="Times New Roman" w:hAnsi="Times New Roman" w:cs="Times New Roman"/>
          <w:color w:val="auto"/>
        </w:rPr>
      </w:pPr>
      <w:r>
        <w:rPr>
          <w:rFonts w:ascii="Times New Roman" w:hAnsi="Times New Roman" w:cs="Times New Roman"/>
          <w:color w:val="auto"/>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26B25F96" w14:textId="77777777" w:rsidR="00575174" w:rsidRDefault="009F4508">
      <w:pPr>
        <w:pStyle w:val="Nivel2"/>
        <w:numPr>
          <w:ilvl w:val="1"/>
          <w:numId w:val="4"/>
        </w:numPr>
        <w:spacing w:before="0" w:after="0" w:line="240" w:lineRule="auto"/>
        <w:rPr>
          <w:rFonts w:ascii="Times New Roman" w:hAnsi="Times New Roman" w:cs="Times New Roman"/>
          <w:color w:val="auto"/>
        </w:rPr>
      </w:pPr>
      <w:r>
        <w:rPr>
          <w:rFonts w:ascii="Times New Roman" w:hAnsi="Times New Roman" w:cs="Times New Roman"/>
          <w:color w:val="auto"/>
        </w:rPr>
        <w:t>O órgão ou entidade participante deverá comunicar ao órgão gerenciador qualquer das ocorrências previstas no item 8.1, dada a necessidade de instauração de procedimento para cancelamento do registro do fornecedor.</w:t>
      </w:r>
    </w:p>
    <w:p w14:paraId="2409C20E" w14:textId="77777777" w:rsidR="00575174" w:rsidRDefault="009F4508">
      <w:pPr>
        <w:pStyle w:val="Nivel2"/>
        <w:numPr>
          <w:ilvl w:val="0"/>
          <w:numId w:val="4"/>
        </w:numPr>
        <w:tabs>
          <w:tab w:val="left" w:pos="456"/>
          <w:tab w:val="left" w:pos="791"/>
          <w:tab w:val="left" w:pos="1135"/>
        </w:tabs>
        <w:spacing w:before="57" w:after="57" w:line="240" w:lineRule="auto"/>
        <w:ind w:left="567" w:hanging="567"/>
        <w:jc w:val="left"/>
        <w:rPr>
          <w:rFonts w:ascii="Times New Roman" w:hAnsi="Times New Roman" w:cs="Times New Roman"/>
          <w:color w:val="auto"/>
        </w:rPr>
      </w:pPr>
      <w:r>
        <w:rPr>
          <w:rFonts w:ascii="Times New Roman" w:hAnsi="Times New Roman" w:cs="Times New Roman"/>
          <w:b/>
          <w:color w:val="auto"/>
        </w:rPr>
        <w:t xml:space="preserve"> CONDIÇÕES GERAIS</w:t>
      </w:r>
    </w:p>
    <w:p w14:paraId="25664E48" w14:textId="77777777" w:rsidR="00575174" w:rsidRDefault="009F4508">
      <w:pPr>
        <w:pStyle w:val="Nivel2"/>
        <w:numPr>
          <w:ilvl w:val="0"/>
          <w:numId w:val="0"/>
        </w:numPr>
        <w:tabs>
          <w:tab w:val="left" w:pos="1134"/>
        </w:tabs>
        <w:spacing w:before="0" w:after="0" w:line="240" w:lineRule="auto"/>
        <w:ind w:left="567"/>
        <w:rPr>
          <w:rFonts w:ascii="Times New Roman" w:hAnsi="Times New Roman" w:cs="Times New Roman"/>
          <w:color w:val="auto"/>
        </w:rPr>
      </w:pPr>
      <w:r>
        <w:rPr>
          <w:rFonts w:ascii="Times New Roman" w:hAnsi="Times New Roman" w:cs="Times New Roman"/>
          <w:color w:val="auto"/>
        </w:rPr>
        <w:t xml:space="preserve">9.1. As condições gerais de execução do objeto, tais como os prazos para entrega e recebimento, as obrigações da Administração e do fornecedor registrado, penalidades e demais condições do ajuste, encontram-se definidos no Termo de Referência, ANEXO </w:t>
      </w:r>
      <w:r>
        <w:rPr>
          <w:rFonts w:ascii="Times New Roman" w:hAnsi="Times New Roman" w:cs="Times New Roman"/>
          <w:i/>
          <w:color w:val="auto"/>
        </w:rPr>
        <w:t>AO EDITAL</w:t>
      </w:r>
      <w:r>
        <w:rPr>
          <w:rFonts w:ascii="Times New Roman" w:hAnsi="Times New Roman" w:cs="Times New Roman"/>
          <w:color w:val="auto"/>
        </w:rPr>
        <w:t>.</w:t>
      </w:r>
    </w:p>
    <w:p w14:paraId="60D5E6A9" w14:textId="77777777" w:rsidR="00575174" w:rsidRDefault="009F4508">
      <w:pPr>
        <w:pStyle w:val="Nivel2"/>
        <w:numPr>
          <w:ilvl w:val="0"/>
          <w:numId w:val="0"/>
        </w:numPr>
        <w:tabs>
          <w:tab w:val="left" w:pos="1134"/>
        </w:tabs>
        <w:spacing w:before="0" w:after="0" w:line="240" w:lineRule="auto"/>
        <w:ind w:left="567"/>
        <w:rPr>
          <w:rFonts w:ascii="Times New Roman" w:hAnsi="Times New Roman" w:cs="Times New Roman"/>
          <w:color w:val="auto"/>
        </w:rPr>
      </w:pPr>
      <w:r>
        <w:rPr>
          <w:rFonts w:ascii="Times New Roman" w:hAnsi="Times New Roman" w:cs="Times New Roman"/>
          <w:color w:val="auto"/>
        </w:rPr>
        <w:t>9.2. No caso de adjudicação por preço global de grupo de itens, só será admitida a contratação de parte de itens do grupo se houver prévia pesquisa de mercado e demonstração de sua vantagem para o órgão ou a entidade.</w:t>
      </w:r>
    </w:p>
    <w:p w14:paraId="08FEDEAE" w14:textId="77777777" w:rsidR="00575174" w:rsidRDefault="009F4508">
      <w:pPr>
        <w:widowControl w:val="0"/>
        <w:ind w:left="567"/>
        <w:jc w:val="both"/>
        <w:rPr>
          <w:rFonts w:ascii="Times New Roman" w:hAnsi="Times New Roman" w:cs="Times New Roman"/>
          <w:sz w:val="20"/>
          <w:szCs w:val="20"/>
        </w:rPr>
      </w:pPr>
      <w:r>
        <w:rPr>
          <w:rFonts w:ascii="Times New Roman" w:hAnsi="Times New Roman" w:cs="Times New Roman"/>
          <w:sz w:val="20"/>
          <w:szCs w:val="20"/>
        </w:rPr>
        <w:t>9.3. Para firmeza e validade do pactuado, a presente Ata foi lavrada em 02 (duas) vias de igual teor, que, depois de lida e achada em ordem, vai assinada pelas partes.</w:t>
      </w:r>
    </w:p>
    <w:p w14:paraId="34B1614C" w14:textId="77777777" w:rsidR="00575174" w:rsidRDefault="009F4508">
      <w:pPr>
        <w:widowControl w:val="0"/>
        <w:ind w:right="-30"/>
        <w:jc w:val="right"/>
        <w:rPr>
          <w:rFonts w:ascii="Times New Roman" w:hAnsi="Times New Roman" w:cs="Times New Roman"/>
          <w:sz w:val="18"/>
          <w:szCs w:val="18"/>
        </w:rPr>
      </w:pPr>
      <w:r>
        <w:rPr>
          <w:rFonts w:ascii="Times New Roman" w:hAnsi="Times New Roman" w:cs="Times New Roman"/>
          <w:sz w:val="18"/>
          <w:szCs w:val="18"/>
        </w:rPr>
        <w:t>Santa Bárbara do Sul, ....de .........................de 2025</w:t>
      </w:r>
    </w:p>
    <w:p w14:paraId="12E4299F" w14:textId="77777777" w:rsidR="00AA6F13" w:rsidRDefault="00AA6F13">
      <w:pPr>
        <w:widowControl w:val="0"/>
        <w:ind w:right="-30"/>
        <w:jc w:val="right"/>
        <w:rPr>
          <w:rFonts w:ascii="Times New Roman" w:hAnsi="Times New Roman" w:cs="Times New Roman"/>
          <w:sz w:val="18"/>
          <w:szCs w:val="18"/>
        </w:rPr>
      </w:pPr>
    </w:p>
    <w:p w14:paraId="40BD1E1E" w14:textId="77777777" w:rsidR="00AA6F13" w:rsidRDefault="00AA6F13">
      <w:pPr>
        <w:widowControl w:val="0"/>
        <w:ind w:right="-30"/>
        <w:jc w:val="right"/>
        <w:rPr>
          <w:rFonts w:ascii="Times New Roman" w:hAnsi="Times New Roman" w:cs="Times New Roman"/>
          <w:sz w:val="18"/>
          <w:szCs w:val="18"/>
        </w:rPr>
      </w:pPr>
    </w:p>
    <w:p w14:paraId="5A453D87" w14:textId="77777777" w:rsidR="00AA6F13" w:rsidRDefault="00AA6F13">
      <w:pPr>
        <w:widowControl w:val="0"/>
        <w:ind w:right="-30"/>
        <w:jc w:val="right"/>
        <w:rPr>
          <w:rFonts w:ascii="Times New Roman" w:hAnsi="Times New Roman" w:cs="Times New Roman"/>
          <w:sz w:val="18"/>
          <w:szCs w:val="18"/>
        </w:rPr>
      </w:pPr>
    </w:p>
    <w:p w14:paraId="13EE8145" w14:textId="77777777" w:rsidR="00575174" w:rsidRDefault="009F4508">
      <w:pPr>
        <w:widowControl w:val="0"/>
        <w:ind w:right="-30"/>
        <w:jc w:val="center"/>
        <w:rPr>
          <w:rFonts w:ascii="Times New Roman" w:hAnsi="Times New Roman" w:cs="Times New Roman"/>
          <w:sz w:val="16"/>
          <w:szCs w:val="16"/>
        </w:rPr>
      </w:pPr>
      <w:r>
        <w:rPr>
          <w:rFonts w:ascii="Times New Roman" w:hAnsi="Times New Roman" w:cs="Times New Roman"/>
          <w:sz w:val="16"/>
          <w:szCs w:val="16"/>
        </w:rPr>
        <w:t>Leandro Caraffini Veneral</w:t>
      </w:r>
    </w:p>
    <w:p w14:paraId="3FE1F3AE" w14:textId="77777777" w:rsidR="00575174" w:rsidRDefault="009F4508">
      <w:pPr>
        <w:widowControl w:val="0"/>
        <w:ind w:right="-30"/>
        <w:jc w:val="center"/>
        <w:rPr>
          <w:rFonts w:ascii="Times New Roman" w:hAnsi="Times New Roman" w:cs="Times New Roman"/>
          <w:sz w:val="16"/>
          <w:szCs w:val="16"/>
        </w:rPr>
      </w:pPr>
      <w:r>
        <w:rPr>
          <w:rFonts w:ascii="Times New Roman" w:hAnsi="Times New Roman" w:cs="Times New Roman"/>
          <w:sz w:val="16"/>
          <w:szCs w:val="16"/>
        </w:rPr>
        <w:t>Prefeito</w:t>
      </w:r>
    </w:p>
    <w:p w14:paraId="6299215D" w14:textId="77777777" w:rsidR="00AA6F13" w:rsidRDefault="00AA6F13">
      <w:pPr>
        <w:widowControl w:val="0"/>
        <w:ind w:right="-30"/>
        <w:jc w:val="center"/>
        <w:rPr>
          <w:rFonts w:ascii="Times New Roman" w:hAnsi="Times New Roman" w:cs="Times New Roman"/>
          <w:sz w:val="16"/>
          <w:szCs w:val="16"/>
        </w:rPr>
      </w:pPr>
    </w:p>
    <w:p w14:paraId="076FB5B8" w14:textId="77777777" w:rsidR="00AA6F13" w:rsidRDefault="00AA6F13">
      <w:pPr>
        <w:widowControl w:val="0"/>
        <w:ind w:right="-30"/>
        <w:jc w:val="center"/>
        <w:rPr>
          <w:rFonts w:ascii="Times New Roman" w:hAnsi="Times New Roman" w:cs="Times New Roman"/>
          <w:sz w:val="16"/>
          <w:szCs w:val="16"/>
        </w:rPr>
      </w:pPr>
    </w:p>
    <w:p w14:paraId="4D8E854C" w14:textId="77777777" w:rsidR="00AA6F13" w:rsidRDefault="00AA6F13">
      <w:pPr>
        <w:widowControl w:val="0"/>
        <w:ind w:right="-30"/>
        <w:jc w:val="center"/>
        <w:rPr>
          <w:rFonts w:ascii="Times New Roman" w:hAnsi="Times New Roman" w:cs="Times New Roman"/>
          <w:sz w:val="16"/>
          <w:szCs w:val="16"/>
        </w:rPr>
      </w:pPr>
    </w:p>
    <w:p w14:paraId="64314206" w14:textId="77777777" w:rsidR="00AA6F13" w:rsidRDefault="00AA6F13">
      <w:pPr>
        <w:widowControl w:val="0"/>
        <w:ind w:right="-30"/>
        <w:jc w:val="center"/>
        <w:rPr>
          <w:rFonts w:ascii="Times New Roman" w:hAnsi="Times New Roman" w:cs="Times New Roman"/>
          <w:sz w:val="16"/>
          <w:szCs w:val="16"/>
        </w:rPr>
      </w:pPr>
    </w:p>
    <w:p w14:paraId="5A4E3C37" w14:textId="77777777" w:rsidR="00575174" w:rsidRDefault="009F4508">
      <w:pPr>
        <w:widowControl w:val="0"/>
        <w:ind w:right="-30"/>
        <w:jc w:val="center"/>
        <w:rPr>
          <w:rFonts w:ascii="Times New Roman" w:hAnsi="Times New Roman" w:cs="Times New Roman"/>
          <w:sz w:val="16"/>
          <w:szCs w:val="16"/>
        </w:rPr>
      </w:pPr>
      <w:r>
        <w:rPr>
          <w:rFonts w:ascii="Times New Roman" w:hAnsi="Times New Roman" w:cs="Times New Roman"/>
          <w:sz w:val="16"/>
          <w:szCs w:val="16"/>
        </w:rPr>
        <w:t>Licitante CNPJ:</w:t>
      </w:r>
    </w:p>
    <w:p w14:paraId="0668FA4D" w14:textId="77777777" w:rsidR="00575174" w:rsidRDefault="009F4508">
      <w:pPr>
        <w:widowControl w:val="0"/>
        <w:ind w:right="-30"/>
        <w:jc w:val="center"/>
        <w:rPr>
          <w:rFonts w:ascii="Times New Roman" w:hAnsi="Times New Roman" w:cs="Times New Roman"/>
          <w:sz w:val="16"/>
          <w:szCs w:val="16"/>
        </w:rPr>
      </w:pPr>
      <w:r>
        <w:rPr>
          <w:rFonts w:ascii="Times New Roman" w:hAnsi="Times New Roman" w:cs="Times New Roman"/>
          <w:sz w:val="16"/>
          <w:szCs w:val="16"/>
        </w:rPr>
        <w:t>Representante legal do órgão gerenciador e representante(s) legal(is) do(s) fornecedor(s) registrado(s)</w:t>
      </w:r>
    </w:p>
    <w:p w14:paraId="04571A2B" w14:textId="77777777" w:rsidR="00575174" w:rsidRDefault="00575174">
      <w:pPr>
        <w:widowControl w:val="0"/>
        <w:ind w:right="-30"/>
        <w:jc w:val="center"/>
        <w:rPr>
          <w:rFonts w:ascii="Times New Roman" w:hAnsi="Times New Roman" w:cs="Times New Roman"/>
          <w:b/>
          <w:bCs/>
          <w:sz w:val="20"/>
          <w:szCs w:val="20"/>
        </w:rPr>
      </w:pPr>
    </w:p>
    <w:p w14:paraId="1C938DF5" w14:textId="77777777" w:rsidR="00575174" w:rsidRDefault="00575174">
      <w:pPr>
        <w:widowControl w:val="0"/>
        <w:ind w:right="-30"/>
        <w:jc w:val="center"/>
        <w:rPr>
          <w:rFonts w:ascii="Times New Roman" w:hAnsi="Times New Roman" w:cs="Times New Roman"/>
          <w:b/>
          <w:bCs/>
          <w:sz w:val="20"/>
          <w:szCs w:val="20"/>
        </w:rPr>
      </w:pPr>
    </w:p>
    <w:p w14:paraId="63B9BB88" w14:textId="77777777" w:rsidR="00575174" w:rsidRDefault="00575174">
      <w:pPr>
        <w:widowControl w:val="0"/>
        <w:ind w:right="-30"/>
        <w:jc w:val="center"/>
        <w:rPr>
          <w:rFonts w:ascii="Times New Roman" w:hAnsi="Times New Roman" w:cs="Times New Roman"/>
          <w:b/>
          <w:bCs/>
          <w:sz w:val="20"/>
          <w:szCs w:val="20"/>
        </w:rPr>
      </w:pPr>
    </w:p>
    <w:p w14:paraId="675C2DD7" w14:textId="77777777" w:rsidR="00575174" w:rsidRDefault="00575174">
      <w:pPr>
        <w:widowControl w:val="0"/>
        <w:ind w:right="-30"/>
        <w:jc w:val="center"/>
        <w:rPr>
          <w:rFonts w:ascii="Times New Roman" w:hAnsi="Times New Roman" w:cs="Times New Roman"/>
          <w:b/>
          <w:bCs/>
          <w:sz w:val="20"/>
          <w:szCs w:val="20"/>
        </w:rPr>
      </w:pPr>
    </w:p>
    <w:p w14:paraId="56577E5A" w14:textId="77777777" w:rsidR="00575174" w:rsidRDefault="00575174">
      <w:pPr>
        <w:widowControl w:val="0"/>
        <w:ind w:right="-30"/>
        <w:jc w:val="center"/>
        <w:rPr>
          <w:rFonts w:ascii="Times New Roman" w:hAnsi="Times New Roman" w:cs="Times New Roman"/>
          <w:b/>
          <w:bCs/>
          <w:sz w:val="20"/>
          <w:szCs w:val="20"/>
        </w:rPr>
      </w:pPr>
    </w:p>
    <w:p w14:paraId="75971616" w14:textId="77777777" w:rsidR="00575174" w:rsidRDefault="00575174">
      <w:pPr>
        <w:widowControl w:val="0"/>
        <w:ind w:right="-30"/>
        <w:jc w:val="center"/>
        <w:rPr>
          <w:rFonts w:ascii="Times New Roman" w:hAnsi="Times New Roman" w:cs="Times New Roman"/>
          <w:b/>
          <w:bCs/>
          <w:sz w:val="20"/>
          <w:szCs w:val="20"/>
        </w:rPr>
      </w:pPr>
    </w:p>
    <w:p w14:paraId="40375090" w14:textId="77777777" w:rsidR="00575174" w:rsidRDefault="00575174">
      <w:pPr>
        <w:widowControl w:val="0"/>
        <w:ind w:right="-30"/>
        <w:jc w:val="center"/>
        <w:rPr>
          <w:rFonts w:ascii="Times New Roman" w:hAnsi="Times New Roman" w:cs="Times New Roman"/>
          <w:b/>
          <w:bCs/>
          <w:sz w:val="20"/>
          <w:szCs w:val="20"/>
        </w:rPr>
      </w:pPr>
    </w:p>
    <w:p w14:paraId="14CDB65F" w14:textId="77777777" w:rsidR="00AA6F13" w:rsidRDefault="00AA6F13">
      <w:pPr>
        <w:widowControl w:val="0"/>
        <w:ind w:right="-30"/>
        <w:jc w:val="center"/>
        <w:rPr>
          <w:rFonts w:ascii="Times New Roman" w:hAnsi="Times New Roman" w:cs="Times New Roman"/>
          <w:b/>
          <w:bCs/>
          <w:sz w:val="20"/>
          <w:szCs w:val="20"/>
        </w:rPr>
      </w:pPr>
    </w:p>
    <w:p w14:paraId="72577494" w14:textId="77777777" w:rsidR="00AA6F13" w:rsidRDefault="00AA6F13">
      <w:pPr>
        <w:widowControl w:val="0"/>
        <w:ind w:right="-30"/>
        <w:jc w:val="center"/>
        <w:rPr>
          <w:rFonts w:ascii="Times New Roman" w:hAnsi="Times New Roman" w:cs="Times New Roman"/>
          <w:b/>
          <w:bCs/>
          <w:sz w:val="20"/>
          <w:szCs w:val="20"/>
        </w:rPr>
      </w:pPr>
    </w:p>
    <w:p w14:paraId="251A86D8" w14:textId="77777777" w:rsidR="00575174" w:rsidRDefault="009F4508">
      <w:pPr>
        <w:widowControl w:val="0"/>
        <w:ind w:right="-30"/>
        <w:jc w:val="center"/>
        <w:rPr>
          <w:rFonts w:ascii="Times New Roman" w:hAnsi="Times New Roman" w:cs="Times New Roman"/>
          <w:b/>
          <w:bCs/>
          <w:sz w:val="20"/>
          <w:szCs w:val="20"/>
        </w:rPr>
      </w:pPr>
      <w:r>
        <w:rPr>
          <w:rFonts w:ascii="Times New Roman" w:hAnsi="Times New Roman" w:cs="Times New Roman"/>
          <w:b/>
          <w:bCs/>
          <w:sz w:val="20"/>
          <w:szCs w:val="20"/>
        </w:rPr>
        <w:t>ANEXO IV</w:t>
      </w:r>
    </w:p>
    <w:p w14:paraId="05B3E0D8" w14:textId="77777777" w:rsidR="00575174" w:rsidRDefault="00575174">
      <w:pPr>
        <w:widowControl w:val="0"/>
        <w:ind w:right="-30"/>
        <w:jc w:val="center"/>
        <w:rPr>
          <w:rFonts w:ascii="Times New Roman" w:hAnsi="Times New Roman" w:cs="Times New Roman"/>
          <w:sz w:val="20"/>
          <w:szCs w:val="20"/>
        </w:rPr>
      </w:pPr>
    </w:p>
    <w:p w14:paraId="60C55FCF" w14:textId="77777777" w:rsidR="00575174" w:rsidRDefault="009F4508">
      <w:pPr>
        <w:widowControl w:val="0"/>
        <w:ind w:right="-30"/>
        <w:jc w:val="center"/>
        <w:rPr>
          <w:rFonts w:ascii="Times New Roman" w:hAnsi="Times New Roman" w:cs="Times New Roman"/>
          <w:sz w:val="20"/>
          <w:szCs w:val="20"/>
        </w:rPr>
      </w:pPr>
      <w:r>
        <w:rPr>
          <w:rFonts w:ascii="Times New Roman" w:hAnsi="Times New Roman" w:cs="Times New Roman"/>
          <w:sz w:val="20"/>
          <w:szCs w:val="20"/>
        </w:rPr>
        <w:t>Cadastro Reserva</w:t>
      </w:r>
    </w:p>
    <w:p w14:paraId="0EF981E3" w14:textId="77777777" w:rsidR="00575174" w:rsidRDefault="00575174">
      <w:pPr>
        <w:widowControl w:val="0"/>
        <w:ind w:right="-30"/>
        <w:jc w:val="center"/>
        <w:rPr>
          <w:rFonts w:ascii="Times New Roman" w:hAnsi="Times New Roman" w:cs="Times New Roman"/>
          <w:sz w:val="20"/>
          <w:szCs w:val="20"/>
        </w:rPr>
      </w:pPr>
    </w:p>
    <w:p w14:paraId="14F89458" w14:textId="77777777" w:rsidR="00575174" w:rsidRDefault="009F4508">
      <w:pPr>
        <w:widowControl w:val="0"/>
        <w:ind w:right="567" w:firstLine="709"/>
        <w:jc w:val="both"/>
        <w:rPr>
          <w:rFonts w:ascii="Times New Roman" w:hAnsi="Times New Roman" w:cs="Times New Roman"/>
          <w:sz w:val="20"/>
          <w:szCs w:val="20"/>
        </w:rPr>
      </w:pPr>
      <w:r>
        <w:rPr>
          <w:rFonts w:ascii="Times New Roman" w:hAnsi="Times New Roman" w:cs="Times New Roman"/>
          <w:sz w:val="20"/>
          <w:szCs w:val="20"/>
        </w:rPr>
        <w:t>Seguindo a ordem de classificação, segue relação de fornecedores que aceitaram cotar os itens com preços iguais ao adjudicatário:</w:t>
      </w:r>
    </w:p>
    <w:p w14:paraId="1F5FB442" w14:textId="77777777" w:rsidR="00575174" w:rsidRDefault="00575174">
      <w:pPr>
        <w:widowControl w:val="0"/>
        <w:ind w:right="-30"/>
        <w:jc w:val="center"/>
        <w:rPr>
          <w:rFonts w:ascii="Times New Roman" w:hAnsi="Times New Roman" w:cs="Times New Roman"/>
          <w:sz w:val="20"/>
          <w:szCs w:val="20"/>
        </w:rPr>
      </w:pPr>
    </w:p>
    <w:tbl>
      <w:tblPr>
        <w:tblW w:w="9392" w:type="dxa"/>
        <w:tblInd w:w="10" w:type="dxa"/>
        <w:tblLayout w:type="fixed"/>
        <w:tblCellMar>
          <w:left w:w="10" w:type="dxa"/>
          <w:right w:w="10" w:type="dxa"/>
        </w:tblCellMar>
        <w:tblLook w:val="04A0" w:firstRow="1" w:lastRow="0" w:firstColumn="1" w:lastColumn="0" w:noHBand="0" w:noVBand="1"/>
      </w:tblPr>
      <w:tblGrid>
        <w:gridCol w:w="835"/>
        <w:gridCol w:w="1143"/>
        <w:gridCol w:w="1110"/>
        <w:gridCol w:w="1439"/>
        <w:gridCol w:w="990"/>
        <w:gridCol w:w="1140"/>
        <w:gridCol w:w="990"/>
        <w:gridCol w:w="901"/>
        <w:gridCol w:w="844"/>
      </w:tblGrid>
      <w:tr w:rsidR="00575174" w14:paraId="014D5CDF" w14:textId="77777777">
        <w:trPr>
          <w:trHeight w:val="511"/>
        </w:trPr>
        <w:tc>
          <w:tcPr>
            <w:tcW w:w="834" w:type="dxa"/>
            <w:tcBorders>
              <w:top w:val="single" w:sz="2" w:space="0" w:color="000000"/>
              <w:left w:val="single" w:sz="2" w:space="0" w:color="000000"/>
              <w:bottom w:val="single" w:sz="2" w:space="0" w:color="000000"/>
              <w:right w:val="single" w:sz="2" w:space="0" w:color="000000"/>
            </w:tcBorders>
            <w:vAlign w:val="center"/>
          </w:tcPr>
          <w:p w14:paraId="35931BF9" w14:textId="77777777" w:rsidR="00575174" w:rsidRDefault="009F4508">
            <w:pPr>
              <w:widowControl w:val="0"/>
              <w:ind w:right="-30"/>
              <w:jc w:val="center"/>
              <w:rPr>
                <w:rFonts w:ascii="Times New Roman" w:hAnsi="Times New Roman" w:cs="Times New Roman"/>
                <w:sz w:val="20"/>
                <w:szCs w:val="20"/>
              </w:rPr>
            </w:pPr>
            <w:r>
              <w:rPr>
                <w:rFonts w:ascii="Times New Roman" w:hAnsi="Times New Roman" w:cs="Times New Roman"/>
                <w:sz w:val="20"/>
                <w:szCs w:val="20"/>
              </w:rPr>
              <w:t>Item</w:t>
            </w:r>
          </w:p>
          <w:p w14:paraId="67A4EAAF" w14:textId="77777777" w:rsidR="00575174" w:rsidRDefault="009F4508">
            <w:pPr>
              <w:widowControl w:val="0"/>
              <w:ind w:right="-30"/>
              <w:jc w:val="center"/>
              <w:rPr>
                <w:rFonts w:ascii="Times New Roman" w:hAnsi="Times New Roman" w:cs="Times New Roman"/>
                <w:sz w:val="20"/>
                <w:szCs w:val="20"/>
              </w:rPr>
            </w:pPr>
            <w:r>
              <w:rPr>
                <w:rFonts w:ascii="Times New Roman" w:hAnsi="Times New Roman" w:cs="Times New Roman"/>
                <w:sz w:val="20"/>
                <w:szCs w:val="20"/>
              </w:rPr>
              <w:t>do</w:t>
            </w:r>
          </w:p>
          <w:p w14:paraId="3CCC2380" w14:textId="77777777" w:rsidR="00575174" w:rsidRDefault="009F4508">
            <w:pPr>
              <w:widowControl w:val="0"/>
              <w:ind w:right="-30"/>
              <w:jc w:val="center"/>
              <w:rPr>
                <w:rFonts w:ascii="Times New Roman" w:hAnsi="Times New Roman" w:cs="Times New Roman"/>
                <w:sz w:val="20"/>
                <w:szCs w:val="20"/>
              </w:rPr>
            </w:pPr>
            <w:r>
              <w:rPr>
                <w:rFonts w:ascii="Times New Roman" w:hAnsi="Times New Roman" w:cs="Times New Roman"/>
                <w:sz w:val="20"/>
                <w:szCs w:val="20"/>
              </w:rPr>
              <w:t>TR</w:t>
            </w:r>
          </w:p>
        </w:tc>
        <w:tc>
          <w:tcPr>
            <w:tcW w:w="8557" w:type="dxa"/>
            <w:gridSpan w:val="8"/>
            <w:tcBorders>
              <w:top w:val="single" w:sz="2" w:space="0" w:color="000000"/>
              <w:left w:val="single" w:sz="2" w:space="0" w:color="000000"/>
              <w:bottom w:val="single" w:sz="2" w:space="0" w:color="000000"/>
              <w:right w:val="single" w:sz="2" w:space="0" w:color="000000"/>
            </w:tcBorders>
          </w:tcPr>
          <w:p w14:paraId="7E7ABCDD" w14:textId="77777777" w:rsidR="00575174" w:rsidRDefault="009F4508">
            <w:pPr>
              <w:widowControl w:val="0"/>
              <w:ind w:right="-30"/>
              <w:jc w:val="center"/>
              <w:rPr>
                <w:rFonts w:ascii="Times New Roman" w:hAnsi="Times New Roman" w:cs="Times New Roman"/>
                <w:sz w:val="20"/>
                <w:szCs w:val="20"/>
              </w:rPr>
            </w:pPr>
            <w:r>
              <w:rPr>
                <w:rFonts w:ascii="Times New Roman" w:hAnsi="Times New Roman" w:cs="Times New Roman"/>
                <w:sz w:val="20"/>
                <w:szCs w:val="20"/>
              </w:rPr>
              <w:t xml:space="preserve">Fornecedor </w:t>
            </w:r>
            <w:r>
              <w:rPr>
                <w:rFonts w:ascii="Times New Roman" w:hAnsi="Times New Roman" w:cs="Times New Roman"/>
                <w:i/>
                <w:sz w:val="20"/>
                <w:szCs w:val="20"/>
              </w:rPr>
              <w:t>(razão social, CNPJ/MF, endereço, contatos, representante)</w:t>
            </w:r>
          </w:p>
          <w:p w14:paraId="45AC628C" w14:textId="77777777" w:rsidR="00575174" w:rsidRDefault="00575174">
            <w:pPr>
              <w:widowControl w:val="0"/>
              <w:ind w:right="-30"/>
              <w:jc w:val="center"/>
              <w:rPr>
                <w:rFonts w:ascii="Times New Roman" w:hAnsi="Times New Roman" w:cs="Times New Roman"/>
                <w:sz w:val="20"/>
                <w:szCs w:val="20"/>
              </w:rPr>
            </w:pPr>
          </w:p>
        </w:tc>
      </w:tr>
      <w:tr w:rsidR="00575174" w14:paraId="486694FB" w14:textId="77777777">
        <w:trPr>
          <w:trHeight w:val="674"/>
        </w:trPr>
        <w:tc>
          <w:tcPr>
            <w:tcW w:w="834" w:type="dxa"/>
            <w:tcBorders>
              <w:left w:val="single" w:sz="2" w:space="0" w:color="000000"/>
              <w:bottom w:val="single" w:sz="2" w:space="0" w:color="000000"/>
            </w:tcBorders>
            <w:vAlign w:val="center"/>
          </w:tcPr>
          <w:p w14:paraId="0FF0797B" w14:textId="77777777" w:rsidR="00575174" w:rsidRDefault="009F4508">
            <w:pPr>
              <w:widowControl w:val="0"/>
              <w:ind w:right="-30"/>
              <w:jc w:val="center"/>
              <w:rPr>
                <w:rFonts w:ascii="Times New Roman" w:hAnsi="Times New Roman" w:cs="Times New Roman"/>
                <w:sz w:val="20"/>
                <w:szCs w:val="20"/>
              </w:rPr>
            </w:pPr>
            <w:r>
              <w:rPr>
                <w:rFonts w:ascii="Times New Roman" w:hAnsi="Times New Roman" w:cs="Times New Roman"/>
                <w:sz w:val="20"/>
                <w:szCs w:val="20"/>
              </w:rPr>
              <w:t>X</w:t>
            </w:r>
          </w:p>
        </w:tc>
        <w:tc>
          <w:tcPr>
            <w:tcW w:w="1143" w:type="dxa"/>
            <w:tcBorders>
              <w:left w:val="single" w:sz="2" w:space="0" w:color="000000"/>
              <w:bottom w:val="single" w:sz="2" w:space="0" w:color="000000"/>
            </w:tcBorders>
          </w:tcPr>
          <w:p w14:paraId="17712C71" w14:textId="77777777" w:rsidR="00575174" w:rsidRDefault="009F4508">
            <w:pPr>
              <w:widowControl w:val="0"/>
              <w:ind w:right="-30"/>
              <w:jc w:val="both"/>
              <w:rPr>
                <w:rFonts w:ascii="Times New Roman" w:hAnsi="Times New Roman" w:cs="Times New Roman"/>
                <w:sz w:val="20"/>
                <w:szCs w:val="20"/>
              </w:rPr>
            </w:pPr>
            <w:r>
              <w:rPr>
                <w:rFonts w:ascii="Times New Roman" w:hAnsi="Times New Roman" w:cs="Times New Roman"/>
                <w:sz w:val="20"/>
                <w:szCs w:val="20"/>
              </w:rPr>
              <w:t>Especificação</w:t>
            </w:r>
          </w:p>
        </w:tc>
        <w:tc>
          <w:tcPr>
            <w:tcW w:w="1110" w:type="dxa"/>
            <w:tcBorders>
              <w:left w:val="single" w:sz="2" w:space="0" w:color="000000"/>
              <w:bottom w:val="single" w:sz="2" w:space="0" w:color="000000"/>
            </w:tcBorders>
          </w:tcPr>
          <w:p w14:paraId="6BC2B856" w14:textId="77777777" w:rsidR="00575174" w:rsidRDefault="009F4508">
            <w:pPr>
              <w:widowControl w:val="0"/>
              <w:ind w:right="-30"/>
              <w:jc w:val="center"/>
              <w:rPr>
                <w:rFonts w:ascii="Times New Roman" w:hAnsi="Times New Roman" w:cs="Times New Roman"/>
                <w:sz w:val="20"/>
                <w:szCs w:val="20"/>
              </w:rPr>
            </w:pPr>
            <w:r>
              <w:rPr>
                <w:rFonts w:ascii="Times New Roman" w:hAnsi="Times New Roman" w:cs="Times New Roman"/>
                <w:sz w:val="20"/>
                <w:szCs w:val="20"/>
              </w:rPr>
              <w:t>Marca</w:t>
            </w:r>
          </w:p>
          <w:p w14:paraId="2826B62A" w14:textId="77777777" w:rsidR="00575174" w:rsidRDefault="009F4508">
            <w:pPr>
              <w:widowControl w:val="0"/>
              <w:ind w:right="-30"/>
              <w:jc w:val="center"/>
              <w:rPr>
                <w:rFonts w:ascii="Times New Roman" w:hAnsi="Times New Roman" w:cs="Times New Roman"/>
                <w:sz w:val="20"/>
                <w:szCs w:val="20"/>
              </w:rPr>
            </w:pPr>
            <w:r>
              <w:rPr>
                <w:rFonts w:ascii="Times New Roman" w:hAnsi="Times New Roman" w:cs="Times New Roman"/>
                <w:sz w:val="20"/>
                <w:szCs w:val="20"/>
              </w:rPr>
              <w:t>(se exigida no edital)</w:t>
            </w:r>
          </w:p>
        </w:tc>
        <w:tc>
          <w:tcPr>
            <w:tcW w:w="1439" w:type="dxa"/>
            <w:tcBorders>
              <w:left w:val="single" w:sz="2" w:space="0" w:color="000000"/>
              <w:bottom w:val="single" w:sz="2" w:space="0" w:color="000000"/>
            </w:tcBorders>
          </w:tcPr>
          <w:p w14:paraId="70272F50" w14:textId="77777777" w:rsidR="00575174" w:rsidRDefault="009F4508">
            <w:pPr>
              <w:widowControl w:val="0"/>
              <w:ind w:right="-30"/>
              <w:jc w:val="center"/>
              <w:rPr>
                <w:rFonts w:ascii="Times New Roman" w:hAnsi="Times New Roman" w:cs="Times New Roman"/>
                <w:sz w:val="20"/>
                <w:szCs w:val="20"/>
              </w:rPr>
            </w:pPr>
            <w:r>
              <w:rPr>
                <w:rFonts w:ascii="Times New Roman" w:hAnsi="Times New Roman" w:cs="Times New Roman"/>
                <w:sz w:val="20"/>
                <w:szCs w:val="20"/>
              </w:rPr>
              <w:t>Modelo</w:t>
            </w:r>
          </w:p>
          <w:p w14:paraId="2A4F09E6" w14:textId="77777777" w:rsidR="00575174" w:rsidRDefault="009F4508">
            <w:pPr>
              <w:widowControl w:val="0"/>
              <w:ind w:right="-30"/>
              <w:jc w:val="center"/>
              <w:rPr>
                <w:rFonts w:ascii="Times New Roman" w:hAnsi="Times New Roman" w:cs="Times New Roman"/>
                <w:sz w:val="20"/>
                <w:szCs w:val="20"/>
              </w:rPr>
            </w:pPr>
            <w:r>
              <w:rPr>
                <w:rFonts w:ascii="Times New Roman" w:hAnsi="Times New Roman" w:cs="Times New Roman"/>
                <w:sz w:val="20"/>
                <w:szCs w:val="20"/>
              </w:rPr>
              <w:t>(se exigido no edital)</w:t>
            </w:r>
          </w:p>
        </w:tc>
        <w:tc>
          <w:tcPr>
            <w:tcW w:w="990" w:type="dxa"/>
            <w:tcBorders>
              <w:left w:val="single" w:sz="2" w:space="0" w:color="000000"/>
              <w:bottom w:val="single" w:sz="2" w:space="0" w:color="000000"/>
            </w:tcBorders>
          </w:tcPr>
          <w:p w14:paraId="353B7D85" w14:textId="77777777" w:rsidR="00575174" w:rsidRDefault="009F4508">
            <w:pPr>
              <w:widowControl w:val="0"/>
              <w:ind w:right="-30"/>
              <w:jc w:val="center"/>
              <w:rPr>
                <w:rFonts w:ascii="Times New Roman" w:hAnsi="Times New Roman" w:cs="Times New Roman"/>
                <w:sz w:val="20"/>
                <w:szCs w:val="20"/>
              </w:rPr>
            </w:pPr>
            <w:r>
              <w:rPr>
                <w:rFonts w:ascii="Times New Roman" w:hAnsi="Times New Roman" w:cs="Times New Roman"/>
                <w:sz w:val="20"/>
                <w:szCs w:val="20"/>
              </w:rPr>
              <w:t>Unidade</w:t>
            </w:r>
          </w:p>
        </w:tc>
        <w:tc>
          <w:tcPr>
            <w:tcW w:w="1140" w:type="dxa"/>
            <w:tcBorders>
              <w:left w:val="single" w:sz="2" w:space="0" w:color="000000"/>
              <w:bottom w:val="single" w:sz="2" w:space="0" w:color="000000"/>
            </w:tcBorders>
          </w:tcPr>
          <w:p w14:paraId="464B1D4D" w14:textId="77777777" w:rsidR="00575174" w:rsidRDefault="009F4508">
            <w:pPr>
              <w:widowControl w:val="0"/>
              <w:ind w:right="-30"/>
              <w:jc w:val="center"/>
              <w:rPr>
                <w:rFonts w:ascii="Times New Roman" w:hAnsi="Times New Roman" w:cs="Times New Roman"/>
                <w:sz w:val="20"/>
                <w:szCs w:val="20"/>
              </w:rPr>
            </w:pPr>
            <w:r>
              <w:rPr>
                <w:rFonts w:ascii="Times New Roman" w:hAnsi="Times New Roman" w:cs="Times New Roman"/>
                <w:sz w:val="20"/>
                <w:szCs w:val="20"/>
              </w:rPr>
              <w:t>Quantidade</w:t>
            </w:r>
          </w:p>
          <w:p w14:paraId="4AAFDF79" w14:textId="77777777" w:rsidR="00575174" w:rsidRDefault="009F4508">
            <w:pPr>
              <w:widowControl w:val="0"/>
              <w:ind w:right="-30"/>
              <w:jc w:val="center"/>
              <w:rPr>
                <w:rFonts w:ascii="Times New Roman" w:hAnsi="Times New Roman" w:cs="Times New Roman"/>
                <w:sz w:val="20"/>
                <w:szCs w:val="20"/>
              </w:rPr>
            </w:pPr>
            <w:r>
              <w:rPr>
                <w:rFonts w:ascii="Times New Roman" w:hAnsi="Times New Roman" w:cs="Times New Roman"/>
                <w:sz w:val="20"/>
                <w:szCs w:val="20"/>
              </w:rPr>
              <w:t>Máxima</w:t>
            </w:r>
          </w:p>
        </w:tc>
        <w:tc>
          <w:tcPr>
            <w:tcW w:w="990" w:type="dxa"/>
            <w:tcBorders>
              <w:left w:val="single" w:sz="2" w:space="0" w:color="000000"/>
              <w:bottom w:val="single" w:sz="2" w:space="0" w:color="000000"/>
              <w:right w:val="single" w:sz="2" w:space="0" w:color="000000"/>
            </w:tcBorders>
          </w:tcPr>
          <w:p w14:paraId="581D1041" w14:textId="77777777" w:rsidR="00575174" w:rsidRDefault="009F4508">
            <w:pPr>
              <w:widowControl w:val="0"/>
              <w:ind w:right="-30"/>
              <w:jc w:val="center"/>
              <w:rPr>
                <w:rFonts w:ascii="Times New Roman" w:hAnsi="Times New Roman" w:cs="Times New Roman"/>
                <w:sz w:val="20"/>
                <w:szCs w:val="20"/>
              </w:rPr>
            </w:pPr>
            <w:r>
              <w:rPr>
                <w:rFonts w:ascii="Times New Roman" w:hAnsi="Times New Roman" w:cs="Times New Roman"/>
                <w:sz w:val="20"/>
                <w:szCs w:val="20"/>
              </w:rPr>
              <w:t>Quantidade Mínima</w:t>
            </w:r>
          </w:p>
        </w:tc>
        <w:tc>
          <w:tcPr>
            <w:tcW w:w="901" w:type="dxa"/>
            <w:tcBorders>
              <w:left w:val="single" w:sz="2" w:space="0" w:color="000000"/>
              <w:bottom w:val="single" w:sz="2" w:space="0" w:color="000000"/>
            </w:tcBorders>
          </w:tcPr>
          <w:p w14:paraId="6E056BA5" w14:textId="77777777" w:rsidR="00575174" w:rsidRDefault="009F4508">
            <w:pPr>
              <w:widowControl w:val="0"/>
              <w:ind w:right="-30"/>
              <w:jc w:val="center"/>
              <w:rPr>
                <w:rFonts w:ascii="Times New Roman" w:hAnsi="Times New Roman" w:cs="Times New Roman"/>
                <w:sz w:val="20"/>
                <w:szCs w:val="20"/>
              </w:rPr>
            </w:pPr>
            <w:r>
              <w:rPr>
                <w:rFonts w:ascii="Times New Roman" w:hAnsi="Times New Roman" w:cs="Times New Roman"/>
                <w:sz w:val="20"/>
                <w:szCs w:val="20"/>
              </w:rPr>
              <w:t>Valor Un</w:t>
            </w:r>
          </w:p>
        </w:tc>
        <w:tc>
          <w:tcPr>
            <w:tcW w:w="844" w:type="dxa"/>
            <w:tcBorders>
              <w:left w:val="single" w:sz="2" w:space="0" w:color="000000"/>
              <w:bottom w:val="single" w:sz="2" w:space="0" w:color="000000"/>
              <w:right w:val="single" w:sz="2" w:space="0" w:color="000000"/>
            </w:tcBorders>
          </w:tcPr>
          <w:p w14:paraId="60FF9792" w14:textId="77777777" w:rsidR="00575174" w:rsidRDefault="009F4508">
            <w:pPr>
              <w:widowControl w:val="0"/>
              <w:ind w:right="-30"/>
              <w:jc w:val="center"/>
              <w:rPr>
                <w:rFonts w:ascii="Times New Roman" w:hAnsi="Times New Roman" w:cs="Times New Roman"/>
                <w:sz w:val="20"/>
                <w:szCs w:val="20"/>
              </w:rPr>
            </w:pPr>
            <w:r>
              <w:rPr>
                <w:rFonts w:ascii="Times New Roman" w:hAnsi="Times New Roman" w:cs="Times New Roman"/>
                <w:sz w:val="20"/>
                <w:szCs w:val="20"/>
              </w:rPr>
              <w:t>Prazo garantia ou validade</w:t>
            </w:r>
          </w:p>
        </w:tc>
      </w:tr>
      <w:tr w:rsidR="00575174" w14:paraId="56F9AD91" w14:textId="77777777">
        <w:trPr>
          <w:trHeight w:val="174"/>
        </w:trPr>
        <w:tc>
          <w:tcPr>
            <w:tcW w:w="834" w:type="dxa"/>
            <w:tcBorders>
              <w:left w:val="single" w:sz="2" w:space="0" w:color="000000"/>
              <w:bottom w:val="single" w:sz="2" w:space="0" w:color="000000"/>
            </w:tcBorders>
          </w:tcPr>
          <w:p w14:paraId="226E2BF7" w14:textId="77777777" w:rsidR="00575174" w:rsidRDefault="00575174">
            <w:pPr>
              <w:widowControl w:val="0"/>
              <w:ind w:right="-30"/>
              <w:jc w:val="both"/>
              <w:rPr>
                <w:rFonts w:ascii="Times New Roman" w:hAnsi="Times New Roman" w:cs="Times New Roman"/>
                <w:sz w:val="20"/>
                <w:szCs w:val="20"/>
              </w:rPr>
            </w:pPr>
          </w:p>
        </w:tc>
        <w:tc>
          <w:tcPr>
            <w:tcW w:w="1143" w:type="dxa"/>
            <w:tcBorders>
              <w:left w:val="single" w:sz="2" w:space="0" w:color="000000"/>
              <w:bottom w:val="single" w:sz="2" w:space="0" w:color="000000"/>
            </w:tcBorders>
          </w:tcPr>
          <w:p w14:paraId="779960D8" w14:textId="77777777" w:rsidR="00575174" w:rsidRDefault="00575174">
            <w:pPr>
              <w:widowControl w:val="0"/>
              <w:ind w:right="-30"/>
              <w:jc w:val="both"/>
              <w:rPr>
                <w:rFonts w:ascii="Times New Roman" w:hAnsi="Times New Roman" w:cs="Times New Roman"/>
                <w:sz w:val="20"/>
                <w:szCs w:val="20"/>
              </w:rPr>
            </w:pPr>
          </w:p>
        </w:tc>
        <w:tc>
          <w:tcPr>
            <w:tcW w:w="1110" w:type="dxa"/>
            <w:tcBorders>
              <w:left w:val="single" w:sz="2" w:space="0" w:color="000000"/>
              <w:bottom w:val="single" w:sz="2" w:space="0" w:color="000000"/>
            </w:tcBorders>
          </w:tcPr>
          <w:p w14:paraId="52252E90" w14:textId="77777777" w:rsidR="00575174" w:rsidRDefault="00575174">
            <w:pPr>
              <w:widowControl w:val="0"/>
              <w:ind w:right="-30"/>
              <w:jc w:val="both"/>
              <w:rPr>
                <w:rFonts w:ascii="Times New Roman" w:hAnsi="Times New Roman" w:cs="Times New Roman"/>
                <w:sz w:val="20"/>
                <w:szCs w:val="20"/>
              </w:rPr>
            </w:pPr>
          </w:p>
        </w:tc>
        <w:tc>
          <w:tcPr>
            <w:tcW w:w="1439" w:type="dxa"/>
            <w:tcBorders>
              <w:left w:val="single" w:sz="2" w:space="0" w:color="000000"/>
              <w:bottom w:val="single" w:sz="2" w:space="0" w:color="000000"/>
            </w:tcBorders>
          </w:tcPr>
          <w:p w14:paraId="777819F5" w14:textId="77777777" w:rsidR="00575174" w:rsidRDefault="00575174">
            <w:pPr>
              <w:widowControl w:val="0"/>
              <w:ind w:right="-30"/>
              <w:jc w:val="both"/>
              <w:rPr>
                <w:rFonts w:ascii="Times New Roman" w:hAnsi="Times New Roman" w:cs="Times New Roman"/>
                <w:sz w:val="20"/>
                <w:szCs w:val="20"/>
              </w:rPr>
            </w:pPr>
          </w:p>
        </w:tc>
        <w:tc>
          <w:tcPr>
            <w:tcW w:w="990" w:type="dxa"/>
            <w:tcBorders>
              <w:left w:val="single" w:sz="2" w:space="0" w:color="000000"/>
              <w:bottom w:val="single" w:sz="2" w:space="0" w:color="000000"/>
            </w:tcBorders>
          </w:tcPr>
          <w:p w14:paraId="5588CF6D" w14:textId="77777777" w:rsidR="00575174" w:rsidRDefault="00575174">
            <w:pPr>
              <w:widowControl w:val="0"/>
              <w:ind w:right="-30"/>
              <w:jc w:val="both"/>
              <w:rPr>
                <w:rFonts w:ascii="Times New Roman" w:hAnsi="Times New Roman" w:cs="Times New Roman"/>
                <w:sz w:val="20"/>
                <w:szCs w:val="20"/>
              </w:rPr>
            </w:pPr>
          </w:p>
        </w:tc>
        <w:tc>
          <w:tcPr>
            <w:tcW w:w="1140" w:type="dxa"/>
            <w:tcBorders>
              <w:left w:val="single" w:sz="2" w:space="0" w:color="000000"/>
              <w:bottom w:val="single" w:sz="2" w:space="0" w:color="000000"/>
            </w:tcBorders>
          </w:tcPr>
          <w:p w14:paraId="7C8A7983" w14:textId="77777777" w:rsidR="00575174" w:rsidRDefault="00575174">
            <w:pPr>
              <w:widowControl w:val="0"/>
              <w:ind w:right="-30"/>
              <w:jc w:val="both"/>
              <w:rPr>
                <w:rFonts w:ascii="Times New Roman" w:hAnsi="Times New Roman" w:cs="Times New Roman"/>
                <w:sz w:val="20"/>
                <w:szCs w:val="20"/>
              </w:rPr>
            </w:pPr>
          </w:p>
        </w:tc>
        <w:tc>
          <w:tcPr>
            <w:tcW w:w="990" w:type="dxa"/>
            <w:tcBorders>
              <w:left w:val="single" w:sz="2" w:space="0" w:color="000000"/>
              <w:bottom w:val="single" w:sz="2" w:space="0" w:color="000000"/>
              <w:right w:val="single" w:sz="2" w:space="0" w:color="000000"/>
            </w:tcBorders>
          </w:tcPr>
          <w:p w14:paraId="67648C86" w14:textId="77777777" w:rsidR="00575174" w:rsidRDefault="00575174">
            <w:pPr>
              <w:widowControl w:val="0"/>
              <w:ind w:right="-30"/>
              <w:jc w:val="both"/>
              <w:rPr>
                <w:rFonts w:ascii="Times New Roman" w:hAnsi="Times New Roman" w:cs="Times New Roman"/>
                <w:sz w:val="20"/>
                <w:szCs w:val="20"/>
              </w:rPr>
            </w:pPr>
          </w:p>
        </w:tc>
        <w:tc>
          <w:tcPr>
            <w:tcW w:w="901" w:type="dxa"/>
            <w:tcBorders>
              <w:left w:val="single" w:sz="2" w:space="0" w:color="000000"/>
              <w:bottom w:val="single" w:sz="2" w:space="0" w:color="000000"/>
            </w:tcBorders>
          </w:tcPr>
          <w:p w14:paraId="176FED4A" w14:textId="77777777" w:rsidR="00575174" w:rsidRDefault="00575174">
            <w:pPr>
              <w:widowControl w:val="0"/>
              <w:ind w:right="-30"/>
              <w:jc w:val="both"/>
              <w:rPr>
                <w:rFonts w:ascii="Times New Roman" w:hAnsi="Times New Roman" w:cs="Times New Roman"/>
                <w:sz w:val="20"/>
                <w:szCs w:val="20"/>
              </w:rPr>
            </w:pPr>
          </w:p>
        </w:tc>
        <w:tc>
          <w:tcPr>
            <w:tcW w:w="844" w:type="dxa"/>
            <w:tcBorders>
              <w:left w:val="single" w:sz="2" w:space="0" w:color="000000"/>
              <w:bottom w:val="single" w:sz="2" w:space="0" w:color="000000"/>
              <w:right w:val="single" w:sz="2" w:space="0" w:color="000000"/>
            </w:tcBorders>
          </w:tcPr>
          <w:p w14:paraId="3BEEE5FB" w14:textId="77777777" w:rsidR="00575174" w:rsidRDefault="00575174">
            <w:pPr>
              <w:widowControl w:val="0"/>
              <w:ind w:right="-30"/>
              <w:jc w:val="both"/>
              <w:rPr>
                <w:rFonts w:ascii="Times New Roman" w:hAnsi="Times New Roman" w:cs="Times New Roman"/>
                <w:sz w:val="20"/>
                <w:szCs w:val="20"/>
              </w:rPr>
            </w:pPr>
          </w:p>
        </w:tc>
      </w:tr>
    </w:tbl>
    <w:p w14:paraId="43847648" w14:textId="77777777" w:rsidR="00575174" w:rsidRDefault="00575174">
      <w:pPr>
        <w:widowControl w:val="0"/>
        <w:ind w:right="-30"/>
        <w:jc w:val="center"/>
        <w:rPr>
          <w:rFonts w:ascii="Times New Roman" w:hAnsi="Times New Roman" w:cs="Times New Roman"/>
          <w:sz w:val="20"/>
          <w:szCs w:val="20"/>
        </w:rPr>
      </w:pPr>
    </w:p>
    <w:p w14:paraId="4BBA837E" w14:textId="77777777" w:rsidR="00575174" w:rsidRDefault="00575174">
      <w:pPr>
        <w:widowControl w:val="0"/>
        <w:ind w:right="-30"/>
        <w:jc w:val="center"/>
        <w:rPr>
          <w:rFonts w:ascii="Times New Roman" w:hAnsi="Times New Roman" w:cs="Times New Roman"/>
          <w:sz w:val="20"/>
          <w:szCs w:val="20"/>
        </w:rPr>
      </w:pPr>
    </w:p>
    <w:p w14:paraId="4D5362B9" w14:textId="77777777" w:rsidR="00575174" w:rsidRDefault="009F4508">
      <w:pPr>
        <w:widowControl w:val="0"/>
        <w:ind w:firstLine="709"/>
        <w:jc w:val="both"/>
        <w:rPr>
          <w:rFonts w:ascii="Times New Roman" w:hAnsi="Times New Roman" w:cs="Times New Roman"/>
          <w:sz w:val="20"/>
          <w:szCs w:val="20"/>
        </w:rPr>
      </w:pPr>
      <w:r>
        <w:rPr>
          <w:rFonts w:ascii="Times New Roman" w:hAnsi="Times New Roman" w:cs="Times New Roman"/>
          <w:sz w:val="20"/>
          <w:szCs w:val="20"/>
        </w:rPr>
        <w:t>Seguindo a ordem de classificação, segue relação de fornecedores que mantiveram sua proposta original:</w:t>
      </w:r>
    </w:p>
    <w:p w14:paraId="12FF26E8" w14:textId="77777777" w:rsidR="00575174" w:rsidRDefault="00575174">
      <w:pPr>
        <w:widowControl w:val="0"/>
        <w:ind w:right="-30"/>
        <w:jc w:val="center"/>
        <w:rPr>
          <w:rFonts w:ascii="Times New Roman" w:hAnsi="Times New Roman" w:cs="Times New Roman"/>
          <w:sz w:val="20"/>
          <w:szCs w:val="20"/>
        </w:rPr>
      </w:pPr>
    </w:p>
    <w:tbl>
      <w:tblPr>
        <w:tblW w:w="9392" w:type="dxa"/>
        <w:tblInd w:w="10" w:type="dxa"/>
        <w:tblLayout w:type="fixed"/>
        <w:tblCellMar>
          <w:left w:w="10" w:type="dxa"/>
          <w:right w:w="10" w:type="dxa"/>
        </w:tblCellMar>
        <w:tblLook w:val="04A0" w:firstRow="1" w:lastRow="0" w:firstColumn="1" w:lastColumn="0" w:noHBand="0" w:noVBand="1"/>
      </w:tblPr>
      <w:tblGrid>
        <w:gridCol w:w="696"/>
        <w:gridCol w:w="1133"/>
        <w:gridCol w:w="1258"/>
        <w:gridCol w:w="1159"/>
        <w:gridCol w:w="1130"/>
        <w:gridCol w:w="1281"/>
        <w:gridCol w:w="1052"/>
        <w:gridCol w:w="839"/>
        <w:gridCol w:w="844"/>
      </w:tblGrid>
      <w:tr w:rsidR="00575174" w14:paraId="65EEA1C0" w14:textId="77777777">
        <w:trPr>
          <w:trHeight w:val="511"/>
        </w:trPr>
        <w:tc>
          <w:tcPr>
            <w:tcW w:w="695" w:type="dxa"/>
            <w:tcBorders>
              <w:top w:val="single" w:sz="2" w:space="0" w:color="000000"/>
              <w:left w:val="single" w:sz="2" w:space="0" w:color="000000"/>
              <w:bottom w:val="single" w:sz="2" w:space="0" w:color="000000"/>
              <w:right w:val="single" w:sz="2" w:space="0" w:color="000000"/>
            </w:tcBorders>
            <w:vAlign w:val="center"/>
          </w:tcPr>
          <w:p w14:paraId="618441A2" w14:textId="77777777" w:rsidR="00575174" w:rsidRDefault="009F4508">
            <w:pPr>
              <w:widowControl w:val="0"/>
              <w:ind w:right="-30"/>
              <w:jc w:val="center"/>
              <w:rPr>
                <w:rFonts w:ascii="Times New Roman" w:hAnsi="Times New Roman" w:cs="Times New Roman"/>
                <w:sz w:val="20"/>
                <w:szCs w:val="20"/>
              </w:rPr>
            </w:pPr>
            <w:r>
              <w:rPr>
                <w:rFonts w:ascii="Times New Roman" w:hAnsi="Times New Roman" w:cs="Times New Roman"/>
                <w:sz w:val="20"/>
                <w:szCs w:val="20"/>
              </w:rPr>
              <w:t>Item</w:t>
            </w:r>
          </w:p>
          <w:p w14:paraId="29D6DC43" w14:textId="77777777" w:rsidR="00575174" w:rsidRDefault="009F4508">
            <w:pPr>
              <w:widowControl w:val="0"/>
              <w:ind w:right="-30"/>
              <w:jc w:val="center"/>
              <w:rPr>
                <w:rFonts w:ascii="Times New Roman" w:hAnsi="Times New Roman" w:cs="Times New Roman"/>
                <w:sz w:val="20"/>
                <w:szCs w:val="20"/>
              </w:rPr>
            </w:pPr>
            <w:r>
              <w:rPr>
                <w:rFonts w:ascii="Times New Roman" w:hAnsi="Times New Roman" w:cs="Times New Roman"/>
                <w:sz w:val="20"/>
                <w:szCs w:val="20"/>
              </w:rPr>
              <w:t>do</w:t>
            </w:r>
          </w:p>
          <w:p w14:paraId="32CCCC35" w14:textId="77777777" w:rsidR="00575174" w:rsidRDefault="009F4508">
            <w:pPr>
              <w:widowControl w:val="0"/>
              <w:ind w:right="-30"/>
              <w:jc w:val="center"/>
              <w:rPr>
                <w:rFonts w:ascii="Times New Roman" w:hAnsi="Times New Roman" w:cs="Times New Roman"/>
                <w:sz w:val="20"/>
                <w:szCs w:val="20"/>
              </w:rPr>
            </w:pPr>
            <w:r>
              <w:rPr>
                <w:rFonts w:ascii="Times New Roman" w:hAnsi="Times New Roman" w:cs="Times New Roman"/>
                <w:sz w:val="20"/>
                <w:szCs w:val="20"/>
              </w:rPr>
              <w:t>TR</w:t>
            </w:r>
          </w:p>
        </w:tc>
        <w:tc>
          <w:tcPr>
            <w:tcW w:w="8696" w:type="dxa"/>
            <w:gridSpan w:val="8"/>
            <w:tcBorders>
              <w:top w:val="single" w:sz="2" w:space="0" w:color="000000"/>
              <w:left w:val="single" w:sz="2" w:space="0" w:color="000000"/>
              <w:bottom w:val="single" w:sz="2" w:space="0" w:color="000000"/>
              <w:right w:val="single" w:sz="2" w:space="0" w:color="000000"/>
            </w:tcBorders>
          </w:tcPr>
          <w:p w14:paraId="75C2ED3C" w14:textId="77777777" w:rsidR="00575174" w:rsidRDefault="009F4508">
            <w:pPr>
              <w:widowControl w:val="0"/>
              <w:ind w:right="-30"/>
              <w:jc w:val="center"/>
              <w:rPr>
                <w:rFonts w:ascii="Times New Roman" w:hAnsi="Times New Roman" w:cs="Times New Roman"/>
                <w:sz w:val="20"/>
                <w:szCs w:val="20"/>
              </w:rPr>
            </w:pPr>
            <w:r>
              <w:rPr>
                <w:rFonts w:ascii="Times New Roman" w:hAnsi="Times New Roman" w:cs="Times New Roman"/>
                <w:sz w:val="20"/>
                <w:szCs w:val="20"/>
              </w:rPr>
              <w:t xml:space="preserve">Fornecedor </w:t>
            </w:r>
            <w:r>
              <w:rPr>
                <w:rFonts w:ascii="Times New Roman" w:hAnsi="Times New Roman" w:cs="Times New Roman"/>
                <w:i/>
                <w:sz w:val="20"/>
                <w:szCs w:val="20"/>
              </w:rPr>
              <w:t>(razão social, CNPJ/MF, endereço, contatos, representante)</w:t>
            </w:r>
          </w:p>
          <w:p w14:paraId="52140AC9" w14:textId="77777777" w:rsidR="00575174" w:rsidRDefault="00575174">
            <w:pPr>
              <w:widowControl w:val="0"/>
              <w:ind w:right="-30"/>
              <w:jc w:val="center"/>
              <w:rPr>
                <w:rFonts w:ascii="Times New Roman" w:hAnsi="Times New Roman" w:cs="Times New Roman"/>
                <w:sz w:val="20"/>
                <w:szCs w:val="20"/>
              </w:rPr>
            </w:pPr>
          </w:p>
        </w:tc>
      </w:tr>
      <w:tr w:rsidR="00575174" w14:paraId="4A69E45E" w14:textId="77777777">
        <w:trPr>
          <w:trHeight w:val="674"/>
        </w:trPr>
        <w:tc>
          <w:tcPr>
            <w:tcW w:w="695" w:type="dxa"/>
            <w:tcBorders>
              <w:left w:val="single" w:sz="2" w:space="0" w:color="000000"/>
              <w:bottom w:val="single" w:sz="2" w:space="0" w:color="000000"/>
            </w:tcBorders>
            <w:vAlign w:val="center"/>
          </w:tcPr>
          <w:p w14:paraId="0EC02FB3" w14:textId="77777777" w:rsidR="00575174" w:rsidRDefault="009F4508">
            <w:pPr>
              <w:widowControl w:val="0"/>
              <w:ind w:right="-30"/>
              <w:jc w:val="center"/>
              <w:rPr>
                <w:rFonts w:ascii="Times New Roman" w:hAnsi="Times New Roman" w:cs="Times New Roman"/>
                <w:sz w:val="20"/>
                <w:szCs w:val="20"/>
              </w:rPr>
            </w:pPr>
            <w:r>
              <w:rPr>
                <w:rFonts w:ascii="Times New Roman" w:hAnsi="Times New Roman" w:cs="Times New Roman"/>
                <w:sz w:val="20"/>
                <w:szCs w:val="20"/>
              </w:rPr>
              <w:t>X</w:t>
            </w:r>
          </w:p>
        </w:tc>
        <w:tc>
          <w:tcPr>
            <w:tcW w:w="1133" w:type="dxa"/>
            <w:tcBorders>
              <w:left w:val="single" w:sz="2" w:space="0" w:color="000000"/>
              <w:bottom w:val="single" w:sz="2" w:space="0" w:color="000000"/>
            </w:tcBorders>
          </w:tcPr>
          <w:p w14:paraId="7DF29D8C" w14:textId="77777777" w:rsidR="00575174" w:rsidRDefault="009F4508">
            <w:pPr>
              <w:widowControl w:val="0"/>
              <w:ind w:right="-30"/>
              <w:jc w:val="both"/>
              <w:rPr>
                <w:rFonts w:ascii="Times New Roman" w:hAnsi="Times New Roman" w:cs="Times New Roman"/>
                <w:sz w:val="20"/>
                <w:szCs w:val="20"/>
              </w:rPr>
            </w:pPr>
            <w:r>
              <w:rPr>
                <w:rFonts w:ascii="Times New Roman" w:hAnsi="Times New Roman" w:cs="Times New Roman"/>
                <w:sz w:val="20"/>
                <w:szCs w:val="20"/>
              </w:rPr>
              <w:t>Especificação</w:t>
            </w:r>
          </w:p>
        </w:tc>
        <w:tc>
          <w:tcPr>
            <w:tcW w:w="1258" w:type="dxa"/>
            <w:tcBorders>
              <w:left w:val="single" w:sz="2" w:space="0" w:color="000000"/>
              <w:bottom w:val="single" w:sz="2" w:space="0" w:color="000000"/>
            </w:tcBorders>
          </w:tcPr>
          <w:p w14:paraId="5F92F48D" w14:textId="77777777" w:rsidR="00575174" w:rsidRDefault="009F4508">
            <w:pPr>
              <w:widowControl w:val="0"/>
              <w:ind w:right="-30"/>
              <w:jc w:val="center"/>
              <w:rPr>
                <w:rFonts w:ascii="Times New Roman" w:hAnsi="Times New Roman" w:cs="Times New Roman"/>
                <w:sz w:val="20"/>
                <w:szCs w:val="20"/>
              </w:rPr>
            </w:pPr>
            <w:r>
              <w:rPr>
                <w:rFonts w:ascii="Times New Roman" w:hAnsi="Times New Roman" w:cs="Times New Roman"/>
                <w:sz w:val="20"/>
                <w:szCs w:val="20"/>
              </w:rPr>
              <w:t>Marca</w:t>
            </w:r>
          </w:p>
          <w:p w14:paraId="23BCA642" w14:textId="77777777" w:rsidR="00575174" w:rsidRDefault="009F4508">
            <w:pPr>
              <w:widowControl w:val="0"/>
              <w:ind w:right="-30"/>
              <w:jc w:val="center"/>
              <w:rPr>
                <w:rFonts w:ascii="Times New Roman" w:hAnsi="Times New Roman" w:cs="Times New Roman"/>
                <w:sz w:val="20"/>
                <w:szCs w:val="20"/>
              </w:rPr>
            </w:pPr>
            <w:r>
              <w:rPr>
                <w:rFonts w:ascii="Times New Roman" w:hAnsi="Times New Roman" w:cs="Times New Roman"/>
                <w:sz w:val="20"/>
                <w:szCs w:val="20"/>
              </w:rPr>
              <w:t>(se exigida no edital)</w:t>
            </w:r>
          </w:p>
        </w:tc>
        <w:tc>
          <w:tcPr>
            <w:tcW w:w="1159" w:type="dxa"/>
            <w:tcBorders>
              <w:left w:val="single" w:sz="2" w:space="0" w:color="000000"/>
              <w:bottom w:val="single" w:sz="2" w:space="0" w:color="000000"/>
            </w:tcBorders>
          </w:tcPr>
          <w:p w14:paraId="1742EE12" w14:textId="77777777" w:rsidR="00575174" w:rsidRDefault="009F4508">
            <w:pPr>
              <w:widowControl w:val="0"/>
              <w:ind w:right="-30"/>
              <w:jc w:val="center"/>
              <w:rPr>
                <w:rFonts w:ascii="Times New Roman" w:hAnsi="Times New Roman" w:cs="Times New Roman"/>
                <w:sz w:val="20"/>
                <w:szCs w:val="20"/>
              </w:rPr>
            </w:pPr>
            <w:r>
              <w:rPr>
                <w:rFonts w:ascii="Times New Roman" w:hAnsi="Times New Roman" w:cs="Times New Roman"/>
                <w:sz w:val="20"/>
                <w:szCs w:val="20"/>
              </w:rPr>
              <w:t>Modelo</w:t>
            </w:r>
          </w:p>
          <w:p w14:paraId="7DB3F5F0" w14:textId="77777777" w:rsidR="00575174" w:rsidRDefault="009F4508">
            <w:pPr>
              <w:widowControl w:val="0"/>
              <w:ind w:right="-30"/>
              <w:jc w:val="center"/>
              <w:rPr>
                <w:rFonts w:ascii="Times New Roman" w:hAnsi="Times New Roman" w:cs="Times New Roman"/>
                <w:sz w:val="20"/>
                <w:szCs w:val="20"/>
              </w:rPr>
            </w:pPr>
            <w:r>
              <w:rPr>
                <w:rFonts w:ascii="Times New Roman" w:hAnsi="Times New Roman" w:cs="Times New Roman"/>
                <w:sz w:val="20"/>
                <w:szCs w:val="20"/>
              </w:rPr>
              <w:t>(se exigido no edital)</w:t>
            </w:r>
          </w:p>
        </w:tc>
        <w:tc>
          <w:tcPr>
            <w:tcW w:w="1130" w:type="dxa"/>
            <w:tcBorders>
              <w:left w:val="single" w:sz="2" w:space="0" w:color="000000"/>
              <w:bottom w:val="single" w:sz="2" w:space="0" w:color="000000"/>
            </w:tcBorders>
          </w:tcPr>
          <w:p w14:paraId="7BEEEA60" w14:textId="77777777" w:rsidR="00575174" w:rsidRDefault="009F4508">
            <w:pPr>
              <w:widowControl w:val="0"/>
              <w:ind w:right="-30"/>
              <w:jc w:val="center"/>
              <w:rPr>
                <w:rFonts w:ascii="Times New Roman" w:hAnsi="Times New Roman" w:cs="Times New Roman"/>
                <w:sz w:val="20"/>
                <w:szCs w:val="20"/>
              </w:rPr>
            </w:pPr>
            <w:r>
              <w:rPr>
                <w:rFonts w:ascii="Times New Roman" w:hAnsi="Times New Roman" w:cs="Times New Roman"/>
                <w:sz w:val="20"/>
                <w:szCs w:val="20"/>
              </w:rPr>
              <w:t>Unidade</w:t>
            </w:r>
          </w:p>
        </w:tc>
        <w:tc>
          <w:tcPr>
            <w:tcW w:w="1281" w:type="dxa"/>
            <w:tcBorders>
              <w:left w:val="single" w:sz="2" w:space="0" w:color="000000"/>
              <w:bottom w:val="single" w:sz="2" w:space="0" w:color="000000"/>
            </w:tcBorders>
          </w:tcPr>
          <w:p w14:paraId="17A25E30" w14:textId="77777777" w:rsidR="00575174" w:rsidRDefault="009F4508">
            <w:pPr>
              <w:widowControl w:val="0"/>
              <w:ind w:right="-30"/>
              <w:jc w:val="center"/>
              <w:rPr>
                <w:rFonts w:ascii="Times New Roman" w:hAnsi="Times New Roman" w:cs="Times New Roman"/>
                <w:sz w:val="20"/>
                <w:szCs w:val="20"/>
              </w:rPr>
            </w:pPr>
            <w:r>
              <w:rPr>
                <w:rFonts w:ascii="Times New Roman" w:hAnsi="Times New Roman" w:cs="Times New Roman"/>
                <w:sz w:val="20"/>
                <w:szCs w:val="20"/>
              </w:rPr>
              <w:t>Quantidade</w:t>
            </w:r>
          </w:p>
          <w:p w14:paraId="4B040DE9" w14:textId="77777777" w:rsidR="00575174" w:rsidRDefault="009F4508">
            <w:pPr>
              <w:widowControl w:val="0"/>
              <w:ind w:right="-30"/>
              <w:jc w:val="center"/>
              <w:rPr>
                <w:rFonts w:ascii="Times New Roman" w:hAnsi="Times New Roman" w:cs="Times New Roman"/>
                <w:sz w:val="20"/>
                <w:szCs w:val="20"/>
              </w:rPr>
            </w:pPr>
            <w:r>
              <w:rPr>
                <w:rFonts w:ascii="Times New Roman" w:hAnsi="Times New Roman" w:cs="Times New Roman"/>
                <w:sz w:val="20"/>
                <w:szCs w:val="20"/>
              </w:rPr>
              <w:t>Máxima</w:t>
            </w:r>
          </w:p>
        </w:tc>
        <w:tc>
          <w:tcPr>
            <w:tcW w:w="1052" w:type="dxa"/>
            <w:tcBorders>
              <w:left w:val="single" w:sz="2" w:space="0" w:color="000000"/>
              <w:bottom w:val="single" w:sz="2" w:space="0" w:color="000000"/>
              <w:right w:val="single" w:sz="2" w:space="0" w:color="000000"/>
            </w:tcBorders>
          </w:tcPr>
          <w:p w14:paraId="75967F81" w14:textId="77777777" w:rsidR="00575174" w:rsidRDefault="009F4508">
            <w:pPr>
              <w:widowControl w:val="0"/>
              <w:ind w:right="-30"/>
              <w:jc w:val="center"/>
              <w:rPr>
                <w:rFonts w:ascii="Times New Roman" w:hAnsi="Times New Roman" w:cs="Times New Roman"/>
                <w:sz w:val="20"/>
                <w:szCs w:val="20"/>
              </w:rPr>
            </w:pPr>
            <w:r>
              <w:rPr>
                <w:rFonts w:ascii="Times New Roman" w:hAnsi="Times New Roman" w:cs="Times New Roman"/>
                <w:sz w:val="20"/>
                <w:szCs w:val="20"/>
              </w:rPr>
              <w:t>Quantidade Mínima</w:t>
            </w:r>
          </w:p>
        </w:tc>
        <w:tc>
          <w:tcPr>
            <w:tcW w:w="839" w:type="dxa"/>
            <w:tcBorders>
              <w:left w:val="single" w:sz="2" w:space="0" w:color="000000"/>
              <w:bottom w:val="single" w:sz="2" w:space="0" w:color="000000"/>
            </w:tcBorders>
          </w:tcPr>
          <w:p w14:paraId="29A66C3B" w14:textId="77777777" w:rsidR="00575174" w:rsidRDefault="009F4508">
            <w:pPr>
              <w:widowControl w:val="0"/>
              <w:ind w:right="-30"/>
              <w:jc w:val="center"/>
              <w:rPr>
                <w:rFonts w:ascii="Times New Roman" w:hAnsi="Times New Roman" w:cs="Times New Roman"/>
                <w:sz w:val="20"/>
                <w:szCs w:val="20"/>
              </w:rPr>
            </w:pPr>
            <w:r>
              <w:rPr>
                <w:rFonts w:ascii="Times New Roman" w:hAnsi="Times New Roman" w:cs="Times New Roman"/>
                <w:sz w:val="20"/>
                <w:szCs w:val="20"/>
              </w:rPr>
              <w:t>Valor Un</w:t>
            </w:r>
          </w:p>
        </w:tc>
        <w:tc>
          <w:tcPr>
            <w:tcW w:w="844" w:type="dxa"/>
            <w:tcBorders>
              <w:left w:val="single" w:sz="2" w:space="0" w:color="000000"/>
              <w:bottom w:val="single" w:sz="2" w:space="0" w:color="000000"/>
              <w:right w:val="single" w:sz="2" w:space="0" w:color="000000"/>
            </w:tcBorders>
          </w:tcPr>
          <w:p w14:paraId="7092CA5A" w14:textId="77777777" w:rsidR="00575174" w:rsidRDefault="009F4508">
            <w:pPr>
              <w:widowControl w:val="0"/>
              <w:ind w:right="-30"/>
              <w:jc w:val="center"/>
              <w:rPr>
                <w:rFonts w:ascii="Times New Roman" w:hAnsi="Times New Roman" w:cs="Times New Roman"/>
                <w:sz w:val="20"/>
                <w:szCs w:val="20"/>
              </w:rPr>
            </w:pPr>
            <w:r>
              <w:rPr>
                <w:rFonts w:ascii="Times New Roman" w:hAnsi="Times New Roman" w:cs="Times New Roman"/>
                <w:sz w:val="20"/>
                <w:szCs w:val="20"/>
              </w:rPr>
              <w:t>Prazo garantia ou validade</w:t>
            </w:r>
          </w:p>
        </w:tc>
      </w:tr>
      <w:tr w:rsidR="00575174" w14:paraId="50D86A9F" w14:textId="77777777">
        <w:trPr>
          <w:trHeight w:val="174"/>
        </w:trPr>
        <w:tc>
          <w:tcPr>
            <w:tcW w:w="695" w:type="dxa"/>
            <w:tcBorders>
              <w:left w:val="single" w:sz="2" w:space="0" w:color="000000"/>
              <w:bottom w:val="single" w:sz="2" w:space="0" w:color="000000"/>
            </w:tcBorders>
          </w:tcPr>
          <w:p w14:paraId="5B6AC5C9" w14:textId="77777777" w:rsidR="00575174" w:rsidRDefault="00575174">
            <w:pPr>
              <w:widowControl w:val="0"/>
              <w:ind w:right="-30"/>
              <w:jc w:val="both"/>
              <w:rPr>
                <w:rFonts w:ascii="Times New Roman" w:hAnsi="Times New Roman" w:cs="Times New Roman"/>
                <w:sz w:val="20"/>
                <w:szCs w:val="20"/>
              </w:rPr>
            </w:pPr>
          </w:p>
        </w:tc>
        <w:tc>
          <w:tcPr>
            <w:tcW w:w="1133" w:type="dxa"/>
            <w:tcBorders>
              <w:left w:val="single" w:sz="2" w:space="0" w:color="000000"/>
              <w:bottom w:val="single" w:sz="2" w:space="0" w:color="000000"/>
            </w:tcBorders>
          </w:tcPr>
          <w:p w14:paraId="2A328F7B" w14:textId="77777777" w:rsidR="00575174" w:rsidRDefault="00575174">
            <w:pPr>
              <w:widowControl w:val="0"/>
              <w:ind w:right="-30"/>
              <w:jc w:val="both"/>
              <w:rPr>
                <w:rFonts w:ascii="Times New Roman" w:hAnsi="Times New Roman" w:cs="Times New Roman"/>
                <w:sz w:val="20"/>
                <w:szCs w:val="20"/>
              </w:rPr>
            </w:pPr>
          </w:p>
        </w:tc>
        <w:tc>
          <w:tcPr>
            <w:tcW w:w="1258" w:type="dxa"/>
            <w:tcBorders>
              <w:left w:val="single" w:sz="2" w:space="0" w:color="000000"/>
              <w:bottom w:val="single" w:sz="2" w:space="0" w:color="000000"/>
            </w:tcBorders>
          </w:tcPr>
          <w:p w14:paraId="70B724E4" w14:textId="77777777" w:rsidR="00575174" w:rsidRDefault="00575174">
            <w:pPr>
              <w:widowControl w:val="0"/>
              <w:ind w:right="-30"/>
              <w:jc w:val="both"/>
              <w:rPr>
                <w:rFonts w:ascii="Times New Roman" w:hAnsi="Times New Roman" w:cs="Times New Roman"/>
                <w:sz w:val="20"/>
                <w:szCs w:val="20"/>
              </w:rPr>
            </w:pPr>
          </w:p>
        </w:tc>
        <w:tc>
          <w:tcPr>
            <w:tcW w:w="1159" w:type="dxa"/>
            <w:tcBorders>
              <w:left w:val="single" w:sz="2" w:space="0" w:color="000000"/>
              <w:bottom w:val="single" w:sz="2" w:space="0" w:color="000000"/>
            </w:tcBorders>
          </w:tcPr>
          <w:p w14:paraId="3D0F3C69" w14:textId="77777777" w:rsidR="00575174" w:rsidRDefault="00575174">
            <w:pPr>
              <w:widowControl w:val="0"/>
              <w:ind w:right="-30"/>
              <w:jc w:val="both"/>
              <w:rPr>
                <w:rFonts w:ascii="Times New Roman" w:hAnsi="Times New Roman" w:cs="Times New Roman"/>
                <w:sz w:val="20"/>
                <w:szCs w:val="20"/>
              </w:rPr>
            </w:pPr>
          </w:p>
        </w:tc>
        <w:tc>
          <w:tcPr>
            <w:tcW w:w="1130" w:type="dxa"/>
            <w:tcBorders>
              <w:left w:val="single" w:sz="2" w:space="0" w:color="000000"/>
              <w:bottom w:val="single" w:sz="2" w:space="0" w:color="000000"/>
            </w:tcBorders>
          </w:tcPr>
          <w:p w14:paraId="0C8D4C1C" w14:textId="77777777" w:rsidR="00575174" w:rsidRDefault="00575174">
            <w:pPr>
              <w:widowControl w:val="0"/>
              <w:ind w:right="-30"/>
              <w:jc w:val="both"/>
              <w:rPr>
                <w:rFonts w:ascii="Times New Roman" w:hAnsi="Times New Roman" w:cs="Times New Roman"/>
                <w:sz w:val="20"/>
                <w:szCs w:val="20"/>
              </w:rPr>
            </w:pPr>
          </w:p>
        </w:tc>
        <w:tc>
          <w:tcPr>
            <w:tcW w:w="1281" w:type="dxa"/>
            <w:tcBorders>
              <w:left w:val="single" w:sz="2" w:space="0" w:color="000000"/>
              <w:bottom w:val="single" w:sz="2" w:space="0" w:color="000000"/>
            </w:tcBorders>
          </w:tcPr>
          <w:p w14:paraId="23AD77FC" w14:textId="77777777" w:rsidR="00575174" w:rsidRDefault="00575174">
            <w:pPr>
              <w:widowControl w:val="0"/>
              <w:ind w:right="-30"/>
              <w:jc w:val="both"/>
              <w:rPr>
                <w:rFonts w:ascii="Times New Roman" w:hAnsi="Times New Roman" w:cs="Times New Roman"/>
                <w:sz w:val="20"/>
                <w:szCs w:val="20"/>
              </w:rPr>
            </w:pPr>
          </w:p>
        </w:tc>
        <w:tc>
          <w:tcPr>
            <w:tcW w:w="1052" w:type="dxa"/>
            <w:tcBorders>
              <w:left w:val="single" w:sz="2" w:space="0" w:color="000000"/>
              <w:bottom w:val="single" w:sz="2" w:space="0" w:color="000000"/>
              <w:right w:val="single" w:sz="2" w:space="0" w:color="000000"/>
            </w:tcBorders>
          </w:tcPr>
          <w:p w14:paraId="50E0BFA9" w14:textId="77777777" w:rsidR="00575174" w:rsidRDefault="00575174">
            <w:pPr>
              <w:widowControl w:val="0"/>
              <w:ind w:right="-30"/>
              <w:jc w:val="both"/>
              <w:rPr>
                <w:rFonts w:ascii="Times New Roman" w:hAnsi="Times New Roman" w:cs="Times New Roman"/>
                <w:sz w:val="20"/>
                <w:szCs w:val="20"/>
              </w:rPr>
            </w:pPr>
          </w:p>
        </w:tc>
        <w:tc>
          <w:tcPr>
            <w:tcW w:w="839" w:type="dxa"/>
            <w:tcBorders>
              <w:left w:val="single" w:sz="2" w:space="0" w:color="000000"/>
              <w:bottom w:val="single" w:sz="2" w:space="0" w:color="000000"/>
            </w:tcBorders>
          </w:tcPr>
          <w:p w14:paraId="59258A50" w14:textId="77777777" w:rsidR="00575174" w:rsidRDefault="00575174">
            <w:pPr>
              <w:widowControl w:val="0"/>
              <w:ind w:right="-30"/>
              <w:jc w:val="both"/>
              <w:rPr>
                <w:rFonts w:ascii="Times New Roman" w:hAnsi="Times New Roman" w:cs="Times New Roman"/>
                <w:sz w:val="20"/>
                <w:szCs w:val="20"/>
              </w:rPr>
            </w:pPr>
          </w:p>
        </w:tc>
        <w:tc>
          <w:tcPr>
            <w:tcW w:w="844" w:type="dxa"/>
            <w:tcBorders>
              <w:left w:val="single" w:sz="2" w:space="0" w:color="000000"/>
              <w:bottom w:val="single" w:sz="2" w:space="0" w:color="000000"/>
              <w:right w:val="single" w:sz="2" w:space="0" w:color="000000"/>
            </w:tcBorders>
          </w:tcPr>
          <w:p w14:paraId="103809B0" w14:textId="77777777" w:rsidR="00575174" w:rsidRDefault="00575174">
            <w:pPr>
              <w:widowControl w:val="0"/>
              <w:ind w:right="-30"/>
              <w:jc w:val="both"/>
              <w:rPr>
                <w:rFonts w:ascii="Times New Roman" w:hAnsi="Times New Roman" w:cs="Times New Roman"/>
                <w:sz w:val="20"/>
                <w:szCs w:val="20"/>
              </w:rPr>
            </w:pPr>
          </w:p>
        </w:tc>
      </w:tr>
    </w:tbl>
    <w:p w14:paraId="197F2CC2" w14:textId="77777777" w:rsidR="00575174" w:rsidRDefault="00575174">
      <w:pPr>
        <w:widowControl w:val="0"/>
        <w:ind w:right="-30"/>
        <w:jc w:val="center"/>
        <w:rPr>
          <w:rFonts w:ascii="Times New Roman" w:hAnsi="Times New Roman" w:cs="Times New Roman"/>
          <w:sz w:val="20"/>
          <w:szCs w:val="20"/>
        </w:rPr>
      </w:pPr>
    </w:p>
    <w:p w14:paraId="3EE4BD88" w14:textId="77777777" w:rsidR="00575174" w:rsidRDefault="00575174">
      <w:pPr>
        <w:jc w:val="center"/>
        <w:rPr>
          <w:rFonts w:ascii="Times New Roman" w:hAnsi="Times New Roman" w:cs="Times New Roman"/>
          <w:sz w:val="20"/>
          <w:szCs w:val="20"/>
        </w:rPr>
      </w:pPr>
    </w:p>
    <w:p w14:paraId="6847E6F1" w14:textId="77777777" w:rsidR="00575174" w:rsidRDefault="00575174">
      <w:pPr>
        <w:widowControl w:val="0"/>
        <w:ind w:right="-30"/>
        <w:jc w:val="center"/>
        <w:rPr>
          <w:rFonts w:ascii="Times New Roman" w:hAnsi="Times New Roman" w:cs="Times New Roman"/>
          <w:sz w:val="20"/>
          <w:szCs w:val="20"/>
        </w:rPr>
      </w:pPr>
    </w:p>
    <w:p w14:paraId="297391E8" w14:textId="77777777" w:rsidR="00575174" w:rsidRDefault="00575174">
      <w:pPr>
        <w:widowControl w:val="0"/>
        <w:ind w:right="-30"/>
        <w:jc w:val="center"/>
        <w:rPr>
          <w:rFonts w:ascii="Times New Roman" w:hAnsi="Times New Roman" w:cs="Times New Roman"/>
          <w:sz w:val="20"/>
          <w:szCs w:val="20"/>
        </w:rPr>
      </w:pPr>
    </w:p>
    <w:p w14:paraId="51B12967" w14:textId="77777777" w:rsidR="00575174" w:rsidRDefault="00575174">
      <w:pPr>
        <w:widowControl w:val="0"/>
        <w:ind w:right="-30"/>
        <w:jc w:val="center"/>
        <w:rPr>
          <w:rFonts w:ascii="Times New Roman" w:hAnsi="Times New Roman" w:cs="Times New Roman"/>
          <w:sz w:val="20"/>
          <w:szCs w:val="20"/>
        </w:rPr>
      </w:pPr>
    </w:p>
    <w:p w14:paraId="148E3022" w14:textId="77777777" w:rsidR="00575174" w:rsidRDefault="00575174">
      <w:pPr>
        <w:widowControl w:val="0"/>
        <w:ind w:right="-30"/>
        <w:jc w:val="center"/>
        <w:rPr>
          <w:rFonts w:ascii="Times New Roman" w:hAnsi="Times New Roman" w:cs="Times New Roman"/>
          <w:sz w:val="20"/>
          <w:szCs w:val="20"/>
        </w:rPr>
      </w:pPr>
    </w:p>
    <w:p w14:paraId="2DD9486B" w14:textId="77777777" w:rsidR="00575174" w:rsidRDefault="00575174">
      <w:pPr>
        <w:widowControl w:val="0"/>
        <w:ind w:right="-30"/>
        <w:rPr>
          <w:rFonts w:ascii="Times New Roman" w:hAnsi="Times New Roman" w:cs="Times New Roman"/>
          <w:sz w:val="20"/>
          <w:szCs w:val="20"/>
        </w:rPr>
      </w:pPr>
    </w:p>
    <w:p w14:paraId="03BBEFF7" w14:textId="77777777" w:rsidR="00575174" w:rsidRDefault="00575174">
      <w:pPr>
        <w:widowControl w:val="0"/>
        <w:ind w:right="-30"/>
        <w:rPr>
          <w:rFonts w:ascii="Times New Roman" w:hAnsi="Times New Roman" w:cs="Times New Roman"/>
          <w:sz w:val="20"/>
          <w:szCs w:val="20"/>
        </w:rPr>
      </w:pPr>
    </w:p>
    <w:p w14:paraId="5BF187F5" w14:textId="77777777" w:rsidR="00575174" w:rsidRDefault="00575174">
      <w:pPr>
        <w:widowControl w:val="0"/>
        <w:ind w:right="-30"/>
        <w:rPr>
          <w:rFonts w:ascii="Times New Roman" w:hAnsi="Times New Roman" w:cs="Times New Roman"/>
          <w:sz w:val="20"/>
          <w:szCs w:val="20"/>
        </w:rPr>
      </w:pPr>
    </w:p>
    <w:p w14:paraId="5BF9A8CE" w14:textId="77777777" w:rsidR="00575174" w:rsidRDefault="00575174">
      <w:pPr>
        <w:widowControl w:val="0"/>
        <w:ind w:right="-30"/>
        <w:rPr>
          <w:rFonts w:ascii="Times New Roman" w:hAnsi="Times New Roman" w:cs="Times New Roman"/>
          <w:sz w:val="20"/>
          <w:szCs w:val="20"/>
        </w:rPr>
      </w:pPr>
    </w:p>
    <w:p w14:paraId="13CDC8C5" w14:textId="77777777" w:rsidR="00575174" w:rsidRDefault="00575174">
      <w:pPr>
        <w:widowControl w:val="0"/>
        <w:ind w:right="-30"/>
        <w:rPr>
          <w:rFonts w:ascii="Times New Roman" w:hAnsi="Times New Roman" w:cs="Times New Roman"/>
          <w:sz w:val="20"/>
          <w:szCs w:val="20"/>
        </w:rPr>
      </w:pPr>
    </w:p>
    <w:p w14:paraId="589BF08D" w14:textId="77777777" w:rsidR="00575174" w:rsidRDefault="00575174">
      <w:pPr>
        <w:widowControl w:val="0"/>
        <w:ind w:right="-30"/>
        <w:rPr>
          <w:rFonts w:ascii="Times New Roman" w:hAnsi="Times New Roman" w:cs="Times New Roman"/>
          <w:sz w:val="20"/>
          <w:szCs w:val="20"/>
        </w:rPr>
      </w:pPr>
    </w:p>
    <w:p w14:paraId="716839E5" w14:textId="77777777" w:rsidR="00575174" w:rsidRDefault="00575174">
      <w:pPr>
        <w:widowControl w:val="0"/>
        <w:ind w:right="-30"/>
        <w:rPr>
          <w:rFonts w:ascii="Times New Roman" w:hAnsi="Times New Roman" w:cs="Times New Roman"/>
          <w:sz w:val="20"/>
          <w:szCs w:val="20"/>
        </w:rPr>
      </w:pPr>
    </w:p>
    <w:p w14:paraId="4681FCE1" w14:textId="77777777" w:rsidR="00575174" w:rsidRDefault="00575174">
      <w:pPr>
        <w:widowControl w:val="0"/>
        <w:ind w:right="-30"/>
        <w:rPr>
          <w:rFonts w:ascii="Times New Roman" w:hAnsi="Times New Roman" w:cs="Times New Roman"/>
          <w:sz w:val="20"/>
          <w:szCs w:val="20"/>
        </w:rPr>
      </w:pPr>
    </w:p>
    <w:p w14:paraId="03CF12CB" w14:textId="77777777" w:rsidR="00575174" w:rsidRDefault="00575174">
      <w:pPr>
        <w:widowControl w:val="0"/>
        <w:ind w:right="-30"/>
        <w:rPr>
          <w:rFonts w:ascii="Times New Roman" w:hAnsi="Times New Roman" w:cs="Times New Roman"/>
          <w:sz w:val="20"/>
          <w:szCs w:val="20"/>
        </w:rPr>
      </w:pPr>
    </w:p>
    <w:p w14:paraId="3A109B10" w14:textId="77777777" w:rsidR="00575174" w:rsidRDefault="00575174">
      <w:pPr>
        <w:widowControl w:val="0"/>
        <w:ind w:right="-30"/>
        <w:rPr>
          <w:rFonts w:ascii="Times New Roman" w:hAnsi="Times New Roman" w:cs="Times New Roman"/>
          <w:sz w:val="20"/>
          <w:szCs w:val="20"/>
        </w:rPr>
      </w:pPr>
    </w:p>
    <w:p w14:paraId="2A1979D3" w14:textId="77777777" w:rsidR="00575174" w:rsidRDefault="00575174">
      <w:pPr>
        <w:widowControl w:val="0"/>
        <w:ind w:right="-30"/>
        <w:rPr>
          <w:rFonts w:ascii="Times New Roman" w:hAnsi="Times New Roman" w:cs="Times New Roman"/>
          <w:sz w:val="20"/>
          <w:szCs w:val="20"/>
        </w:rPr>
      </w:pPr>
    </w:p>
    <w:p w14:paraId="2E63524B" w14:textId="77777777" w:rsidR="00575174" w:rsidRDefault="00575174">
      <w:pPr>
        <w:widowControl w:val="0"/>
        <w:ind w:right="-30"/>
        <w:rPr>
          <w:rFonts w:ascii="Times New Roman" w:hAnsi="Times New Roman" w:cs="Times New Roman"/>
          <w:sz w:val="20"/>
          <w:szCs w:val="20"/>
        </w:rPr>
      </w:pPr>
    </w:p>
    <w:p w14:paraId="3358DB64" w14:textId="77777777" w:rsidR="00575174" w:rsidRDefault="00575174">
      <w:pPr>
        <w:widowControl w:val="0"/>
        <w:ind w:right="-30"/>
        <w:rPr>
          <w:rFonts w:ascii="Times New Roman" w:hAnsi="Times New Roman" w:cs="Times New Roman"/>
          <w:sz w:val="20"/>
          <w:szCs w:val="20"/>
        </w:rPr>
      </w:pPr>
    </w:p>
    <w:p w14:paraId="72E5647D" w14:textId="77777777" w:rsidR="00575174" w:rsidRDefault="00575174">
      <w:pPr>
        <w:widowControl w:val="0"/>
        <w:ind w:right="-30"/>
        <w:rPr>
          <w:rFonts w:ascii="Times New Roman" w:hAnsi="Times New Roman" w:cs="Times New Roman"/>
          <w:sz w:val="20"/>
          <w:szCs w:val="20"/>
        </w:rPr>
      </w:pPr>
    </w:p>
    <w:p w14:paraId="654D1574" w14:textId="77777777" w:rsidR="00575174" w:rsidRDefault="00575174">
      <w:pPr>
        <w:widowControl w:val="0"/>
        <w:ind w:right="-30"/>
        <w:rPr>
          <w:rFonts w:ascii="Times New Roman" w:hAnsi="Times New Roman" w:cs="Times New Roman"/>
          <w:sz w:val="20"/>
          <w:szCs w:val="20"/>
        </w:rPr>
      </w:pPr>
    </w:p>
    <w:p w14:paraId="593D01B1" w14:textId="77777777" w:rsidR="00575174" w:rsidRDefault="00575174">
      <w:pPr>
        <w:widowControl w:val="0"/>
        <w:ind w:right="-30"/>
        <w:rPr>
          <w:rFonts w:ascii="Times New Roman" w:hAnsi="Times New Roman" w:cs="Times New Roman"/>
          <w:sz w:val="20"/>
          <w:szCs w:val="20"/>
        </w:rPr>
      </w:pPr>
    </w:p>
    <w:p w14:paraId="1476DB7D" w14:textId="77777777" w:rsidR="00575174" w:rsidRDefault="00575174">
      <w:pPr>
        <w:widowControl w:val="0"/>
        <w:ind w:right="-30"/>
        <w:rPr>
          <w:rFonts w:ascii="Times New Roman" w:hAnsi="Times New Roman" w:cs="Times New Roman"/>
          <w:sz w:val="20"/>
          <w:szCs w:val="20"/>
        </w:rPr>
      </w:pPr>
    </w:p>
    <w:p w14:paraId="2ECF0B60" w14:textId="77777777" w:rsidR="00575174" w:rsidRDefault="00575174">
      <w:pPr>
        <w:widowControl w:val="0"/>
        <w:ind w:right="-30"/>
        <w:rPr>
          <w:rFonts w:ascii="Times New Roman" w:hAnsi="Times New Roman" w:cs="Times New Roman"/>
          <w:sz w:val="20"/>
          <w:szCs w:val="20"/>
        </w:rPr>
      </w:pPr>
    </w:p>
    <w:p w14:paraId="57F427DB" w14:textId="77777777" w:rsidR="00575174" w:rsidRDefault="00575174">
      <w:pPr>
        <w:widowControl w:val="0"/>
        <w:ind w:right="-30"/>
        <w:rPr>
          <w:rFonts w:ascii="Times New Roman" w:hAnsi="Times New Roman" w:cs="Times New Roman"/>
          <w:sz w:val="20"/>
          <w:szCs w:val="20"/>
        </w:rPr>
      </w:pPr>
    </w:p>
    <w:p w14:paraId="4CA9EF6C" w14:textId="77777777" w:rsidR="00575174" w:rsidRDefault="00575174">
      <w:pPr>
        <w:widowControl w:val="0"/>
        <w:ind w:right="-30"/>
        <w:rPr>
          <w:rFonts w:ascii="Times New Roman" w:hAnsi="Times New Roman" w:cs="Times New Roman"/>
          <w:sz w:val="20"/>
          <w:szCs w:val="20"/>
        </w:rPr>
      </w:pPr>
    </w:p>
    <w:p w14:paraId="2E52ED88" w14:textId="77777777" w:rsidR="00575174" w:rsidRDefault="00575174">
      <w:pPr>
        <w:widowControl w:val="0"/>
        <w:ind w:right="-30"/>
        <w:rPr>
          <w:rFonts w:ascii="Times New Roman" w:hAnsi="Times New Roman" w:cs="Times New Roman"/>
          <w:sz w:val="20"/>
          <w:szCs w:val="20"/>
        </w:rPr>
      </w:pPr>
    </w:p>
    <w:p w14:paraId="3E6F5871" w14:textId="77777777" w:rsidR="00575174" w:rsidRDefault="00575174">
      <w:pPr>
        <w:widowControl w:val="0"/>
        <w:ind w:right="-30"/>
        <w:rPr>
          <w:rFonts w:ascii="Times New Roman" w:hAnsi="Times New Roman" w:cs="Times New Roman"/>
          <w:sz w:val="20"/>
          <w:szCs w:val="20"/>
        </w:rPr>
      </w:pPr>
    </w:p>
    <w:p w14:paraId="50A0BF51" w14:textId="77777777" w:rsidR="00575174" w:rsidRDefault="00575174">
      <w:pPr>
        <w:widowControl w:val="0"/>
        <w:ind w:right="-30"/>
        <w:rPr>
          <w:rFonts w:ascii="Times New Roman" w:hAnsi="Times New Roman" w:cs="Times New Roman"/>
          <w:sz w:val="20"/>
          <w:szCs w:val="20"/>
        </w:rPr>
      </w:pPr>
    </w:p>
    <w:p w14:paraId="41D85F37" w14:textId="77777777" w:rsidR="00575174" w:rsidRDefault="00575174">
      <w:pPr>
        <w:widowControl w:val="0"/>
        <w:ind w:right="-30"/>
        <w:rPr>
          <w:rFonts w:ascii="Times New Roman" w:hAnsi="Times New Roman" w:cs="Times New Roman"/>
          <w:sz w:val="20"/>
          <w:szCs w:val="20"/>
        </w:rPr>
      </w:pPr>
    </w:p>
    <w:p w14:paraId="24C9A430" w14:textId="77777777" w:rsidR="00575174" w:rsidRDefault="00575174">
      <w:pPr>
        <w:widowControl w:val="0"/>
        <w:ind w:right="-30"/>
        <w:rPr>
          <w:rFonts w:ascii="Times New Roman" w:hAnsi="Times New Roman" w:cs="Times New Roman"/>
          <w:sz w:val="20"/>
          <w:szCs w:val="20"/>
        </w:rPr>
      </w:pPr>
    </w:p>
    <w:p w14:paraId="0C8A10E5" w14:textId="77777777" w:rsidR="00EF1BCE" w:rsidRDefault="00EF1BCE">
      <w:pPr>
        <w:widowControl w:val="0"/>
        <w:ind w:right="-30"/>
        <w:rPr>
          <w:rFonts w:ascii="Times New Roman" w:hAnsi="Times New Roman" w:cs="Times New Roman"/>
          <w:sz w:val="20"/>
          <w:szCs w:val="20"/>
        </w:rPr>
      </w:pPr>
    </w:p>
    <w:p w14:paraId="2A856741" w14:textId="77777777" w:rsidR="00EF1BCE" w:rsidRDefault="00EF1BCE">
      <w:pPr>
        <w:widowControl w:val="0"/>
        <w:ind w:right="-30"/>
        <w:rPr>
          <w:rFonts w:ascii="Times New Roman" w:hAnsi="Times New Roman" w:cs="Times New Roman"/>
          <w:sz w:val="20"/>
          <w:szCs w:val="20"/>
        </w:rPr>
      </w:pPr>
    </w:p>
    <w:p w14:paraId="66AC8BCB" w14:textId="77777777" w:rsidR="00575174" w:rsidRDefault="00575174">
      <w:pPr>
        <w:widowControl w:val="0"/>
        <w:ind w:right="-30"/>
        <w:rPr>
          <w:rFonts w:ascii="Times New Roman" w:hAnsi="Times New Roman" w:cs="Times New Roman"/>
          <w:sz w:val="20"/>
          <w:szCs w:val="20"/>
        </w:rPr>
      </w:pPr>
    </w:p>
    <w:p w14:paraId="047BDA18" w14:textId="77777777" w:rsidR="00575174" w:rsidRDefault="009F4508">
      <w:pPr>
        <w:widowControl w:val="0"/>
        <w:ind w:right="-30"/>
        <w:jc w:val="center"/>
        <w:rPr>
          <w:rFonts w:ascii="Times New Roman" w:hAnsi="Times New Roman" w:cs="Times New Roman"/>
          <w:b/>
          <w:bCs/>
          <w:sz w:val="20"/>
          <w:szCs w:val="20"/>
        </w:rPr>
      </w:pPr>
      <w:r>
        <w:rPr>
          <w:rFonts w:ascii="Times New Roman" w:hAnsi="Times New Roman" w:cs="Times New Roman"/>
          <w:b/>
          <w:bCs/>
          <w:sz w:val="20"/>
          <w:szCs w:val="20"/>
        </w:rPr>
        <w:t>ANEXO V</w:t>
      </w:r>
      <w:bookmarkStart w:id="42" w:name="_Hlk195192677"/>
    </w:p>
    <w:p w14:paraId="1E6A7B0D" w14:textId="77777777" w:rsidR="00575174" w:rsidRDefault="00575174">
      <w:pPr>
        <w:widowControl w:val="0"/>
        <w:ind w:right="-30"/>
        <w:jc w:val="center"/>
        <w:rPr>
          <w:rFonts w:ascii="Times New Roman" w:hAnsi="Times New Roman" w:cs="Times New Roman"/>
          <w:b/>
          <w:bCs/>
          <w:sz w:val="20"/>
          <w:szCs w:val="20"/>
        </w:rPr>
      </w:pPr>
    </w:p>
    <w:p w14:paraId="75FF5B44" w14:textId="77777777" w:rsidR="00575174" w:rsidRDefault="009F4508">
      <w:pPr>
        <w:jc w:val="center"/>
        <w:rPr>
          <w:rFonts w:ascii="Times New Roman" w:hAnsi="Times New Roman" w:cs="Times New Roman"/>
          <w:sz w:val="20"/>
          <w:szCs w:val="20"/>
        </w:rPr>
      </w:pPr>
      <w:r>
        <w:rPr>
          <w:rFonts w:ascii="Times New Roman" w:hAnsi="Times New Roman" w:cs="Times New Roman"/>
          <w:b/>
          <w:sz w:val="20"/>
          <w:szCs w:val="20"/>
        </w:rPr>
        <w:t>ESTADO DO RIO GRANDE DO SUL</w:t>
      </w:r>
    </w:p>
    <w:p w14:paraId="605D2CB9" w14:textId="77777777" w:rsidR="00575174" w:rsidRDefault="009F4508">
      <w:pPr>
        <w:jc w:val="center"/>
        <w:rPr>
          <w:rFonts w:ascii="Times New Roman" w:hAnsi="Times New Roman" w:cs="Times New Roman"/>
          <w:sz w:val="20"/>
          <w:szCs w:val="20"/>
        </w:rPr>
      </w:pPr>
      <w:r>
        <w:rPr>
          <w:rFonts w:ascii="Times New Roman" w:hAnsi="Times New Roman" w:cs="Times New Roman"/>
          <w:b/>
          <w:sz w:val="20"/>
          <w:szCs w:val="20"/>
        </w:rPr>
        <w:t>PREFEITURA MUNICIPAL DE SANTA BÁRBARA DO SUL</w:t>
      </w:r>
    </w:p>
    <w:p w14:paraId="71899A22" w14:textId="77777777" w:rsidR="00575174" w:rsidRDefault="009F4508">
      <w:pPr>
        <w:jc w:val="center"/>
        <w:rPr>
          <w:rFonts w:ascii="Times New Roman" w:hAnsi="Times New Roman" w:cs="Times New Roman"/>
          <w:sz w:val="20"/>
          <w:szCs w:val="20"/>
        </w:rPr>
      </w:pPr>
      <w:r>
        <w:rPr>
          <w:rFonts w:ascii="Times New Roman" w:hAnsi="Times New Roman" w:cs="Times New Roman"/>
          <w:b/>
          <w:sz w:val="20"/>
          <w:szCs w:val="20"/>
        </w:rPr>
        <w:t>AVISO DE LICITAÇÃO</w:t>
      </w:r>
    </w:p>
    <w:p w14:paraId="46EAFDE4" w14:textId="77777777" w:rsidR="00575174" w:rsidRDefault="00575174">
      <w:pPr>
        <w:jc w:val="both"/>
        <w:rPr>
          <w:rFonts w:ascii="Times New Roman" w:hAnsi="Times New Roman" w:cs="Times New Roman"/>
          <w:sz w:val="20"/>
          <w:szCs w:val="20"/>
        </w:rPr>
      </w:pPr>
    </w:p>
    <w:p w14:paraId="401AF144" w14:textId="0043ADB1" w:rsidR="00575174" w:rsidRDefault="009F4508">
      <w:pPr>
        <w:spacing w:line="360" w:lineRule="auto"/>
        <w:ind w:firstLine="426"/>
        <w:jc w:val="both"/>
        <w:rPr>
          <w:rFonts w:ascii="Times New Roman" w:hAnsi="Times New Roman" w:cs="Times New Roman"/>
          <w:sz w:val="20"/>
          <w:szCs w:val="20"/>
        </w:rPr>
      </w:pPr>
      <w:r>
        <w:rPr>
          <w:rFonts w:ascii="Times New Roman" w:hAnsi="Times New Roman" w:cs="Times New Roman"/>
          <w:sz w:val="20"/>
          <w:szCs w:val="20"/>
        </w:rPr>
        <w:t xml:space="preserve">Torno público a retificação do Processo Licitatório n° </w:t>
      </w:r>
      <w:r w:rsidR="007659FC">
        <w:rPr>
          <w:rFonts w:ascii="Times New Roman" w:hAnsi="Times New Roman" w:cs="Times New Roman"/>
          <w:sz w:val="20"/>
          <w:szCs w:val="20"/>
        </w:rPr>
        <w:t>278/2025</w:t>
      </w:r>
      <w:r>
        <w:rPr>
          <w:rFonts w:ascii="Times New Roman" w:hAnsi="Times New Roman" w:cs="Times New Roman"/>
          <w:sz w:val="20"/>
          <w:szCs w:val="20"/>
        </w:rPr>
        <w:t>, na modalidade PREGÃO ELETRÔNICO Nº 0</w:t>
      </w:r>
      <w:r w:rsidR="007659FC">
        <w:rPr>
          <w:rFonts w:ascii="Times New Roman" w:hAnsi="Times New Roman" w:cs="Times New Roman"/>
          <w:sz w:val="20"/>
          <w:szCs w:val="20"/>
        </w:rPr>
        <w:t>75/2025</w:t>
      </w:r>
      <w:r>
        <w:rPr>
          <w:rFonts w:ascii="Times New Roman" w:hAnsi="Times New Roman" w:cs="Times New Roman"/>
          <w:sz w:val="20"/>
          <w:szCs w:val="20"/>
        </w:rPr>
        <w:t xml:space="preserve">, </w:t>
      </w:r>
      <w:r w:rsidR="007659FC">
        <w:rPr>
          <w:rFonts w:ascii="Times New Roman" w:hAnsi="Times New Roman" w:cs="Times New Roman"/>
          <w:sz w:val="20"/>
          <w:szCs w:val="20"/>
        </w:rPr>
        <w:t>AQUISIÇÃO DE PNEUS PARA TIGGO (235/55R 18)</w:t>
      </w:r>
      <w:r w:rsidR="002F1A19">
        <w:rPr>
          <w:rFonts w:ascii="Times New Roman" w:hAnsi="Times New Roman" w:cs="Times New Roman"/>
          <w:sz w:val="20"/>
          <w:szCs w:val="20"/>
        </w:rPr>
        <w:t xml:space="preserve">. </w:t>
      </w:r>
      <w:r>
        <w:rPr>
          <w:rFonts w:ascii="Times New Roman" w:hAnsi="Times New Roman" w:cs="Times New Roman"/>
          <w:sz w:val="20"/>
          <w:szCs w:val="20"/>
        </w:rPr>
        <w:t xml:space="preserve">Início das Propostas: 08:00h do dia </w:t>
      </w:r>
      <w:r w:rsidR="002F1A19">
        <w:rPr>
          <w:rFonts w:ascii="Times New Roman" w:hAnsi="Times New Roman" w:cs="Times New Roman"/>
          <w:sz w:val="20"/>
          <w:szCs w:val="20"/>
        </w:rPr>
        <w:t>24/11/</w:t>
      </w:r>
      <w:r w:rsidR="00AE26D8">
        <w:rPr>
          <w:rFonts w:ascii="Times New Roman" w:hAnsi="Times New Roman" w:cs="Times New Roman"/>
          <w:sz w:val="20"/>
          <w:szCs w:val="20"/>
        </w:rPr>
        <w:t>2025</w:t>
      </w:r>
      <w:r w:rsidR="002F1A19">
        <w:rPr>
          <w:rFonts w:ascii="Times New Roman" w:hAnsi="Times New Roman" w:cs="Times New Roman"/>
          <w:sz w:val="20"/>
          <w:szCs w:val="20"/>
        </w:rPr>
        <w:t xml:space="preserve"> </w:t>
      </w:r>
      <w:r>
        <w:rPr>
          <w:rFonts w:ascii="Times New Roman" w:hAnsi="Times New Roman" w:cs="Times New Roman"/>
          <w:sz w:val="20"/>
          <w:szCs w:val="20"/>
        </w:rPr>
        <w:t xml:space="preserve">até as 08:00h do dia </w:t>
      </w:r>
      <w:r w:rsidR="002F1A19">
        <w:rPr>
          <w:rFonts w:ascii="Times New Roman" w:hAnsi="Times New Roman" w:cs="Times New Roman"/>
          <w:sz w:val="20"/>
          <w:szCs w:val="20"/>
        </w:rPr>
        <w:t>10/12</w:t>
      </w:r>
      <w:r>
        <w:rPr>
          <w:rFonts w:ascii="Times New Roman" w:hAnsi="Times New Roman" w:cs="Times New Roman"/>
          <w:sz w:val="20"/>
          <w:szCs w:val="20"/>
        </w:rPr>
        <w:t xml:space="preserve">/2025. Início da sessão Pública: às 08:01hs do dia </w:t>
      </w:r>
      <w:r w:rsidR="002F1A19">
        <w:rPr>
          <w:rFonts w:ascii="Times New Roman" w:hAnsi="Times New Roman" w:cs="Times New Roman"/>
          <w:sz w:val="20"/>
          <w:szCs w:val="20"/>
        </w:rPr>
        <w:t>10/12</w:t>
      </w:r>
      <w:r>
        <w:rPr>
          <w:rFonts w:ascii="Times New Roman" w:hAnsi="Times New Roman" w:cs="Times New Roman"/>
          <w:sz w:val="20"/>
          <w:szCs w:val="20"/>
        </w:rPr>
        <w:t xml:space="preserve">/2025, todos via portal no horário de Brasília – DF. O Edital e informações complementares encontram-se a disposição dos interessados, junto à Comissão de Licitações, sito a Av.Eduardo de Brito, 101, Fone: 0xx 55 92000-7948, no horário de expediente e nos Sites: https://www.santabarbaradosul.rs.gov.br/site  </w:t>
      </w:r>
      <w:r>
        <w:rPr>
          <w:rStyle w:val="Hyperlink1"/>
          <w:rFonts w:ascii="Times New Roman" w:hAnsi="Times New Roman" w:cs="Times New Roman"/>
          <w:color w:val="auto"/>
          <w:sz w:val="20"/>
          <w:szCs w:val="20"/>
          <w:u w:val="none"/>
        </w:rPr>
        <w:t xml:space="preserve">ou  </w:t>
      </w:r>
      <w:hyperlink r:id="rId33">
        <w:r>
          <w:rPr>
            <w:rStyle w:val="Hyperlink"/>
            <w:rFonts w:ascii="Times New Roman" w:hAnsi="Times New Roman" w:cs="Times New Roman"/>
            <w:sz w:val="20"/>
            <w:szCs w:val="20"/>
          </w:rPr>
          <w:t>https://pregaobanrisul.com.br/</w:t>
        </w:r>
      </w:hyperlink>
      <w:r>
        <w:rPr>
          <w:rFonts w:ascii="Times New Roman" w:hAnsi="Times New Roman" w:cs="Times New Roman"/>
          <w:sz w:val="20"/>
          <w:szCs w:val="20"/>
        </w:rPr>
        <w:t>.</w:t>
      </w:r>
    </w:p>
    <w:p w14:paraId="64A68495" w14:textId="77777777" w:rsidR="00575174" w:rsidRDefault="00575174">
      <w:pPr>
        <w:spacing w:line="360" w:lineRule="auto"/>
        <w:ind w:firstLine="426"/>
        <w:jc w:val="both"/>
        <w:rPr>
          <w:rFonts w:ascii="Times New Roman" w:hAnsi="Times New Roman" w:cs="Times New Roman"/>
          <w:sz w:val="20"/>
          <w:szCs w:val="20"/>
        </w:rPr>
      </w:pPr>
    </w:p>
    <w:p w14:paraId="633941E3" w14:textId="3D121CA2" w:rsidR="00575174" w:rsidRDefault="009F4508">
      <w:pPr>
        <w:spacing w:line="360" w:lineRule="auto"/>
        <w:jc w:val="both"/>
        <w:rPr>
          <w:rFonts w:ascii="Times New Roman" w:hAnsi="Times New Roman" w:cs="Times New Roman"/>
          <w:sz w:val="20"/>
          <w:szCs w:val="20"/>
        </w:rPr>
      </w:pPr>
      <w:r>
        <w:rPr>
          <w:rStyle w:val="Hyperlink1"/>
          <w:rFonts w:ascii="Times New Roman" w:hAnsi="Times New Roman" w:cs="Times New Roman"/>
          <w:i/>
          <w:color w:val="auto"/>
          <w:sz w:val="20"/>
          <w:szCs w:val="20"/>
          <w:u w:val="none"/>
        </w:rPr>
        <w:t xml:space="preserve">Emitido por </w:t>
      </w:r>
      <w:r w:rsidR="00AE26D8">
        <w:rPr>
          <w:rStyle w:val="Hyperlink1"/>
          <w:rFonts w:ascii="Times New Roman" w:hAnsi="Times New Roman" w:cs="Times New Roman"/>
          <w:i/>
          <w:color w:val="auto"/>
          <w:sz w:val="20"/>
          <w:szCs w:val="20"/>
          <w:u w:val="none"/>
        </w:rPr>
        <w:t>VIVIAN LIMA VARGAS</w:t>
      </w:r>
      <w:r>
        <w:rPr>
          <w:rStyle w:val="Hyperlink1"/>
          <w:rFonts w:ascii="Times New Roman" w:hAnsi="Times New Roman" w:cs="Times New Roman"/>
          <w:i/>
          <w:color w:val="auto"/>
          <w:sz w:val="20"/>
          <w:szCs w:val="20"/>
          <w:u w:val="none"/>
        </w:rPr>
        <w:t>- Pregoeira</w:t>
      </w:r>
    </w:p>
    <w:p w14:paraId="26A181AD" w14:textId="77777777" w:rsidR="00575174" w:rsidRDefault="00575174">
      <w:pPr>
        <w:spacing w:line="480" w:lineRule="auto"/>
        <w:jc w:val="both"/>
        <w:rPr>
          <w:rFonts w:ascii="Times New Roman" w:hAnsi="Times New Roman" w:cs="Times New Roman"/>
          <w:sz w:val="20"/>
          <w:szCs w:val="20"/>
        </w:rPr>
      </w:pPr>
    </w:p>
    <w:p w14:paraId="1CF88604" w14:textId="77777777" w:rsidR="00575174" w:rsidRDefault="00575174">
      <w:pPr>
        <w:spacing w:line="480" w:lineRule="auto"/>
        <w:jc w:val="both"/>
        <w:rPr>
          <w:rFonts w:ascii="Times New Roman" w:hAnsi="Times New Roman" w:cs="Times New Roman"/>
          <w:sz w:val="20"/>
          <w:szCs w:val="20"/>
        </w:rPr>
      </w:pPr>
    </w:p>
    <w:p w14:paraId="053A1BD4" w14:textId="199E706E" w:rsidR="00575174" w:rsidRDefault="009F4508">
      <w:pPr>
        <w:spacing w:line="480" w:lineRule="auto"/>
        <w:jc w:val="right"/>
        <w:rPr>
          <w:rFonts w:ascii="Times New Roman" w:hAnsi="Times New Roman" w:cs="Times New Roman"/>
          <w:sz w:val="20"/>
          <w:szCs w:val="20"/>
        </w:rPr>
      </w:pPr>
      <w:r>
        <w:rPr>
          <w:rFonts w:ascii="Times New Roman" w:hAnsi="Times New Roman" w:cs="Times New Roman"/>
          <w:sz w:val="20"/>
          <w:szCs w:val="20"/>
          <w:shd w:val="clear" w:color="auto" w:fill="FFFFFF"/>
        </w:rPr>
        <w:t xml:space="preserve">Santa Bárbara do Sul/RS </w:t>
      </w:r>
      <w:r w:rsidR="002F1A19">
        <w:rPr>
          <w:rFonts w:ascii="Times New Roman" w:hAnsi="Times New Roman" w:cs="Times New Roman"/>
          <w:sz w:val="20"/>
          <w:szCs w:val="20"/>
          <w:shd w:val="clear" w:color="auto" w:fill="FFFFFF"/>
        </w:rPr>
        <w:t>17 de novembro</w:t>
      </w:r>
      <w:r>
        <w:rPr>
          <w:rFonts w:ascii="Times New Roman" w:hAnsi="Times New Roman" w:cs="Times New Roman"/>
          <w:sz w:val="20"/>
          <w:szCs w:val="20"/>
          <w:shd w:val="clear" w:color="auto" w:fill="FFFFFF"/>
        </w:rPr>
        <w:t xml:space="preserve"> de 2025.</w:t>
      </w:r>
    </w:p>
    <w:p w14:paraId="214A355C" w14:textId="77777777" w:rsidR="00575174" w:rsidRDefault="00575174">
      <w:pPr>
        <w:spacing w:line="480" w:lineRule="auto"/>
        <w:jc w:val="both"/>
        <w:rPr>
          <w:rFonts w:ascii="Times New Roman" w:hAnsi="Times New Roman" w:cs="Times New Roman"/>
          <w:sz w:val="20"/>
          <w:szCs w:val="20"/>
        </w:rPr>
      </w:pPr>
    </w:p>
    <w:p w14:paraId="36EDDDBE" w14:textId="77777777" w:rsidR="00575174" w:rsidRDefault="00575174">
      <w:pPr>
        <w:spacing w:line="480" w:lineRule="auto"/>
        <w:jc w:val="both"/>
        <w:rPr>
          <w:rFonts w:ascii="Times New Roman" w:hAnsi="Times New Roman" w:cs="Times New Roman"/>
          <w:sz w:val="20"/>
          <w:szCs w:val="20"/>
        </w:rPr>
      </w:pPr>
    </w:p>
    <w:p w14:paraId="5E609B43" w14:textId="77777777" w:rsidR="00575174" w:rsidRDefault="00575174">
      <w:pPr>
        <w:spacing w:line="480" w:lineRule="auto"/>
        <w:jc w:val="both"/>
        <w:rPr>
          <w:rFonts w:ascii="Times New Roman" w:hAnsi="Times New Roman" w:cs="Times New Roman"/>
          <w:sz w:val="20"/>
          <w:szCs w:val="20"/>
        </w:rPr>
      </w:pPr>
    </w:p>
    <w:p w14:paraId="3B313FFE" w14:textId="77777777" w:rsidR="00575174" w:rsidRDefault="009F4508">
      <w:pPr>
        <w:jc w:val="center"/>
        <w:rPr>
          <w:rFonts w:ascii="Times New Roman" w:hAnsi="Times New Roman" w:cs="Times New Roman"/>
          <w:i/>
          <w:iCs/>
          <w:sz w:val="20"/>
          <w:szCs w:val="20"/>
        </w:rPr>
      </w:pPr>
      <w:r>
        <w:rPr>
          <w:rFonts w:ascii="Times New Roman" w:hAnsi="Times New Roman" w:cs="Times New Roman"/>
          <w:i/>
          <w:iCs/>
          <w:sz w:val="20"/>
          <w:szCs w:val="20"/>
        </w:rPr>
        <w:t>Leandro Caraffini Veneral</w:t>
      </w:r>
    </w:p>
    <w:p w14:paraId="6B70C744" w14:textId="77777777" w:rsidR="00575174" w:rsidRDefault="009F4508">
      <w:pPr>
        <w:spacing w:line="480" w:lineRule="auto"/>
        <w:jc w:val="center"/>
        <w:rPr>
          <w:rFonts w:ascii="Times New Roman" w:hAnsi="Times New Roman" w:cs="Times New Roman"/>
          <w:i/>
          <w:iCs/>
          <w:sz w:val="20"/>
          <w:szCs w:val="20"/>
        </w:rPr>
      </w:pPr>
      <w:bookmarkStart w:id="43" w:name="_Hlk204264885"/>
      <w:r>
        <w:rPr>
          <w:rFonts w:ascii="Times New Roman" w:hAnsi="Times New Roman" w:cs="Times New Roman"/>
          <w:i/>
          <w:iCs/>
          <w:sz w:val="20"/>
          <w:szCs w:val="20"/>
        </w:rPr>
        <w:t>Prefeito</w:t>
      </w:r>
      <w:bookmarkEnd w:id="42"/>
      <w:bookmarkEnd w:id="43"/>
    </w:p>
    <w:p w14:paraId="60996D4B" w14:textId="77777777" w:rsidR="00575174" w:rsidRDefault="00575174">
      <w:pPr>
        <w:jc w:val="center"/>
        <w:rPr>
          <w:rFonts w:ascii="Times New Roman" w:hAnsi="Times New Roman" w:cs="Times New Roman"/>
          <w:i/>
          <w:iCs/>
          <w:sz w:val="20"/>
          <w:szCs w:val="20"/>
        </w:rPr>
      </w:pPr>
    </w:p>
    <w:p w14:paraId="7902BE2B" w14:textId="77777777" w:rsidR="00575174" w:rsidRDefault="00575174">
      <w:pPr>
        <w:jc w:val="both"/>
        <w:rPr>
          <w:rFonts w:ascii="Times New Roman" w:hAnsi="Times New Roman" w:cs="Times New Roman"/>
          <w:sz w:val="20"/>
          <w:szCs w:val="20"/>
        </w:rPr>
      </w:pPr>
    </w:p>
    <w:p w14:paraId="79467559" w14:textId="77777777" w:rsidR="00575174" w:rsidRDefault="00575174">
      <w:pPr>
        <w:spacing w:before="288" w:after="288"/>
        <w:ind w:firstLine="567"/>
        <w:jc w:val="center"/>
        <w:rPr>
          <w:rFonts w:ascii="Times New Roman" w:hAnsi="Times New Roman" w:cs="Times New Roman"/>
          <w:sz w:val="20"/>
          <w:szCs w:val="20"/>
        </w:rPr>
      </w:pPr>
    </w:p>
    <w:p w14:paraId="1F10CFBE" w14:textId="77777777" w:rsidR="00575174" w:rsidRDefault="00575174">
      <w:pPr>
        <w:spacing w:before="288" w:after="288"/>
        <w:ind w:firstLine="567"/>
        <w:jc w:val="center"/>
        <w:rPr>
          <w:rFonts w:ascii="Times New Roman" w:hAnsi="Times New Roman" w:cs="Times New Roman"/>
          <w:sz w:val="20"/>
          <w:szCs w:val="20"/>
        </w:rPr>
      </w:pPr>
    </w:p>
    <w:p w14:paraId="62FE81F7" w14:textId="77777777" w:rsidR="00575174" w:rsidRDefault="00575174">
      <w:pPr>
        <w:spacing w:before="288" w:after="288"/>
        <w:ind w:firstLine="567"/>
        <w:jc w:val="center"/>
        <w:rPr>
          <w:rFonts w:ascii="Times New Roman" w:hAnsi="Times New Roman" w:cs="Times New Roman"/>
          <w:sz w:val="20"/>
          <w:szCs w:val="20"/>
        </w:rPr>
      </w:pPr>
    </w:p>
    <w:p w14:paraId="58CCC7AE" w14:textId="77777777" w:rsidR="00575174" w:rsidRDefault="00575174">
      <w:pPr>
        <w:rPr>
          <w:rFonts w:ascii="Times New Roman" w:hAnsi="Times New Roman" w:cs="Times New Roman"/>
          <w:sz w:val="20"/>
          <w:szCs w:val="20"/>
        </w:rPr>
      </w:pPr>
    </w:p>
    <w:p w14:paraId="43154E14" w14:textId="77777777" w:rsidR="00575174" w:rsidRDefault="00575174">
      <w:pPr>
        <w:rPr>
          <w:rFonts w:ascii="Times New Roman" w:hAnsi="Times New Roman" w:cs="Times New Roman"/>
          <w:sz w:val="20"/>
          <w:szCs w:val="20"/>
        </w:rPr>
      </w:pPr>
    </w:p>
    <w:p w14:paraId="23613660" w14:textId="77777777" w:rsidR="00575174" w:rsidRDefault="00575174">
      <w:pPr>
        <w:rPr>
          <w:rFonts w:ascii="Times New Roman" w:hAnsi="Times New Roman" w:cs="Times New Roman"/>
          <w:sz w:val="20"/>
          <w:szCs w:val="20"/>
        </w:rPr>
      </w:pPr>
    </w:p>
    <w:p w14:paraId="636FC3EF" w14:textId="77777777" w:rsidR="00575174" w:rsidRDefault="00575174">
      <w:pPr>
        <w:rPr>
          <w:rFonts w:ascii="Times New Roman" w:hAnsi="Times New Roman" w:cs="Times New Roman"/>
          <w:sz w:val="20"/>
          <w:szCs w:val="20"/>
        </w:rPr>
      </w:pPr>
    </w:p>
    <w:p w14:paraId="51BC9777" w14:textId="77777777" w:rsidR="00575174" w:rsidRDefault="00575174">
      <w:pPr>
        <w:rPr>
          <w:rFonts w:ascii="Times New Roman" w:hAnsi="Times New Roman" w:cs="Times New Roman"/>
          <w:sz w:val="20"/>
          <w:szCs w:val="20"/>
        </w:rPr>
      </w:pPr>
    </w:p>
    <w:p w14:paraId="4B0BA2CC" w14:textId="77777777" w:rsidR="00575174" w:rsidRDefault="00575174">
      <w:pPr>
        <w:rPr>
          <w:rFonts w:ascii="Times New Roman" w:hAnsi="Times New Roman" w:cs="Times New Roman"/>
          <w:sz w:val="20"/>
          <w:szCs w:val="20"/>
        </w:rPr>
      </w:pPr>
    </w:p>
    <w:p w14:paraId="18713B89" w14:textId="77777777" w:rsidR="00575174" w:rsidRDefault="00575174">
      <w:pPr>
        <w:rPr>
          <w:rFonts w:ascii="Times New Roman" w:hAnsi="Times New Roman" w:cs="Times New Roman"/>
          <w:sz w:val="20"/>
          <w:szCs w:val="20"/>
        </w:rPr>
      </w:pPr>
    </w:p>
    <w:p w14:paraId="4B05BEED" w14:textId="77777777" w:rsidR="00575174" w:rsidRDefault="00575174">
      <w:pPr>
        <w:rPr>
          <w:rFonts w:ascii="Times New Roman" w:hAnsi="Times New Roman" w:cs="Times New Roman"/>
          <w:sz w:val="20"/>
          <w:szCs w:val="20"/>
        </w:rPr>
      </w:pPr>
    </w:p>
    <w:p w14:paraId="367A60DE" w14:textId="77777777" w:rsidR="00575174" w:rsidRDefault="00575174">
      <w:pPr>
        <w:rPr>
          <w:rFonts w:ascii="Times New Roman" w:hAnsi="Times New Roman" w:cs="Times New Roman"/>
          <w:sz w:val="20"/>
          <w:szCs w:val="20"/>
        </w:rPr>
      </w:pPr>
    </w:p>
    <w:p w14:paraId="0FE2E52A" w14:textId="77777777" w:rsidR="00575174" w:rsidRDefault="00575174">
      <w:pPr>
        <w:rPr>
          <w:rFonts w:ascii="Times New Roman" w:hAnsi="Times New Roman" w:cs="Times New Roman"/>
          <w:sz w:val="20"/>
          <w:szCs w:val="20"/>
        </w:rPr>
      </w:pPr>
    </w:p>
    <w:p w14:paraId="0E7E3ECC" w14:textId="77777777" w:rsidR="00575174" w:rsidRDefault="00575174">
      <w:pPr>
        <w:rPr>
          <w:rFonts w:ascii="Times New Roman" w:hAnsi="Times New Roman" w:cs="Times New Roman"/>
          <w:sz w:val="20"/>
          <w:szCs w:val="20"/>
        </w:rPr>
      </w:pPr>
    </w:p>
    <w:p w14:paraId="1C3BD6FA" w14:textId="77777777" w:rsidR="00575174" w:rsidRDefault="00575174">
      <w:pPr>
        <w:rPr>
          <w:rFonts w:ascii="Times New Roman" w:hAnsi="Times New Roman" w:cs="Times New Roman"/>
          <w:sz w:val="20"/>
          <w:szCs w:val="20"/>
        </w:rPr>
      </w:pPr>
    </w:p>
    <w:p w14:paraId="3EB2F782" w14:textId="77777777" w:rsidR="00575174" w:rsidRDefault="00575174">
      <w:pPr>
        <w:rPr>
          <w:rFonts w:ascii="Times New Roman" w:hAnsi="Times New Roman" w:cs="Times New Roman"/>
          <w:sz w:val="20"/>
          <w:szCs w:val="20"/>
        </w:rPr>
      </w:pPr>
    </w:p>
    <w:p w14:paraId="72CE0306" w14:textId="77777777" w:rsidR="00575174" w:rsidRDefault="00575174">
      <w:pPr>
        <w:rPr>
          <w:rFonts w:ascii="Times New Roman" w:hAnsi="Times New Roman" w:cs="Times New Roman"/>
          <w:sz w:val="20"/>
          <w:szCs w:val="20"/>
        </w:rPr>
      </w:pPr>
    </w:p>
    <w:p w14:paraId="64570459" w14:textId="77777777" w:rsidR="00575174" w:rsidRDefault="00575174">
      <w:pPr>
        <w:rPr>
          <w:rFonts w:ascii="Times New Roman" w:hAnsi="Times New Roman" w:cs="Times New Roman"/>
          <w:sz w:val="20"/>
          <w:szCs w:val="20"/>
        </w:rPr>
      </w:pPr>
    </w:p>
    <w:p w14:paraId="794EBE3E" w14:textId="77777777" w:rsidR="00575174" w:rsidRDefault="00575174">
      <w:pPr>
        <w:rPr>
          <w:rFonts w:ascii="Times New Roman" w:hAnsi="Times New Roman" w:cs="Times New Roman"/>
          <w:sz w:val="20"/>
          <w:szCs w:val="20"/>
        </w:rPr>
      </w:pPr>
    </w:p>
    <w:p w14:paraId="5CE550A6" w14:textId="77777777" w:rsidR="00575174" w:rsidRDefault="00575174">
      <w:pPr>
        <w:rPr>
          <w:rFonts w:ascii="Times New Roman" w:hAnsi="Times New Roman" w:cs="Times New Roman"/>
          <w:sz w:val="20"/>
          <w:szCs w:val="20"/>
        </w:rPr>
      </w:pPr>
    </w:p>
    <w:p w14:paraId="6453E185" w14:textId="77777777" w:rsidR="00575174" w:rsidRDefault="00575174">
      <w:pPr>
        <w:rPr>
          <w:rFonts w:ascii="Times New Roman" w:hAnsi="Times New Roman" w:cs="Times New Roman"/>
          <w:sz w:val="20"/>
          <w:szCs w:val="20"/>
        </w:rPr>
      </w:pPr>
    </w:p>
    <w:p w14:paraId="00FF96C5" w14:textId="77777777" w:rsidR="00575174" w:rsidRDefault="00575174">
      <w:pPr>
        <w:rPr>
          <w:rFonts w:ascii="Times New Roman" w:hAnsi="Times New Roman" w:cs="Times New Roman"/>
          <w:sz w:val="20"/>
          <w:szCs w:val="20"/>
        </w:rPr>
      </w:pPr>
    </w:p>
    <w:p w14:paraId="6847A2CF" w14:textId="77777777" w:rsidR="00575174" w:rsidRDefault="00575174">
      <w:pPr>
        <w:rPr>
          <w:rFonts w:ascii="Times New Roman" w:hAnsi="Times New Roman" w:cs="Times New Roman"/>
          <w:sz w:val="20"/>
          <w:szCs w:val="20"/>
        </w:rPr>
      </w:pPr>
    </w:p>
    <w:p w14:paraId="1F3DD597" w14:textId="77777777" w:rsidR="00575174" w:rsidRDefault="009F4508">
      <w:pPr>
        <w:jc w:val="center"/>
        <w:rPr>
          <w:rFonts w:ascii="Times New Roman" w:hAnsi="Times New Roman" w:cs="Times New Roman"/>
          <w:sz w:val="20"/>
          <w:szCs w:val="20"/>
        </w:rPr>
      </w:pPr>
      <w:r>
        <w:rPr>
          <w:rFonts w:ascii="Times New Roman" w:hAnsi="Times New Roman" w:cs="Times New Roman"/>
          <w:b/>
          <w:bCs/>
          <w:sz w:val="20"/>
          <w:szCs w:val="20"/>
        </w:rPr>
        <w:t>ANEXO VI</w:t>
      </w:r>
    </w:p>
    <w:p w14:paraId="2237C07F" w14:textId="77777777" w:rsidR="00575174" w:rsidRDefault="009F4508">
      <w:pPr>
        <w:spacing w:before="200" w:after="200"/>
        <w:jc w:val="center"/>
        <w:rPr>
          <w:rFonts w:ascii="Times New Roman" w:hAnsi="Times New Roman" w:cs="Times New Roman"/>
          <w:sz w:val="20"/>
          <w:szCs w:val="20"/>
        </w:rPr>
      </w:pPr>
      <w:r>
        <w:rPr>
          <w:rFonts w:ascii="Times New Roman" w:eastAsia="Arial" w:hAnsi="Times New Roman" w:cs="Times New Roman"/>
          <w:b/>
          <w:sz w:val="20"/>
          <w:szCs w:val="20"/>
        </w:rPr>
        <w:t>AUTORIZAÇÃO</w:t>
      </w:r>
    </w:p>
    <w:p w14:paraId="4FE09C48" w14:textId="77777777" w:rsidR="00575174" w:rsidRDefault="00575174">
      <w:pPr>
        <w:spacing w:before="200" w:after="200"/>
        <w:ind w:firstLine="2835"/>
        <w:jc w:val="both"/>
        <w:rPr>
          <w:rFonts w:ascii="Times New Roman" w:hAnsi="Times New Roman" w:cs="Times New Roman"/>
          <w:sz w:val="20"/>
          <w:szCs w:val="20"/>
        </w:rPr>
      </w:pPr>
    </w:p>
    <w:p w14:paraId="76D84F51" w14:textId="5D670215" w:rsidR="00575174" w:rsidRDefault="009F4508">
      <w:pPr>
        <w:spacing w:line="480" w:lineRule="auto"/>
        <w:jc w:val="both"/>
        <w:rPr>
          <w:rFonts w:ascii="Times New Roman" w:hAnsi="Times New Roman" w:cs="Times New Roman"/>
          <w:sz w:val="20"/>
          <w:szCs w:val="20"/>
        </w:rPr>
      </w:pPr>
      <w:r>
        <w:rPr>
          <w:rFonts w:ascii="Times New Roman" w:hAnsi="Times New Roman" w:cs="Times New Roman"/>
          <w:sz w:val="20"/>
          <w:szCs w:val="20"/>
        </w:rPr>
        <w:t xml:space="preserve">Considerando o Pedido de Compras anexos ao processo, AUTORIZO a Equipe de Licitações através de pregoeiro (a) instituída pela Portaria n. 355/2025 em consonância ao disposto na Lei Federal nº 14.133, de 01 de abril de 2021, com suas alterações, a abrir processo licitatório próprio para </w:t>
      </w:r>
      <w:r w:rsidR="00F4120B">
        <w:rPr>
          <w:rFonts w:ascii="Times New Roman" w:hAnsi="Times New Roman" w:cs="Times New Roman"/>
          <w:sz w:val="20"/>
          <w:szCs w:val="20"/>
        </w:rPr>
        <w:t>AQUISIÇÃO DE PNEUS PARA TIGGO (235/55R 18)</w:t>
      </w:r>
      <w:r>
        <w:rPr>
          <w:rFonts w:ascii="Times New Roman" w:hAnsi="Times New Roman" w:cs="Times New Roman"/>
          <w:sz w:val="20"/>
          <w:szCs w:val="20"/>
        </w:rPr>
        <w:t>, conforme pesquisa de preços efetuados pelo Setor de compras, com fiel observância à legislação e formalidades pertinentes em vigor, devendo ser mantido prévio entendimento com a Secretaria Municipal de Fazenda, para verificar a existência de disponibilidade orçamentária.</w:t>
      </w:r>
    </w:p>
    <w:p w14:paraId="6367DC78" w14:textId="77777777" w:rsidR="00575174" w:rsidRDefault="009F4508">
      <w:pPr>
        <w:spacing w:before="200" w:after="200"/>
        <w:ind w:firstLine="2835"/>
        <w:jc w:val="both"/>
        <w:rPr>
          <w:rFonts w:ascii="Times New Roman" w:hAnsi="Times New Roman" w:cs="Times New Roman"/>
          <w:sz w:val="20"/>
          <w:szCs w:val="20"/>
        </w:rPr>
      </w:pPr>
      <w:r>
        <w:rPr>
          <w:rFonts w:ascii="Times New Roman" w:hAnsi="Times New Roman" w:cs="Times New Roman"/>
          <w:sz w:val="20"/>
          <w:szCs w:val="20"/>
        </w:rPr>
        <w:br/>
      </w:r>
    </w:p>
    <w:p w14:paraId="2281E626" w14:textId="561A460F" w:rsidR="00575174" w:rsidRDefault="009F4508">
      <w:pPr>
        <w:spacing w:before="200" w:after="200"/>
        <w:jc w:val="right"/>
        <w:rPr>
          <w:rFonts w:ascii="Times New Roman" w:hAnsi="Times New Roman" w:cs="Times New Roman"/>
          <w:sz w:val="20"/>
          <w:szCs w:val="20"/>
        </w:rPr>
      </w:pPr>
      <w:r>
        <w:rPr>
          <w:rFonts w:ascii="Times New Roman" w:eastAsia="Arial" w:hAnsi="Times New Roman" w:cs="Times New Roman"/>
          <w:sz w:val="20"/>
          <w:szCs w:val="20"/>
          <w:shd w:val="clear" w:color="auto" w:fill="FFFFFF"/>
        </w:rPr>
        <w:t xml:space="preserve">Santa Bárbara do Sul/RS, </w:t>
      </w:r>
      <w:r w:rsidR="00EF1BCE">
        <w:rPr>
          <w:rFonts w:ascii="Times New Roman" w:eastAsia="Arial" w:hAnsi="Times New Roman" w:cs="Times New Roman"/>
          <w:sz w:val="20"/>
          <w:szCs w:val="20"/>
          <w:shd w:val="clear" w:color="auto" w:fill="FFFFFF"/>
        </w:rPr>
        <w:t>29</w:t>
      </w:r>
      <w:r>
        <w:rPr>
          <w:rFonts w:ascii="Times New Roman" w:eastAsia="Arial" w:hAnsi="Times New Roman" w:cs="Times New Roman"/>
          <w:sz w:val="20"/>
          <w:szCs w:val="20"/>
          <w:shd w:val="clear" w:color="auto" w:fill="FFFFFF"/>
        </w:rPr>
        <w:t xml:space="preserve"> de setembro de 2025.</w:t>
      </w:r>
    </w:p>
    <w:p w14:paraId="6C6711A0" w14:textId="77777777" w:rsidR="00575174" w:rsidRDefault="00575174">
      <w:pPr>
        <w:spacing w:before="200" w:after="200"/>
        <w:jc w:val="right"/>
        <w:rPr>
          <w:rFonts w:ascii="Times New Roman" w:hAnsi="Times New Roman" w:cs="Times New Roman"/>
          <w:sz w:val="20"/>
          <w:szCs w:val="20"/>
        </w:rPr>
      </w:pPr>
    </w:p>
    <w:p w14:paraId="491C0E73" w14:textId="77777777" w:rsidR="00575174" w:rsidRDefault="00575174">
      <w:pPr>
        <w:spacing w:before="200" w:after="200"/>
        <w:jc w:val="both"/>
        <w:rPr>
          <w:rFonts w:ascii="Times New Roman" w:hAnsi="Times New Roman" w:cs="Times New Roman"/>
          <w:sz w:val="20"/>
          <w:szCs w:val="20"/>
        </w:rPr>
      </w:pPr>
    </w:p>
    <w:p w14:paraId="54633E33" w14:textId="77777777" w:rsidR="00575174" w:rsidRDefault="009F4508">
      <w:pPr>
        <w:spacing w:before="200" w:after="200"/>
        <w:jc w:val="both"/>
        <w:rPr>
          <w:rFonts w:ascii="Times New Roman" w:hAnsi="Times New Roman" w:cs="Times New Roman"/>
          <w:sz w:val="20"/>
          <w:szCs w:val="20"/>
        </w:rPr>
      </w:pPr>
      <w:r>
        <w:rPr>
          <w:rFonts w:ascii="Times New Roman" w:hAnsi="Times New Roman" w:cs="Times New Roman"/>
          <w:sz w:val="20"/>
          <w:szCs w:val="20"/>
        </w:rPr>
        <w:br/>
      </w:r>
    </w:p>
    <w:p w14:paraId="7E55FDFE" w14:textId="77777777" w:rsidR="00575174" w:rsidRDefault="009F4508">
      <w:pPr>
        <w:jc w:val="center"/>
        <w:rPr>
          <w:rFonts w:ascii="Times New Roman" w:hAnsi="Times New Roman" w:cs="Times New Roman"/>
          <w:i/>
          <w:iCs/>
          <w:sz w:val="20"/>
          <w:szCs w:val="20"/>
        </w:rPr>
      </w:pPr>
      <w:r>
        <w:rPr>
          <w:rFonts w:ascii="Times New Roman" w:hAnsi="Times New Roman" w:cs="Times New Roman"/>
          <w:i/>
          <w:iCs/>
          <w:sz w:val="20"/>
          <w:szCs w:val="20"/>
        </w:rPr>
        <w:t>Leandro Caraffini Veneral</w:t>
      </w:r>
    </w:p>
    <w:p w14:paraId="43FE06D0" w14:textId="77777777" w:rsidR="00575174" w:rsidRDefault="009F4508">
      <w:pPr>
        <w:jc w:val="center"/>
        <w:rPr>
          <w:rFonts w:ascii="Times New Roman" w:hAnsi="Times New Roman" w:cs="Times New Roman"/>
          <w:bCs/>
          <w:i/>
          <w:iCs/>
          <w:sz w:val="20"/>
          <w:szCs w:val="20"/>
        </w:rPr>
      </w:pPr>
      <w:r>
        <w:rPr>
          <w:rFonts w:ascii="Times New Roman" w:hAnsi="Times New Roman" w:cs="Times New Roman"/>
          <w:i/>
          <w:iCs/>
          <w:sz w:val="20"/>
          <w:szCs w:val="20"/>
        </w:rPr>
        <w:t>Prefeito</w:t>
      </w:r>
    </w:p>
    <w:p w14:paraId="0358380D" w14:textId="77777777" w:rsidR="00575174" w:rsidRDefault="00575174">
      <w:pPr>
        <w:rPr>
          <w:rFonts w:ascii="Times New Roman" w:hAnsi="Times New Roman" w:cs="Times New Roman"/>
          <w:i/>
          <w:iCs/>
          <w:sz w:val="20"/>
          <w:szCs w:val="20"/>
        </w:rPr>
      </w:pPr>
    </w:p>
    <w:p w14:paraId="6A6B0012" w14:textId="77777777" w:rsidR="00575174" w:rsidRDefault="00575174">
      <w:pPr>
        <w:rPr>
          <w:rFonts w:ascii="Times New Roman" w:hAnsi="Times New Roman" w:cs="Times New Roman"/>
          <w:sz w:val="20"/>
          <w:szCs w:val="20"/>
        </w:rPr>
      </w:pPr>
    </w:p>
    <w:p w14:paraId="25EE98F8" w14:textId="77777777" w:rsidR="00575174" w:rsidRDefault="00575174">
      <w:pPr>
        <w:rPr>
          <w:rFonts w:ascii="Times New Roman" w:hAnsi="Times New Roman" w:cs="Times New Roman"/>
          <w:sz w:val="20"/>
          <w:szCs w:val="20"/>
        </w:rPr>
      </w:pPr>
    </w:p>
    <w:p w14:paraId="4D6F212F" w14:textId="77777777" w:rsidR="00575174" w:rsidRDefault="00575174">
      <w:pPr>
        <w:rPr>
          <w:rFonts w:ascii="Times New Roman" w:hAnsi="Times New Roman" w:cs="Times New Roman"/>
          <w:sz w:val="20"/>
          <w:szCs w:val="20"/>
        </w:rPr>
      </w:pPr>
    </w:p>
    <w:p w14:paraId="3B58DFAA" w14:textId="77777777" w:rsidR="00575174" w:rsidRDefault="00575174">
      <w:pPr>
        <w:rPr>
          <w:rFonts w:ascii="Times New Roman" w:hAnsi="Times New Roman" w:cs="Times New Roman"/>
          <w:sz w:val="20"/>
          <w:szCs w:val="20"/>
        </w:rPr>
      </w:pPr>
    </w:p>
    <w:p w14:paraId="5B89638F" w14:textId="77777777" w:rsidR="00575174" w:rsidRDefault="00575174">
      <w:pPr>
        <w:rPr>
          <w:rFonts w:ascii="Times New Roman" w:hAnsi="Times New Roman" w:cs="Times New Roman"/>
          <w:sz w:val="20"/>
          <w:szCs w:val="20"/>
        </w:rPr>
      </w:pPr>
    </w:p>
    <w:p w14:paraId="40BD46E1" w14:textId="77777777" w:rsidR="00575174" w:rsidRDefault="00575174">
      <w:pPr>
        <w:rPr>
          <w:rFonts w:ascii="Times New Roman" w:hAnsi="Times New Roman" w:cs="Times New Roman"/>
          <w:sz w:val="20"/>
          <w:szCs w:val="20"/>
        </w:rPr>
      </w:pPr>
    </w:p>
    <w:p w14:paraId="38550F17" w14:textId="77777777" w:rsidR="00575174" w:rsidRDefault="00575174">
      <w:pPr>
        <w:rPr>
          <w:rFonts w:ascii="Times New Roman" w:hAnsi="Times New Roman" w:cs="Times New Roman"/>
          <w:sz w:val="20"/>
          <w:szCs w:val="20"/>
        </w:rPr>
      </w:pPr>
    </w:p>
    <w:p w14:paraId="3230A7AB" w14:textId="77777777" w:rsidR="00575174" w:rsidRDefault="00575174">
      <w:pPr>
        <w:jc w:val="both"/>
        <w:rPr>
          <w:rFonts w:ascii="Times New Roman" w:hAnsi="Times New Roman" w:cs="Times New Roman"/>
          <w:sz w:val="20"/>
          <w:szCs w:val="20"/>
        </w:rPr>
      </w:pPr>
    </w:p>
    <w:p w14:paraId="0F9D1B73" w14:textId="77777777" w:rsidR="00575174" w:rsidRDefault="00575174">
      <w:pPr>
        <w:jc w:val="both"/>
        <w:rPr>
          <w:rFonts w:ascii="Times New Roman" w:hAnsi="Times New Roman" w:cs="Times New Roman"/>
          <w:sz w:val="20"/>
          <w:szCs w:val="20"/>
        </w:rPr>
      </w:pPr>
    </w:p>
    <w:p w14:paraId="1932B377" w14:textId="77777777" w:rsidR="00575174" w:rsidRDefault="00575174">
      <w:pPr>
        <w:jc w:val="both"/>
        <w:rPr>
          <w:rFonts w:ascii="Times New Roman" w:hAnsi="Times New Roman" w:cs="Times New Roman"/>
          <w:sz w:val="20"/>
          <w:szCs w:val="20"/>
        </w:rPr>
      </w:pPr>
    </w:p>
    <w:p w14:paraId="491BA7E8" w14:textId="77777777" w:rsidR="00575174" w:rsidRDefault="00575174">
      <w:pPr>
        <w:jc w:val="both"/>
        <w:rPr>
          <w:rFonts w:ascii="Times New Roman" w:hAnsi="Times New Roman" w:cs="Times New Roman"/>
          <w:sz w:val="20"/>
          <w:szCs w:val="20"/>
        </w:rPr>
      </w:pPr>
    </w:p>
    <w:p w14:paraId="45055AA7" w14:textId="77777777" w:rsidR="00575174" w:rsidRDefault="00575174">
      <w:pPr>
        <w:jc w:val="both"/>
        <w:rPr>
          <w:rFonts w:ascii="Times New Roman" w:hAnsi="Times New Roman" w:cs="Times New Roman"/>
          <w:sz w:val="20"/>
          <w:szCs w:val="20"/>
        </w:rPr>
      </w:pPr>
    </w:p>
    <w:p w14:paraId="79739DAB" w14:textId="77777777" w:rsidR="00575174" w:rsidRDefault="00575174">
      <w:pPr>
        <w:jc w:val="both"/>
        <w:rPr>
          <w:rFonts w:ascii="Times New Roman" w:hAnsi="Times New Roman" w:cs="Times New Roman"/>
          <w:sz w:val="20"/>
          <w:szCs w:val="20"/>
        </w:rPr>
      </w:pPr>
    </w:p>
    <w:p w14:paraId="6374A3A1" w14:textId="77777777" w:rsidR="00575174" w:rsidRDefault="00575174">
      <w:pPr>
        <w:jc w:val="both"/>
        <w:rPr>
          <w:rFonts w:ascii="Times New Roman" w:hAnsi="Times New Roman" w:cs="Times New Roman"/>
          <w:sz w:val="20"/>
          <w:szCs w:val="20"/>
        </w:rPr>
      </w:pPr>
    </w:p>
    <w:p w14:paraId="0CB630BB" w14:textId="77777777" w:rsidR="00575174" w:rsidRDefault="00575174">
      <w:pPr>
        <w:jc w:val="both"/>
        <w:rPr>
          <w:rFonts w:ascii="Times New Roman" w:hAnsi="Times New Roman" w:cs="Times New Roman"/>
          <w:sz w:val="20"/>
          <w:szCs w:val="20"/>
        </w:rPr>
      </w:pPr>
    </w:p>
    <w:p w14:paraId="44783639" w14:textId="77777777" w:rsidR="00575174" w:rsidRDefault="00575174">
      <w:pPr>
        <w:jc w:val="both"/>
        <w:rPr>
          <w:rFonts w:ascii="Times New Roman" w:hAnsi="Times New Roman" w:cs="Times New Roman"/>
          <w:sz w:val="20"/>
          <w:szCs w:val="20"/>
        </w:rPr>
      </w:pPr>
    </w:p>
    <w:sectPr w:rsidR="00575174">
      <w:headerReference w:type="default" r:id="rId34"/>
      <w:footerReference w:type="default" r:id="rId35"/>
      <w:headerReference w:type="first" r:id="rId36"/>
      <w:footerReference w:type="first" r:id="rId37"/>
      <w:pgSz w:w="11906" w:h="16838"/>
      <w:pgMar w:top="1366" w:right="1134" w:bottom="1134" w:left="1134" w:header="0" w:footer="0"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D18ED8" w14:textId="77777777" w:rsidR="009F4508" w:rsidRDefault="009F4508">
      <w:r>
        <w:separator/>
      </w:r>
    </w:p>
  </w:endnote>
  <w:endnote w:type="continuationSeparator" w:id="0">
    <w:p w14:paraId="2AF0DD8E" w14:textId="77777777" w:rsidR="009F4508" w:rsidRDefault="009F45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dugi">
    <w:panose1 w:val="020B0502040204020203"/>
    <w:charset w:val="00"/>
    <w:family w:val="swiss"/>
    <w:pitch w:val="variable"/>
    <w:sig w:usb0="80000003" w:usb1="02000000" w:usb2="00003000" w:usb3="00000000" w:csb0="0000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Ecofont_Spranq_eco_Sans">
    <w:altName w:val="Cambria"/>
    <w:charset w:val="00"/>
    <w:family w:val="roman"/>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Symbol">
    <w:altName w:val="Arial Unicode MS"/>
    <w:charset w:val="00"/>
    <w:family w:val="roman"/>
    <w:pitch w:val="variable"/>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charset w:val="00"/>
    <w:family w:val="swiss"/>
    <w:pitch w:val="variable"/>
    <w:sig w:usb0="00000003" w:usb1="00000000" w:usb2="00000000" w:usb3="00000000" w:csb0="00000001"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1C4FED" w14:textId="77777777" w:rsidR="00575174" w:rsidRDefault="00575174"/>
  <w:p w14:paraId="1933009B" w14:textId="77777777" w:rsidR="00575174" w:rsidRDefault="00575174">
    <w:pPr>
      <w:pStyle w:val="Normal1"/>
      <w:rPr>
        <w:rFonts w:ascii="Arial" w:hAnsi="Arial" w:cs="Arial"/>
        <w:sz w:val="14"/>
        <w:szCs w:val="14"/>
      </w:rPr>
    </w:pPr>
    <w:bookmarkStart w:id="44" w:name="_Hlk135299703"/>
    <w:bookmarkEnd w:id="44"/>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1DE996" w14:textId="77777777" w:rsidR="00575174" w:rsidRDefault="009F4508">
    <w:r>
      <w:rPr>
        <w:noProof/>
      </w:rPr>
      <w:drawing>
        <wp:anchor distT="0" distB="0" distL="0" distR="114300" simplePos="0" relativeHeight="30" behindDoc="0" locked="0" layoutInCell="0" allowOverlap="1" wp14:anchorId="026821E6" wp14:editId="6FE93464">
          <wp:simplePos x="0" y="0"/>
          <wp:positionH relativeFrom="margin">
            <wp:align>left</wp:align>
          </wp:positionH>
          <wp:positionV relativeFrom="paragraph">
            <wp:posOffset>9427210</wp:posOffset>
          </wp:positionV>
          <wp:extent cx="5400040" cy="1027430"/>
          <wp:effectExtent l="0" t="0" r="0" b="0"/>
          <wp:wrapTight wrapText="bothSides">
            <wp:wrapPolygon edited="0">
              <wp:start x="-1" y="0"/>
              <wp:lineTo x="-1" y="21228"/>
              <wp:lineTo x="21469" y="21228"/>
              <wp:lineTo x="21469" y="0"/>
              <wp:lineTo x="-1" y="0"/>
            </wp:wrapPolygon>
          </wp:wrapTight>
          <wp:docPr id="5"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3"/>
                  <pic:cNvPicPr>
                    <a:picLocks noChangeAspect="1" noChangeArrowheads="1"/>
                  </pic:cNvPicPr>
                </pic:nvPicPr>
                <pic:blipFill>
                  <a:blip r:embed="rId1"/>
                  <a:stretch>
                    <a:fillRect/>
                  </a:stretch>
                </pic:blipFill>
                <pic:spPr bwMode="auto">
                  <a:xfrm>
                    <a:off x="0" y="0"/>
                    <a:ext cx="5400040" cy="1027430"/>
                  </a:xfrm>
                  <a:prstGeom prst="rect">
                    <a:avLst/>
                  </a:prstGeom>
                  <a:noFill/>
                </pic:spPr>
              </pic:pic>
            </a:graphicData>
          </a:graphic>
        </wp:anchor>
      </w:drawing>
    </w:r>
    <w:r>
      <w:rPr>
        <w:noProof/>
      </w:rPr>
      <w:drawing>
        <wp:anchor distT="0" distB="0" distL="0" distR="114300" simplePos="0" relativeHeight="31" behindDoc="0" locked="0" layoutInCell="0" allowOverlap="1" wp14:anchorId="608BD73D" wp14:editId="6FCD3A1D">
          <wp:simplePos x="0" y="0"/>
          <wp:positionH relativeFrom="margin">
            <wp:posOffset>533400</wp:posOffset>
          </wp:positionH>
          <wp:positionV relativeFrom="paragraph">
            <wp:posOffset>-469265</wp:posOffset>
          </wp:positionV>
          <wp:extent cx="5400040" cy="1027430"/>
          <wp:effectExtent l="0" t="0" r="0" b="0"/>
          <wp:wrapTight wrapText="bothSides">
            <wp:wrapPolygon edited="0">
              <wp:start x="-1" y="0"/>
              <wp:lineTo x="-1" y="21228"/>
              <wp:lineTo x="21469" y="21228"/>
              <wp:lineTo x="21469" y="0"/>
              <wp:lineTo x="-1" y="0"/>
            </wp:wrapPolygon>
          </wp:wrapTight>
          <wp:docPr id="6" name="Figura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igura4"/>
                  <pic:cNvPicPr>
                    <a:picLocks noChangeAspect="1" noChangeArrowheads="1"/>
                  </pic:cNvPicPr>
                </pic:nvPicPr>
                <pic:blipFill>
                  <a:blip r:embed="rId1"/>
                  <a:stretch>
                    <a:fillRect/>
                  </a:stretch>
                </pic:blipFill>
                <pic:spPr bwMode="auto">
                  <a:xfrm>
                    <a:off x="0" y="0"/>
                    <a:ext cx="5400040" cy="1027430"/>
                  </a:xfrm>
                  <a:prstGeom prst="rect">
                    <a:avLst/>
                  </a:prstGeom>
                  <a:noFill/>
                </pic:spPr>
              </pic:pic>
            </a:graphicData>
          </a:graphic>
        </wp:anchor>
      </w:drawing>
    </w:r>
  </w:p>
  <w:p w14:paraId="5C970E03" w14:textId="77777777" w:rsidR="00575174" w:rsidRDefault="00575174"/>
  <w:p w14:paraId="2A015FEF" w14:textId="77777777" w:rsidR="00575174" w:rsidRDefault="00575174">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1BE6E3" w14:textId="77777777" w:rsidR="009F4508" w:rsidRDefault="009F4508">
      <w:r>
        <w:separator/>
      </w:r>
    </w:p>
  </w:footnote>
  <w:footnote w:type="continuationSeparator" w:id="0">
    <w:p w14:paraId="55DF65F4" w14:textId="77777777" w:rsidR="009F4508" w:rsidRDefault="009F45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1B9D14" w14:textId="77777777" w:rsidR="00575174" w:rsidRDefault="00575174">
    <w:pPr>
      <w:pStyle w:val="Cabealho"/>
      <w:jc w:val="right"/>
      <w:rPr>
        <w:rFonts w:ascii="Arial" w:hAnsi="Arial" w:cs="Arial"/>
        <w:sz w:val="20"/>
        <w:szCs w:val="20"/>
      </w:rPr>
    </w:pPr>
  </w:p>
  <w:p w14:paraId="2465CC27" w14:textId="1A563518" w:rsidR="00575174" w:rsidRDefault="00AE26D8">
    <w:r>
      <w:rPr>
        <w:rFonts w:ascii="Arial" w:hAnsi="Arial" w:cs="Arial"/>
        <w:noProof/>
        <w:sz w:val="20"/>
        <w:szCs w:val="20"/>
      </w:rPr>
      <w:drawing>
        <wp:anchor distT="0" distB="0" distL="114300" distR="114300" simplePos="0" relativeHeight="251657216" behindDoc="1" locked="0" layoutInCell="0" allowOverlap="1" wp14:anchorId="6BBB9223" wp14:editId="70CBB0C6">
          <wp:simplePos x="0" y="0"/>
          <wp:positionH relativeFrom="margin">
            <wp:posOffset>2102043</wp:posOffset>
          </wp:positionH>
          <wp:positionV relativeFrom="margin">
            <wp:posOffset>-968707</wp:posOffset>
          </wp:positionV>
          <wp:extent cx="1911350" cy="505460"/>
          <wp:effectExtent l="0" t="0" r="0" b="0"/>
          <wp:wrapSquare wrapText="bothSides"/>
          <wp:docPr id="3"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4"/>
                  <pic:cNvPicPr>
                    <a:picLocks noChangeAspect="1" noChangeArrowheads="1"/>
                  </pic:cNvPicPr>
                </pic:nvPicPr>
                <pic:blipFill>
                  <a:blip r:embed="rId1"/>
                  <a:srcRect l="26388" t="15762" r="24955" b="17745"/>
                  <a:stretch>
                    <a:fillRect/>
                  </a:stretch>
                </pic:blipFill>
                <pic:spPr bwMode="auto">
                  <a:xfrm>
                    <a:off x="0" y="0"/>
                    <a:ext cx="1911350" cy="505460"/>
                  </a:xfrm>
                  <a:prstGeom prst="rect">
                    <a:avLst/>
                  </a:prstGeom>
                  <a:noFill/>
                </pic:spPr>
              </pic:pic>
            </a:graphicData>
          </a:graphic>
          <wp14:sizeRelH relativeFrom="margin">
            <wp14:pctWidth>0</wp14:pctWidth>
          </wp14:sizeRelH>
          <wp14:sizeRelV relativeFrom="margin">
            <wp14:pctHeight>0</wp14:pctHeight>
          </wp14:sizeRelV>
        </wp:anchor>
      </w:drawing>
    </w:r>
  </w:p>
  <w:p w14:paraId="7055BD5F" w14:textId="2FE90AF5" w:rsidR="00575174" w:rsidRDefault="00575174">
    <w:pPr>
      <w:pStyle w:val="Cabealho"/>
      <w:jc w:val="right"/>
      <w:rPr>
        <w:rFonts w:ascii="Arial" w:hAnsi="Arial" w:cs="Arial"/>
        <w:sz w:val="20"/>
        <w:szCs w:val="20"/>
      </w:rPr>
    </w:pPr>
  </w:p>
  <w:p w14:paraId="244ED11C" w14:textId="77777777" w:rsidR="00575174" w:rsidRDefault="00575174">
    <w:pPr>
      <w:pStyle w:val="Cabealho"/>
      <w:jc w:val="center"/>
      <w:rPr>
        <w:rFonts w:ascii="Arial" w:hAnsi="Arial" w:cs="Arial"/>
        <w:sz w:val="20"/>
        <w:szCs w:val="20"/>
      </w:rPr>
    </w:pPr>
  </w:p>
  <w:p w14:paraId="7EB8F2B7" w14:textId="77777777" w:rsidR="00575174" w:rsidRDefault="00575174" w:rsidP="00AE26D8">
    <w:pPr>
      <w:pStyle w:val="Cabealho"/>
      <w:jc w:val="center"/>
      <w:rPr>
        <w:rFonts w:ascii="Gadugi" w:hAnsi="Gadugi" w:cs="Gadugi"/>
        <w:b/>
        <w:bCs/>
        <w:sz w:val="18"/>
        <w:szCs w:val="18"/>
      </w:rPr>
    </w:pPr>
  </w:p>
  <w:p w14:paraId="184444A1" w14:textId="77777777" w:rsidR="00575174" w:rsidRDefault="00575174">
    <w:pPr>
      <w:pStyle w:val="Cabealho"/>
      <w:rPr>
        <w:rFonts w:ascii="Gadugi" w:hAnsi="Gadugi" w:cs="Gadugi"/>
        <w:b/>
        <w:bCs/>
        <w:sz w:val="18"/>
        <w:szCs w:val="18"/>
      </w:rPr>
    </w:pPr>
  </w:p>
  <w:p w14:paraId="0E098891" w14:textId="77777777" w:rsidR="00575174" w:rsidRPr="00AE26D8" w:rsidRDefault="009F4508">
    <w:pPr>
      <w:pStyle w:val="Cabealho"/>
      <w:jc w:val="right"/>
      <w:rPr>
        <w:rFonts w:ascii="Times New Roman" w:hAnsi="Times New Roman" w:cs="Times New Roman"/>
        <w:b/>
        <w:bCs/>
        <w:sz w:val="12"/>
        <w:szCs w:val="12"/>
      </w:rPr>
    </w:pPr>
    <w:r w:rsidRPr="00AE26D8">
      <w:rPr>
        <w:rFonts w:ascii="Times New Roman" w:hAnsi="Times New Roman" w:cs="Times New Roman"/>
        <w:sz w:val="18"/>
        <w:szCs w:val="18"/>
      </w:rPr>
      <w:t>Pregão Eletrônico nº 47/2025</w:t>
    </w:r>
  </w:p>
  <w:p w14:paraId="1EC8DF5F" w14:textId="77777777" w:rsidR="00575174" w:rsidRPr="00AE26D8" w:rsidRDefault="009F4508">
    <w:pPr>
      <w:pStyle w:val="Cabealho"/>
      <w:jc w:val="right"/>
      <w:rPr>
        <w:rFonts w:ascii="Times New Roman" w:hAnsi="Times New Roman" w:cs="Times New Roman"/>
        <w:sz w:val="12"/>
        <w:szCs w:val="12"/>
      </w:rPr>
    </w:pPr>
    <w:r w:rsidRPr="00AE26D8">
      <w:rPr>
        <w:rFonts w:ascii="Times New Roman" w:hAnsi="Times New Roman" w:cs="Times New Roman"/>
        <w:sz w:val="18"/>
        <w:szCs w:val="18"/>
      </w:rPr>
      <w:t xml:space="preserve">Registro de Preços nº 38/2025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87DD26" w14:textId="77777777" w:rsidR="00575174" w:rsidRDefault="00575174"/>
  <w:p w14:paraId="203BC416" w14:textId="77777777" w:rsidR="00575174" w:rsidRDefault="009F4508">
    <w:r>
      <w:rPr>
        <w:noProof/>
      </w:rPr>
      <w:drawing>
        <wp:anchor distT="0" distB="0" distL="114300" distR="114300" simplePos="0" relativeHeight="2" behindDoc="1" locked="0" layoutInCell="0" allowOverlap="1" wp14:anchorId="2114DF29" wp14:editId="38C1EB2E">
          <wp:simplePos x="0" y="0"/>
          <wp:positionH relativeFrom="margin">
            <wp:posOffset>1365885</wp:posOffset>
          </wp:positionH>
          <wp:positionV relativeFrom="paragraph">
            <wp:posOffset>156845</wp:posOffset>
          </wp:positionV>
          <wp:extent cx="3390900" cy="896620"/>
          <wp:effectExtent l="0" t="0" r="0" b="0"/>
          <wp:wrapSquare wrapText="bothSides"/>
          <wp:docPr id="4" name="Figura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gura3"/>
                  <pic:cNvPicPr>
                    <a:picLocks noChangeAspect="1" noChangeArrowheads="1"/>
                  </pic:cNvPicPr>
                </pic:nvPicPr>
                <pic:blipFill>
                  <a:blip r:embed="rId1"/>
                  <a:srcRect l="26388" t="15762" r="24955" b="17745"/>
                  <a:stretch>
                    <a:fillRect/>
                  </a:stretch>
                </pic:blipFill>
                <pic:spPr bwMode="auto">
                  <a:xfrm>
                    <a:off x="0" y="0"/>
                    <a:ext cx="3390900" cy="89662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523E67"/>
    <w:multiLevelType w:val="multilevel"/>
    <w:tmpl w:val="73A4EF1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 w15:restartNumberingAfterBreak="0">
    <w:nsid w:val="10345A6E"/>
    <w:multiLevelType w:val="multilevel"/>
    <w:tmpl w:val="D174CB5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 w15:restartNumberingAfterBreak="0">
    <w:nsid w:val="16712081"/>
    <w:multiLevelType w:val="multilevel"/>
    <w:tmpl w:val="3D3A391E"/>
    <w:lvl w:ilvl="0">
      <w:start w:val="5"/>
      <w:numFmt w:val="decimal"/>
      <w:lvlText w:val="%1"/>
      <w:lvlJc w:val="left"/>
      <w:pPr>
        <w:tabs>
          <w:tab w:val="num" w:pos="0"/>
        </w:tabs>
        <w:ind w:left="405" w:hanging="405"/>
      </w:pPr>
    </w:lvl>
    <w:lvl w:ilvl="1">
      <w:start w:val="1"/>
      <w:numFmt w:val="decimal"/>
      <w:lvlText w:val="%1.%2"/>
      <w:lvlJc w:val="left"/>
      <w:pPr>
        <w:tabs>
          <w:tab w:val="num" w:pos="0"/>
        </w:tabs>
        <w:ind w:left="1113" w:hanging="405"/>
      </w:pPr>
    </w:lvl>
    <w:lvl w:ilvl="2">
      <w:start w:val="1"/>
      <w:numFmt w:val="decimal"/>
      <w:lvlText w:val="%1.%2.%3"/>
      <w:lvlJc w:val="left"/>
      <w:pPr>
        <w:tabs>
          <w:tab w:val="num" w:pos="0"/>
        </w:tabs>
        <w:ind w:left="2136" w:hanging="720"/>
      </w:pPr>
    </w:lvl>
    <w:lvl w:ilvl="3">
      <w:start w:val="1"/>
      <w:numFmt w:val="decimal"/>
      <w:lvlText w:val="%1.%2.%3.%4"/>
      <w:lvlJc w:val="left"/>
      <w:pPr>
        <w:tabs>
          <w:tab w:val="num" w:pos="0"/>
        </w:tabs>
        <w:ind w:left="2844" w:hanging="720"/>
      </w:pPr>
    </w:lvl>
    <w:lvl w:ilvl="4">
      <w:start w:val="1"/>
      <w:numFmt w:val="decimal"/>
      <w:lvlText w:val="%1.%2.%3.%4.%5"/>
      <w:lvlJc w:val="left"/>
      <w:pPr>
        <w:tabs>
          <w:tab w:val="num" w:pos="0"/>
        </w:tabs>
        <w:ind w:left="3552" w:hanging="720"/>
      </w:pPr>
    </w:lvl>
    <w:lvl w:ilvl="5">
      <w:start w:val="1"/>
      <w:numFmt w:val="decimal"/>
      <w:lvlText w:val="%1.%2.%3.%4.%5.%6"/>
      <w:lvlJc w:val="left"/>
      <w:pPr>
        <w:tabs>
          <w:tab w:val="num" w:pos="0"/>
        </w:tabs>
        <w:ind w:left="4620" w:hanging="1080"/>
      </w:pPr>
    </w:lvl>
    <w:lvl w:ilvl="6">
      <w:start w:val="1"/>
      <w:numFmt w:val="decimal"/>
      <w:lvlText w:val="%1.%2.%3.%4.%5.%6.%7"/>
      <w:lvlJc w:val="left"/>
      <w:pPr>
        <w:tabs>
          <w:tab w:val="num" w:pos="0"/>
        </w:tabs>
        <w:ind w:left="5328" w:hanging="1080"/>
      </w:pPr>
    </w:lvl>
    <w:lvl w:ilvl="7">
      <w:start w:val="1"/>
      <w:numFmt w:val="decimal"/>
      <w:lvlText w:val="%1.%2.%3.%4.%5.%6.%7.%8"/>
      <w:lvlJc w:val="left"/>
      <w:pPr>
        <w:tabs>
          <w:tab w:val="num" w:pos="0"/>
        </w:tabs>
        <w:ind w:left="6396" w:hanging="1440"/>
      </w:pPr>
    </w:lvl>
    <w:lvl w:ilvl="8">
      <w:start w:val="1"/>
      <w:numFmt w:val="decimal"/>
      <w:lvlText w:val="%1.%2.%3.%4.%5.%6.%7.%8.%9"/>
      <w:lvlJc w:val="left"/>
      <w:pPr>
        <w:tabs>
          <w:tab w:val="num" w:pos="0"/>
        </w:tabs>
        <w:ind w:left="7104" w:hanging="1440"/>
      </w:pPr>
    </w:lvl>
  </w:abstractNum>
  <w:abstractNum w:abstractNumId="3" w15:restartNumberingAfterBreak="0">
    <w:nsid w:val="22913A9A"/>
    <w:multiLevelType w:val="multilevel"/>
    <w:tmpl w:val="A5B0C66E"/>
    <w:lvl w:ilvl="0">
      <w:start w:val="1"/>
      <w:numFmt w:val="decimal"/>
      <w:pStyle w:val="Nivel01"/>
      <w:lvlText w:val="%1."/>
      <w:lvlJc w:val="left"/>
      <w:pPr>
        <w:tabs>
          <w:tab w:val="num" w:pos="0"/>
        </w:tabs>
        <w:ind w:left="7731" w:hanging="360"/>
      </w:pPr>
      <w:rPr>
        <w:b/>
      </w:rPr>
    </w:lvl>
    <w:lvl w:ilvl="1">
      <w:start w:val="1"/>
      <w:numFmt w:val="decimal"/>
      <w:pStyle w:val="Nivel2"/>
      <w:lvlText w:val="%1.%2."/>
      <w:lvlJc w:val="left"/>
      <w:pPr>
        <w:tabs>
          <w:tab w:val="num" w:pos="0"/>
        </w:tabs>
        <w:ind w:left="999" w:hanging="432"/>
      </w:pPr>
      <w:rPr>
        <w:rFonts w:ascii="Gadugi" w:eastAsia="Gadugi" w:hAnsi="Gadugi" w:cs="Gadugi"/>
        <w:b w:val="0"/>
        <w:i w:val="0"/>
        <w:strike w:val="0"/>
        <w:dstrike w:val="0"/>
        <w:color w:val="auto"/>
        <w:sz w:val="18"/>
        <w:szCs w:val="18"/>
        <w:u w:val="none"/>
      </w:rPr>
    </w:lvl>
    <w:lvl w:ilvl="2">
      <w:start w:val="1"/>
      <w:numFmt w:val="decimal"/>
      <w:pStyle w:val="Nivel3"/>
      <w:lvlText w:val="%1.%2.%3."/>
      <w:lvlJc w:val="left"/>
      <w:pPr>
        <w:tabs>
          <w:tab w:val="num" w:pos="0"/>
        </w:tabs>
        <w:ind w:left="1638" w:hanging="504"/>
      </w:pPr>
      <w:rPr>
        <w:rFonts w:ascii="Gadugi" w:eastAsia="Gadugi" w:hAnsi="Gadugi" w:cs="Gadugi"/>
        <w:b w:val="0"/>
        <w:i w:val="0"/>
        <w:strike w:val="0"/>
        <w:dstrike w:val="0"/>
        <w:color w:val="auto"/>
        <w:sz w:val="18"/>
        <w:szCs w:val="20"/>
      </w:rPr>
    </w:lvl>
    <w:lvl w:ilvl="3">
      <w:start w:val="1"/>
      <w:numFmt w:val="decimal"/>
      <w:lvlText w:val="%1.%2.%3.%4."/>
      <w:lvlJc w:val="left"/>
      <w:pPr>
        <w:tabs>
          <w:tab w:val="num" w:pos="0"/>
        </w:tabs>
        <w:ind w:left="648" w:hanging="648"/>
      </w:pPr>
      <w:rPr>
        <w:rFonts w:ascii="Gadugi" w:eastAsia="Gadugi" w:hAnsi="Gadugi" w:cs="Gadugi"/>
        <w:b w:val="0"/>
        <w:sz w:val="18"/>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 w15:restartNumberingAfterBreak="0">
    <w:nsid w:val="29D74969"/>
    <w:multiLevelType w:val="multilevel"/>
    <w:tmpl w:val="2A78830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15:restartNumberingAfterBreak="0">
    <w:nsid w:val="4257574A"/>
    <w:multiLevelType w:val="multilevel"/>
    <w:tmpl w:val="F8F09B22"/>
    <w:lvl w:ilvl="0">
      <w:start w:val="1"/>
      <w:numFmt w:val="decimal"/>
      <w:lvlText w:val="%1."/>
      <w:lvlJc w:val="left"/>
      <w:pPr>
        <w:tabs>
          <w:tab w:val="num" w:pos="0"/>
        </w:tabs>
        <w:ind w:left="360" w:hanging="360"/>
      </w:pPr>
      <w:rPr>
        <w:b/>
        <w:color w:val="auto"/>
      </w:rPr>
    </w:lvl>
    <w:lvl w:ilvl="1">
      <w:start w:val="1"/>
      <w:numFmt w:val="decimal"/>
      <w:lvlText w:val="%1.%2."/>
      <w:lvlJc w:val="left"/>
      <w:pPr>
        <w:tabs>
          <w:tab w:val="num" w:pos="0"/>
        </w:tabs>
        <w:ind w:left="1283" w:hanging="432"/>
      </w:pPr>
      <w:rPr>
        <w:sz w:val="20"/>
        <w:szCs w:val="20"/>
      </w:rPr>
    </w:lvl>
    <w:lvl w:ilvl="2">
      <w:start w:val="1"/>
      <w:numFmt w:val="decimal"/>
      <w:pStyle w:val="Nvel3"/>
      <w:lvlText w:val="%1.%2.%3."/>
      <w:lvlJc w:val="left"/>
      <w:pPr>
        <w:tabs>
          <w:tab w:val="num" w:pos="0"/>
        </w:tabs>
        <w:ind w:left="1497"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 w15:restartNumberingAfterBreak="0">
    <w:nsid w:val="59BB2EAB"/>
    <w:multiLevelType w:val="multilevel"/>
    <w:tmpl w:val="41CEDBEC"/>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6A4D569E"/>
    <w:multiLevelType w:val="multilevel"/>
    <w:tmpl w:val="72823E58"/>
    <w:lvl w:ilvl="0">
      <w:start w:val="1"/>
      <w:numFmt w:val="decimal"/>
      <w:lvlText w:val="%1."/>
      <w:lvlJc w:val="left"/>
      <w:pPr>
        <w:tabs>
          <w:tab w:val="num" w:pos="0"/>
        </w:tabs>
        <w:ind w:left="7731" w:hanging="360"/>
      </w:pPr>
      <w:rPr>
        <w:b/>
      </w:rPr>
    </w:lvl>
    <w:lvl w:ilvl="1">
      <w:start w:val="1"/>
      <w:numFmt w:val="decimal"/>
      <w:lvlText w:val="%1.%2."/>
      <w:lvlJc w:val="left"/>
      <w:pPr>
        <w:tabs>
          <w:tab w:val="num" w:pos="0"/>
        </w:tabs>
        <w:ind w:left="999" w:hanging="432"/>
      </w:pPr>
      <w:rPr>
        <w:rFonts w:ascii="Cambria" w:eastAsia="Cambria" w:hAnsi="Cambria" w:cs="Cambria"/>
        <w:b w:val="0"/>
        <w:i w:val="0"/>
        <w:strike w:val="0"/>
        <w:dstrike w:val="0"/>
        <w:color w:val="auto"/>
        <w:sz w:val="18"/>
        <w:szCs w:val="20"/>
        <w:u w:val="none"/>
      </w:rPr>
    </w:lvl>
    <w:lvl w:ilvl="2">
      <w:start w:val="1"/>
      <w:numFmt w:val="decimal"/>
      <w:lvlText w:val="%1.%2.%3."/>
      <w:lvlJc w:val="left"/>
      <w:pPr>
        <w:tabs>
          <w:tab w:val="num" w:pos="0"/>
        </w:tabs>
        <w:ind w:left="1638" w:hanging="504"/>
      </w:pPr>
      <w:rPr>
        <w:rFonts w:ascii="Cambria" w:eastAsia="Cambria" w:hAnsi="Cambria" w:cs="Cambria"/>
        <w:b w:val="0"/>
        <w:i w:val="0"/>
        <w:strike w:val="0"/>
        <w:dstrike w:val="0"/>
        <w:color w:val="auto"/>
        <w:sz w:val="18"/>
        <w:szCs w:val="20"/>
      </w:rPr>
    </w:lvl>
    <w:lvl w:ilvl="3">
      <w:start w:val="1"/>
      <w:numFmt w:val="decimal"/>
      <w:lvlText w:val="%1.%2.%3.%4."/>
      <w:lvlJc w:val="left"/>
      <w:pPr>
        <w:tabs>
          <w:tab w:val="num" w:pos="0"/>
        </w:tabs>
        <w:ind w:left="648" w:hanging="648"/>
      </w:pPr>
      <w:rPr>
        <w:rFonts w:ascii="Cambria" w:eastAsia="Cambria" w:hAnsi="Cambria" w:cs="Cambria"/>
        <w:b w:val="0"/>
        <w:sz w:val="18"/>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7017013D"/>
    <w:multiLevelType w:val="multilevel"/>
    <w:tmpl w:val="4F72598A"/>
    <w:lvl w:ilvl="0">
      <w:start w:val="1"/>
      <w:numFmt w:val="bullet"/>
      <w:pStyle w:val="Commarcadores5"/>
      <w:lvlText w:val=""/>
      <w:lvlJc w:val="left"/>
      <w:pPr>
        <w:tabs>
          <w:tab w:val="num" w:pos="1492"/>
        </w:tabs>
        <w:ind w:left="1492"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 w15:restartNumberingAfterBreak="0">
    <w:nsid w:val="706937AB"/>
    <w:multiLevelType w:val="multilevel"/>
    <w:tmpl w:val="D7C41F3C"/>
    <w:lvl w:ilvl="0">
      <w:start w:val="1"/>
      <w:numFmt w:val="decimal"/>
      <w:lvlText w:val="%1."/>
      <w:lvlJc w:val="left"/>
      <w:pPr>
        <w:tabs>
          <w:tab w:val="num" w:pos="0"/>
        </w:tabs>
        <w:ind w:left="7731" w:hanging="360"/>
      </w:pPr>
      <w:rPr>
        <w:b/>
      </w:rPr>
    </w:lvl>
    <w:lvl w:ilvl="1">
      <w:start w:val="1"/>
      <w:numFmt w:val="decimal"/>
      <w:lvlText w:val="%1.%2."/>
      <w:lvlJc w:val="left"/>
      <w:pPr>
        <w:tabs>
          <w:tab w:val="num" w:pos="0"/>
        </w:tabs>
        <w:ind w:left="999" w:hanging="432"/>
      </w:pPr>
      <w:rPr>
        <w:rFonts w:ascii="Gadugi" w:eastAsia="Gadugi" w:hAnsi="Gadugi" w:cs="Gadugi"/>
        <w:b w:val="0"/>
        <w:i w:val="0"/>
        <w:strike w:val="0"/>
        <w:dstrike w:val="0"/>
        <w:color w:val="auto"/>
        <w:sz w:val="18"/>
        <w:szCs w:val="18"/>
        <w:u w:val="none"/>
      </w:rPr>
    </w:lvl>
    <w:lvl w:ilvl="2">
      <w:start w:val="1"/>
      <w:numFmt w:val="decimal"/>
      <w:lvlText w:val="%1.%2.%3."/>
      <w:lvlJc w:val="left"/>
      <w:pPr>
        <w:tabs>
          <w:tab w:val="num" w:pos="0"/>
        </w:tabs>
        <w:ind w:left="1638" w:hanging="504"/>
      </w:pPr>
      <w:rPr>
        <w:rFonts w:ascii="Gadugi" w:eastAsia="Gadugi" w:hAnsi="Gadugi" w:cs="Gadugi"/>
        <w:b w:val="0"/>
        <w:i w:val="0"/>
        <w:strike w:val="0"/>
        <w:dstrike w:val="0"/>
        <w:color w:val="auto"/>
        <w:sz w:val="18"/>
        <w:szCs w:val="20"/>
      </w:rPr>
    </w:lvl>
    <w:lvl w:ilvl="3">
      <w:start w:val="1"/>
      <w:numFmt w:val="decimal"/>
      <w:lvlText w:val="%1.%2.%3.%4."/>
      <w:lvlJc w:val="left"/>
      <w:pPr>
        <w:tabs>
          <w:tab w:val="num" w:pos="0"/>
        </w:tabs>
        <w:ind w:left="648" w:hanging="648"/>
      </w:pPr>
      <w:rPr>
        <w:rFonts w:ascii="Gadugi" w:eastAsia="Gadugi" w:hAnsi="Gadugi" w:cs="Gadugi"/>
        <w:b w:val="0"/>
        <w:sz w:val="18"/>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2052680535">
    <w:abstractNumId w:val="8"/>
  </w:num>
  <w:num w:numId="2" w16cid:durableId="1134520528">
    <w:abstractNumId w:val="3"/>
  </w:num>
  <w:num w:numId="3" w16cid:durableId="409354976">
    <w:abstractNumId w:val="5"/>
  </w:num>
  <w:num w:numId="4" w16cid:durableId="2001346239">
    <w:abstractNumId w:val="7"/>
  </w:num>
  <w:num w:numId="5" w16cid:durableId="840047285">
    <w:abstractNumId w:val="6"/>
  </w:num>
  <w:num w:numId="6" w16cid:durableId="247230197">
    <w:abstractNumId w:val="1"/>
  </w:num>
  <w:num w:numId="7" w16cid:durableId="472452370">
    <w:abstractNumId w:val="0"/>
  </w:num>
  <w:num w:numId="8" w16cid:durableId="906257079">
    <w:abstractNumId w:val="2"/>
  </w:num>
  <w:num w:numId="9" w16cid:durableId="1070234017">
    <w:abstractNumId w:val="9"/>
  </w:num>
  <w:num w:numId="10" w16cid:durableId="130485042">
    <w:abstractNumId w:val="4"/>
  </w:num>
  <w:num w:numId="11" w16cid:durableId="2049258468">
    <w:abstractNumId w:val="3"/>
    <w:lvlOverride w:ilvl="0">
      <w:startOverride w:val="6"/>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mirrorMargins/>
  <w:defaultTabStop w:val="708"/>
  <w:autoHyphenation/>
  <w:hyphenationZone w:val="0"/>
  <w:characterSpacingControl w:val="doNotCompress"/>
  <w:hdrShapeDefaults>
    <o:shapedefaults v:ext="edit" spidmax="4097"/>
  </w:hdrShapeDefaults>
  <w:footnotePr>
    <w:footnote w:id="-1"/>
    <w:footnote w:id="0"/>
  </w:footnotePr>
  <w:endnotePr>
    <w:endnote w:id="-1"/>
    <w:endnote w:id="0"/>
  </w:endnotePr>
  <w:compat>
    <w:doNotBreakWrappedTables/>
    <w:useFELayou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575174"/>
    <w:rsid w:val="0000553B"/>
    <w:rsid w:val="002F1A19"/>
    <w:rsid w:val="00491FA0"/>
    <w:rsid w:val="00575174"/>
    <w:rsid w:val="007659FC"/>
    <w:rsid w:val="009F4508"/>
    <w:rsid w:val="00AA6F13"/>
    <w:rsid w:val="00AE26D8"/>
    <w:rsid w:val="00CA6976"/>
    <w:rsid w:val="00EE5824"/>
    <w:rsid w:val="00EF1BCE"/>
    <w:rsid w:val="00F4120B"/>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5E5018D"/>
  <w15:docId w15:val="{AA8EFA6D-F858-4C8C-89A0-90FA2D445E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pt-BR" w:eastAsia="ja-JP"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Ecofont_Spranq_eco_Sans" w:eastAsiaTheme="minorEastAsia" w:hAnsi="Ecofont_Spranq_eco_Sans" w:cs="Tahoma"/>
      <w:sz w:val="24"/>
      <w:szCs w:val="24"/>
      <w:lang w:eastAsia="pt-BR"/>
    </w:rPr>
  </w:style>
  <w:style w:type="paragraph" w:styleId="Ttulo1">
    <w:name w:val="heading 1"/>
    <w:basedOn w:val="Normal"/>
    <w:next w:val="Normal"/>
    <w:link w:val="Ttulo1Char"/>
    <w:qFormat/>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pPr>
      <w:keepNext/>
      <w:keepLines/>
      <w:spacing w:before="40" w:line="259" w:lineRule="auto"/>
      <w:outlineLvl w:val="2"/>
    </w:pPr>
    <w:rPr>
      <w:rFonts w:asciiTheme="majorHAnsi" w:eastAsiaTheme="majorEastAsia" w:hAnsiTheme="majorHAnsi" w:cstheme="majorBidi"/>
      <w:color w:val="244061" w:themeColor="accent1" w:themeShade="80"/>
      <w:lang w:eastAsia="en-US"/>
    </w:rPr>
  </w:style>
  <w:style w:type="paragraph" w:styleId="Ttulo4">
    <w:name w:val="heading 4"/>
    <w:basedOn w:val="Normal"/>
    <w:next w:val="Normal"/>
    <w:link w:val="Ttulo4Char"/>
    <w:semiHidden/>
    <w:unhideWhenUsed/>
    <w:qFormat/>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unhideWhenUsed/>
    <w:qFormat/>
    <w:pPr>
      <w:keepNext/>
      <w:keepLines/>
      <w:spacing w:before="320" w:after="200"/>
      <w:outlineLvl w:val="4"/>
    </w:pPr>
    <w:rPr>
      <w:rFonts w:ascii="Arial" w:eastAsia="Arial" w:hAnsi="Arial" w:cs="Arial"/>
      <w:b/>
      <w:bCs/>
    </w:rPr>
  </w:style>
  <w:style w:type="paragraph" w:styleId="Ttulo6">
    <w:name w:val="heading 6"/>
    <w:basedOn w:val="Normal"/>
    <w:next w:val="Normal"/>
    <w:link w:val="Ttulo6Char"/>
    <w:uiPriority w:val="9"/>
    <w:semiHidden/>
    <w:unhideWhenUsed/>
    <w:qFormat/>
    <w:pPr>
      <w:keepNext/>
      <w:keepLines/>
      <w:spacing w:before="40" w:line="259" w:lineRule="auto"/>
      <w:outlineLvl w:val="5"/>
    </w:pPr>
    <w:rPr>
      <w:rFonts w:asciiTheme="majorHAnsi" w:eastAsiaTheme="majorEastAsia" w:hAnsiTheme="majorHAnsi" w:cstheme="majorBidi"/>
      <w:color w:val="244061" w:themeColor="accent1" w:themeShade="80"/>
      <w:sz w:val="22"/>
      <w:szCs w:val="22"/>
      <w:lang w:eastAsia="en-US"/>
    </w:rPr>
  </w:style>
  <w:style w:type="paragraph" w:styleId="Ttulo7">
    <w:name w:val="heading 7"/>
    <w:basedOn w:val="Normal"/>
    <w:next w:val="Normal"/>
    <w:link w:val="Ttulo7Char"/>
    <w:uiPriority w:val="9"/>
    <w:unhideWhenUsed/>
    <w:qFormat/>
    <w:pPr>
      <w:keepNext/>
      <w:keepLines/>
      <w:spacing w:before="320" w:after="200"/>
      <w:outlineLvl w:val="6"/>
    </w:pPr>
    <w:rPr>
      <w:rFonts w:ascii="Arial" w:eastAsia="Arial" w:hAnsi="Arial" w:cs="Arial"/>
      <w:b/>
      <w:bCs/>
      <w:i/>
      <w:iCs/>
      <w:sz w:val="22"/>
      <w:szCs w:val="22"/>
    </w:rPr>
  </w:style>
  <w:style w:type="paragraph" w:styleId="Ttulo8">
    <w:name w:val="heading 8"/>
    <w:basedOn w:val="Normal"/>
    <w:next w:val="Normal"/>
    <w:link w:val="Ttulo8Char"/>
    <w:uiPriority w:val="9"/>
    <w:unhideWhenUsed/>
    <w:qFormat/>
    <w:pPr>
      <w:keepNext/>
      <w:keepLines/>
      <w:spacing w:before="320" w:after="200"/>
      <w:outlineLvl w:val="7"/>
    </w:pPr>
    <w:rPr>
      <w:rFonts w:ascii="Arial" w:eastAsia="Arial" w:hAnsi="Arial" w:cs="Arial"/>
      <w:i/>
      <w:iCs/>
      <w:sz w:val="22"/>
      <w:szCs w:val="22"/>
    </w:rPr>
  </w:style>
  <w:style w:type="paragraph" w:styleId="Ttulo9">
    <w:name w:val="heading 9"/>
    <w:basedOn w:val="Normal"/>
    <w:next w:val="Normal"/>
    <w:link w:val="Ttulo9Char"/>
    <w:uiPriority w:val="9"/>
    <w:unhideWhenUsed/>
    <w:qFormat/>
    <w:pPr>
      <w:keepNext/>
      <w:keepLines/>
      <w:spacing w:before="320" w:after="200"/>
      <w:outlineLvl w:val="8"/>
    </w:pPr>
    <w:rPr>
      <w:rFonts w:ascii="Arial" w:eastAsia="Arial" w:hAnsi="Arial" w:cs="Arial"/>
      <w:i/>
      <w:iCs/>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eading5Char">
    <w:name w:val="Heading 5 Char"/>
    <w:basedOn w:val="Fontepargpadro"/>
    <w:uiPriority w:val="9"/>
    <w:qFormat/>
    <w:rPr>
      <w:rFonts w:ascii="Arial" w:eastAsia="Arial" w:hAnsi="Arial" w:cs="Arial"/>
      <w:b/>
      <w:bCs/>
      <w:sz w:val="24"/>
      <w:szCs w:val="24"/>
    </w:rPr>
  </w:style>
  <w:style w:type="character" w:customStyle="1" w:styleId="Heading7Char">
    <w:name w:val="Heading 7 Char"/>
    <w:basedOn w:val="Fontepargpadro"/>
    <w:uiPriority w:val="9"/>
    <w:qFormat/>
    <w:rPr>
      <w:rFonts w:ascii="Arial" w:eastAsia="Arial" w:hAnsi="Arial" w:cs="Arial"/>
      <w:b/>
      <w:bCs/>
      <w:i/>
      <w:iCs/>
      <w:sz w:val="22"/>
      <w:szCs w:val="22"/>
    </w:rPr>
  </w:style>
  <w:style w:type="character" w:customStyle="1" w:styleId="Heading8Char">
    <w:name w:val="Heading 8 Char"/>
    <w:basedOn w:val="Fontepargpadro"/>
    <w:uiPriority w:val="9"/>
    <w:qFormat/>
    <w:rPr>
      <w:rFonts w:ascii="Arial" w:eastAsia="Arial" w:hAnsi="Arial" w:cs="Arial"/>
      <w:i/>
      <w:iCs/>
      <w:sz w:val="22"/>
      <w:szCs w:val="22"/>
    </w:rPr>
  </w:style>
  <w:style w:type="character" w:customStyle="1" w:styleId="Heading9Char">
    <w:name w:val="Heading 9 Char"/>
    <w:basedOn w:val="Fontepargpadro"/>
    <w:uiPriority w:val="9"/>
    <w:qFormat/>
    <w:rPr>
      <w:rFonts w:ascii="Arial" w:eastAsia="Arial" w:hAnsi="Arial" w:cs="Arial"/>
      <w:i/>
      <w:iCs/>
      <w:sz w:val="21"/>
      <w:szCs w:val="21"/>
    </w:rPr>
  </w:style>
  <w:style w:type="character" w:customStyle="1" w:styleId="SubtitleChar">
    <w:name w:val="Subtitle Char"/>
    <w:basedOn w:val="Fontepargpadro"/>
    <w:uiPriority w:val="11"/>
    <w:qFormat/>
    <w:rPr>
      <w:sz w:val="24"/>
      <w:szCs w:val="24"/>
    </w:rPr>
  </w:style>
  <w:style w:type="character" w:customStyle="1" w:styleId="IntenseQuoteChar">
    <w:name w:val="Intense Quote Char"/>
    <w:uiPriority w:val="30"/>
    <w:qFormat/>
    <w:rPr>
      <w:i/>
    </w:rPr>
  </w:style>
  <w:style w:type="character" w:customStyle="1" w:styleId="FootnoteTextChar">
    <w:name w:val="Footnote Text Char"/>
    <w:uiPriority w:val="99"/>
    <w:qFormat/>
    <w:rPr>
      <w:sz w:val="18"/>
    </w:rPr>
  </w:style>
  <w:style w:type="character" w:customStyle="1" w:styleId="EndnoteTextChar">
    <w:name w:val="Endnote Text Char"/>
    <w:uiPriority w:val="99"/>
    <w:qFormat/>
    <w:rPr>
      <w:sz w:val="20"/>
    </w:rPr>
  </w:style>
  <w:style w:type="character" w:customStyle="1" w:styleId="Caracteresdenotadefim">
    <w:name w:val="Caracteres de nota de fim"/>
    <w:uiPriority w:val="99"/>
    <w:semiHidden/>
    <w:unhideWhenUsed/>
    <w:qFormat/>
    <w:rPr>
      <w:vertAlign w:val="superscript"/>
    </w:rPr>
  </w:style>
  <w:style w:type="character" w:customStyle="1" w:styleId="Caracteresdenotadefimuser">
    <w:name w:val="Caracteres de nota de fim (user)"/>
    <w:qFormat/>
    <w:rPr>
      <w:vertAlign w:val="superscript"/>
    </w:rPr>
  </w:style>
  <w:style w:type="character" w:styleId="Refdenotadefim">
    <w:name w:val="endnote reference"/>
    <w:rPr>
      <w:vertAlign w:val="superscript"/>
    </w:rPr>
  </w:style>
  <w:style w:type="character" w:styleId="Forte">
    <w:name w:val="Strong"/>
    <w:basedOn w:val="Fontepargpadro"/>
    <w:uiPriority w:val="22"/>
    <w:qFormat/>
    <w:rPr>
      <w:b/>
      <w:bCs/>
    </w:rPr>
  </w:style>
  <w:style w:type="character" w:styleId="Refdecomentrio">
    <w:name w:val="annotation reference"/>
    <w:basedOn w:val="Fontepargpadro"/>
    <w:unhideWhenUsed/>
    <w:qFormat/>
    <w:rPr>
      <w:sz w:val="16"/>
      <w:szCs w:val="16"/>
    </w:rPr>
  </w:style>
  <w:style w:type="character" w:styleId="HiperlinkVisitado">
    <w:name w:val="FollowedHyperlink"/>
    <w:basedOn w:val="Fontepargpadro"/>
    <w:semiHidden/>
    <w:unhideWhenUsed/>
    <w:qFormat/>
    <w:rPr>
      <w:color w:val="800080" w:themeColor="followedHyperlink"/>
      <w:u w:val="single"/>
    </w:rPr>
  </w:style>
  <w:style w:type="character" w:styleId="nfase">
    <w:name w:val="Emphasis"/>
    <w:basedOn w:val="Fontepargpadro"/>
    <w:qFormat/>
    <w:rPr>
      <w:i/>
      <w:iCs/>
    </w:rPr>
  </w:style>
  <w:style w:type="character" w:customStyle="1" w:styleId="Caracteresdenotaderodap">
    <w:name w:val="Caracteres de nota de rodapé"/>
    <w:uiPriority w:val="99"/>
    <w:unhideWhenUsed/>
    <w:qFormat/>
    <w:rPr>
      <w:vertAlign w:val="superscript"/>
    </w:rPr>
  </w:style>
  <w:style w:type="character" w:customStyle="1" w:styleId="Caracteresdenotaderodapuser">
    <w:name w:val="Caracteres de nota de rodapé (user)"/>
    <w:qFormat/>
    <w:rPr>
      <w:vertAlign w:val="superscript"/>
    </w:rPr>
  </w:style>
  <w:style w:type="character" w:styleId="Refdenotaderodap">
    <w:name w:val="footnote reference"/>
    <w:rPr>
      <w:vertAlign w:val="superscript"/>
    </w:rPr>
  </w:style>
  <w:style w:type="character" w:customStyle="1" w:styleId="Hyperlink1">
    <w:name w:val="Hyperlink1"/>
    <w:basedOn w:val="Fontepargpadro"/>
    <w:uiPriority w:val="99"/>
    <w:unhideWhenUsed/>
    <w:qFormat/>
    <w:rPr>
      <w:color w:val="0000FF" w:themeColor="hyperlink"/>
      <w:u w:val="single"/>
    </w:rPr>
  </w:style>
  <w:style w:type="character" w:customStyle="1" w:styleId="Heading1Char">
    <w:name w:val="Heading 1 Char"/>
    <w:basedOn w:val="Fontepargpadro"/>
    <w:uiPriority w:val="9"/>
    <w:qFormat/>
    <w:rPr>
      <w:rFonts w:ascii="Arial" w:eastAsia="Arial" w:hAnsi="Arial" w:cs="Arial"/>
      <w:sz w:val="40"/>
      <w:szCs w:val="40"/>
    </w:rPr>
  </w:style>
  <w:style w:type="character" w:customStyle="1" w:styleId="Heading2Char">
    <w:name w:val="Heading 2 Char"/>
    <w:basedOn w:val="Fontepargpadro"/>
    <w:uiPriority w:val="9"/>
    <w:qFormat/>
    <w:rPr>
      <w:rFonts w:ascii="Arial" w:eastAsia="Arial" w:hAnsi="Arial" w:cs="Arial"/>
      <w:sz w:val="34"/>
    </w:rPr>
  </w:style>
  <w:style w:type="character" w:customStyle="1" w:styleId="Heading3Char">
    <w:name w:val="Heading 3 Char"/>
    <w:basedOn w:val="Fontepargpadro"/>
    <w:uiPriority w:val="9"/>
    <w:qFormat/>
    <w:rPr>
      <w:rFonts w:ascii="Arial" w:eastAsia="Arial" w:hAnsi="Arial" w:cs="Arial"/>
      <w:sz w:val="30"/>
      <w:szCs w:val="30"/>
    </w:rPr>
  </w:style>
  <w:style w:type="character" w:customStyle="1" w:styleId="Heading4Char">
    <w:name w:val="Heading 4 Char"/>
    <w:basedOn w:val="Fontepargpadro"/>
    <w:uiPriority w:val="9"/>
    <w:qFormat/>
    <w:rPr>
      <w:rFonts w:ascii="Arial" w:eastAsia="Arial" w:hAnsi="Arial" w:cs="Arial"/>
      <w:b/>
      <w:bCs/>
      <w:sz w:val="26"/>
      <w:szCs w:val="26"/>
    </w:rPr>
  </w:style>
  <w:style w:type="character" w:customStyle="1" w:styleId="Ttulo5Char">
    <w:name w:val="Título 5 Char"/>
    <w:basedOn w:val="Fontepargpadro"/>
    <w:link w:val="Ttulo5"/>
    <w:uiPriority w:val="9"/>
    <w:qFormat/>
    <w:rPr>
      <w:rFonts w:ascii="Arial" w:eastAsia="Arial" w:hAnsi="Arial" w:cs="Arial"/>
      <w:b/>
      <w:bCs/>
      <w:sz w:val="24"/>
      <w:szCs w:val="24"/>
    </w:rPr>
  </w:style>
  <w:style w:type="character" w:customStyle="1" w:styleId="Heading6Char">
    <w:name w:val="Heading 6 Char"/>
    <w:basedOn w:val="Fontepargpadro"/>
    <w:uiPriority w:val="9"/>
    <w:qFormat/>
    <w:rPr>
      <w:rFonts w:ascii="Arial" w:eastAsia="Arial" w:hAnsi="Arial" w:cs="Arial"/>
      <w:b/>
      <w:bCs/>
      <w:sz w:val="22"/>
      <w:szCs w:val="22"/>
    </w:rPr>
  </w:style>
  <w:style w:type="character" w:customStyle="1" w:styleId="Ttulo7Char">
    <w:name w:val="Título 7 Char"/>
    <w:basedOn w:val="Fontepargpadro"/>
    <w:link w:val="Ttulo7"/>
    <w:uiPriority w:val="9"/>
    <w:qFormat/>
    <w:rPr>
      <w:rFonts w:ascii="Arial" w:eastAsia="Arial" w:hAnsi="Arial" w:cs="Arial"/>
      <w:b/>
      <w:bCs/>
      <w:i/>
      <w:iCs/>
      <w:sz w:val="22"/>
      <w:szCs w:val="22"/>
    </w:rPr>
  </w:style>
  <w:style w:type="character" w:customStyle="1" w:styleId="Ttulo8Char">
    <w:name w:val="Título 8 Char"/>
    <w:basedOn w:val="Fontepargpadro"/>
    <w:link w:val="Ttulo8"/>
    <w:uiPriority w:val="9"/>
    <w:qFormat/>
    <w:rPr>
      <w:rFonts w:ascii="Arial" w:eastAsia="Arial" w:hAnsi="Arial" w:cs="Arial"/>
      <w:i/>
      <w:iCs/>
      <w:sz w:val="22"/>
      <w:szCs w:val="22"/>
    </w:rPr>
  </w:style>
  <w:style w:type="character" w:customStyle="1" w:styleId="Ttulo9Char">
    <w:name w:val="Título 9 Char"/>
    <w:basedOn w:val="Fontepargpadro"/>
    <w:link w:val="Ttulo9"/>
    <w:uiPriority w:val="9"/>
    <w:qFormat/>
    <w:rPr>
      <w:rFonts w:ascii="Arial" w:eastAsia="Arial" w:hAnsi="Arial" w:cs="Arial"/>
      <w:i/>
      <w:iCs/>
      <w:sz w:val="21"/>
      <w:szCs w:val="21"/>
    </w:rPr>
  </w:style>
  <w:style w:type="character" w:customStyle="1" w:styleId="TitleChar">
    <w:name w:val="Title Char"/>
    <w:basedOn w:val="Fontepargpadro"/>
    <w:uiPriority w:val="10"/>
    <w:qFormat/>
    <w:rPr>
      <w:sz w:val="48"/>
      <w:szCs w:val="48"/>
    </w:rPr>
  </w:style>
  <w:style w:type="character" w:customStyle="1" w:styleId="SubttuloChar">
    <w:name w:val="Subtítulo Char"/>
    <w:basedOn w:val="Fontepargpadro"/>
    <w:link w:val="Subttulo"/>
    <w:uiPriority w:val="11"/>
    <w:qFormat/>
    <w:rPr>
      <w:sz w:val="24"/>
      <w:szCs w:val="24"/>
    </w:rPr>
  </w:style>
  <w:style w:type="character" w:customStyle="1" w:styleId="CitaoIntensaChar">
    <w:name w:val="Citação Intensa Char"/>
    <w:link w:val="CitaoIntensa"/>
    <w:uiPriority w:val="30"/>
    <w:qFormat/>
    <w:rPr>
      <w:i/>
    </w:rPr>
  </w:style>
  <w:style w:type="character" w:customStyle="1" w:styleId="HeaderChar">
    <w:name w:val="Header Char"/>
    <w:basedOn w:val="Fontepargpadro"/>
    <w:uiPriority w:val="99"/>
    <w:qFormat/>
  </w:style>
  <w:style w:type="character" w:customStyle="1" w:styleId="FooterChar">
    <w:name w:val="Footer Char"/>
    <w:basedOn w:val="Fontepargpadro"/>
    <w:uiPriority w:val="99"/>
    <w:qFormat/>
  </w:style>
  <w:style w:type="character" w:customStyle="1" w:styleId="CaptionChar">
    <w:name w:val="Caption Char"/>
    <w:uiPriority w:val="99"/>
    <w:qFormat/>
  </w:style>
  <w:style w:type="character" w:customStyle="1" w:styleId="TextodenotaderodapChar">
    <w:name w:val="Texto de nota de rodapé Char"/>
    <w:link w:val="Textodenotaderodap"/>
    <w:uiPriority w:val="99"/>
    <w:qFormat/>
    <w:rPr>
      <w:sz w:val="18"/>
    </w:rPr>
  </w:style>
  <w:style w:type="character" w:customStyle="1" w:styleId="TextodenotadefimChar">
    <w:name w:val="Texto de nota de fim Char"/>
    <w:link w:val="Textodenotadefim"/>
    <w:uiPriority w:val="99"/>
    <w:qFormat/>
    <w:rPr>
      <w:sz w:val="20"/>
    </w:rPr>
  </w:style>
  <w:style w:type="character" w:customStyle="1" w:styleId="TextodebaloChar">
    <w:name w:val="Texto de balão Char"/>
    <w:link w:val="Textodebalo"/>
    <w:uiPriority w:val="99"/>
    <w:qFormat/>
    <w:rPr>
      <w:rFonts w:ascii="Tahoma" w:hAnsi="Tahoma" w:cs="Tahoma"/>
      <w:sz w:val="16"/>
      <w:szCs w:val="16"/>
    </w:rPr>
  </w:style>
  <w:style w:type="character" w:customStyle="1" w:styleId="Ttulo2Char">
    <w:name w:val="Título 2 Char"/>
    <w:link w:val="Ttulo2"/>
    <w:qFormat/>
    <w:rPr>
      <w:b/>
      <w:color w:val="000000"/>
      <w:sz w:val="24"/>
    </w:rPr>
  </w:style>
  <w:style w:type="character" w:customStyle="1" w:styleId="normalchar1">
    <w:name w:val="normal__char1"/>
    <w:qFormat/>
    <w:rPr>
      <w:rFonts w:ascii="Arial" w:hAnsi="Arial" w:cs="Arial"/>
      <w:sz w:val="24"/>
      <w:szCs w:val="24"/>
      <w:u w:val="none"/>
    </w:rPr>
  </w:style>
  <w:style w:type="character" w:customStyle="1" w:styleId="apple-style-span">
    <w:name w:val="apple-style-span"/>
    <w:basedOn w:val="Fontepargpadro"/>
    <w:qFormat/>
  </w:style>
  <w:style w:type="character" w:customStyle="1" w:styleId="CitaoChar">
    <w:name w:val="Citação Char"/>
    <w:link w:val="Citao"/>
    <w:qFormat/>
    <w:rPr>
      <w:rFonts w:ascii="Arial" w:eastAsia="Calibri" w:hAnsi="Arial" w:cs="Tahoma"/>
      <w:i/>
      <w:iCs/>
      <w:color w:val="000000"/>
      <w:szCs w:val="24"/>
      <w:shd w:val="clear" w:color="auto" w:fill="FFFFCC"/>
    </w:rPr>
  </w:style>
  <w:style w:type="character" w:customStyle="1" w:styleId="NotaexplicativaChar">
    <w:name w:val="Nota explicativa Char"/>
    <w:basedOn w:val="CitaoChar"/>
    <w:link w:val="Notaexplicativa"/>
    <w:qFormat/>
    <w:rPr>
      <w:rFonts w:ascii="Arial" w:eastAsia="Calibri" w:hAnsi="Arial" w:cs="Tahoma"/>
      <w:i/>
      <w:iCs/>
      <w:color w:val="000000"/>
      <w:szCs w:val="24"/>
      <w:shd w:val="clear" w:color="auto" w:fill="FFFFCC"/>
    </w:rPr>
  </w:style>
  <w:style w:type="character" w:customStyle="1" w:styleId="CabealhoChar">
    <w:name w:val="Cabeçalho Char"/>
    <w:link w:val="Cabealho"/>
    <w:qFormat/>
    <w:rPr>
      <w:rFonts w:ascii="Ecofont_Spranq_eco_Sans" w:hAnsi="Ecofont_Spranq_eco_Sans" w:cs="Tahoma"/>
      <w:sz w:val="24"/>
      <w:szCs w:val="24"/>
    </w:rPr>
  </w:style>
  <w:style w:type="character" w:customStyle="1" w:styleId="RodapChar">
    <w:name w:val="Rodapé Char"/>
    <w:link w:val="Rodap"/>
    <w:uiPriority w:val="99"/>
    <w:qFormat/>
    <w:rPr>
      <w:rFonts w:ascii="Ecofont_Spranq_eco_Sans" w:hAnsi="Ecofont_Spranq_eco_Sans" w:cs="Tahoma"/>
      <w:sz w:val="24"/>
      <w:szCs w:val="24"/>
    </w:rPr>
  </w:style>
  <w:style w:type="character" w:customStyle="1" w:styleId="TextodecomentrioChar">
    <w:name w:val="Texto de comentário Char"/>
    <w:basedOn w:val="Fontepargpadro"/>
    <w:link w:val="Textodecomentrio"/>
    <w:uiPriority w:val="99"/>
    <w:qFormat/>
    <w:rPr>
      <w:rFonts w:ascii="Ecofont_Spranq_eco_Sans" w:hAnsi="Ecofont_Spranq_eco_Sans" w:cs="Tahoma"/>
      <w:lang w:eastAsia="pt-BR"/>
    </w:rPr>
  </w:style>
  <w:style w:type="character" w:customStyle="1" w:styleId="AssuntodocomentrioChar">
    <w:name w:val="Assunto do comentário Char"/>
    <w:basedOn w:val="TextodecomentrioChar"/>
    <w:link w:val="Assuntodocomentrio"/>
    <w:semiHidden/>
    <w:qFormat/>
    <w:rPr>
      <w:rFonts w:ascii="Ecofont_Spranq_eco_Sans" w:hAnsi="Ecofont_Spranq_eco_Sans" w:cs="Tahoma"/>
      <w:b/>
      <w:bCs/>
      <w:lang w:eastAsia="pt-BR"/>
    </w:rPr>
  </w:style>
  <w:style w:type="character" w:customStyle="1" w:styleId="Ttulo4Char">
    <w:name w:val="Título 4 Char"/>
    <w:basedOn w:val="Fontepargpadro"/>
    <w:link w:val="Ttulo4"/>
    <w:qFormat/>
    <w:rPr>
      <w:rFonts w:asciiTheme="majorHAnsi" w:eastAsiaTheme="majorEastAsia" w:hAnsiTheme="majorHAnsi" w:cstheme="majorBidi"/>
      <w:i/>
      <w:iCs/>
      <w:color w:val="365F91" w:themeColor="accent1" w:themeShade="BF"/>
      <w:sz w:val="24"/>
      <w:szCs w:val="24"/>
      <w:lang w:eastAsia="pt-BR"/>
    </w:rPr>
  </w:style>
  <w:style w:type="character" w:customStyle="1" w:styleId="TtuloChar">
    <w:name w:val="Título Char"/>
    <w:basedOn w:val="Fontepargpadro"/>
    <w:link w:val="Ttulo"/>
    <w:qFormat/>
    <w:rPr>
      <w:rFonts w:asciiTheme="majorHAnsi" w:eastAsiaTheme="majorEastAsia" w:hAnsiTheme="majorHAnsi" w:cstheme="majorBidi"/>
      <w:color w:val="17365D" w:themeColor="text2" w:themeShade="BF"/>
      <w:spacing w:val="5"/>
      <w:sz w:val="52"/>
      <w:szCs w:val="52"/>
      <w:lang w:eastAsia="pt-BR"/>
    </w:rPr>
  </w:style>
  <w:style w:type="character" w:customStyle="1" w:styleId="Nivel01Char">
    <w:name w:val="Nivel 01 Char"/>
    <w:basedOn w:val="TtuloChar"/>
    <w:link w:val="Nivel01"/>
    <w:qFormat/>
    <w:rPr>
      <w:rFonts w:ascii="Arial" w:eastAsiaTheme="majorEastAsia" w:hAnsi="Arial" w:cs="Arial"/>
      <w:b/>
      <w:bCs/>
      <w:color w:val="17365D" w:themeColor="text2" w:themeShade="BF"/>
      <w:spacing w:val="5"/>
      <w:sz w:val="52"/>
      <w:szCs w:val="52"/>
      <w:lang w:eastAsia="pt-BR"/>
    </w:rPr>
  </w:style>
  <w:style w:type="character" w:customStyle="1" w:styleId="Ttulo1Char">
    <w:name w:val="Título 1 Char"/>
    <w:basedOn w:val="Fontepargpadro"/>
    <w:link w:val="Ttulo1"/>
    <w:qFormat/>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Pr>
      <w:rFonts w:ascii="Arial" w:eastAsiaTheme="majorEastAsia" w:hAnsi="Arial" w:cstheme="majorBidi"/>
      <w:b/>
      <w:bCs/>
      <w:color w:val="000000" w:themeColor="text1"/>
      <w:spacing w:val="5"/>
      <w:sz w:val="52"/>
      <w:szCs w:val="52"/>
      <w:lang w:eastAsia="pt-BR"/>
    </w:rPr>
  </w:style>
  <w:style w:type="character" w:customStyle="1" w:styleId="QuoteChar">
    <w:name w:val="Quote Char"/>
    <w:basedOn w:val="Fontepargpadro"/>
    <w:link w:val="Citao1"/>
    <w:qFormat/>
    <w:rPr>
      <w:rFonts w:ascii="Ecofont_Spranq_eco_Sans" w:eastAsia="Calibri" w:hAnsi="Ecofont_Spranq_eco_Sans" w:cs="Tahoma"/>
      <w:i/>
      <w:iCs/>
      <w:color w:val="000000"/>
      <w:shd w:val="clear" w:color="auto" w:fill="FFFFCC"/>
    </w:rPr>
  </w:style>
  <w:style w:type="character" w:customStyle="1" w:styleId="normaltextrun">
    <w:name w:val="normaltextrun"/>
    <w:basedOn w:val="Fontepargpadro"/>
    <w:qFormat/>
  </w:style>
  <w:style w:type="character" w:customStyle="1" w:styleId="eop">
    <w:name w:val="eop"/>
    <w:basedOn w:val="Fontepargpadro"/>
    <w:qFormat/>
  </w:style>
  <w:style w:type="character" w:customStyle="1" w:styleId="spellingerror">
    <w:name w:val="spellingerror"/>
    <w:basedOn w:val="Fontepargpadro"/>
    <w:qFormat/>
  </w:style>
  <w:style w:type="character" w:customStyle="1" w:styleId="CorpodetextoChar">
    <w:name w:val="Corpo de texto Char"/>
    <w:basedOn w:val="Fontepargpadro"/>
    <w:link w:val="Corpodetexto"/>
    <w:qFormat/>
    <w:rPr>
      <w:rFonts w:eastAsia="Times New Roman"/>
      <w:sz w:val="24"/>
      <w:szCs w:val="24"/>
      <w:lang w:eastAsia="pt-BR"/>
    </w:rPr>
  </w:style>
  <w:style w:type="character" w:customStyle="1" w:styleId="Nivel1Char">
    <w:name w:val="Nivel1 Char"/>
    <w:basedOn w:val="Ttulo1Char"/>
    <w:link w:val="Nivel1"/>
    <w:qFormat/>
    <w:rPr>
      <w:rFonts w:ascii="Arial" w:eastAsiaTheme="majorEastAsia" w:hAnsi="Arial" w:cs="Arial"/>
      <w:b/>
      <w:bCs w:val="0"/>
      <w:color w:val="365F91" w:themeColor="accent1" w:themeShade="BF"/>
      <w:sz w:val="28"/>
      <w:szCs w:val="28"/>
      <w:lang w:eastAsia="pt-BR"/>
    </w:rPr>
  </w:style>
  <w:style w:type="character" w:customStyle="1" w:styleId="Nivel4Char">
    <w:name w:val="Nivel 4 Char"/>
    <w:basedOn w:val="Fontepargpadro"/>
    <w:link w:val="Nivel4"/>
    <w:qFormat/>
    <w:rPr>
      <w:rFonts w:ascii="Arial" w:eastAsiaTheme="minorEastAsia" w:hAnsi="Arial" w:cs="Arial"/>
      <w:lang w:eastAsia="pt-BR"/>
    </w:rPr>
  </w:style>
  <w:style w:type="character" w:customStyle="1" w:styleId="cp0020corpodespachochar1">
    <w:name w:val="cp_0020corpodespacho__char1"/>
    <w:qFormat/>
    <w:rPr>
      <w:rFonts w:ascii="Times New Roman" w:hAnsi="Times New Roman" w:cs="Times New Roman"/>
      <w:sz w:val="26"/>
      <w:szCs w:val="26"/>
      <w:u w:val="none"/>
    </w:rPr>
  </w:style>
  <w:style w:type="character" w:customStyle="1" w:styleId="em0020ementachar1">
    <w:name w:val="em_0020ementa__char1"/>
    <w:qFormat/>
    <w:rPr>
      <w:rFonts w:ascii="Times New Roman" w:hAnsi="Times New Roman" w:cs="Times New Roman"/>
      <w:sz w:val="28"/>
      <w:szCs w:val="28"/>
      <w:u w:val="none"/>
    </w:rPr>
  </w:style>
  <w:style w:type="character" w:customStyle="1" w:styleId="Manoel">
    <w:name w:val="Manoel"/>
    <w:qFormat/>
    <w:rPr>
      <w:rFonts w:ascii="Arial" w:hAnsi="Arial" w:cs="Arial"/>
      <w:color w:val="7030A0"/>
      <w:sz w:val="20"/>
    </w:rPr>
  </w:style>
  <w:style w:type="character" w:customStyle="1" w:styleId="GradeColorida-nfase1Char">
    <w:name w:val="Grade Colorida - Ênfase 1 Char"/>
    <w:link w:val="GradeColorida-nfase11"/>
    <w:uiPriority w:val="29"/>
    <w:qFormat/>
    <w:rPr>
      <w:rFonts w:ascii="Arial" w:eastAsia="Calibri" w:hAnsi="Arial"/>
      <w:i/>
      <w:iCs/>
      <w:color w:val="000000"/>
      <w:szCs w:val="24"/>
      <w:shd w:val="clear" w:color="auto" w:fill="FFFFCC"/>
    </w:rPr>
  </w:style>
  <w:style w:type="character" w:customStyle="1" w:styleId="highlight">
    <w:name w:val="highlight"/>
    <w:basedOn w:val="Fontepargpadro"/>
    <w:qFormat/>
  </w:style>
  <w:style w:type="character" w:customStyle="1" w:styleId="MenoPendente1">
    <w:name w:val="Menção Pendente1"/>
    <w:basedOn w:val="Fontepargpadro"/>
    <w:uiPriority w:val="99"/>
    <w:semiHidden/>
    <w:unhideWhenUsed/>
    <w:qFormat/>
    <w:rPr>
      <w:color w:val="605E5C"/>
      <w:shd w:val="clear" w:color="auto" w:fill="E1DFDD"/>
    </w:rPr>
  </w:style>
  <w:style w:type="character" w:customStyle="1" w:styleId="MenoPendente2">
    <w:name w:val="Menção Pendente2"/>
    <w:basedOn w:val="Fontepargpadro"/>
    <w:uiPriority w:val="99"/>
    <w:semiHidden/>
    <w:unhideWhenUsed/>
    <w:qFormat/>
    <w:rPr>
      <w:color w:val="605E5C"/>
      <w:shd w:val="clear" w:color="auto" w:fill="E1DFDD"/>
    </w:rPr>
  </w:style>
  <w:style w:type="character" w:customStyle="1" w:styleId="Nivel2Char">
    <w:name w:val="Nivel 2 Char"/>
    <w:basedOn w:val="Fontepargpadro"/>
    <w:link w:val="Nivel2"/>
    <w:qFormat/>
    <w:rPr>
      <w:rFonts w:ascii="Arial" w:eastAsiaTheme="minorEastAsia" w:hAnsi="Arial" w:cs="Arial"/>
      <w:color w:val="000000"/>
      <w:lang w:eastAsia="pt-BR"/>
    </w:rPr>
  </w:style>
  <w:style w:type="character" w:customStyle="1" w:styleId="Nvel2OpcionalChar">
    <w:name w:val="Nível 2 Opcional Char"/>
    <w:basedOn w:val="Fontepargpadro"/>
    <w:link w:val="Nvel2Opcional"/>
    <w:qFormat/>
    <w:rPr>
      <w:rFonts w:ascii="Arial" w:eastAsia="Times New Roman" w:hAnsi="Arial" w:cs="Arial"/>
      <w:i/>
      <w:color w:val="FF0000"/>
      <w:lang w:eastAsia="pt-BR"/>
    </w:rPr>
  </w:style>
  <w:style w:type="character" w:customStyle="1" w:styleId="Nvel3OpcionalChar">
    <w:name w:val="Nível 3 Opcional Char"/>
    <w:basedOn w:val="Fontepargpadro"/>
    <w:link w:val="Nvel3Opcional"/>
    <w:qFormat/>
    <w:rPr>
      <w:rFonts w:ascii="Arial" w:eastAsia="Times New Roman" w:hAnsi="Arial" w:cs="Arial"/>
      <w:i/>
      <w:iCs/>
      <w:color w:val="FF0000"/>
      <w:lang w:eastAsia="pt-BR"/>
    </w:rPr>
  </w:style>
  <w:style w:type="character" w:styleId="TextodoEspaoReservado">
    <w:name w:val="Placeholder Text"/>
    <w:basedOn w:val="Fontepargpadro"/>
    <w:uiPriority w:val="67"/>
    <w:semiHidden/>
    <w:qFormat/>
    <w:rPr>
      <w:color w:val="808080"/>
    </w:rPr>
  </w:style>
  <w:style w:type="character" w:customStyle="1" w:styleId="PargrafodaListaChar">
    <w:name w:val="Parágrafo da Lista Char"/>
    <w:basedOn w:val="Fontepargpadro"/>
    <w:link w:val="PargrafodaLista"/>
    <w:uiPriority w:val="34"/>
    <w:qFormat/>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qFormat/>
    <w:rPr>
      <w:rFonts w:asciiTheme="majorHAnsi" w:eastAsiaTheme="majorEastAsia" w:hAnsiTheme="majorHAnsi" w:cstheme="majorBidi"/>
      <w:color w:val="244061" w:themeColor="accent1" w:themeShade="80"/>
      <w:sz w:val="24"/>
      <w:szCs w:val="24"/>
    </w:rPr>
  </w:style>
  <w:style w:type="character" w:customStyle="1" w:styleId="Ttulo6Char">
    <w:name w:val="Título 6 Char"/>
    <w:basedOn w:val="Fontepargpadro"/>
    <w:link w:val="Ttulo6"/>
    <w:uiPriority w:val="9"/>
    <w:semiHidden/>
    <w:qFormat/>
    <w:rPr>
      <w:rFonts w:asciiTheme="majorHAnsi" w:eastAsiaTheme="majorEastAsia" w:hAnsiTheme="majorHAnsi" w:cstheme="majorBidi"/>
      <w:color w:val="244061" w:themeColor="accent1" w:themeShade="80"/>
      <w:sz w:val="22"/>
      <w:szCs w:val="22"/>
    </w:rPr>
  </w:style>
  <w:style w:type="character" w:customStyle="1" w:styleId="markedcontent">
    <w:name w:val="markedcontent"/>
    <w:basedOn w:val="Fontepargpadro"/>
    <w:qFormat/>
  </w:style>
  <w:style w:type="character" w:customStyle="1" w:styleId="MenoPendente3">
    <w:name w:val="Menção Pendente3"/>
    <w:basedOn w:val="Fontepargpadro"/>
    <w:uiPriority w:val="99"/>
    <w:semiHidden/>
    <w:unhideWhenUsed/>
    <w:qFormat/>
    <w:rPr>
      <w:color w:val="605E5C"/>
      <w:shd w:val="clear" w:color="auto" w:fill="E1DFDD"/>
    </w:rPr>
  </w:style>
  <w:style w:type="character" w:customStyle="1" w:styleId="MenoPendente4">
    <w:name w:val="Menção Pendente4"/>
    <w:basedOn w:val="Fontepargpadro"/>
    <w:uiPriority w:val="99"/>
    <w:semiHidden/>
    <w:unhideWhenUsed/>
    <w:qFormat/>
    <w:rPr>
      <w:color w:val="605E5C"/>
      <w:shd w:val="clear" w:color="auto" w:fill="E1DFDD"/>
    </w:rPr>
  </w:style>
  <w:style w:type="character" w:customStyle="1" w:styleId="ouChar">
    <w:name w:val="ou Char"/>
    <w:basedOn w:val="PargrafodaListaChar"/>
    <w:link w:val="ou"/>
    <w:qFormat/>
    <w:rPr>
      <w:rFonts w:ascii="Arial" w:eastAsiaTheme="minorHAnsi" w:hAnsi="Arial" w:cs="Arial"/>
      <w:b/>
      <w:bCs/>
      <w:i/>
      <w:iCs/>
      <w:color w:val="FF0000"/>
      <w:sz w:val="24"/>
      <w:szCs w:val="24"/>
      <w:u w:val="single"/>
      <w:lang w:eastAsia="pt-BR"/>
    </w:rPr>
  </w:style>
  <w:style w:type="character" w:customStyle="1" w:styleId="Nvel2-RedChar">
    <w:name w:val="Nível 2 -Red Char"/>
    <w:basedOn w:val="Nivel2Char"/>
    <w:link w:val="Nvel2-Red"/>
    <w:qFormat/>
    <w:rPr>
      <w:rFonts w:ascii="Arial" w:eastAsiaTheme="minorEastAsia" w:hAnsi="Arial" w:cs="Arial"/>
      <w:i/>
      <w:iCs/>
      <w:color w:val="FF0000"/>
      <w:lang w:eastAsia="pt-BR"/>
    </w:rPr>
  </w:style>
  <w:style w:type="character" w:customStyle="1" w:styleId="Nivel3Char">
    <w:name w:val="Nivel 3 Char"/>
    <w:basedOn w:val="Fontepargpadro"/>
    <w:link w:val="Nivel3"/>
    <w:qFormat/>
    <w:rPr>
      <w:rFonts w:ascii="Arial" w:eastAsiaTheme="minorEastAsia" w:hAnsi="Arial" w:cs="Arial"/>
      <w:color w:val="000000"/>
      <w:lang w:eastAsia="pt-BR"/>
    </w:rPr>
  </w:style>
  <w:style w:type="character" w:customStyle="1" w:styleId="Nvel3-RChar">
    <w:name w:val="Nível 3-R Char"/>
    <w:basedOn w:val="Nivel3Char"/>
    <w:link w:val="Nvel3-R"/>
    <w:qFormat/>
    <w:rPr>
      <w:rFonts w:ascii="Arial" w:eastAsiaTheme="minorEastAsia" w:hAnsi="Arial" w:cs="Arial"/>
      <w:i/>
      <w:iCs/>
      <w:color w:val="FF0000"/>
      <w:lang w:eastAsia="pt-BR"/>
    </w:rPr>
  </w:style>
  <w:style w:type="character" w:customStyle="1" w:styleId="Nvel4-RChar">
    <w:name w:val="Nível 4-R Char"/>
    <w:basedOn w:val="Nivel4Char"/>
    <w:link w:val="Nvel4-R"/>
    <w:qFormat/>
    <w:rPr>
      <w:rFonts w:ascii="Arial" w:eastAsiaTheme="minorEastAsia" w:hAnsi="Arial" w:cs="Arial"/>
      <w:i/>
      <w:iCs/>
      <w:color w:val="FF0000"/>
      <w:lang w:eastAsia="pt-BR"/>
    </w:rPr>
  </w:style>
  <w:style w:type="character" w:customStyle="1" w:styleId="Nvel1-SemNumChar">
    <w:name w:val="Nível 1-Sem Num Char"/>
    <w:basedOn w:val="Nivel01Char"/>
    <w:link w:val="Nvel1-SemNum"/>
    <w:qFormat/>
    <w:rPr>
      <w:rFonts w:ascii="Arial" w:eastAsiaTheme="majorEastAsia" w:hAnsi="Arial" w:cs="Arial"/>
      <w:b/>
      <w:bCs/>
      <w:color w:val="17365D" w:themeColor="text2" w:themeShade="BF"/>
      <w:spacing w:val="5"/>
      <w:sz w:val="52"/>
      <w:szCs w:val="52"/>
      <w:lang w:eastAsia="pt-BR"/>
    </w:rPr>
  </w:style>
  <w:style w:type="character" w:customStyle="1" w:styleId="PrembuloChar">
    <w:name w:val="Preâmbulo Char"/>
    <w:basedOn w:val="Fontepargpadro"/>
    <w:link w:val="Prembulo"/>
    <w:qFormat/>
    <w:rPr>
      <w:rFonts w:ascii="Arial" w:eastAsia="Arial" w:hAnsi="Arial" w:cs="Arial"/>
      <w:bCs/>
      <w:lang w:eastAsia="pt-BR"/>
    </w:rPr>
  </w:style>
  <w:style w:type="character" w:customStyle="1" w:styleId="MenoPendente5">
    <w:name w:val="Menção Pendente5"/>
    <w:basedOn w:val="Fontepargpadro"/>
    <w:uiPriority w:val="99"/>
    <w:semiHidden/>
    <w:unhideWhenUsed/>
    <w:qFormat/>
    <w:rPr>
      <w:color w:val="605E5C"/>
      <w:shd w:val="clear" w:color="auto" w:fill="E1DFDD"/>
    </w:rPr>
  </w:style>
  <w:style w:type="character" w:customStyle="1" w:styleId="citao2Char">
    <w:name w:val="citação 2 Char"/>
    <w:basedOn w:val="CitaoChar"/>
    <w:link w:val="citao2"/>
    <w:qFormat/>
    <w:rPr>
      <w:rFonts w:ascii="Arial" w:eastAsia="Calibri" w:hAnsi="Arial" w:cs="Tahoma"/>
      <w:i/>
      <w:iCs/>
      <w:color w:val="000000"/>
      <w:szCs w:val="24"/>
      <w:shd w:val="clear" w:color="auto" w:fill="FFFFCC"/>
    </w:rPr>
  </w:style>
  <w:style w:type="character" w:customStyle="1" w:styleId="MenoPendente6">
    <w:name w:val="Menção Pendente6"/>
    <w:basedOn w:val="Fontepargpadro"/>
    <w:uiPriority w:val="99"/>
    <w:semiHidden/>
    <w:unhideWhenUsed/>
    <w:qFormat/>
    <w:rPr>
      <w:color w:val="605E5C"/>
      <w:shd w:val="clear" w:color="auto" w:fill="E1DFDD"/>
    </w:rPr>
  </w:style>
  <w:style w:type="character" w:customStyle="1" w:styleId="Mentionnonrsolue1">
    <w:name w:val="Mention non résolue1"/>
    <w:basedOn w:val="Fontepargpadro"/>
    <w:uiPriority w:val="99"/>
    <w:semiHidden/>
    <w:unhideWhenUsed/>
    <w:qFormat/>
    <w:rPr>
      <w:color w:val="605E5C"/>
      <w:shd w:val="clear" w:color="auto" w:fill="E1DFDD"/>
    </w:rPr>
  </w:style>
  <w:style w:type="character" w:customStyle="1" w:styleId="Hiperlink">
    <w:name w:val="Hiperlink"/>
    <w:qFormat/>
    <w:rPr>
      <w:color w:val="0000FF"/>
      <w:u w:val="single"/>
    </w:rPr>
  </w:style>
  <w:style w:type="character" w:customStyle="1" w:styleId="Corpodetexto2Char">
    <w:name w:val="Corpo de texto 2 Char"/>
    <w:basedOn w:val="Fontepargpadro"/>
    <w:link w:val="Corpodetexto2"/>
    <w:uiPriority w:val="99"/>
    <w:semiHidden/>
    <w:qFormat/>
    <w:rsid w:val="005500C9"/>
    <w:rPr>
      <w:rFonts w:ascii="Ecofont_Spranq_eco_Sans" w:eastAsiaTheme="minorEastAsia" w:hAnsi="Ecofont_Spranq_eco_Sans" w:cs="Tahoma"/>
      <w:sz w:val="24"/>
      <w:szCs w:val="24"/>
      <w:lang w:eastAsia="pt-BR"/>
    </w:rPr>
  </w:style>
  <w:style w:type="character" w:customStyle="1" w:styleId="Marcadores">
    <w:name w:val="Marcadores"/>
    <w:qFormat/>
    <w:rPr>
      <w:rFonts w:ascii="OpenSymbol" w:eastAsia="OpenSymbol" w:hAnsi="OpenSymbol" w:cs="OpenSymbol"/>
    </w:rPr>
  </w:style>
  <w:style w:type="character" w:customStyle="1" w:styleId="Marcadoresuser">
    <w:name w:val="Marcadores (user)"/>
    <w:qFormat/>
    <w:rPr>
      <w:rFonts w:ascii="OpenSymbol" w:eastAsia="OpenSymbol" w:hAnsi="OpenSymbol" w:cs="OpenSymbol"/>
    </w:rPr>
  </w:style>
  <w:style w:type="character" w:styleId="Hyperlink">
    <w:name w:val="Hyperlink"/>
    <w:rPr>
      <w:color w:val="000080"/>
      <w:u w:val="single"/>
    </w:rPr>
  </w:style>
  <w:style w:type="character" w:styleId="MenoPendente">
    <w:name w:val="Unresolved Mention"/>
    <w:basedOn w:val="Fontepargpadro"/>
    <w:uiPriority w:val="99"/>
    <w:semiHidden/>
    <w:unhideWhenUsed/>
    <w:qFormat/>
    <w:rsid w:val="00E7777D"/>
    <w:rPr>
      <w:color w:val="605E5C"/>
      <w:shd w:val="clear" w:color="auto" w:fill="E1DFDD"/>
    </w:rPr>
  </w:style>
  <w:style w:type="paragraph" w:customStyle="1" w:styleId="Ttulo10">
    <w:name w:val="Título1"/>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link w:val="CorpodetextoChar"/>
    <w:unhideWhenUsed/>
    <w:pPr>
      <w:spacing w:beforeAutospacing="1" w:afterAutospacing="1"/>
    </w:pPr>
    <w:rPr>
      <w:rFonts w:ascii="Times New Roman" w:eastAsia="Times New Roman" w:hAnsi="Times New Roman" w:cs="Times New Roman"/>
    </w:rPr>
  </w:style>
  <w:style w:type="paragraph" w:styleId="Lista">
    <w:name w:val="List"/>
    <w:basedOn w:val="Corpodetexto"/>
    <w:rPr>
      <w:rFonts w:cs="Lucida Sans"/>
    </w:rPr>
  </w:style>
  <w:style w:type="paragraph" w:styleId="Legenda">
    <w:name w:val="caption"/>
    <w:basedOn w:val="Normal"/>
    <w:next w:val="Normal"/>
    <w:uiPriority w:val="35"/>
    <w:semiHidden/>
    <w:unhideWhenUsed/>
    <w:qFormat/>
    <w:pPr>
      <w:spacing w:line="276" w:lineRule="auto"/>
    </w:pPr>
    <w:rPr>
      <w:b/>
      <w:bCs/>
      <w:color w:val="4F81BD" w:themeColor="accent1"/>
      <w:sz w:val="18"/>
      <w:szCs w:val="18"/>
    </w:rPr>
  </w:style>
  <w:style w:type="paragraph" w:customStyle="1" w:styleId="ndice">
    <w:name w:val="Índice"/>
    <w:basedOn w:val="Normal"/>
    <w:qFormat/>
    <w:pPr>
      <w:suppressLineNumbers/>
    </w:pPr>
    <w:rPr>
      <w:rFonts w:cs="Lucida Sans"/>
    </w:rPr>
  </w:style>
  <w:style w:type="paragraph" w:styleId="Ttulo">
    <w:name w:val="Title"/>
    <w:basedOn w:val="Normal"/>
    <w:next w:val="Corpodetexto"/>
    <w:link w:val="TtuloChar"/>
    <w:qFormat/>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sz w:val="52"/>
      <w:szCs w:val="52"/>
    </w:rPr>
  </w:style>
  <w:style w:type="paragraph" w:customStyle="1" w:styleId="ndiceuser">
    <w:name w:val="Índice (user)"/>
    <w:basedOn w:val="Normal"/>
    <w:qFormat/>
    <w:pPr>
      <w:suppressLineNumbers/>
    </w:pPr>
    <w:rPr>
      <w:rFonts w:cs="Lucida Sans"/>
    </w:rPr>
  </w:style>
  <w:style w:type="paragraph" w:customStyle="1" w:styleId="Ttulo11">
    <w:name w:val="Título1"/>
    <w:basedOn w:val="Normal"/>
    <w:next w:val="Corpodetexto"/>
    <w:qFormat/>
    <w:pPr>
      <w:keepNext/>
      <w:spacing w:before="240" w:after="120"/>
    </w:pPr>
    <w:rPr>
      <w:rFonts w:ascii="Liberation Sans" w:eastAsia="Microsoft YaHei" w:hAnsi="Liberation Sans" w:cs="Lucida Sans"/>
      <w:sz w:val="28"/>
      <w:szCs w:val="28"/>
    </w:rPr>
  </w:style>
  <w:style w:type="paragraph" w:styleId="Ttulodendiceremissivo">
    <w:name w:val="index heading"/>
    <w:basedOn w:val="Ttulo11"/>
  </w:style>
  <w:style w:type="paragraph" w:styleId="CabealhodoSumrio">
    <w:name w:val="TOC Heading"/>
    <w:uiPriority w:val="39"/>
    <w:unhideWhenUsed/>
    <w:qFormat/>
  </w:style>
  <w:style w:type="paragraph" w:styleId="Sumrio2">
    <w:name w:val="toc 2"/>
    <w:basedOn w:val="Normal"/>
    <w:next w:val="Normal"/>
    <w:uiPriority w:val="39"/>
    <w:unhideWhenUsed/>
    <w:qFormat/>
    <w:pPr>
      <w:spacing w:after="57"/>
      <w:ind w:left="283"/>
    </w:pPr>
  </w:style>
  <w:style w:type="paragraph" w:styleId="Sumrio9">
    <w:name w:val="toc 9"/>
    <w:basedOn w:val="Normal"/>
    <w:next w:val="Normal"/>
    <w:uiPriority w:val="39"/>
    <w:unhideWhenUsed/>
    <w:qFormat/>
    <w:pPr>
      <w:spacing w:after="57"/>
      <w:ind w:left="2268"/>
    </w:pPr>
  </w:style>
  <w:style w:type="paragraph" w:styleId="Sumrio6">
    <w:name w:val="toc 6"/>
    <w:basedOn w:val="Normal"/>
    <w:next w:val="Normal"/>
    <w:uiPriority w:val="39"/>
    <w:unhideWhenUsed/>
    <w:pPr>
      <w:spacing w:after="57"/>
      <w:ind w:left="1417"/>
    </w:pPr>
  </w:style>
  <w:style w:type="paragraph" w:styleId="Textodecomentrio">
    <w:name w:val="annotation text"/>
    <w:basedOn w:val="Normal"/>
    <w:link w:val="TextodecomentrioChar"/>
    <w:uiPriority w:val="99"/>
    <w:unhideWhenUsed/>
    <w:qFormat/>
    <w:rPr>
      <w:sz w:val="20"/>
      <w:szCs w:val="20"/>
    </w:rPr>
  </w:style>
  <w:style w:type="paragraph" w:styleId="Sumrio5">
    <w:name w:val="toc 5"/>
    <w:basedOn w:val="Normal"/>
    <w:next w:val="Normal"/>
    <w:uiPriority w:val="39"/>
    <w:unhideWhenUsed/>
    <w:pPr>
      <w:spacing w:after="57"/>
      <w:ind w:left="1134"/>
    </w:pPr>
  </w:style>
  <w:style w:type="paragraph" w:styleId="ndicedeilustraes">
    <w:name w:val="table of figures"/>
    <w:basedOn w:val="Normal"/>
    <w:next w:val="Normal"/>
    <w:uiPriority w:val="99"/>
    <w:unhideWhenUsed/>
  </w:style>
  <w:style w:type="paragraph" w:styleId="Commarcadores5">
    <w:name w:val="List Bullet 5"/>
    <w:basedOn w:val="Normal"/>
    <w:pPr>
      <w:numPr>
        <w:numId w:val="1"/>
      </w:numPr>
      <w:contextualSpacing/>
    </w:pPr>
  </w:style>
  <w:style w:type="paragraph" w:styleId="Textodenotadefim">
    <w:name w:val="endnote text"/>
    <w:basedOn w:val="Normal"/>
    <w:link w:val="TextodenotadefimChar"/>
    <w:uiPriority w:val="99"/>
    <w:semiHidden/>
    <w:unhideWhenUsed/>
    <w:qFormat/>
    <w:rPr>
      <w:sz w:val="20"/>
    </w:rPr>
  </w:style>
  <w:style w:type="paragraph" w:styleId="NormalWeb">
    <w:name w:val="Normal (Web)"/>
    <w:basedOn w:val="Normal"/>
    <w:uiPriority w:val="99"/>
    <w:qFormat/>
    <w:pPr>
      <w:spacing w:beforeAutospacing="1" w:afterAutospacing="1"/>
    </w:pPr>
    <w:rPr>
      <w:rFonts w:ascii="Times New Roman" w:hAnsi="Times New Roman" w:cs="Times New Roman"/>
    </w:rPr>
  </w:style>
  <w:style w:type="paragraph" w:styleId="Sumrio4">
    <w:name w:val="toc 4"/>
    <w:basedOn w:val="Normal"/>
    <w:next w:val="Normal"/>
    <w:uiPriority w:val="39"/>
    <w:unhideWhenUsed/>
    <w:pPr>
      <w:spacing w:after="57"/>
      <w:ind w:left="850"/>
    </w:pPr>
  </w:style>
  <w:style w:type="paragraph" w:styleId="Sumrio8">
    <w:name w:val="toc 8"/>
    <w:basedOn w:val="Normal"/>
    <w:next w:val="Normal"/>
    <w:uiPriority w:val="39"/>
    <w:unhideWhenUsed/>
    <w:qFormat/>
    <w:pPr>
      <w:spacing w:after="57"/>
      <w:ind w:left="1984"/>
    </w:pPr>
  </w:style>
  <w:style w:type="paragraph" w:customStyle="1" w:styleId="Cabealhoerodap">
    <w:name w:val="Cabeçalho e rodapé"/>
    <w:basedOn w:val="Normal"/>
    <w:qFormat/>
  </w:style>
  <w:style w:type="paragraph" w:customStyle="1" w:styleId="Cabealhoerodapuser">
    <w:name w:val="Cabeçalho e rodapé (user)"/>
    <w:basedOn w:val="Normal"/>
    <w:qFormat/>
  </w:style>
  <w:style w:type="paragraph" w:styleId="Cabealho">
    <w:name w:val="header"/>
    <w:basedOn w:val="Normal"/>
    <w:link w:val="CabealhoChar"/>
    <w:qFormat/>
    <w:pPr>
      <w:tabs>
        <w:tab w:val="center" w:pos="4252"/>
        <w:tab w:val="right" w:pos="8504"/>
      </w:tabs>
    </w:pPr>
  </w:style>
  <w:style w:type="paragraph" w:styleId="Assuntodocomentrio">
    <w:name w:val="annotation subject"/>
    <w:basedOn w:val="Textodecomentrio"/>
    <w:next w:val="Textodecomentrio"/>
    <w:link w:val="AssuntodocomentrioChar"/>
    <w:semiHidden/>
    <w:unhideWhenUsed/>
    <w:qFormat/>
    <w:rPr>
      <w:b/>
      <w:bCs/>
    </w:rPr>
  </w:style>
  <w:style w:type="paragraph" w:styleId="Rodap">
    <w:name w:val="footer"/>
    <w:basedOn w:val="Normal"/>
    <w:link w:val="RodapChar"/>
    <w:uiPriority w:val="99"/>
    <w:qFormat/>
    <w:pPr>
      <w:tabs>
        <w:tab w:val="center" w:pos="4252"/>
        <w:tab w:val="right" w:pos="8504"/>
      </w:tabs>
    </w:pPr>
  </w:style>
  <w:style w:type="paragraph" w:styleId="Sumrio7">
    <w:name w:val="toc 7"/>
    <w:basedOn w:val="Normal"/>
    <w:next w:val="Normal"/>
    <w:uiPriority w:val="39"/>
    <w:unhideWhenUsed/>
    <w:qFormat/>
    <w:pPr>
      <w:spacing w:after="57"/>
      <w:ind w:left="1701"/>
    </w:pPr>
  </w:style>
  <w:style w:type="paragraph" w:styleId="Sumrio3">
    <w:name w:val="toc 3"/>
    <w:basedOn w:val="Normal"/>
    <w:next w:val="Normal"/>
    <w:uiPriority w:val="39"/>
    <w:unhideWhenUsed/>
    <w:qFormat/>
    <w:pPr>
      <w:spacing w:after="57"/>
      <w:ind w:left="567"/>
    </w:pPr>
  </w:style>
  <w:style w:type="paragraph" w:styleId="Textodebalo">
    <w:name w:val="Balloon Text"/>
    <w:basedOn w:val="Normal"/>
    <w:link w:val="TextodebaloChar"/>
    <w:uiPriority w:val="99"/>
    <w:qFormat/>
    <w:rPr>
      <w:rFonts w:ascii="Tahoma" w:hAnsi="Tahoma"/>
      <w:sz w:val="16"/>
      <w:szCs w:val="16"/>
    </w:rPr>
  </w:style>
  <w:style w:type="paragraph" w:styleId="Subttulo">
    <w:name w:val="Subtitle"/>
    <w:basedOn w:val="Normal"/>
    <w:next w:val="Normal"/>
    <w:link w:val="SubttuloChar"/>
    <w:uiPriority w:val="11"/>
    <w:qFormat/>
    <w:pPr>
      <w:spacing w:before="200" w:after="200"/>
    </w:pPr>
  </w:style>
  <w:style w:type="paragraph" w:styleId="Textodenotaderodap">
    <w:name w:val="footnote text"/>
    <w:basedOn w:val="Normal"/>
    <w:link w:val="TextodenotaderodapChar"/>
    <w:uiPriority w:val="99"/>
    <w:semiHidden/>
    <w:unhideWhenUsed/>
    <w:qFormat/>
    <w:pPr>
      <w:spacing w:after="40"/>
    </w:pPr>
    <w:rPr>
      <w:sz w:val="18"/>
    </w:rPr>
  </w:style>
  <w:style w:type="paragraph" w:styleId="Sumrio1">
    <w:name w:val="toc 1"/>
    <w:basedOn w:val="Normal"/>
    <w:next w:val="Normal"/>
    <w:uiPriority w:val="39"/>
    <w:unhideWhenUsed/>
    <w:qFormat/>
    <w:pPr>
      <w:tabs>
        <w:tab w:val="left" w:pos="426"/>
        <w:tab w:val="right" w:leader="dot" w:pos="9628"/>
      </w:tabs>
      <w:spacing w:after="100"/>
    </w:pPr>
    <w:rPr>
      <w:rFonts w:ascii="Arial" w:eastAsia="Times New Roman" w:hAnsi="Arial"/>
      <w:sz w:val="20"/>
    </w:rPr>
  </w:style>
  <w:style w:type="paragraph" w:styleId="SemEspaamento">
    <w:name w:val="No Spacing"/>
    <w:uiPriority w:val="1"/>
    <w:qFormat/>
    <w:rPr>
      <w:rFonts w:eastAsiaTheme="minorEastAsia"/>
    </w:rPr>
  </w:style>
  <w:style w:type="paragraph" w:styleId="CitaoIntensa">
    <w:name w:val="Intense Quote"/>
    <w:basedOn w:val="Normal"/>
    <w:next w:val="Normal"/>
    <w:link w:val="CitaoIntensaCh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paragraph" w:styleId="PargrafodaLista">
    <w:name w:val="List Paragraph"/>
    <w:basedOn w:val="Normal"/>
    <w:link w:val="PargrafodaListaChar"/>
    <w:uiPriority w:val="1"/>
    <w:qFormat/>
    <w:pPr>
      <w:ind w:left="720"/>
      <w:contextualSpacing/>
    </w:pPr>
  </w:style>
  <w:style w:type="paragraph" w:customStyle="1" w:styleId="Nvel2">
    <w:name w:val="Nível 2"/>
    <w:basedOn w:val="Normal"/>
    <w:next w:val="Normal"/>
    <w:qFormat/>
    <w:pPr>
      <w:spacing w:after="120"/>
      <w:jc w:val="both"/>
    </w:pPr>
    <w:rPr>
      <w:rFonts w:ascii="Arial" w:hAnsi="Arial" w:cs="Times New Roman"/>
      <w:b/>
      <w:szCs w:val="20"/>
    </w:rPr>
  </w:style>
  <w:style w:type="paragraph" w:styleId="Citao">
    <w:name w:val="Quote"/>
    <w:basedOn w:val="Normal"/>
    <w:next w:val="Normal"/>
    <w:link w:val="CitaoChar"/>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paragraph" w:customStyle="1" w:styleId="Notaexplicativa">
    <w:name w:val="Nota explicativa"/>
    <w:basedOn w:val="Citao"/>
    <w:link w:val="NotaexplicativaChar"/>
    <w:qFormat/>
    <w:rPr>
      <w:szCs w:val="20"/>
    </w:rPr>
  </w:style>
  <w:style w:type="paragraph" w:customStyle="1" w:styleId="Nivel01">
    <w:name w:val="Nivel 01"/>
    <w:basedOn w:val="Ttulo1"/>
    <w:next w:val="Normal"/>
    <w:link w:val="Nivel01Char"/>
    <w:qFormat/>
    <w:pPr>
      <w:numPr>
        <w:numId w:val="2"/>
      </w:numPr>
      <w:tabs>
        <w:tab w:val="left" w:pos="567"/>
      </w:tabs>
      <w:spacing w:before="288" w:after="288" w:line="312" w:lineRule="auto"/>
      <w:jc w:val="both"/>
    </w:pPr>
    <w:rPr>
      <w:rFonts w:ascii="Arial" w:hAnsi="Arial" w:cs="Arial"/>
      <w:sz w:val="20"/>
      <w:szCs w:val="20"/>
    </w:rPr>
  </w:style>
  <w:style w:type="paragraph" w:customStyle="1" w:styleId="Nivel01Titulo">
    <w:name w:val="Nivel_01_Titulo"/>
    <w:basedOn w:val="Nivel01"/>
    <w:link w:val="Nivel01TituloChar"/>
    <w:qFormat/>
    <w:pPr>
      <w:jc w:val="left"/>
    </w:pPr>
    <w:rPr>
      <w:rFonts w:cstheme="majorBidi"/>
      <w:color w:val="000000" w:themeColor="text1"/>
      <w:spacing w:val="5"/>
      <w:sz w:val="52"/>
      <w:szCs w:val="52"/>
    </w:rPr>
  </w:style>
  <w:style w:type="paragraph" w:customStyle="1" w:styleId="PADRO">
    <w:name w:val="PADRÃO"/>
    <w:qFormat/>
    <w:pPr>
      <w:keepNext/>
      <w:widowControl w:val="0"/>
      <w:shd w:val="clear" w:color="auto" w:fill="FFFFFF"/>
      <w:spacing w:before="119" w:after="119" w:line="276" w:lineRule="auto"/>
      <w:ind w:firstLine="567"/>
      <w:jc w:val="both"/>
    </w:pPr>
    <w:rPr>
      <w:rFonts w:ascii="Ecofont_Spranq_eco_Sans" w:eastAsia="WenQuanYi Micro Hei" w:hAnsi="Ecofont_Spranq_eco_Sans" w:cs="Lohit Hindi"/>
      <w:szCs w:val="24"/>
      <w:lang w:eastAsia="zh-CN" w:bidi="hi-IN"/>
    </w:rPr>
  </w:style>
  <w:style w:type="paragraph" w:customStyle="1" w:styleId="Citao1">
    <w:name w:val="Citação1"/>
    <w:basedOn w:val="Normal"/>
    <w:next w:val="Normal"/>
    <w:link w:val="QuoteChar"/>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qFormat/>
    <w:pPr>
      <w:spacing w:beforeAutospacing="1" w:afterAutospacing="1"/>
    </w:pPr>
    <w:rPr>
      <w:rFonts w:ascii="Times New Roman" w:eastAsia="Times New Roman" w:hAnsi="Times New Roman" w:cs="Times New Roman"/>
    </w:rPr>
  </w:style>
  <w:style w:type="paragraph" w:customStyle="1" w:styleId="Nivel1">
    <w:name w:val="Nivel1"/>
    <w:basedOn w:val="Ttulo1"/>
    <w:link w:val="Nivel1Char"/>
    <w:qFormat/>
    <w:pPr>
      <w:spacing w:line="276" w:lineRule="auto"/>
      <w:ind w:left="357" w:hanging="357"/>
      <w:jc w:val="both"/>
    </w:pPr>
    <w:rPr>
      <w:rFonts w:ascii="Arial" w:hAnsi="Arial" w:cs="Arial"/>
      <w:bCs w:val="0"/>
    </w:rPr>
  </w:style>
  <w:style w:type="paragraph" w:customStyle="1" w:styleId="PargrafodaLista1">
    <w:name w:val="Parágrafo da Lista1"/>
    <w:basedOn w:val="Normal"/>
    <w:qFormat/>
    <w:pPr>
      <w:ind w:left="720"/>
    </w:pPr>
    <w:rPr>
      <w:rFonts w:eastAsia="Times New Roman" w:cs="Ecofont_Spranq_eco_Sans"/>
    </w:rPr>
  </w:style>
  <w:style w:type="paragraph" w:customStyle="1" w:styleId="Nivel2">
    <w:name w:val="Nivel 2"/>
    <w:basedOn w:val="Normal"/>
    <w:link w:val="Nivel2Char"/>
    <w:qFormat/>
    <w:pPr>
      <w:numPr>
        <w:ilvl w:val="1"/>
        <w:numId w:val="2"/>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qFormat/>
    <w:pPr>
      <w:numPr>
        <w:ilvl w:val="0"/>
        <w:numId w:val="0"/>
      </w:numPr>
      <w:ind w:left="360" w:hanging="360"/>
    </w:pPr>
    <w:rPr>
      <w:b/>
    </w:rPr>
  </w:style>
  <w:style w:type="paragraph" w:customStyle="1" w:styleId="Nivel3">
    <w:name w:val="Nivel 3"/>
    <w:basedOn w:val="Normal"/>
    <w:link w:val="Nivel3Char"/>
    <w:qFormat/>
    <w:pPr>
      <w:numPr>
        <w:ilvl w:val="2"/>
        <w:numId w:val="2"/>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pPr>
      <w:ind w:left="567"/>
    </w:pPr>
    <w:rPr>
      <w:color w:val="auto"/>
    </w:rPr>
  </w:style>
  <w:style w:type="paragraph" w:customStyle="1" w:styleId="Nivel5">
    <w:name w:val="Nivel 5"/>
    <w:basedOn w:val="Nivel4"/>
    <w:qFormat/>
    <w:pPr>
      <w:ind w:left="851"/>
    </w:pPr>
  </w:style>
  <w:style w:type="paragraph" w:customStyle="1" w:styleId="textbody">
    <w:name w:val="textbody"/>
    <w:basedOn w:val="Normal"/>
    <w:qFormat/>
    <w:pPr>
      <w:spacing w:beforeAutospacing="1" w:afterAutospacing="1"/>
    </w:pPr>
    <w:rPr>
      <w:rFonts w:ascii="Times New Roman" w:eastAsia="Times New Roman" w:hAnsi="Times New Roman" w:cs="Times New Roman"/>
    </w:rPr>
  </w:style>
  <w:style w:type="paragraph" w:customStyle="1" w:styleId="em0020ementa">
    <w:name w:val="em_0020ementa"/>
    <w:basedOn w:val="Normal"/>
    <w:qFormat/>
    <w:pPr>
      <w:ind w:left="4160"/>
      <w:jc w:val="both"/>
    </w:pPr>
    <w:rPr>
      <w:rFonts w:ascii="Times New Roman" w:eastAsia="Times New Roman" w:hAnsi="Times New Roman" w:cs="Times New Roman"/>
      <w:sz w:val="28"/>
      <w:szCs w:val="28"/>
    </w:rPr>
  </w:style>
  <w:style w:type="paragraph" w:customStyle="1" w:styleId="Reviso1">
    <w:name w:val="Revisão1"/>
    <w:uiPriority w:val="99"/>
    <w:semiHidden/>
    <w:qFormat/>
    <w:rPr>
      <w:rFonts w:ascii="Ecofont_Spranq_eco_Sans" w:eastAsia="Times New Roman" w:hAnsi="Ecofont_Spranq_eco_Sans" w:cs="Tahoma"/>
      <w:sz w:val="24"/>
      <w:szCs w:val="24"/>
      <w:lang w:eastAsia="pt-BR"/>
    </w:rPr>
  </w:style>
  <w:style w:type="paragraph" w:customStyle="1" w:styleId="texto1">
    <w:name w:val="texto1"/>
    <w:basedOn w:val="Normal"/>
    <w:qFormat/>
    <w:pPr>
      <w:spacing w:beforeAutospacing="1"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paragraph" w:customStyle="1" w:styleId="xwestern">
    <w:name w:val="x_western"/>
    <w:basedOn w:val="Normal"/>
    <w:qFormat/>
    <w:pPr>
      <w:spacing w:beforeAutospacing="1" w:afterAutospacing="1"/>
    </w:pPr>
    <w:rPr>
      <w:rFonts w:ascii="Times New Roman" w:eastAsia="Times New Roman" w:hAnsi="Times New Roman" w:cs="Times New Roman"/>
    </w:rPr>
  </w:style>
  <w:style w:type="paragraph" w:customStyle="1" w:styleId="TCU-Ac-item9-0">
    <w:name w:val="TCU - Ac - item 9 - §§_0"/>
    <w:basedOn w:val="Normal"/>
    <w:qFormat/>
    <w:pPr>
      <w:ind w:firstLine="1134"/>
      <w:jc w:val="both"/>
    </w:pPr>
    <w:rPr>
      <w:rFonts w:ascii="Times New Roman" w:eastAsia="Times New Roman" w:hAnsi="Times New Roman" w:cs="Times New Roman"/>
      <w:szCs w:val="22"/>
      <w:lang w:eastAsia="en-US"/>
    </w:rPr>
  </w:style>
  <w:style w:type="paragraph" w:customStyle="1" w:styleId="Normal1">
    <w:name w:val="Normal_1"/>
    <w:qFormat/>
    <w:rPr>
      <w:rFonts w:eastAsia="Times New Roman"/>
      <w:sz w:val="24"/>
      <w:szCs w:val="22"/>
      <w:lang w:eastAsia="en-US"/>
    </w:rPr>
  </w:style>
  <w:style w:type="paragraph" w:customStyle="1" w:styleId="tcu-ac-item9-1linha">
    <w:name w:val="tcu_-__ac_-_item_9_-_1ª_linha"/>
    <w:basedOn w:val="Normal"/>
    <w:qFormat/>
    <w:pPr>
      <w:spacing w:beforeAutospacing="1"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qFormat/>
    <w:pPr>
      <w:spacing w:beforeAutospacing="1" w:afterAutospacing="1"/>
    </w:pPr>
    <w:rPr>
      <w:rFonts w:ascii="Times New Roman" w:eastAsia="Times New Roman" w:hAnsi="Times New Roman" w:cs="Times New Roman"/>
    </w:rPr>
  </w:style>
  <w:style w:type="paragraph" w:customStyle="1" w:styleId="textojustificado">
    <w:name w:val="texto_justificado"/>
    <w:basedOn w:val="Normal"/>
    <w:qFormat/>
    <w:pPr>
      <w:spacing w:beforeAutospacing="1" w:afterAutospacing="1"/>
    </w:pPr>
    <w:rPr>
      <w:rFonts w:ascii="Times New Roman" w:eastAsia="Times New Roman" w:hAnsi="Times New Roman" w:cs="Times New Roman"/>
    </w:rPr>
  </w:style>
  <w:style w:type="paragraph" w:customStyle="1" w:styleId="Nvel2Opcional">
    <w:name w:val="Nível 2 Opcional"/>
    <w:basedOn w:val="Nivel2"/>
    <w:link w:val="Nvel2OpcionalChar"/>
    <w:qFormat/>
    <w:pPr>
      <w:numPr>
        <w:ilvl w:val="0"/>
        <w:numId w:val="0"/>
      </w:numPr>
      <w:ind w:left="432" w:hanging="432"/>
    </w:pPr>
    <w:rPr>
      <w:rFonts w:eastAsia="Times New Roman"/>
      <w:i/>
      <w:color w:val="FF0000"/>
    </w:rPr>
  </w:style>
  <w:style w:type="paragraph" w:customStyle="1" w:styleId="Nvel3Opcional">
    <w:name w:val="Nível 3 Opcional"/>
    <w:basedOn w:val="Nivel3"/>
    <w:link w:val="Nvel3OpcionalChar"/>
    <w:qFormat/>
    <w:pPr>
      <w:numPr>
        <w:ilvl w:val="0"/>
        <w:numId w:val="0"/>
      </w:numPr>
      <w:ind w:left="1072" w:hanging="504"/>
    </w:pPr>
    <w:rPr>
      <w:rFonts w:eastAsia="Times New Roman"/>
      <w:i/>
      <w:iCs/>
      <w:color w:val="FF0000"/>
    </w:rPr>
  </w:style>
  <w:style w:type="paragraph" w:customStyle="1" w:styleId="SombreamentoMdio1-nfase31">
    <w:name w:val="Sombreamento Médio 1 - Ênfase 31"/>
    <w:basedOn w:val="Normal"/>
    <w:next w:val="Normal"/>
    <w:qFormat/>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eastAsia="Calibri"/>
      <w:i/>
      <w:iCs/>
      <w:color w:val="000000"/>
      <w:sz w:val="20"/>
      <w:lang w:eastAsia="zh-CN"/>
    </w:rPr>
  </w:style>
  <w:style w:type="paragraph" w:customStyle="1" w:styleId="corpo">
    <w:name w:val="corpo"/>
    <w:basedOn w:val="Normal"/>
    <w:qFormat/>
    <w:pPr>
      <w:spacing w:beforeAutospacing="1" w:afterAutospacing="1"/>
    </w:pPr>
    <w:rPr>
      <w:rFonts w:ascii="Times New Roman" w:eastAsia="Times New Roman" w:hAnsi="Times New Roman" w:cs="Times New Roman"/>
    </w:rPr>
  </w:style>
  <w:style w:type="paragraph" w:customStyle="1" w:styleId="itemnivel2">
    <w:name w:val="item_nivel2"/>
    <w:basedOn w:val="Normal"/>
    <w:qFormat/>
    <w:pPr>
      <w:spacing w:beforeAutospacing="1" w:afterAutospacing="1"/>
    </w:pPr>
    <w:rPr>
      <w:rFonts w:ascii="Times New Roman" w:eastAsia="Times New Roman" w:hAnsi="Times New Roman" w:cs="Times New Roman"/>
    </w:rPr>
  </w:style>
  <w:style w:type="paragraph" w:customStyle="1" w:styleId="itemnivel1">
    <w:name w:val="item_nivel1"/>
    <w:basedOn w:val="Normal"/>
    <w:qFormat/>
    <w:pPr>
      <w:spacing w:beforeAutospacing="1" w:afterAutospacing="1"/>
    </w:pPr>
    <w:rPr>
      <w:rFonts w:ascii="Times New Roman" w:eastAsia="Times New Roman" w:hAnsi="Times New Roman" w:cs="Times New Roman"/>
    </w:rPr>
  </w:style>
  <w:style w:type="paragraph" w:customStyle="1" w:styleId="itemalinealetra">
    <w:name w:val="item_alinea_letra"/>
    <w:basedOn w:val="Normal"/>
    <w:qFormat/>
    <w:pPr>
      <w:spacing w:beforeAutospacing="1" w:afterAutospacing="1"/>
    </w:pPr>
    <w:rPr>
      <w:rFonts w:ascii="Times New Roman" w:eastAsia="Times New Roman" w:hAnsi="Times New Roman" w:cs="Times New Roman"/>
    </w:rPr>
  </w:style>
  <w:style w:type="paragraph" w:customStyle="1" w:styleId="Standard">
    <w:name w:val="Standard"/>
    <w:qFormat/>
    <w:rPr>
      <w:rFonts w:ascii="Liberation Serif" w:eastAsia="NSimSun" w:hAnsi="Liberation Serif" w:cs="Lucida Sans"/>
      <w:sz w:val="24"/>
      <w:szCs w:val="24"/>
      <w:lang w:eastAsia="zh-CN" w:bidi="hi-IN"/>
    </w:rPr>
  </w:style>
  <w:style w:type="paragraph" w:customStyle="1" w:styleId="Textbody0">
    <w:name w:val="Text body"/>
    <w:basedOn w:val="Standard"/>
    <w:qFormat/>
    <w:pPr>
      <w:spacing w:after="140" w:line="276" w:lineRule="auto"/>
    </w:pPr>
  </w:style>
  <w:style w:type="paragraph" w:customStyle="1" w:styleId="ou">
    <w:name w:val="ou"/>
    <w:basedOn w:val="PargrafodaLista"/>
    <w:link w:val="ouChar"/>
    <w:qFormat/>
    <w:pPr>
      <w:spacing w:before="60" w:after="60" w:line="259" w:lineRule="auto"/>
      <w:ind w:left="0"/>
      <w:contextualSpacing w:val="0"/>
      <w:jc w:val="center"/>
    </w:pPr>
    <w:rPr>
      <w:rFonts w:ascii="Arial" w:eastAsiaTheme="minorHAnsi" w:hAnsi="Arial" w:cs="Arial"/>
      <w:b/>
      <w:bCs/>
      <w:i/>
      <w:iCs/>
      <w:color w:val="FF0000"/>
      <w:u w:val="single"/>
    </w:rPr>
  </w:style>
  <w:style w:type="paragraph" w:customStyle="1" w:styleId="dou-paragraph">
    <w:name w:val="dou-paragraph"/>
    <w:basedOn w:val="Normal"/>
    <w:qFormat/>
    <w:pPr>
      <w:spacing w:beforeAutospacing="1" w:afterAutospacing="1"/>
    </w:pPr>
    <w:rPr>
      <w:rFonts w:ascii="Times New Roman" w:eastAsia="Times New Roman" w:hAnsi="Times New Roman" w:cs="Times New Roman"/>
    </w:rPr>
  </w:style>
  <w:style w:type="paragraph" w:customStyle="1" w:styleId="Nvel2-Red">
    <w:name w:val="Nível 2 -Red"/>
    <w:basedOn w:val="Nivel2"/>
    <w:link w:val="Nvel2-RedChar"/>
    <w:qFormat/>
    <w:rPr>
      <w:i/>
      <w:iCs/>
      <w:color w:val="FF0000"/>
    </w:rPr>
  </w:style>
  <w:style w:type="paragraph" w:customStyle="1" w:styleId="Nvel3-R">
    <w:name w:val="Nível 3-R"/>
    <w:basedOn w:val="Nivel3"/>
    <w:link w:val="Nvel3-RChar"/>
    <w:qFormat/>
    <w:rPr>
      <w:i/>
      <w:iCs/>
      <w:color w:val="FF0000"/>
    </w:rPr>
  </w:style>
  <w:style w:type="paragraph" w:customStyle="1" w:styleId="Nvel4-R">
    <w:name w:val="Nível 4-R"/>
    <w:basedOn w:val="Nivel4"/>
    <w:link w:val="Nvel4-RChar"/>
    <w:qFormat/>
    <w:rPr>
      <w:i/>
      <w:iCs/>
      <w:color w:val="FF0000"/>
    </w:rPr>
  </w:style>
  <w:style w:type="paragraph" w:customStyle="1" w:styleId="Nvel1-SemNum">
    <w:name w:val="Nível 1-Sem Num"/>
    <w:basedOn w:val="Nivel01"/>
    <w:link w:val="Nvel1-SemNumChar"/>
    <w:qFormat/>
    <w:pPr>
      <w:numPr>
        <w:numId w:val="0"/>
      </w:numPr>
      <w:ind w:left="360"/>
      <w:outlineLvl w:val="1"/>
    </w:pPr>
  </w:style>
  <w:style w:type="paragraph" w:customStyle="1" w:styleId="citao2">
    <w:name w:val="citação 2"/>
    <w:basedOn w:val="Citao"/>
    <w:link w:val="citao2Char"/>
    <w:qFormat/>
    <w:rPr>
      <w:szCs w:val="20"/>
    </w:rPr>
  </w:style>
  <w:style w:type="paragraph" w:customStyle="1" w:styleId="Prembulo">
    <w:name w:val="Preâmbulo"/>
    <w:basedOn w:val="Normal"/>
    <w:link w:val="PrembuloChar"/>
    <w:qFormat/>
    <w:pPr>
      <w:spacing w:before="480" w:after="120" w:line="360" w:lineRule="auto"/>
      <w:ind w:left="4253" w:right="-17"/>
      <w:jc w:val="both"/>
    </w:pPr>
    <w:rPr>
      <w:rFonts w:ascii="Arial" w:eastAsia="Arial" w:hAnsi="Arial" w:cs="Arial"/>
      <w:bCs/>
      <w:sz w:val="20"/>
      <w:szCs w:val="20"/>
    </w:rPr>
  </w:style>
  <w:style w:type="paragraph" w:customStyle="1" w:styleId="CabealhodoSumrio1">
    <w:name w:val="Cabeçalho do Sumário1"/>
    <w:basedOn w:val="Ttulo1"/>
    <w:next w:val="Normal"/>
    <w:uiPriority w:val="39"/>
    <w:unhideWhenUsed/>
    <w:qFormat/>
    <w:pPr>
      <w:spacing w:before="240" w:line="259" w:lineRule="auto"/>
      <w:outlineLvl w:val="9"/>
    </w:pPr>
    <w:rPr>
      <w:b w:val="0"/>
      <w:bCs w:val="0"/>
      <w:sz w:val="32"/>
      <w:szCs w:val="32"/>
    </w:rPr>
  </w:style>
  <w:style w:type="paragraph" w:customStyle="1" w:styleId="Nvel1-SemNumPreto">
    <w:name w:val="Nível 1-Sem Num Preto"/>
    <w:qFormat/>
    <w:pPr>
      <w:keepNext/>
      <w:keepLines/>
      <w:tabs>
        <w:tab w:val="left" w:pos="567"/>
      </w:tabs>
      <w:spacing w:before="240" w:after="120" w:line="276" w:lineRule="auto"/>
      <w:jc w:val="both"/>
      <w:outlineLvl w:val="1"/>
    </w:pPr>
    <w:rPr>
      <w:rFonts w:ascii="Arial" w:eastAsia="Arial" w:hAnsi="Arial" w:cs="Arial"/>
      <w:b/>
      <w:bCs/>
      <w:lang w:eastAsia="zh-CN" w:bidi="hi-IN"/>
    </w:rPr>
  </w:style>
  <w:style w:type="paragraph" w:customStyle="1" w:styleId="Nvel3">
    <w:name w:val="Nível 3"/>
    <w:qFormat/>
    <w:pPr>
      <w:numPr>
        <w:ilvl w:val="2"/>
        <w:numId w:val="3"/>
      </w:numPr>
      <w:spacing w:before="120" w:after="120" w:line="276" w:lineRule="auto"/>
      <w:ind w:left="284" w:firstLine="0"/>
      <w:jc w:val="both"/>
    </w:pPr>
    <w:rPr>
      <w:rFonts w:ascii="Arial" w:eastAsia="Times New Roman" w:hAnsi="Arial" w:cs="Arial"/>
      <w:lang w:eastAsia="pt-BR"/>
    </w:rPr>
  </w:style>
  <w:style w:type="paragraph" w:customStyle="1" w:styleId="Nvel4">
    <w:name w:val="Nível 4"/>
    <w:basedOn w:val="Nvel3"/>
    <w:qFormat/>
    <w:pPr>
      <w:ind w:left="567"/>
    </w:pPr>
  </w:style>
  <w:style w:type="paragraph" w:customStyle="1" w:styleId="N11">
    <w:name w:val="N 1.1"/>
    <w:qFormat/>
    <w:pPr>
      <w:spacing w:before="240" w:after="240"/>
      <w:jc w:val="both"/>
    </w:pPr>
    <w:rPr>
      <w:rFonts w:ascii="Arial" w:eastAsia="Calibri" w:hAnsi="Arial"/>
      <w:sz w:val="24"/>
      <w:szCs w:val="22"/>
      <w:lang w:eastAsia="en-US"/>
    </w:rPr>
  </w:style>
  <w:style w:type="paragraph" w:styleId="Corpodetexto2">
    <w:name w:val="Body Text 2"/>
    <w:basedOn w:val="Normal"/>
    <w:link w:val="Corpodetexto2Char"/>
    <w:uiPriority w:val="99"/>
    <w:semiHidden/>
    <w:unhideWhenUsed/>
    <w:qFormat/>
    <w:rsid w:val="005500C9"/>
    <w:pPr>
      <w:spacing w:after="120" w:line="480" w:lineRule="auto"/>
    </w:pPr>
  </w:style>
  <w:style w:type="paragraph" w:customStyle="1" w:styleId="Contedodatabela">
    <w:name w:val="Conteúdo da tabela"/>
    <w:basedOn w:val="Normal"/>
    <w:qFormat/>
    <w:pPr>
      <w:widowControl w:val="0"/>
      <w:suppressLineNumbers/>
    </w:pPr>
  </w:style>
  <w:style w:type="paragraph" w:customStyle="1" w:styleId="Ttulodetabela">
    <w:name w:val="Título de tabela"/>
    <w:basedOn w:val="Contedodatabela"/>
    <w:qFormat/>
    <w:pPr>
      <w:jc w:val="center"/>
    </w:pPr>
    <w:rPr>
      <w:b/>
      <w:bCs/>
    </w:rPr>
  </w:style>
  <w:style w:type="paragraph" w:customStyle="1" w:styleId="Contedodatabelauser">
    <w:name w:val="Conteúdo da tabela (user)"/>
    <w:basedOn w:val="Normal"/>
    <w:qFormat/>
    <w:pPr>
      <w:widowControl w:val="0"/>
      <w:suppressLineNumbers/>
    </w:pPr>
  </w:style>
  <w:style w:type="paragraph" w:customStyle="1" w:styleId="Ttulodetabelauser">
    <w:name w:val="Título de tabela (user)"/>
    <w:basedOn w:val="Contedodatabelauser"/>
    <w:qFormat/>
    <w:pPr>
      <w:jc w:val="center"/>
    </w:pPr>
    <w:rPr>
      <w:b/>
      <w:bCs/>
    </w:rPr>
  </w:style>
  <w:style w:type="numbering" w:customStyle="1" w:styleId="Semlista1">
    <w:name w:val="Sem lista1"/>
    <w:uiPriority w:val="99"/>
    <w:semiHidden/>
    <w:unhideWhenUsed/>
    <w:qFormat/>
  </w:style>
  <w:style w:type="numbering" w:customStyle="1" w:styleId="Semlista10">
    <w:name w:val="Sem lista1"/>
    <w:uiPriority w:val="99"/>
    <w:semiHidden/>
    <w:unhideWhenUsed/>
    <w:qFormat/>
  </w:style>
  <w:style w:type="table" w:styleId="SimplesTabela1">
    <w:name w:val="Plain Table 1"/>
    <w:basedOn w:val="Tabela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b/>
        <w:sz w:val="22"/>
      </w:rPr>
    </w:tblStylePr>
    <w:tblStylePr w:type="lastRow">
      <w:rPr>
        <w:b/>
        <w:sz w:val="22"/>
      </w:rPr>
    </w:tblStylePr>
    <w:tblStylePr w:type="firstCol">
      <w:rPr>
        <w:b/>
        <w:sz w:val="22"/>
      </w:rPr>
    </w:tblStylePr>
    <w:tblStylePr w:type="lastCol">
      <w:rPr>
        <w:b/>
        <w:sz w:val="22"/>
      </w:rPr>
    </w:tblStylePr>
    <w:tblStylePr w:type="band1Vert">
      <w:tblPr/>
      <w:tcPr>
        <w:shd w:val="clear" w:color="F2F2F2" w:fill="F2F2F2" w:themeFill="text1" w:themeFillTint="0D"/>
      </w:tcPr>
    </w:tblStylePr>
    <w:tblStylePr w:type="band1Horz">
      <w:tblPr/>
      <w:tcPr>
        <w:shd w:val="clear" w:color="F2F2F2" w:fill="F2F2F2" w:themeFill="text1" w:themeFillTint="0D"/>
      </w:tcPr>
    </w:tblStylePr>
  </w:style>
  <w:style w:type="table" w:styleId="SimplesTabela2">
    <w:name w:val="Plain Table 2"/>
    <w:basedOn w:val="Tabelanormal"/>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b/>
        <w:sz w:val="22"/>
      </w:rPr>
      <w:tblPr/>
      <w:tcPr>
        <w:tcBorders>
          <w:top w:val="single" w:sz="4" w:space="0" w:color="000000" w:themeColor="text1"/>
          <w:bottom w:val="single" w:sz="4" w:space="0" w:color="000000" w:themeColor="text1"/>
        </w:tcBorders>
      </w:tcPr>
    </w:tblStylePr>
    <w:tblStylePr w:type="lastRow">
      <w:rPr>
        <w:b/>
        <w:sz w:val="22"/>
      </w:rPr>
    </w:tblStylePr>
    <w:tblStylePr w:type="firstCol">
      <w:rPr>
        <w:b/>
        <w:sz w:val="22"/>
      </w:rPr>
    </w:tblStylePr>
    <w:tblStylePr w:type="lastCol">
      <w:rPr>
        <w:b/>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SimplesTabela3">
    <w:name w:val="Plain Table 3"/>
    <w:basedOn w:val="Tabelanormal"/>
    <w:uiPriority w:val="99"/>
    <w:tblPr>
      <w:tblStyleRowBandSize w:val="1"/>
      <w:tblStyleColBandSize w:val="1"/>
    </w:tblPr>
    <w:tblStylePr w:type="firstRow">
      <w:rPr>
        <w:b/>
        <w:caps/>
      </w:rPr>
      <w:tblPr/>
      <w:tcPr>
        <w:tcBorders>
          <w:top w:val="none" w:sz="4" w:space="0" w:color="000000"/>
          <w:left w:val="none" w:sz="4" w:space="0" w:color="000000"/>
          <w:bottom w:val="single" w:sz="4" w:space="0" w:color="404040"/>
          <w:right w:val="none" w:sz="4" w:space="0" w:color="000000"/>
        </w:tcBorders>
      </w:tcPr>
    </w:tblStylePr>
    <w:tblStylePr w:type="lastRow">
      <w:rPr>
        <w:b/>
        <w:caps/>
      </w:rPr>
    </w:tblStylePr>
    <w:tblStylePr w:type="firstCol">
      <w:rPr>
        <w:b/>
        <w:caps/>
      </w:rPr>
      <w:tblPr/>
      <w:tcPr>
        <w:tcBorders>
          <w:top w:val="none" w:sz="4" w:space="0" w:color="000000"/>
          <w:left w:val="none" w:sz="4" w:space="0" w:color="000000"/>
          <w:bottom w:val="none" w:sz="4" w:space="0" w:color="000000"/>
          <w:right w:val="single" w:sz="4" w:space="0" w:color="404040"/>
        </w:tcBorders>
      </w:tcPr>
    </w:tblStylePr>
    <w:tblStylePr w:type="lastCol">
      <w:rPr>
        <w:b/>
        <w:caps/>
      </w:rPr>
    </w:tblStylePr>
    <w:tblStylePr w:type="band1Vert">
      <w:rPr>
        <w:sz w:val="22"/>
      </w:rPr>
      <w:tblPr/>
      <w:tcPr>
        <w:shd w:val="clear" w:color="F2F2F2" w:fill="F2F2F2" w:themeFill="text1" w:themeFillTint="0D"/>
      </w:tcPr>
    </w:tblStylePr>
    <w:tblStylePr w:type="band1Horz">
      <w:rPr>
        <w:sz w:val="22"/>
      </w:rPr>
      <w:tblPr/>
      <w:tcPr>
        <w:shd w:val="clear" w:color="F2F2F2" w:fill="F2F2F2" w:themeFill="text1" w:themeFillTint="0D"/>
      </w:tcPr>
    </w:tblStylePr>
  </w:style>
  <w:style w:type="table" w:styleId="TabelaSimples4">
    <w:name w:val="Plain Table 4"/>
    <w:basedOn w:val="Tabelanormal"/>
    <w:uiPriority w:val="99"/>
    <w:tblPr>
      <w:tblStyleRowBandSize w:val="1"/>
      <w:tblStyleColBandSize w:val="1"/>
    </w:tblPr>
    <w:tblStylePr w:type="firstRow">
      <w:rPr>
        <w:b/>
      </w:rPr>
    </w:tblStylePr>
    <w:tblStylePr w:type="lastRow">
      <w:rPr>
        <w:b/>
      </w:rPr>
    </w:tblStylePr>
    <w:tblStylePr w:type="firstCol">
      <w:rPr>
        <w:b/>
      </w:rPr>
    </w:tblStylePr>
    <w:tblStylePr w:type="lastCol">
      <w:rPr>
        <w:b/>
      </w:rPr>
    </w:tblStylePr>
    <w:tblStylePr w:type="band1Vert">
      <w:rPr>
        <w:sz w:val="22"/>
      </w:rPr>
      <w:tblPr/>
      <w:tcPr>
        <w:shd w:val="clear" w:color="F2F2F2" w:fill="F2F2F2" w:themeFill="text1" w:themeFillTint="0D"/>
      </w:tcPr>
    </w:tblStylePr>
    <w:tblStylePr w:type="band1Horz">
      <w:rPr>
        <w:sz w:val="22"/>
      </w:rPr>
      <w:tblPr/>
      <w:tcPr>
        <w:shd w:val="clear" w:color="F2F2F2" w:fill="F2F2F2" w:themeFill="text1" w:themeFillTint="0D"/>
      </w:tcPr>
    </w:tblStylePr>
  </w:style>
  <w:style w:type="table" w:styleId="TabelaSimples5">
    <w:name w:val="Plain Table 5"/>
    <w:basedOn w:val="Tabelanormal"/>
    <w:uiPriority w:val="99"/>
    <w:tblPr>
      <w:tblStyleRowBandSize w:val="1"/>
      <w:tblStyleColBandSize w:val="1"/>
    </w:tblPr>
    <w:tblStylePr w:type="firstRow">
      <w:rPr>
        <w:i/>
      </w:rPr>
      <w:tblPr/>
      <w:tcPr>
        <w:tcBorders>
          <w:left w:val="none" w:sz="4" w:space="0" w:color="000000"/>
          <w:bottom w:val="single" w:sz="4" w:space="0" w:color="404040"/>
          <w:right w:val="none" w:sz="4" w:space="0" w:color="000000"/>
        </w:tcBorders>
        <w:shd w:val="clear" w:color="FFFFFF" w:fill="auto"/>
      </w:tcPr>
    </w:tblStylePr>
    <w:tblStylePr w:type="lastRow">
      <w:rPr>
        <w:i/>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rPr>
      <w:tblPr/>
      <w:tcPr>
        <w:tcBorders>
          <w:right w:val="single" w:sz="4" w:space="0" w:color="404040"/>
        </w:tcBorders>
        <w:shd w:val="clear" w:color="FFFFFF" w:fill="auto"/>
      </w:tcPr>
    </w:tblStylePr>
    <w:tblStylePr w:type="lastCol">
      <w:rPr>
        <w:i/>
      </w:rPr>
      <w:tblPr/>
      <w:tcPr>
        <w:tcBorders>
          <w:left w:val="single" w:sz="4" w:space="0" w:color="404040"/>
        </w:tcBorders>
        <w:shd w:val="clear" w:color="FFFFFF" w:fill="auto"/>
      </w:tcPr>
    </w:tblStylePr>
    <w:tblStylePr w:type="band1Vert">
      <w:rPr>
        <w:sz w:val="22"/>
      </w:rPr>
      <w:tblPr/>
      <w:tcPr>
        <w:shd w:val="clear" w:color="F2F2F2" w:fill="F2F2F2" w:themeFill="text1" w:themeFillTint="0D"/>
      </w:tcPr>
    </w:tblStylePr>
    <w:tblStylePr w:type="band1Horz">
      <w:rPr>
        <w:sz w:val="22"/>
      </w:rPr>
      <w:tblPr/>
      <w:tcPr>
        <w:shd w:val="clear" w:color="F2F2F2" w:fill="F2F2F2" w:themeFill="text1" w:themeFillTint="0D"/>
      </w:tcPr>
    </w:tblStylePr>
  </w:style>
  <w:style w:type="table" w:styleId="TabeladeGrade1Clara">
    <w:name w:val="Grid Table 1 Light"/>
    <w:basedOn w:val="Tabelanormal"/>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rPr>
      <w:tblPr/>
      <w:tcPr>
        <w:tcBorders>
          <w:bottom w:val="single" w:sz="12" w:space="0" w:color="000000" w:themeColor="text1"/>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styleId="TabeladeGrade2">
    <w:name w:val="Grid Table 2"/>
    <w:basedOn w:val="Tabela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rPr>
      <w:tblPr/>
      <w:tcPr>
        <w:tcBorders>
          <w:top w:val="none" w:sz="4" w:space="0" w:color="000000"/>
          <w:left w:val="none" w:sz="4" w:space="0" w:color="000000"/>
          <w:bottom w:val="single" w:sz="12" w:space="0" w:color="000000" w:themeColor="text1"/>
          <w:right w:val="none" w:sz="4" w:space="0" w:color="000000"/>
        </w:tcBorders>
        <w:shd w:val="clear" w:color="FFFFFF" w:fill="auto"/>
      </w:tcPr>
    </w:tblStylePr>
    <w:tblStylePr w:type="lastRow">
      <w:rPr>
        <w:b/>
      </w:rPr>
      <w:tblPr/>
      <w:tcPr>
        <w:tcBorders>
          <w:top w:val="single" w:sz="4" w:space="0" w:color="000000" w:themeColor="text1"/>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styleId="TabeladeGrade3">
    <w:name w:val="Grid Table 3"/>
    <w:basedOn w:val="Tabela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styleId="TabeladeGrade4">
    <w:name w:val="Grid Table 4"/>
    <w:basedOn w:val="Tabelanormal"/>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b/>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fill="000000" w:themeFill="text1"/>
      </w:tcPr>
    </w:tblStylePr>
    <w:tblStylePr w:type="lastRow">
      <w:rPr>
        <w:b/>
      </w:rPr>
      <w:tblPr/>
      <w:tcPr>
        <w:tcBorders>
          <w:top w:val="single" w:sz="4" w:space="0" w:color="000000" w:themeColor="text1"/>
        </w:tcBorders>
      </w:tcPr>
    </w:tblStylePr>
    <w:tblStylePr w:type="firstCol">
      <w:rPr>
        <w:b/>
      </w:rPr>
    </w:tblStylePr>
    <w:tblStylePr w:type="lastCol">
      <w:rPr>
        <w:b/>
      </w:r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styleId="TabeladeGrade5Escura">
    <w:name w:val="Grid Table 5 Dark"/>
    <w:basedOn w:val="Tabe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000000" w:fill="000000" w:themeFill="text1"/>
      </w:tcPr>
    </w:tblStylePr>
    <w:tblStylePr w:type="lastRow">
      <w:rPr>
        <w:b/>
        <w:sz w:val="22"/>
      </w:rPr>
      <w:tblPr/>
      <w:tcPr>
        <w:tcBorders>
          <w:top w:val="single" w:sz="4" w:space="0" w:color="FFFFFF" w:themeColor="light1"/>
        </w:tcBorders>
        <w:shd w:val="clear" w:color="000000" w:fill="000000" w:themeFill="text1"/>
      </w:tcPr>
    </w:tblStylePr>
    <w:tblStylePr w:type="firstCol">
      <w:rPr>
        <w:b/>
        <w:sz w:val="22"/>
      </w:rPr>
      <w:tblPr/>
      <w:tcPr>
        <w:shd w:val="clear" w:color="000000" w:fill="000000" w:themeFill="text1"/>
      </w:tcPr>
    </w:tblStylePr>
    <w:tblStylePr w:type="lastCol">
      <w:rPr>
        <w:b/>
        <w:sz w:val="22"/>
      </w:rPr>
      <w:tblPr/>
      <w:tcPr>
        <w:shd w:val="clear" w:color="000000" w:fill="000000" w:themeFill="text1"/>
      </w:tcPr>
    </w:tblStylePr>
    <w:tblStylePr w:type="band1Vert">
      <w:tblPr/>
      <w:tcPr>
        <w:shd w:val="clear" w:color="8A8A8A" w:fill="8A8A8A" w:themeFill="text1" w:themeFillTint="75"/>
      </w:tcPr>
    </w:tblStylePr>
    <w:tblStylePr w:type="band1Horz">
      <w:tblPr/>
      <w:tcPr>
        <w:shd w:val="clear" w:color="8A8A8A" w:fill="8A8A8A" w:themeFill="text1" w:themeFillTint="75"/>
      </w:tcPr>
    </w:tblStylePr>
  </w:style>
  <w:style w:type="table" w:styleId="TabeladeGrade6Colorida">
    <w:name w:val="Grid Table 6 Colorful"/>
    <w:basedOn w:val="Tabelanormal"/>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000000" w:themeColor="text1"/>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fill="CBCBCB" w:themeFill="text1" w:themeFillTint="34"/>
      </w:tcPr>
    </w:tblStylePr>
    <w:tblStylePr w:type="band1Horz">
      <w:rPr>
        <w:color w:val="7F7F7F" w:themeColor="text1" w:themeTint="80" w:themeShade="95"/>
        <w:sz w:val="22"/>
      </w:rPr>
      <w:tblPr/>
      <w:tcPr>
        <w:shd w:val="clear" w:color="CBCBCB" w:fill="CBCBCB" w:themeFill="text1" w:themeFillTint="34"/>
      </w:tcPr>
    </w:tblStylePr>
    <w:tblStylePr w:type="band2Horz">
      <w:rPr>
        <w:color w:val="7F7F7F" w:themeColor="text1" w:themeTint="80" w:themeShade="95"/>
        <w:sz w:val="22"/>
      </w:rPr>
    </w:tblStylePr>
  </w:style>
  <w:style w:type="table" w:styleId="TabeladeGrade7Colorida">
    <w:name w:val="Grid Table 7 Colorful"/>
    <w:basedOn w:val="Tabelanormal"/>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sz w:val="22"/>
      </w:rPr>
      <w:tblPr/>
      <w:tcPr>
        <w:tcBorders>
          <w:top w:val="none" w:sz="4" w:space="0" w:color="000000"/>
          <w:left w:val="none" w:sz="4" w:space="0" w:color="000000"/>
          <w:bottom w:val="single" w:sz="4" w:space="0" w:color="000000" w:themeColor="text1"/>
          <w:right w:val="none" w:sz="4" w:space="0" w:color="000000"/>
        </w:tcBorders>
        <w:shd w:val="clear" w:color="FFFFFF" w:fill="FFFFFF" w:themeFill="light1"/>
      </w:tcPr>
    </w:tblStylePr>
    <w:tblStylePr w:type="lastRow">
      <w:rPr>
        <w:b/>
        <w:color w:val="7F7F7F" w:themeColor="text1" w:themeTint="80" w:themeShade="95"/>
        <w:sz w:val="22"/>
      </w:rPr>
      <w:tblPr/>
      <w:tcPr>
        <w:tcBorders>
          <w:top w:val="single" w:sz="4" w:space="0" w:color="000000" w:themeColor="text1"/>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7F7F7F" w:themeColor="text1" w:themeTint="80" w:themeShade="95"/>
        <w:sz w:val="22"/>
      </w:rPr>
      <w:tblPr/>
      <w:tcPr>
        <w:tcBorders>
          <w:top w:val="none" w:sz="4" w:space="0" w:color="000000"/>
          <w:left w:val="none" w:sz="4" w:space="0" w:color="000000"/>
          <w:bottom w:val="none" w:sz="4" w:space="0" w:color="000000"/>
          <w:right w:val="single" w:sz="4" w:space="0" w:color="000000" w:themeColor="text1"/>
        </w:tcBorders>
        <w:shd w:val="clear" w:color="FFFFFF" w:fill="auto"/>
      </w:tcPr>
    </w:tblStylePr>
    <w:tblStylePr w:type="lastCol">
      <w:rPr>
        <w:i/>
        <w:color w:val="7F7F7F" w:themeColor="text1" w:themeTint="80" w:themeShade="95"/>
        <w:sz w:val="22"/>
      </w:rPr>
      <w:tblPr/>
      <w:tcPr>
        <w:tcBorders>
          <w:top w:val="none" w:sz="4" w:space="0" w:color="000000"/>
          <w:left w:val="single" w:sz="4" w:space="0" w:color="000000" w:themeColor="text1"/>
          <w:bottom w:val="none" w:sz="4" w:space="0" w:color="000000"/>
          <w:right w:val="none" w:sz="4" w:space="0" w:color="000000"/>
        </w:tcBorders>
        <w:shd w:val="clear" w:color="FFFFFF" w:fill="auto"/>
      </w:tcPr>
    </w:tblStylePr>
    <w:tblStylePr w:type="band1Vert">
      <w:tblPr/>
      <w:tcPr>
        <w:shd w:val="clear" w:color="F2F2F2" w:fill="F2F2F2" w:themeFill="text1" w:themeFillTint="0D"/>
      </w:tcPr>
    </w:tblStylePr>
    <w:tblStylePr w:type="band1Horz">
      <w:rPr>
        <w:color w:val="7F7F7F" w:themeColor="text1" w:themeTint="80" w:themeShade="95"/>
        <w:sz w:val="22"/>
      </w:rPr>
      <w:tblPr/>
      <w:tcPr>
        <w:shd w:val="clear" w:color="F2F2F2" w:fill="F2F2F2" w:themeFill="text1" w:themeFillTint="0D"/>
      </w:tcPr>
    </w:tblStylePr>
    <w:tblStylePr w:type="band2Horz">
      <w:rPr>
        <w:color w:val="7F7F7F" w:themeColor="text1" w:themeTint="80" w:themeShade="95"/>
        <w:sz w:val="22"/>
      </w:rPr>
    </w:tblStylePr>
  </w:style>
  <w:style w:type="table" w:styleId="TabeladeLista1Clara">
    <w:name w:val="List Table 1 Light"/>
    <w:basedOn w:val="Tabelanormal"/>
    <w:uiPriority w:val="99"/>
    <w:tblPr>
      <w:tblStyleRowBandSize w:val="1"/>
      <w:tblStyleColBandSize w:val="1"/>
    </w:tblPr>
    <w:tblStylePr w:type="firstRow">
      <w:rPr>
        <w:b/>
      </w:rPr>
      <w:tblPr/>
      <w:tcPr>
        <w:tcBorders>
          <w:top w:val="none" w:sz="4" w:space="0" w:color="000000"/>
          <w:left w:val="none" w:sz="4" w:space="0" w:color="000000"/>
          <w:bottom w:val="single" w:sz="4" w:space="0" w:color="000000" w:themeColor="text1"/>
          <w:right w:val="none" w:sz="4" w:space="0" w:color="000000"/>
        </w:tcBorders>
      </w:tcPr>
    </w:tblStylePr>
    <w:tblStylePr w:type="lastRow">
      <w:rPr>
        <w:b/>
      </w:rPr>
      <w:tblPr/>
      <w:tcPr>
        <w:tcBorders>
          <w:top w:val="single" w:sz="4" w:space="0" w:color="000000" w:themeColor="text1"/>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BFBFBF" w:fill="BFBFBF" w:themeFill="text1" w:themeFillTint="40"/>
      </w:tcPr>
    </w:tblStylePr>
    <w:tblStylePr w:type="band1Horz">
      <w:tblPr/>
      <w:tcPr>
        <w:shd w:val="clear" w:color="BFBFBF" w:fill="BFBFBF" w:themeFill="text1" w:themeFillTint="40"/>
      </w:tcPr>
    </w:tblStylePr>
  </w:style>
  <w:style w:type="table" w:styleId="TabeladeLista2">
    <w:name w:val="List Table 2"/>
    <w:basedOn w:val="Tabelanormal"/>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b/>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lastRow">
      <w:rPr>
        <w:b/>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firstCol">
      <w:rPr>
        <w:b/>
        <w:sz w:val="22"/>
      </w:rPr>
    </w:tblStylePr>
    <w:tblStylePr w:type="lastCol">
      <w:rPr>
        <w:b/>
        <w:sz w:val="22"/>
      </w:rPr>
    </w:tblStylePr>
    <w:tblStylePr w:type="band1Vert">
      <w:rPr>
        <w:sz w:val="22"/>
      </w:rPr>
      <w:tblPr/>
      <w:tcPr>
        <w:shd w:val="clear" w:color="BFBFBF" w:fill="BFBFBF" w:themeFill="text1" w:themeFillTint="40"/>
      </w:tcPr>
    </w:tblStylePr>
    <w:tblStylePr w:type="band1Horz">
      <w:rPr>
        <w:sz w:val="22"/>
      </w:rPr>
      <w:tblPr/>
      <w:tcPr>
        <w:shd w:val="clear" w:color="BFBFBF" w:fill="BFBFBF" w:themeFill="text1" w:themeFillTint="40"/>
      </w:tcPr>
    </w:tblStylePr>
  </w:style>
  <w:style w:type="table" w:styleId="TabeladeLista3">
    <w:name w:val="List Table 3"/>
    <w:basedOn w:val="Tabela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sz w:val="22"/>
      </w:rPr>
      <w:tblPr/>
      <w:tcPr>
        <w:shd w:val="clear" w:color="000000" w:fill="000000" w:themeFill="text1"/>
      </w:tcPr>
    </w:tblStylePr>
    <w:tblStylePr w:type="lastRow">
      <w:rPr>
        <w:b/>
      </w:rPr>
    </w:tblStylePr>
    <w:tblStylePr w:type="firstCol">
      <w:rPr>
        <w:b/>
      </w:rPr>
    </w:tblStylePr>
    <w:tblStylePr w:type="lastCol">
      <w:rPr>
        <w:b/>
      </w:rPr>
    </w:tblStylePr>
    <w:tblStylePr w:type="band1Vert">
      <w:rPr>
        <w:sz w:val="22"/>
      </w:rPr>
      <w:tblPr/>
      <w:tcPr>
        <w:tcBorders>
          <w:left w:val="single" w:sz="4" w:space="0" w:color="000000" w:themeColor="text1"/>
          <w:right w:val="single" w:sz="4" w:space="0" w:color="000000" w:themeColor="text1"/>
        </w:tcBorders>
      </w:tcPr>
    </w:tblStylePr>
    <w:tblStylePr w:type="band1Horz">
      <w:rPr>
        <w:sz w:val="22"/>
      </w:rPr>
      <w:tblPr/>
      <w:tcPr>
        <w:tcBorders>
          <w:top w:val="single" w:sz="4" w:space="0" w:color="000000" w:themeColor="text1"/>
          <w:bottom w:val="single" w:sz="4" w:space="0" w:color="000000" w:themeColor="text1"/>
        </w:tcBorders>
      </w:tcPr>
    </w:tblStylePr>
  </w:style>
  <w:style w:type="table" w:styleId="TabeladeLista4">
    <w:name w:val="List Table 4"/>
    <w:basedOn w:val="Tabela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b/>
        <w:sz w:val="22"/>
      </w:rPr>
      <w:tblPr/>
      <w:tcPr>
        <w:shd w:val="clear" w:color="000000" w:fill="000000" w:themeFill="text1"/>
      </w:tcPr>
    </w:tblStylePr>
    <w:tblStylePr w:type="lastRow">
      <w:rPr>
        <w:b/>
      </w:rPr>
    </w:tblStylePr>
    <w:tblStylePr w:type="firstCol">
      <w:rPr>
        <w:b/>
      </w:rPr>
    </w:tblStylePr>
    <w:tblStylePr w:type="lastCol">
      <w:rPr>
        <w:b/>
      </w:rPr>
    </w:tblStylePr>
    <w:tblStylePr w:type="band1Vert">
      <w:rPr>
        <w:sz w:val="22"/>
      </w:rPr>
      <w:tblPr/>
      <w:tcPr>
        <w:shd w:val="clear" w:color="BFBFBF" w:fill="BFBFBF" w:themeFill="text1" w:themeFillTint="40"/>
      </w:tcPr>
    </w:tblStylePr>
    <w:tblStylePr w:type="band1Horz">
      <w:rPr>
        <w:sz w:val="22"/>
      </w:rPr>
      <w:tblPr/>
      <w:tcPr>
        <w:shd w:val="clear" w:color="BFBFBF" w:fill="BFBFBF" w:themeFill="text1" w:themeFillTint="40"/>
      </w:tcPr>
    </w:tblStylePr>
  </w:style>
  <w:style w:type="table" w:styleId="TabeladeLista5Escura">
    <w:name w:val="List Table 5 Dark"/>
    <w:basedOn w:val="Tabelanormal"/>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b/>
        <w:color w:val="FFFFFF" w:themeColor="light1"/>
        <w:sz w:val="22"/>
      </w:rPr>
      <w:tblPr/>
      <w:tcPr>
        <w:tcBorders>
          <w:top w:val="single" w:sz="32" w:space="0" w:color="000000" w:themeColor="text1"/>
          <w:bottom w:val="single" w:sz="12" w:space="0" w:color="FFFFFF" w:themeColor="light1"/>
        </w:tcBorders>
        <w:shd w:val="clear" w:color="7F7F7F" w:fill="7F7F7F" w:themeFill="text1" w:themeFillTint="80"/>
      </w:tcPr>
    </w:tblStylePr>
    <w:tblStylePr w:type="lastRow">
      <w:rPr>
        <w:b/>
        <w:color w:val="FFFFFF" w:themeColor="light1"/>
        <w:sz w:val="22"/>
      </w:rPr>
    </w:tblStylePr>
    <w:tblStylePr w:type="firstCol">
      <w:rPr>
        <w:b/>
        <w:color w:val="FFFFFF" w:themeColor="light1"/>
        <w:sz w:val="22"/>
      </w:rPr>
      <w:tblPr/>
      <w:tcPr>
        <w:tcBorders>
          <w:left w:val="single" w:sz="32" w:space="0" w:color="000000" w:themeColor="text1"/>
          <w:right w:val="single" w:sz="4" w:space="0" w:color="FFFFFF" w:themeColor="light1"/>
        </w:tcBorders>
      </w:tcPr>
    </w:tblStylePr>
    <w:tblStylePr w:type="lastCol">
      <w:tblPr/>
      <w:tcPr>
        <w:tcBorders>
          <w:left w:val="single" w:sz="4" w:space="0" w:color="FFFFFF" w:themeColor="light1"/>
          <w:right w:val="single" w:sz="32" w:space="0" w:color="000000" w:themeColor="text1"/>
        </w:tcBorders>
      </w:tcPr>
    </w:tblStylePr>
    <w:tblStylePr w:type="band1Vert">
      <w:tblPr/>
      <w:tcPr>
        <w:tcBorders>
          <w:left w:val="single" w:sz="4" w:space="0" w:color="FFFFFF" w:themeColor="light1"/>
          <w:right w:val="single" w:sz="4" w:space="0" w:color="FFFFFF" w:themeColor="light1"/>
        </w:tcBorders>
        <w:shd w:val="clear" w:color="7F7F7F"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fill="7F7F7F" w:themeFill="text1" w:themeFillTint="80"/>
      </w:tcPr>
    </w:tblStylePr>
    <w:tblStylePr w:type="band2Horz">
      <w:tblPr/>
      <w:tcPr>
        <w:tcBorders>
          <w:top w:val="single" w:sz="4" w:space="0" w:color="FFFFFF" w:themeColor="light1"/>
          <w:bottom w:val="single" w:sz="4" w:space="0" w:color="FFFFFF" w:themeColor="light1"/>
        </w:tcBorders>
        <w:shd w:val="clear" w:color="7F7F7F" w:fill="7F7F7F" w:themeFill="text1" w:themeFillTint="80"/>
      </w:tcPr>
    </w:tblStylePr>
  </w:style>
  <w:style w:type="table" w:styleId="TabeladeLista6Colorida">
    <w:name w:val="List Table 6 Colorful"/>
    <w:basedOn w:val="Tabelanormal"/>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000000" w:themeColor="text1"/>
        </w:tcBorders>
      </w:tcPr>
    </w:tblStylePr>
    <w:tblStylePr w:type="lastRow">
      <w:rPr>
        <w:b/>
        <w:color w:val="000000" w:themeColor="text1"/>
      </w:rPr>
      <w:tblPr/>
      <w:tcPr>
        <w:tcBorders>
          <w:top w:val="single" w:sz="4" w:space="0" w:color="000000" w:themeColor="text1"/>
        </w:tcBorders>
      </w:tcPr>
    </w:tblStylePr>
    <w:tblStylePr w:type="firstCol">
      <w:rPr>
        <w:b/>
        <w:color w:val="000000" w:themeColor="text1"/>
      </w:rPr>
    </w:tblStylePr>
    <w:tblStylePr w:type="lastCol">
      <w:rPr>
        <w:b/>
        <w:color w:val="000000" w:themeColor="text1"/>
      </w:rPr>
    </w:tblStylePr>
    <w:tblStylePr w:type="band1Vert">
      <w:tblPr/>
      <w:tcPr>
        <w:shd w:val="clear" w:color="BFBFBF" w:fill="BFBFBF" w:themeFill="text1" w:themeFillTint="40"/>
      </w:tcPr>
    </w:tblStylePr>
    <w:tblStylePr w:type="band1Horz">
      <w:rPr>
        <w:color w:val="000000" w:themeColor="text1"/>
        <w:sz w:val="22"/>
      </w:rPr>
      <w:tblPr/>
      <w:tcPr>
        <w:shd w:val="clear" w:color="BFBFBF" w:fill="BFBFBF" w:themeFill="text1" w:themeFillTint="40"/>
      </w:tcPr>
    </w:tblStylePr>
    <w:tblStylePr w:type="band2Horz">
      <w:rPr>
        <w:color w:val="000000" w:themeColor="text1"/>
        <w:sz w:val="22"/>
      </w:rPr>
    </w:tblStylePr>
  </w:style>
  <w:style w:type="table" w:styleId="TabeladeLista7Colorida">
    <w:name w:val="List Table 7 Colorful"/>
    <w:basedOn w:val="Tabelanormal"/>
    <w:uiPriority w:val="99"/>
    <w:tblPr>
      <w:tblStyleRowBandSize w:val="1"/>
      <w:tblStyleColBandSize w:val="1"/>
      <w:tblBorders>
        <w:right w:val="single" w:sz="4" w:space="0" w:color="7F7F7F" w:themeColor="text1" w:themeTint="80"/>
      </w:tblBorders>
    </w:tblPr>
    <w:tblStylePr w:type="firstRow">
      <w:rPr>
        <w:i/>
        <w:color w:val="7F7F7F" w:themeColor="text1" w:themeTint="80" w:themeShade="95"/>
        <w:sz w:val="22"/>
      </w:rPr>
      <w:tblPr/>
      <w:tcPr>
        <w:tcBorders>
          <w:top w:val="none" w:sz="4" w:space="0" w:color="000000"/>
          <w:left w:val="none" w:sz="4" w:space="0" w:color="000000"/>
          <w:bottom w:val="single" w:sz="4" w:space="0" w:color="000000" w:themeColor="text1"/>
          <w:right w:val="none" w:sz="4" w:space="0" w:color="000000"/>
        </w:tcBorders>
        <w:shd w:val="clear" w:color="FFFFFF" w:fill="FFFFFF" w:themeFill="light1"/>
      </w:tcPr>
    </w:tblStylePr>
    <w:tblStylePr w:type="lastRow">
      <w:rPr>
        <w:i/>
        <w:color w:val="7F7F7F" w:themeColor="text1" w:themeTint="80" w:themeShade="95"/>
        <w:sz w:val="22"/>
      </w:rPr>
      <w:tblPr/>
      <w:tcPr>
        <w:tcBorders>
          <w:top w:val="single" w:sz="4" w:space="0" w:color="000000" w:themeColor="text1"/>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7F7F7F" w:themeColor="text1" w:themeTint="80" w:themeShade="95"/>
        <w:sz w:val="22"/>
      </w:rPr>
      <w:tblPr/>
      <w:tcPr>
        <w:tcBorders>
          <w:top w:val="none" w:sz="4" w:space="0" w:color="000000"/>
          <w:left w:val="none" w:sz="4" w:space="0" w:color="000000"/>
          <w:bottom w:val="none" w:sz="4" w:space="0" w:color="000000"/>
          <w:right w:val="single" w:sz="4" w:space="0" w:color="000000" w:themeColor="text1"/>
        </w:tcBorders>
        <w:shd w:val="clear" w:color="FFFFFF" w:fill="auto"/>
      </w:tcPr>
    </w:tblStylePr>
    <w:tblStylePr w:type="lastCol">
      <w:rPr>
        <w:i/>
        <w:color w:val="7F7F7F" w:themeColor="text1" w:themeTint="80" w:themeShade="95"/>
        <w:sz w:val="22"/>
      </w:rPr>
      <w:tblPr/>
      <w:tcPr>
        <w:tcBorders>
          <w:top w:val="none" w:sz="4" w:space="0" w:color="000000"/>
          <w:left w:val="single" w:sz="4" w:space="0" w:color="000000" w:themeColor="text1"/>
          <w:bottom w:val="none" w:sz="4" w:space="0" w:color="000000"/>
          <w:right w:val="none" w:sz="4" w:space="0" w:color="000000"/>
        </w:tcBorders>
        <w:shd w:val="clear" w:color="FFFFFF" w:fill="auto"/>
      </w:tcPr>
    </w:tblStylePr>
    <w:tblStylePr w:type="band1Vert">
      <w:tblPr/>
      <w:tcPr>
        <w:shd w:val="clear" w:color="BFBFBF" w:fill="BFBFBF" w:themeFill="text1" w:themeFillTint="40"/>
      </w:tcPr>
    </w:tblStylePr>
    <w:tblStylePr w:type="band1Horz">
      <w:rPr>
        <w:color w:val="7F7F7F" w:themeColor="text1" w:themeTint="80" w:themeShade="95"/>
        <w:sz w:val="22"/>
      </w:rPr>
      <w:tblPr/>
      <w:tcPr>
        <w:shd w:val="clear" w:color="BFBFBF" w:fill="BFBFBF" w:themeFill="text1" w:themeFillTint="40"/>
      </w:tcPr>
    </w:tblStylePr>
    <w:tblStylePr w:type="band2Horz">
      <w:rPr>
        <w:color w:val="7F7F7F" w:themeColor="text1" w:themeTint="80" w:themeShade="95"/>
        <w:sz w:val="22"/>
      </w:rPr>
    </w:tblStylePr>
  </w:style>
  <w:style w:type="table" w:styleId="Tabelacomgrade">
    <w:name w:val="Table Grid"/>
    <w:basedOn w:val="Tabela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Tabela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SimplesTabela11">
    <w:name w:val="Simples Tabela 11"/>
    <w:basedOn w:val="Tabela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b/>
        <w:sz w:val="22"/>
      </w:rPr>
    </w:tblStylePr>
    <w:tblStylePr w:type="lastRow">
      <w:rPr>
        <w:b/>
        <w:sz w:val="22"/>
      </w:rPr>
    </w:tblStylePr>
    <w:tblStylePr w:type="firstCol">
      <w:rPr>
        <w:b/>
        <w:sz w:val="22"/>
      </w:rPr>
    </w:tblStylePr>
    <w:tblStylePr w:type="lastCol">
      <w:rPr>
        <w:b/>
        <w:sz w:val="22"/>
      </w:rPr>
    </w:tblStylePr>
    <w:tblStylePr w:type="band1Vert">
      <w:tblPr/>
      <w:tcPr>
        <w:shd w:val="clear" w:color="F2F2F2" w:fill="F2F2F2" w:themeFill="text1" w:themeFillTint="0D"/>
      </w:tcPr>
    </w:tblStylePr>
    <w:tblStylePr w:type="band1Horz">
      <w:tblPr/>
      <w:tcPr>
        <w:shd w:val="clear" w:color="F2F2F2" w:fill="F2F2F2" w:themeFill="text1" w:themeFillTint="0D"/>
      </w:tcPr>
    </w:tblStylePr>
  </w:style>
  <w:style w:type="table" w:customStyle="1" w:styleId="SimplesTabela21">
    <w:name w:val="Simples Tabela 21"/>
    <w:basedOn w:val="Tabelanormal"/>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b/>
        <w:sz w:val="22"/>
      </w:rPr>
      <w:tblPr/>
      <w:tcPr>
        <w:tcBorders>
          <w:top w:val="single" w:sz="4" w:space="0" w:color="000000" w:themeColor="text1"/>
          <w:bottom w:val="single" w:sz="4" w:space="0" w:color="000000" w:themeColor="text1"/>
        </w:tcBorders>
      </w:tcPr>
    </w:tblStylePr>
    <w:tblStylePr w:type="lastRow">
      <w:rPr>
        <w:b/>
        <w:sz w:val="22"/>
      </w:rPr>
    </w:tblStylePr>
    <w:tblStylePr w:type="firstCol">
      <w:rPr>
        <w:b/>
        <w:sz w:val="22"/>
      </w:rPr>
    </w:tblStylePr>
    <w:tblStylePr w:type="lastCol">
      <w:rPr>
        <w:b/>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SimplesTabela31">
    <w:name w:val="Simples Tabela 31"/>
    <w:basedOn w:val="Tabelanormal"/>
    <w:uiPriority w:val="99"/>
    <w:qFormat/>
    <w:tblPr/>
    <w:tblStylePr w:type="firstRow">
      <w:rPr>
        <w:b/>
        <w:caps/>
      </w:rPr>
      <w:tblPr/>
      <w:tcPr>
        <w:tcBorders>
          <w:top w:val="none" w:sz="4" w:space="0" w:color="000000"/>
          <w:left w:val="none" w:sz="4" w:space="0" w:color="000000"/>
          <w:bottom w:val="single" w:sz="4" w:space="0" w:color="404040"/>
          <w:right w:val="none" w:sz="4" w:space="0" w:color="000000"/>
        </w:tcBorders>
      </w:tcPr>
    </w:tblStylePr>
    <w:tblStylePr w:type="lastRow">
      <w:rPr>
        <w:b/>
        <w:caps/>
      </w:rPr>
    </w:tblStylePr>
    <w:tblStylePr w:type="firstCol">
      <w:rPr>
        <w:b/>
        <w:caps/>
      </w:rPr>
      <w:tblPr/>
      <w:tcPr>
        <w:tcBorders>
          <w:top w:val="none" w:sz="4" w:space="0" w:color="000000"/>
          <w:left w:val="none" w:sz="4" w:space="0" w:color="000000"/>
          <w:bottom w:val="none" w:sz="4" w:space="0" w:color="000000"/>
          <w:right w:val="single" w:sz="4" w:space="0" w:color="404040"/>
        </w:tcBorders>
      </w:tcPr>
    </w:tblStylePr>
    <w:tblStylePr w:type="lastCol">
      <w:rPr>
        <w:b/>
        <w:caps/>
      </w:rPr>
    </w:tblStylePr>
    <w:tblStylePr w:type="band1Vert">
      <w:rPr>
        <w:sz w:val="22"/>
      </w:rPr>
      <w:tblPr/>
      <w:tcPr>
        <w:shd w:val="clear" w:color="F2F2F2" w:fill="F2F2F2" w:themeFill="text1" w:themeFillTint="0D"/>
      </w:tcPr>
    </w:tblStylePr>
    <w:tblStylePr w:type="band1Horz">
      <w:rPr>
        <w:sz w:val="22"/>
      </w:rPr>
      <w:tblPr/>
      <w:tcPr>
        <w:shd w:val="clear" w:color="F2F2F2" w:fill="F2F2F2" w:themeFill="text1" w:themeFillTint="0D"/>
      </w:tcPr>
    </w:tblStylePr>
  </w:style>
  <w:style w:type="table" w:customStyle="1" w:styleId="TabelaSimples41">
    <w:name w:val="Tabela Simples 41"/>
    <w:basedOn w:val="Tabelanormal"/>
    <w:uiPriority w:val="99"/>
    <w:qFormat/>
    <w:tblPr/>
    <w:tblStylePr w:type="firstRow">
      <w:rPr>
        <w:b/>
      </w:rPr>
    </w:tblStylePr>
    <w:tblStylePr w:type="lastRow">
      <w:rPr>
        <w:b/>
      </w:rPr>
    </w:tblStylePr>
    <w:tblStylePr w:type="firstCol">
      <w:rPr>
        <w:b/>
      </w:rPr>
    </w:tblStylePr>
    <w:tblStylePr w:type="lastCol">
      <w:rPr>
        <w:b/>
      </w:rPr>
    </w:tblStylePr>
    <w:tblStylePr w:type="band1Vert">
      <w:rPr>
        <w:sz w:val="22"/>
      </w:rPr>
      <w:tblPr/>
      <w:tcPr>
        <w:shd w:val="clear" w:color="F2F2F2" w:fill="F2F2F2" w:themeFill="text1" w:themeFillTint="0D"/>
      </w:tcPr>
    </w:tblStylePr>
    <w:tblStylePr w:type="band1Horz">
      <w:rPr>
        <w:sz w:val="22"/>
      </w:rPr>
      <w:tblPr/>
      <w:tcPr>
        <w:shd w:val="clear" w:color="F2F2F2" w:fill="F2F2F2" w:themeFill="text1" w:themeFillTint="0D"/>
      </w:tcPr>
    </w:tblStylePr>
  </w:style>
  <w:style w:type="table" w:customStyle="1" w:styleId="TabelaSimples51">
    <w:name w:val="Tabela Simples 51"/>
    <w:basedOn w:val="Tabelanormal"/>
    <w:uiPriority w:val="99"/>
    <w:qFormat/>
    <w:tblPr/>
    <w:tblStylePr w:type="firstRow">
      <w:rPr>
        <w:i/>
      </w:rPr>
      <w:tblPr/>
      <w:tcPr>
        <w:tcBorders>
          <w:left w:val="none" w:sz="4" w:space="0" w:color="000000"/>
          <w:bottom w:val="single" w:sz="4" w:space="0" w:color="404040"/>
          <w:right w:val="none" w:sz="4" w:space="0" w:color="000000"/>
        </w:tcBorders>
        <w:shd w:val="clear" w:color="FFFFFF" w:fill="auto"/>
      </w:tcPr>
    </w:tblStylePr>
    <w:tblStylePr w:type="lastRow">
      <w:rPr>
        <w:i/>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rPr>
      <w:tblPr/>
      <w:tcPr>
        <w:tcBorders>
          <w:right w:val="single" w:sz="4" w:space="0" w:color="404040"/>
        </w:tcBorders>
        <w:shd w:val="clear" w:color="FFFFFF" w:fill="auto"/>
      </w:tcPr>
    </w:tblStylePr>
    <w:tblStylePr w:type="lastCol">
      <w:rPr>
        <w:i/>
      </w:rPr>
      <w:tblPr/>
      <w:tcPr>
        <w:tcBorders>
          <w:left w:val="single" w:sz="4" w:space="0" w:color="404040"/>
        </w:tcBorders>
        <w:shd w:val="clear" w:color="FFFFFF" w:fill="auto"/>
      </w:tcPr>
    </w:tblStylePr>
    <w:tblStylePr w:type="band1Vert">
      <w:rPr>
        <w:sz w:val="22"/>
      </w:rPr>
      <w:tblPr/>
      <w:tcPr>
        <w:shd w:val="clear" w:color="F2F2F2" w:fill="F2F2F2" w:themeFill="text1" w:themeFillTint="0D"/>
      </w:tcPr>
    </w:tblStylePr>
    <w:tblStylePr w:type="band1Horz">
      <w:rPr>
        <w:sz w:val="22"/>
      </w:rPr>
      <w:tblPr/>
      <w:tcPr>
        <w:shd w:val="clear" w:color="F2F2F2" w:fill="F2F2F2" w:themeFill="text1" w:themeFillTint="0D"/>
      </w:tcPr>
    </w:tblStylePr>
  </w:style>
  <w:style w:type="table" w:customStyle="1" w:styleId="TabeladeGrade1Clara1">
    <w:name w:val="Tabela de Grade 1 Clara1"/>
    <w:basedOn w:val="Tabelanormal"/>
    <w:uiPriority w:val="99"/>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rPr>
      <w:tblPr/>
      <w:tcPr>
        <w:tcBorders>
          <w:bottom w:val="single" w:sz="12" w:space="0" w:color="000000" w:themeColor="text1"/>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GridTable1Light-Accent1">
    <w:name w:val="Grid Table 1 Light - Accent 1"/>
    <w:basedOn w:val="Tabelanormal"/>
    <w:uiPriority w:val="99"/>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rPr>
      <w:tblPr/>
      <w:tcPr>
        <w:tcBorders>
          <w:bottom w:val="single" w:sz="12" w:space="0" w:color="4F81BD" w:themeColor="accent1"/>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tblStylePr>
  </w:style>
  <w:style w:type="table" w:customStyle="1" w:styleId="GridTable1Light-Accent2">
    <w:name w:val="Grid Table 1 Light - Accent 2"/>
    <w:basedOn w:val="Tabelanormal"/>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rPr>
      <w:tblPr/>
      <w:tcPr>
        <w:tcBorders>
          <w:bottom w:val="single" w:sz="12" w:space="0" w:color="C0504D" w:themeColor="accent2"/>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tblStylePr>
  </w:style>
  <w:style w:type="table" w:customStyle="1" w:styleId="GridTable1Light-Accent3">
    <w:name w:val="Grid Table 1 Light - Accent 3"/>
    <w:basedOn w:val="Tabelanormal"/>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rPr>
      <w:tblPr/>
      <w:tcPr>
        <w:tcBorders>
          <w:bottom w:val="single" w:sz="12" w:space="0" w:color="9BBB59" w:themeColor="accent3"/>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tcPr>
    </w:tblStylePr>
  </w:style>
  <w:style w:type="table" w:customStyle="1" w:styleId="GridTable1Light-Accent4">
    <w:name w:val="Grid Table 1 Light - Accent 4"/>
    <w:basedOn w:val="Tabelanormal"/>
    <w:uiPriority w:val="99"/>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rPr>
      <w:tblPr/>
      <w:tcPr>
        <w:tcBorders>
          <w:bottom w:val="single" w:sz="12" w:space="0" w:color="8064A2" w:themeColor="accent4"/>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tcPr>
    </w:tblStylePr>
  </w:style>
  <w:style w:type="table" w:customStyle="1" w:styleId="GridTable1Light-Accent5">
    <w:name w:val="Grid Table 1 Light - Accent 5"/>
    <w:basedOn w:val="Tabelanormal"/>
    <w:uiPriority w:val="99"/>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rPr>
      <w:tblPr/>
      <w:tcPr>
        <w:tcBorders>
          <w:bottom w:val="single" w:sz="12" w:space="0" w:color="4BACC6" w:themeColor="accent5"/>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tblStylePr>
  </w:style>
  <w:style w:type="table" w:customStyle="1" w:styleId="GridTable1Light-Accent6">
    <w:name w:val="Grid Table 1 Light - Accent 6"/>
    <w:basedOn w:val="Tabelanormal"/>
    <w:uiPriority w:val="99"/>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rPr>
      <w:tblPr/>
      <w:tcPr>
        <w:tcBorders>
          <w:bottom w:val="single" w:sz="12" w:space="0" w:color="F79646" w:themeColor="accent6"/>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tcPr>
    </w:tblStylePr>
  </w:style>
  <w:style w:type="table" w:customStyle="1" w:styleId="TabeladeGrade21">
    <w:name w:val="Tabela de Grade 21"/>
    <w:basedOn w:val="Tabelanormal"/>
    <w:uiPriority w:val="99"/>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rPr>
      <w:tblPr/>
      <w:tcPr>
        <w:tcBorders>
          <w:top w:val="none" w:sz="4" w:space="0" w:color="000000"/>
          <w:left w:val="none" w:sz="4" w:space="0" w:color="000000"/>
          <w:bottom w:val="single" w:sz="12" w:space="0" w:color="000000" w:themeColor="text1"/>
          <w:right w:val="none" w:sz="4" w:space="0" w:color="000000"/>
        </w:tcBorders>
        <w:shd w:val="clear" w:color="FFFFFF" w:fill="auto"/>
      </w:tcPr>
    </w:tblStylePr>
    <w:tblStylePr w:type="lastRow">
      <w:rPr>
        <w:b/>
      </w:rPr>
      <w:tblPr/>
      <w:tcPr>
        <w:tcBorders>
          <w:top w:val="single" w:sz="4" w:space="0" w:color="000000" w:themeColor="text1"/>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customStyle="1" w:styleId="GridTable2-Accent1">
    <w:name w:val="Grid Table 2 - Accent 1"/>
    <w:basedOn w:val="Tabelanormal"/>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rPr>
      <w:tblPr/>
      <w:tcPr>
        <w:tcBorders>
          <w:top w:val="none" w:sz="4" w:space="0" w:color="000000"/>
          <w:left w:val="none" w:sz="4" w:space="0" w:color="000000"/>
          <w:bottom w:val="single" w:sz="12" w:space="0" w:color="4F81BD" w:themeColor="accent1"/>
          <w:right w:val="none" w:sz="4" w:space="0" w:color="000000"/>
        </w:tcBorders>
        <w:shd w:val="clear" w:color="FFFFFF" w:fill="auto"/>
      </w:tcPr>
    </w:tblStylePr>
    <w:tblStylePr w:type="lastRow">
      <w:rPr>
        <w:b/>
      </w:rPr>
      <w:tblPr/>
      <w:tcPr>
        <w:tcBorders>
          <w:top w:val="single" w:sz="4" w:space="0" w:color="4F81BD" w:themeColor="accent1"/>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DAE5F1" w:fill="DAE5F1" w:themeFill="accent1" w:themeFillTint="34"/>
      </w:tcPr>
    </w:tblStylePr>
    <w:tblStylePr w:type="band1Horz">
      <w:rPr>
        <w:sz w:val="22"/>
      </w:rPr>
      <w:tblPr/>
      <w:tcPr>
        <w:shd w:val="clear" w:color="DAE5F1" w:fill="DAE5F1" w:themeFill="accent1" w:themeFillTint="34"/>
      </w:tcPr>
    </w:tblStylePr>
  </w:style>
  <w:style w:type="table" w:customStyle="1" w:styleId="GridTable2-Accent2">
    <w:name w:val="Grid Table 2 - Accent 2"/>
    <w:basedOn w:val="Tabelanormal"/>
    <w:uiPriority w:val="99"/>
    <w:tblPr>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rPr>
      <w:tblPr/>
      <w:tcPr>
        <w:tcBorders>
          <w:top w:val="none" w:sz="4" w:space="0" w:color="000000"/>
          <w:left w:val="none" w:sz="4" w:space="0" w:color="000000"/>
          <w:bottom w:val="single" w:sz="12" w:space="0" w:color="C0504D" w:themeColor="accent2"/>
          <w:right w:val="none" w:sz="4" w:space="0" w:color="000000"/>
        </w:tcBorders>
        <w:shd w:val="clear" w:color="FFFFFF" w:fill="auto"/>
      </w:tcPr>
    </w:tblStylePr>
    <w:tblStylePr w:type="lastRow">
      <w:rPr>
        <w:b/>
      </w:rPr>
      <w:tblPr/>
      <w:tcPr>
        <w:tcBorders>
          <w:top w:val="single" w:sz="4" w:space="0" w:color="C0504D" w:themeColor="accent2"/>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F2DCDC" w:fill="F2DCDC" w:themeFill="accent2" w:themeFillTint="32"/>
      </w:tcPr>
    </w:tblStylePr>
    <w:tblStylePr w:type="band1Horz">
      <w:rPr>
        <w:sz w:val="22"/>
      </w:rPr>
      <w:tblPr/>
      <w:tcPr>
        <w:shd w:val="clear" w:color="F2DCDC" w:fill="F2DCDC" w:themeFill="accent2" w:themeFillTint="32"/>
      </w:tcPr>
    </w:tblStylePr>
  </w:style>
  <w:style w:type="table" w:customStyle="1" w:styleId="GridTable2-Accent3">
    <w:name w:val="Grid Table 2 - Accent 3"/>
    <w:basedOn w:val="Tabelanormal"/>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rPr>
      <w:tblPr/>
      <w:tcPr>
        <w:tcBorders>
          <w:top w:val="none" w:sz="4" w:space="0" w:color="000000"/>
          <w:left w:val="none" w:sz="4" w:space="0" w:color="000000"/>
          <w:bottom w:val="single" w:sz="12" w:space="0" w:color="9BBB59" w:themeColor="accent3"/>
          <w:right w:val="none" w:sz="4" w:space="0" w:color="000000"/>
        </w:tcBorders>
        <w:shd w:val="clear" w:color="FFFFFF" w:fill="auto"/>
      </w:tcPr>
    </w:tblStylePr>
    <w:tblStylePr w:type="lastRow">
      <w:rPr>
        <w:b/>
      </w:rPr>
      <w:tblPr/>
      <w:tcPr>
        <w:tcBorders>
          <w:top w:val="single" w:sz="4" w:space="0" w:color="9BBB59" w:themeColor="accent3"/>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EAF1DC" w:fill="EAF1DC" w:themeFill="accent3" w:themeFillTint="34"/>
      </w:tcPr>
    </w:tblStylePr>
    <w:tblStylePr w:type="band1Horz">
      <w:rPr>
        <w:sz w:val="22"/>
      </w:rPr>
      <w:tblPr/>
      <w:tcPr>
        <w:shd w:val="clear" w:color="EAF1DC" w:fill="EAF1DC" w:themeFill="accent3" w:themeFillTint="34"/>
      </w:tcPr>
    </w:tblStylePr>
  </w:style>
  <w:style w:type="table" w:customStyle="1" w:styleId="GridTable2-Accent4">
    <w:name w:val="Grid Table 2 - Accent 4"/>
    <w:basedOn w:val="Tabelanormal"/>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rPr>
      <w:tblPr/>
      <w:tcPr>
        <w:tcBorders>
          <w:top w:val="none" w:sz="4" w:space="0" w:color="000000"/>
          <w:left w:val="none" w:sz="4" w:space="0" w:color="000000"/>
          <w:bottom w:val="single" w:sz="12" w:space="0" w:color="8064A2" w:themeColor="accent4"/>
          <w:right w:val="none" w:sz="4" w:space="0" w:color="000000"/>
        </w:tcBorders>
        <w:shd w:val="clear" w:color="FFFFFF" w:fill="auto"/>
      </w:tcPr>
    </w:tblStylePr>
    <w:tblStylePr w:type="lastRow">
      <w:rPr>
        <w:b/>
      </w:rPr>
      <w:tblPr/>
      <w:tcPr>
        <w:tcBorders>
          <w:top w:val="single" w:sz="4" w:space="0" w:color="8064A2" w:themeColor="accent4"/>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E5DFEC" w:fill="E5DFEC" w:themeFill="accent4" w:themeFillTint="34"/>
      </w:tcPr>
    </w:tblStylePr>
    <w:tblStylePr w:type="band1Horz">
      <w:rPr>
        <w:sz w:val="22"/>
      </w:rPr>
      <w:tblPr/>
      <w:tcPr>
        <w:shd w:val="clear" w:color="E5DFEC" w:fill="E5DFEC" w:themeFill="accent4" w:themeFillTint="34"/>
      </w:tcPr>
    </w:tblStylePr>
  </w:style>
  <w:style w:type="table" w:customStyle="1" w:styleId="GridTable2-Accent5">
    <w:name w:val="Grid Table 2 - Accent 5"/>
    <w:basedOn w:val="Tabelanormal"/>
    <w:uiPriority w:val="99"/>
    <w:qFormat/>
    <w:tblPr>
      <w:tblBorders>
        <w:bottom w:val="single" w:sz="4" w:space="0" w:color="4BACC6" w:themeColor="accent5"/>
        <w:insideH w:val="single" w:sz="4" w:space="0" w:color="4BACC6" w:themeColor="accent5"/>
        <w:insideV w:val="single" w:sz="4" w:space="0" w:color="4BACC6" w:themeColor="accent5"/>
      </w:tblBorders>
    </w:tblPr>
    <w:tblStylePr w:type="firstRow">
      <w:rPr>
        <w:b/>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DAEEF3" w:fill="DAEEF3" w:themeFill="accent5" w:themeFillTint="34"/>
      </w:tcPr>
    </w:tblStylePr>
    <w:tblStylePr w:type="band1Horz">
      <w:rPr>
        <w:sz w:val="22"/>
      </w:rPr>
      <w:tblPr/>
      <w:tcPr>
        <w:shd w:val="clear" w:color="DAEEF3" w:fill="DAEEF3" w:themeFill="accent5" w:themeFillTint="34"/>
      </w:tcPr>
    </w:tblStylePr>
  </w:style>
  <w:style w:type="table" w:customStyle="1" w:styleId="GridTable2-Accent6">
    <w:name w:val="Grid Table 2 - Accent 6"/>
    <w:basedOn w:val="Tabelanormal"/>
    <w:uiPriority w:val="99"/>
    <w:qFormat/>
    <w:tblPr>
      <w:tblBorders>
        <w:bottom w:val="single" w:sz="4" w:space="0" w:color="F79646" w:themeColor="accent6"/>
        <w:insideH w:val="single" w:sz="4" w:space="0" w:color="F79646" w:themeColor="accent6"/>
        <w:insideV w:val="single" w:sz="4" w:space="0" w:color="F79646" w:themeColor="accent6"/>
      </w:tblBorders>
    </w:tblPr>
    <w:tblStylePr w:type="firstRow">
      <w:rPr>
        <w:b/>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FDE9D8" w:fill="FDE9D8" w:themeFill="accent6" w:themeFillTint="34"/>
      </w:tcPr>
    </w:tblStylePr>
    <w:tblStylePr w:type="band1Horz">
      <w:rPr>
        <w:sz w:val="22"/>
      </w:rPr>
      <w:tblPr/>
      <w:tcPr>
        <w:shd w:val="clear" w:color="FDE9D8" w:fill="FDE9D8" w:themeFill="accent6" w:themeFillTint="34"/>
      </w:tcPr>
    </w:tblStylePr>
  </w:style>
  <w:style w:type="table" w:customStyle="1" w:styleId="TabeladeGrade31">
    <w:name w:val="Tabela de Grade 31"/>
    <w:basedOn w:val="Tabelanormal"/>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customStyle="1" w:styleId="GridTable3-Accent1">
    <w:name w:val="Grid Table 3 - Accent 1"/>
    <w:basedOn w:val="Tabelanormal"/>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DAE5F1" w:fill="DAE5F1" w:themeFill="accent1" w:themeFillTint="34"/>
      </w:tcPr>
    </w:tblStylePr>
    <w:tblStylePr w:type="band1Horz">
      <w:rPr>
        <w:sz w:val="22"/>
      </w:rPr>
      <w:tblPr/>
      <w:tcPr>
        <w:shd w:val="clear" w:color="DAE5F1" w:fill="DAE5F1" w:themeFill="accent1" w:themeFillTint="34"/>
      </w:tcPr>
    </w:tblStylePr>
  </w:style>
  <w:style w:type="table" w:customStyle="1" w:styleId="GridTable3-Accent2">
    <w:name w:val="Grid Table 3 - Accent 2"/>
    <w:basedOn w:val="Tabelanormal"/>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F2DCDC" w:fill="F2DCDC" w:themeFill="accent2" w:themeFillTint="32"/>
      </w:tcPr>
    </w:tblStylePr>
    <w:tblStylePr w:type="band1Horz">
      <w:rPr>
        <w:sz w:val="22"/>
      </w:rPr>
      <w:tblPr/>
      <w:tcPr>
        <w:shd w:val="clear" w:color="F2DCDC" w:fill="F2DCDC" w:themeFill="accent2" w:themeFillTint="32"/>
      </w:tcPr>
    </w:tblStylePr>
  </w:style>
  <w:style w:type="table" w:customStyle="1" w:styleId="GridTable3-Accent3">
    <w:name w:val="Grid Table 3 - Accent 3"/>
    <w:basedOn w:val="Tabelanormal"/>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EAF1DC" w:fill="EAF1DC" w:themeFill="accent3" w:themeFillTint="34"/>
      </w:tcPr>
    </w:tblStylePr>
    <w:tblStylePr w:type="band1Horz">
      <w:rPr>
        <w:sz w:val="22"/>
      </w:rPr>
      <w:tblPr/>
      <w:tcPr>
        <w:shd w:val="clear" w:color="EAF1DC" w:fill="EAF1DC" w:themeFill="accent3" w:themeFillTint="34"/>
      </w:tcPr>
    </w:tblStylePr>
  </w:style>
  <w:style w:type="table" w:customStyle="1" w:styleId="GridTable3-Accent4">
    <w:name w:val="Grid Table 3 - Accent 4"/>
    <w:basedOn w:val="Tabelanormal"/>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E5DFEC" w:fill="E5DFEC" w:themeFill="accent4" w:themeFillTint="34"/>
      </w:tcPr>
    </w:tblStylePr>
    <w:tblStylePr w:type="band1Horz">
      <w:rPr>
        <w:sz w:val="22"/>
      </w:rPr>
      <w:tblPr/>
      <w:tcPr>
        <w:shd w:val="clear" w:color="E5DFEC" w:fill="E5DFEC" w:themeFill="accent4" w:themeFillTint="34"/>
      </w:tcPr>
    </w:tblStylePr>
  </w:style>
  <w:style w:type="table" w:customStyle="1" w:styleId="GridTable3-Accent5">
    <w:name w:val="Grid Table 3 - Accent 5"/>
    <w:basedOn w:val="Tabelanormal"/>
    <w:uiPriority w:val="99"/>
    <w:qFormat/>
    <w:tblPr>
      <w:tblBorders>
        <w:bottom w:val="single" w:sz="4" w:space="0" w:color="4BACC6" w:themeColor="accent5"/>
        <w:insideH w:val="single" w:sz="4" w:space="0" w:color="4BACC6" w:themeColor="accent5"/>
        <w:insideV w:val="single" w:sz="4" w:space="0" w:color="4BACC6" w:themeColor="accent5"/>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DAEEF3" w:fill="DAEEF3" w:themeFill="accent5" w:themeFillTint="34"/>
      </w:tcPr>
    </w:tblStylePr>
    <w:tblStylePr w:type="band1Horz">
      <w:rPr>
        <w:sz w:val="22"/>
      </w:rPr>
      <w:tblPr/>
      <w:tcPr>
        <w:shd w:val="clear" w:color="DAEEF3" w:fill="DAEEF3" w:themeFill="accent5" w:themeFillTint="34"/>
      </w:tcPr>
    </w:tblStylePr>
  </w:style>
  <w:style w:type="table" w:customStyle="1" w:styleId="GridTable3-Accent6">
    <w:name w:val="Grid Table 3 - Accent 6"/>
    <w:basedOn w:val="Tabelanormal"/>
    <w:uiPriority w:val="99"/>
    <w:qFormat/>
    <w:tblPr>
      <w:tblBorders>
        <w:bottom w:val="single" w:sz="4" w:space="0" w:color="F79646" w:themeColor="accent6"/>
        <w:insideH w:val="single" w:sz="4" w:space="0" w:color="F79646" w:themeColor="accent6"/>
        <w:insideV w:val="single" w:sz="4" w:space="0" w:color="F79646" w:themeColor="accent6"/>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FDE9D8" w:fill="FDE9D8" w:themeFill="accent6" w:themeFillTint="34"/>
      </w:tcPr>
    </w:tblStylePr>
    <w:tblStylePr w:type="band1Horz">
      <w:rPr>
        <w:sz w:val="22"/>
      </w:rPr>
      <w:tblPr/>
      <w:tcPr>
        <w:shd w:val="clear" w:color="FDE9D8" w:fill="FDE9D8" w:themeFill="accent6" w:themeFillTint="34"/>
      </w:tcPr>
    </w:tblStylePr>
  </w:style>
  <w:style w:type="table" w:customStyle="1" w:styleId="TabeladeGrade41">
    <w:name w:val="Tabela de Grade 41"/>
    <w:basedOn w:val="Tabelanormal"/>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b/>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fill="000000" w:themeFill="text1"/>
      </w:tcPr>
    </w:tblStylePr>
    <w:tblStylePr w:type="lastRow">
      <w:rPr>
        <w:b/>
      </w:rPr>
      <w:tblPr/>
      <w:tcPr>
        <w:tcBorders>
          <w:top w:val="single" w:sz="4" w:space="0" w:color="000000" w:themeColor="text1"/>
        </w:tcBorders>
      </w:tcPr>
    </w:tblStylePr>
    <w:tblStylePr w:type="firstCol">
      <w:rPr>
        <w:b/>
      </w:rPr>
    </w:tblStylePr>
    <w:tblStylePr w:type="lastCol">
      <w:rPr>
        <w:b/>
      </w:r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customStyle="1" w:styleId="GridTable4-Accent1">
    <w:name w:val="Grid Table 4 - Accent 1"/>
    <w:basedOn w:val="Tabelanormal"/>
    <w:uiPriority w:val="5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b/>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shd w:val="clear" w:color="5D8AC2" w:fill="5D8AC2" w:themeFill="accent1" w:themeFillTint="EA"/>
      </w:tcPr>
    </w:tblStylePr>
    <w:tblStylePr w:type="lastRow">
      <w:rPr>
        <w:b/>
      </w:rPr>
      <w:tblPr/>
      <w:tcPr>
        <w:tcBorders>
          <w:top w:val="single" w:sz="4" w:space="0" w:color="4F81BD" w:themeColor="accent1"/>
        </w:tcBorders>
      </w:tcPr>
    </w:tblStylePr>
    <w:tblStylePr w:type="firstCol">
      <w:rPr>
        <w:b/>
      </w:rPr>
    </w:tblStylePr>
    <w:tblStylePr w:type="lastCol">
      <w:rPr>
        <w:b/>
      </w:rPr>
    </w:tblStylePr>
    <w:tblStylePr w:type="band1Vert">
      <w:rPr>
        <w:sz w:val="22"/>
      </w:rPr>
      <w:tblPr/>
      <w:tcPr>
        <w:shd w:val="clear" w:color="DCE6F2" w:fill="DCE6F2" w:themeFill="accent1" w:themeFillTint="32"/>
      </w:tcPr>
    </w:tblStylePr>
    <w:tblStylePr w:type="band1Horz">
      <w:rPr>
        <w:sz w:val="22"/>
      </w:rPr>
      <w:tblPr/>
      <w:tcPr>
        <w:shd w:val="clear" w:color="DCE6F2" w:fill="DCE6F2" w:themeFill="accent1" w:themeFillTint="32"/>
      </w:tcPr>
    </w:tblStylePr>
  </w:style>
  <w:style w:type="table" w:customStyle="1" w:styleId="GridTable4-Accent2">
    <w:name w:val="Grid Table 4 - Accent 2"/>
    <w:basedOn w:val="Tabelanormal"/>
    <w:uiPriority w:val="5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b/>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shd w:val="clear" w:color="D99695" w:fill="D99695" w:themeFill="accent2" w:themeFillTint="97"/>
      </w:tcPr>
    </w:tblStylePr>
    <w:tblStylePr w:type="lastRow">
      <w:rPr>
        <w:b/>
      </w:rPr>
      <w:tblPr/>
      <w:tcPr>
        <w:tcBorders>
          <w:top w:val="single" w:sz="4" w:space="0" w:color="C0504D" w:themeColor="accent2"/>
        </w:tcBorders>
      </w:tcPr>
    </w:tblStylePr>
    <w:tblStylePr w:type="firstCol">
      <w:rPr>
        <w:b/>
      </w:rPr>
    </w:tblStylePr>
    <w:tblStylePr w:type="lastCol">
      <w:rPr>
        <w:b/>
      </w:rPr>
    </w:tblStylePr>
    <w:tblStylePr w:type="band1Vert">
      <w:rPr>
        <w:sz w:val="22"/>
      </w:rPr>
      <w:tblPr/>
      <w:tcPr>
        <w:shd w:val="clear" w:color="F2DCDC" w:fill="F2DCDC" w:themeFill="accent2" w:themeFillTint="32"/>
      </w:tcPr>
    </w:tblStylePr>
    <w:tblStylePr w:type="band1Horz">
      <w:rPr>
        <w:sz w:val="22"/>
      </w:rPr>
      <w:tblPr/>
      <w:tcPr>
        <w:shd w:val="clear" w:color="F2DCDC" w:fill="F2DCDC" w:themeFill="accent2" w:themeFillTint="32"/>
      </w:tcPr>
    </w:tblStylePr>
  </w:style>
  <w:style w:type="table" w:customStyle="1" w:styleId="GridTable4-Accent3">
    <w:name w:val="Grid Table 4 - Accent 3"/>
    <w:basedOn w:val="Tabelanormal"/>
    <w:uiPriority w:val="5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b/>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shd w:val="clear" w:color="9ABB59" w:fill="9ABB59" w:themeFill="accent3" w:themeFillTint="FE"/>
      </w:tcPr>
    </w:tblStylePr>
    <w:tblStylePr w:type="lastRow">
      <w:rPr>
        <w:b/>
      </w:rPr>
      <w:tblPr/>
      <w:tcPr>
        <w:tcBorders>
          <w:top w:val="single" w:sz="4" w:space="0" w:color="9BBB59" w:themeColor="accent3"/>
        </w:tcBorders>
      </w:tcPr>
    </w:tblStylePr>
    <w:tblStylePr w:type="firstCol">
      <w:rPr>
        <w:b/>
      </w:rPr>
    </w:tblStylePr>
    <w:tblStylePr w:type="lastCol">
      <w:rPr>
        <w:b/>
      </w:rPr>
    </w:tblStylePr>
    <w:tblStylePr w:type="band1Vert">
      <w:rPr>
        <w:sz w:val="22"/>
      </w:rPr>
      <w:tblPr/>
      <w:tcPr>
        <w:shd w:val="clear" w:color="EAF1DC" w:fill="EAF1DC" w:themeFill="accent3" w:themeFillTint="34"/>
      </w:tcPr>
    </w:tblStylePr>
    <w:tblStylePr w:type="band1Horz">
      <w:rPr>
        <w:sz w:val="22"/>
      </w:rPr>
      <w:tblPr/>
      <w:tcPr>
        <w:shd w:val="clear" w:color="EAF1DC" w:fill="EAF1DC" w:themeFill="accent3" w:themeFillTint="34"/>
      </w:tcPr>
    </w:tblStylePr>
  </w:style>
  <w:style w:type="table" w:customStyle="1" w:styleId="GridTable4-Accent4">
    <w:name w:val="Grid Table 4 - Accent 4"/>
    <w:basedOn w:val="Tabelanormal"/>
    <w:uiPriority w:val="5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b/>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shd w:val="clear" w:color="B2A1C6" w:fill="B2A1C6" w:themeFill="accent4" w:themeFillTint="9A"/>
      </w:tcPr>
    </w:tblStylePr>
    <w:tblStylePr w:type="lastRow">
      <w:rPr>
        <w:b/>
      </w:rPr>
      <w:tblPr/>
      <w:tcPr>
        <w:tcBorders>
          <w:top w:val="single" w:sz="4" w:space="0" w:color="8064A2" w:themeColor="accent4"/>
        </w:tcBorders>
      </w:tcPr>
    </w:tblStylePr>
    <w:tblStylePr w:type="firstCol">
      <w:rPr>
        <w:b/>
      </w:rPr>
    </w:tblStylePr>
    <w:tblStylePr w:type="lastCol">
      <w:rPr>
        <w:b/>
      </w:rPr>
    </w:tblStylePr>
    <w:tblStylePr w:type="band1Vert">
      <w:rPr>
        <w:sz w:val="22"/>
      </w:rPr>
      <w:tblPr/>
      <w:tcPr>
        <w:shd w:val="clear" w:color="E5DFEC" w:fill="E5DFEC" w:themeFill="accent4" w:themeFillTint="34"/>
      </w:tcPr>
    </w:tblStylePr>
    <w:tblStylePr w:type="band1Horz">
      <w:rPr>
        <w:sz w:val="22"/>
      </w:rPr>
      <w:tblPr/>
      <w:tcPr>
        <w:shd w:val="clear" w:color="E5DFEC" w:fill="E5DFEC" w:themeFill="accent4" w:themeFillTint="34"/>
      </w:tcPr>
    </w:tblStylePr>
  </w:style>
  <w:style w:type="table" w:customStyle="1" w:styleId="GridTable4-Accent5">
    <w:name w:val="Grid Table 4 - Accent 5"/>
    <w:basedOn w:val="Tabelanormal"/>
    <w:uiPriority w:val="5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b/>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fill="4BACC6" w:themeFill="accent5"/>
      </w:tcPr>
    </w:tblStylePr>
    <w:tblStylePr w:type="lastRow">
      <w:rPr>
        <w:b/>
      </w:rPr>
      <w:tblPr/>
      <w:tcPr>
        <w:tcBorders>
          <w:top w:val="single" w:sz="4" w:space="0" w:color="4BACC6" w:themeColor="accent5"/>
        </w:tcBorders>
      </w:tcPr>
    </w:tblStylePr>
    <w:tblStylePr w:type="firstCol">
      <w:rPr>
        <w:b/>
      </w:rPr>
    </w:tblStylePr>
    <w:tblStylePr w:type="lastCol">
      <w:rPr>
        <w:b/>
      </w:rPr>
    </w:tblStylePr>
    <w:tblStylePr w:type="band1Vert">
      <w:rPr>
        <w:sz w:val="22"/>
      </w:rPr>
      <w:tblPr/>
      <w:tcPr>
        <w:shd w:val="clear" w:color="DAEEF3" w:fill="DAEEF3" w:themeFill="accent5" w:themeFillTint="34"/>
      </w:tcPr>
    </w:tblStylePr>
    <w:tblStylePr w:type="band1Horz">
      <w:rPr>
        <w:sz w:val="22"/>
      </w:rPr>
      <w:tblPr/>
      <w:tcPr>
        <w:shd w:val="clear" w:color="DAEEF3" w:fill="DAEEF3" w:themeFill="accent5" w:themeFillTint="34"/>
      </w:tcPr>
    </w:tblStylePr>
  </w:style>
  <w:style w:type="table" w:customStyle="1" w:styleId="GridTable4-Accent6">
    <w:name w:val="Grid Table 4 - Accent 6"/>
    <w:basedOn w:val="Tabelanormal"/>
    <w:uiPriority w:val="5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b/>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fill="F79646" w:themeFill="accent6"/>
      </w:tcPr>
    </w:tblStylePr>
    <w:tblStylePr w:type="lastRow">
      <w:rPr>
        <w:b/>
      </w:rPr>
      <w:tblPr/>
      <w:tcPr>
        <w:tcBorders>
          <w:top w:val="single" w:sz="4" w:space="0" w:color="F79646" w:themeColor="accent6"/>
        </w:tcBorders>
      </w:tcPr>
    </w:tblStylePr>
    <w:tblStylePr w:type="firstCol">
      <w:rPr>
        <w:b/>
      </w:rPr>
    </w:tblStylePr>
    <w:tblStylePr w:type="lastCol">
      <w:rPr>
        <w:b/>
      </w:rPr>
    </w:tblStylePr>
    <w:tblStylePr w:type="band1Vert">
      <w:rPr>
        <w:sz w:val="22"/>
      </w:rPr>
      <w:tblPr/>
      <w:tcPr>
        <w:shd w:val="clear" w:color="FDE9D8" w:fill="FDE9D8" w:themeFill="accent6" w:themeFillTint="34"/>
      </w:tcPr>
    </w:tblStylePr>
    <w:tblStylePr w:type="band1Horz">
      <w:rPr>
        <w:sz w:val="22"/>
      </w:rPr>
      <w:tblPr/>
      <w:tcPr>
        <w:shd w:val="clear" w:color="FDE9D8" w:fill="FDE9D8" w:themeFill="accent6" w:themeFillTint="34"/>
      </w:tcPr>
    </w:tblStylePr>
  </w:style>
  <w:style w:type="table" w:customStyle="1" w:styleId="TabeladeGrade5Escura1">
    <w:name w:val="Tabela de Grade 5 Escura1"/>
    <w:basedOn w:val="Tabelanormal"/>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000000" w:fill="000000" w:themeFill="text1"/>
      </w:tcPr>
    </w:tblStylePr>
    <w:tblStylePr w:type="lastRow">
      <w:rPr>
        <w:b/>
        <w:sz w:val="22"/>
      </w:rPr>
      <w:tblPr/>
      <w:tcPr>
        <w:tcBorders>
          <w:top w:val="single" w:sz="4" w:space="0" w:color="FFFFFF" w:themeColor="light1"/>
        </w:tcBorders>
        <w:shd w:val="clear" w:color="000000" w:fill="000000" w:themeFill="text1"/>
      </w:tcPr>
    </w:tblStylePr>
    <w:tblStylePr w:type="firstCol">
      <w:rPr>
        <w:b/>
        <w:sz w:val="22"/>
      </w:rPr>
      <w:tblPr/>
      <w:tcPr>
        <w:shd w:val="clear" w:color="000000" w:fill="000000" w:themeFill="text1"/>
      </w:tcPr>
    </w:tblStylePr>
    <w:tblStylePr w:type="lastCol">
      <w:rPr>
        <w:b/>
        <w:sz w:val="22"/>
      </w:rPr>
      <w:tblPr/>
      <w:tcPr>
        <w:shd w:val="clear" w:color="000000" w:fill="000000" w:themeFill="text1"/>
      </w:tcPr>
    </w:tblStylePr>
    <w:tblStylePr w:type="band1Vert">
      <w:tblPr/>
      <w:tcPr>
        <w:shd w:val="clear" w:color="8A8A8A" w:fill="8A8A8A" w:themeFill="text1" w:themeFillTint="75"/>
      </w:tcPr>
    </w:tblStylePr>
    <w:tblStylePr w:type="band1Horz">
      <w:tblPr/>
      <w:tcPr>
        <w:shd w:val="clear" w:color="8A8A8A" w:fill="8A8A8A" w:themeFill="text1" w:themeFillTint="75"/>
      </w:tcPr>
    </w:tblStylePr>
  </w:style>
  <w:style w:type="table" w:customStyle="1" w:styleId="GridTable5Dark-Accent1">
    <w:name w:val="Grid Table 5 Dark- Accent 1"/>
    <w:basedOn w:val="Tabelanormal"/>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4F81BD" w:fill="4F81BD" w:themeFill="accent1"/>
      </w:tcPr>
    </w:tblStylePr>
    <w:tblStylePr w:type="lastRow">
      <w:rPr>
        <w:b/>
        <w:sz w:val="22"/>
      </w:rPr>
      <w:tblPr/>
      <w:tcPr>
        <w:tcBorders>
          <w:top w:val="single" w:sz="4" w:space="0" w:color="FFFFFF" w:themeColor="light1"/>
        </w:tcBorders>
        <w:shd w:val="clear" w:color="4F81BD" w:fill="4F81BD" w:themeFill="accent1"/>
      </w:tcPr>
    </w:tblStylePr>
    <w:tblStylePr w:type="firstCol">
      <w:rPr>
        <w:b/>
        <w:sz w:val="22"/>
      </w:rPr>
      <w:tblPr/>
      <w:tcPr>
        <w:shd w:val="clear" w:color="4F81BD" w:fill="4F81BD" w:themeFill="accent1"/>
      </w:tcPr>
    </w:tblStylePr>
    <w:tblStylePr w:type="lastCol">
      <w:rPr>
        <w:b/>
        <w:sz w:val="22"/>
      </w:rPr>
      <w:tblPr/>
      <w:tcPr>
        <w:shd w:val="clear" w:color="4F81BD" w:fill="4F81BD" w:themeFill="accent1"/>
      </w:tcPr>
    </w:tblStylePr>
    <w:tblStylePr w:type="band1Vert">
      <w:tblPr/>
      <w:tcPr>
        <w:shd w:val="clear" w:color="AEC4E0" w:fill="AEC4E0" w:themeFill="accent1" w:themeFillTint="75"/>
      </w:tcPr>
    </w:tblStylePr>
    <w:tblStylePr w:type="band1Horz">
      <w:tblPr/>
      <w:tcPr>
        <w:shd w:val="clear" w:color="AEC4E0" w:fill="AEC4E0" w:themeFill="accent1" w:themeFillTint="75"/>
      </w:tcPr>
    </w:tblStylePr>
  </w:style>
  <w:style w:type="table" w:customStyle="1" w:styleId="GridTable5Dark-Accent2">
    <w:name w:val="Grid Table 5 Dark - Accent 2"/>
    <w:basedOn w:val="Tabelanormal"/>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C0504D" w:fill="C0504D" w:themeFill="accent2"/>
      </w:tcPr>
    </w:tblStylePr>
    <w:tblStylePr w:type="lastRow">
      <w:rPr>
        <w:b/>
        <w:sz w:val="22"/>
      </w:rPr>
      <w:tblPr/>
      <w:tcPr>
        <w:tcBorders>
          <w:top w:val="single" w:sz="4" w:space="0" w:color="FFFFFF" w:themeColor="light1"/>
        </w:tcBorders>
        <w:shd w:val="clear" w:color="C0504D" w:fill="C0504D" w:themeFill="accent2"/>
      </w:tcPr>
    </w:tblStylePr>
    <w:tblStylePr w:type="firstCol">
      <w:rPr>
        <w:b/>
        <w:sz w:val="22"/>
      </w:rPr>
      <w:tblPr/>
      <w:tcPr>
        <w:shd w:val="clear" w:color="C0504D" w:fill="C0504D" w:themeFill="accent2"/>
      </w:tcPr>
    </w:tblStylePr>
    <w:tblStylePr w:type="lastCol">
      <w:rPr>
        <w:b/>
        <w:sz w:val="22"/>
      </w:rPr>
      <w:tblPr/>
      <w:tcPr>
        <w:shd w:val="clear" w:color="C0504D" w:fill="C0504D" w:themeFill="accent2"/>
      </w:tcPr>
    </w:tblStylePr>
    <w:tblStylePr w:type="band1Vert">
      <w:tblPr/>
      <w:tcPr>
        <w:shd w:val="clear" w:color="E2AEAD" w:fill="E2AEAD" w:themeFill="accent2" w:themeFillTint="75"/>
      </w:tcPr>
    </w:tblStylePr>
    <w:tblStylePr w:type="band1Horz">
      <w:tblPr/>
      <w:tcPr>
        <w:shd w:val="clear" w:color="E2AEAD" w:fill="E2AEAD" w:themeFill="accent2" w:themeFillTint="75"/>
      </w:tcPr>
    </w:tblStylePr>
  </w:style>
  <w:style w:type="table" w:customStyle="1" w:styleId="GridTable5Dark-Accent3">
    <w:name w:val="Grid Table 5 Dark - Accent 3"/>
    <w:basedOn w:val="Tabelanormal"/>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9BBB59" w:fill="9BBB59" w:themeFill="accent3"/>
      </w:tcPr>
    </w:tblStylePr>
    <w:tblStylePr w:type="lastRow">
      <w:rPr>
        <w:b/>
        <w:sz w:val="22"/>
      </w:rPr>
      <w:tblPr/>
      <w:tcPr>
        <w:tcBorders>
          <w:top w:val="single" w:sz="4" w:space="0" w:color="FFFFFF" w:themeColor="light1"/>
        </w:tcBorders>
        <w:shd w:val="clear" w:color="9BBB59" w:fill="9BBB59" w:themeFill="accent3"/>
      </w:tcPr>
    </w:tblStylePr>
    <w:tblStylePr w:type="firstCol">
      <w:rPr>
        <w:b/>
        <w:sz w:val="22"/>
      </w:rPr>
      <w:tblPr/>
      <w:tcPr>
        <w:shd w:val="clear" w:color="9BBB59" w:fill="9BBB59" w:themeFill="accent3"/>
      </w:tcPr>
    </w:tblStylePr>
    <w:tblStylePr w:type="lastCol">
      <w:rPr>
        <w:b/>
        <w:sz w:val="22"/>
      </w:rPr>
      <w:tblPr/>
      <w:tcPr>
        <w:shd w:val="clear" w:color="9BBB59" w:fill="9BBB59" w:themeFill="accent3"/>
      </w:tcPr>
    </w:tblStylePr>
    <w:tblStylePr w:type="band1Vert">
      <w:tblPr/>
      <w:tcPr>
        <w:shd w:val="clear" w:color="D0DFB2" w:fill="D0DFB2" w:themeFill="accent3" w:themeFillTint="75"/>
      </w:tcPr>
    </w:tblStylePr>
    <w:tblStylePr w:type="band1Horz">
      <w:tblPr/>
      <w:tcPr>
        <w:shd w:val="clear" w:color="D0DFB2" w:fill="D0DFB2" w:themeFill="accent3" w:themeFillTint="75"/>
      </w:tcPr>
    </w:tblStylePr>
  </w:style>
  <w:style w:type="table" w:customStyle="1" w:styleId="GridTable5Dark-Accent4">
    <w:name w:val="Grid Table 5 Dark- Accent 4"/>
    <w:basedOn w:val="Tabelanormal"/>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8064A2" w:fill="8064A2" w:themeFill="accent4"/>
      </w:tcPr>
    </w:tblStylePr>
    <w:tblStylePr w:type="lastRow">
      <w:rPr>
        <w:b/>
        <w:sz w:val="22"/>
      </w:rPr>
      <w:tblPr/>
      <w:tcPr>
        <w:tcBorders>
          <w:top w:val="single" w:sz="4" w:space="0" w:color="FFFFFF" w:themeColor="light1"/>
        </w:tcBorders>
        <w:shd w:val="clear" w:color="8064A2" w:fill="8064A2" w:themeFill="accent4"/>
      </w:tcPr>
    </w:tblStylePr>
    <w:tblStylePr w:type="firstCol">
      <w:rPr>
        <w:b/>
        <w:sz w:val="22"/>
      </w:rPr>
      <w:tblPr/>
      <w:tcPr>
        <w:shd w:val="clear" w:color="8064A2" w:fill="8064A2" w:themeFill="accent4"/>
      </w:tcPr>
    </w:tblStylePr>
    <w:tblStylePr w:type="lastCol">
      <w:rPr>
        <w:b/>
        <w:sz w:val="22"/>
      </w:rPr>
      <w:tblPr/>
      <w:tcPr>
        <w:shd w:val="clear" w:color="8064A2" w:fill="8064A2" w:themeFill="accent4"/>
      </w:tcPr>
    </w:tblStylePr>
    <w:tblStylePr w:type="band1Vert">
      <w:tblPr/>
      <w:tcPr>
        <w:shd w:val="clear" w:color="C4B7D4" w:fill="C4B7D4" w:themeFill="accent4" w:themeFillTint="75"/>
      </w:tcPr>
    </w:tblStylePr>
    <w:tblStylePr w:type="band1Horz">
      <w:tblPr/>
      <w:tcPr>
        <w:shd w:val="clear" w:color="C4B7D4" w:fill="C4B7D4" w:themeFill="accent4" w:themeFillTint="75"/>
      </w:tcPr>
    </w:tblStylePr>
  </w:style>
  <w:style w:type="table" w:customStyle="1" w:styleId="GridTable5Dark-Accent5">
    <w:name w:val="Grid Table 5 Dark - Accent 5"/>
    <w:basedOn w:val="Tabelanormal"/>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4BACC6" w:fill="4BACC6" w:themeFill="accent5"/>
      </w:tcPr>
    </w:tblStylePr>
    <w:tblStylePr w:type="lastRow">
      <w:rPr>
        <w:b/>
        <w:sz w:val="22"/>
      </w:rPr>
      <w:tblPr/>
      <w:tcPr>
        <w:tcBorders>
          <w:top w:val="single" w:sz="4" w:space="0" w:color="FFFFFF" w:themeColor="light1"/>
        </w:tcBorders>
        <w:shd w:val="clear" w:color="4BACC6" w:fill="4BACC6" w:themeFill="accent5"/>
      </w:tcPr>
    </w:tblStylePr>
    <w:tblStylePr w:type="firstCol">
      <w:rPr>
        <w:b/>
        <w:sz w:val="22"/>
      </w:rPr>
      <w:tblPr/>
      <w:tcPr>
        <w:shd w:val="clear" w:color="4BACC6" w:fill="4BACC6" w:themeFill="accent5"/>
      </w:tcPr>
    </w:tblStylePr>
    <w:tblStylePr w:type="lastCol">
      <w:rPr>
        <w:b/>
        <w:sz w:val="22"/>
      </w:rPr>
      <w:tblPr/>
      <w:tcPr>
        <w:shd w:val="clear" w:color="4BACC6" w:fill="4BACC6" w:themeFill="accent5"/>
      </w:tcPr>
    </w:tblStylePr>
    <w:tblStylePr w:type="band1Vert">
      <w:tblPr/>
      <w:tcPr>
        <w:shd w:val="clear" w:color="ACD8E4" w:fill="ACD8E4" w:themeFill="accent5" w:themeFillTint="75"/>
      </w:tcPr>
    </w:tblStylePr>
    <w:tblStylePr w:type="band1Horz">
      <w:tblPr/>
      <w:tcPr>
        <w:shd w:val="clear" w:color="ACD8E4" w:fill="ACD8E4" w:themeFill="accent5" w:themeFillTint="75"/>
      </w:tcPr>
    </w:tblStylePr>
  </w:style>
  <w:style w:type="table" w:customStyle="1" w:styleId="GridTable5Dark-Accent6">
    <w:name w:val="Grid Table 5 Dark - Accent 6"/>
    <w:basedOn w:val="Tabelanormal"/>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F79646" w:fill="F79646" w:themeFill="accent6"/>
      </w:tcPr>
    </w:tblStylePr>
    <w:tblStylePr w:type="lastRow">
      <w:rPr>
        <w:b/>
        <w:sz w:val="22"/>
      </w:rPr>
      <w:tblPr/>
      <w:tcPr>
        <w:tcBorders>
          <w:top w:val="single" w:sz="4" w:space="0" w:color="FFFFFF" w:themeColor="light1"/>
        </w:tcBorders>
        <w:shd w:val="clear" w:color="F79646" w:fill="F79646" w:themeFill="accent6"/>
      </w:tcPr>
    </w:tblStylePr>
    <w:tblStylePr w:type="firstCol">
      <w:rPr>
        <w:b/>
        <w:sz w:val="22"/>
      </w:rPr>
      <w:tblPr/>
      <w:tcPr>
        <w:shd w:val="clear" w:color="F79646" w:fill="F79646" w:themeFill="accent6"/>
      </w:tcPr>
    </w:tblStylePr>
    <w:tblStylePr w:type="lastCol">
      <w:rPr>
        <w:b/>
        <w:sz w:val="22"/>
      </w:rPr>
      <w:tblPr/>
      <w:tcPr>
        <w:shd w:val="clear" w:color="F79646" w:fill="F79646" w:themeFill="accent6"/>
      </w:tcPr>
    </w:tblStylePr>
    <w:tblStylePr w:type="band1Vert">
      <w:tblPr/>
      <w:tcPr>
        <w:shd w:val="clear" w:color="FBCEAA" w:fill="FBCEAA" w:themeFill="accent6" w:themeFillTint="75"/>
      </w:tcPr>
    </w:tblStylePr>
    <w:tblStylePr w:type="band1Horz">
      <w:tblPr/>
      <w:tcPr>
        <w:shd w:val="clear" w:color="FBCEAA" w:fill="FBCEAA" w:themeFill="accent6" w:themeFillTint="75"/>
      </w:tcPr>
    </w:tblStylePr>
  </w:style>
  <w:style w:type="table" w:customStyle="1" w:styleId="TabeladeGrade6Colorida1">
    <w:name w:val="Tabela de Grade 6 Colorida1"/>
    <w:basedOn w:val="Tabelanormal"/>
    <w:uiPriority w:val="99"/>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000000" w:themeColor="text1"/>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fill="CBCBCB" w:themeFill="text1" w:themeFillTint="34"/>
      </w:tcPr>
    </w:tblStylePr>
    <w:tblStylePr w:type="band1Horz">
      <w:rPr>
        <w:color w:val="7F7F7F" w:themeColor="text1" w:themeTint="80"/>
        <w:sz w:val="22"/>
      </w:rPr>
      <w:tblPr/>
      <w:tcPr>
        <w:shd w:val="clear" w:color="CBCBCB" w:fill="CBCBCB" w:themeFill="text1" w:themeFillTint="34"/>
      </w:tcPr>
    </w:tblStylePr>
    <w:tblStylePr w:type="band2Horz">
      <w:rPr>
        <w:color w:val="7F7F7F" w:themeColor="text1" w:themeTint="80"/>
        <w:sz w:val="22"/>
      </w:rPr>
    </w:tblStylePr>
  </w:style>
  <w:style w:type="table" w:customStyle="1" w:styleId="GridTable6Colorful-Accent1">
    <w:name w:val="Grid Table 6 Colorful - Accent 1"/>
    <w:basedOn w:val="Tabelanormal"/>
    <w:uiPriority w:val="99"/>
    <w:qFormat/>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rPr>
      <w:tblPr/>
      <w:tcPr>
        <w:tcBorders>
          <w:bottom w:val="single" w:sz="12" w:space="0" w:color="4F81BD" w:themeColor="accent1"/>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fill="DAE5F1" w:themeFill="accent1" w:themeFillTint="34"/>
      </w:tcPr>
    </w:tblStylePr>
    <w:tblStylePr w:type="band1Horz">
      <w:rPr>
        <w:color w:val="A6BFDD" w:themeColor="accent1" w:themeTint="80"/>
        <w:sz w:val="22"/>
      </w:rPr>
      <w:tblPr/>
      <w:tcPr>
        <w:shd w:val="clear" w:color="DAE5F1" w:fill="DAE5F1" w:themeFill="accent1" w:themeFillTint="34"/>
      </w:tcPr>
    </w:tblStylePr>
    <w:tblStylePr w:type="band2Horz">
      <w:rPr>
        <w:color w:val="A6BFDD" w:themeColor="accent1" w:themeTint="80"/>
        <w:sz w:val="22"/>
      </w:rPr>
    </w:tblStylePr>
  </w:style>
  <w:style w:type="table" w:customStyle="1" w:styleId="GridTable6Colorful-Accent2">
    <w:name w:val="Grid Table 6 Colorful - Accent 2"/>
    <w:basedOn w:val="Tabelanormal"/>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A9796" w:themeColor="accent2" w:themeTint="96"/>
      </w:rPr>
      <w:tblPr/>
      <w:tcPr>
        <w:tcBorders>
          <w:bottom w:val="single" w:sz="12" w:space="0" w:color="C0504D" w:themeColor="accent2"/>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fill="F2DCDC" w:themeFill="accent2" w:themeFillTint="32"/>
      </w:tcPr>
    </w:tblStylePr>
    <w:tblStylePr w:type="band1Horz">
      <w:rPr>
        <w:color w:val="DA9796" w:themeColor="accent2" w:themeTint="96"/>
        <w:sz w:val="22"/>
      </w:rPr>
      <w:tblPr/>
      <w:tcPr>
        <w:shd w:val="clear" w:color="F2DCDC" w:fill="F2DCDC" w:themeFill="accent2" w:themeFillTint="32"/>
      </w:tcPr>
    </w:tblStylePr>
    <w:tblStylePr w:type="band2Horz">
      <w:rPr>
        <w:color w:val="DA9796" w:themeColor="accent2" w:themeTint="96"/>
        <w:sz w:val="22"/>
      </w:rPr>
    </w:tblStylePr>
  </w:style>
  <w:style w:type="table" w:customStyle="1" w:styleId="GridTable6Colorful-Accent3">
    <w:name w:val="Grid Table 6 Colorful - Accent 3"/>
    <w:basedOn w:val="Tabelanormal"/>
    <w:uiPriority w:val="99"/>
    <w:qFormat/>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BBB59" w:themeColor="accent3"/>
      </w:rPr>
      <w:tblPr/>
      <w:tcPr>
        <w:tcBorders>
          <w:bottom w:val="single" w:sz="12" w:space="0" w:color="9BBB59" w:themeColor="accent3"/>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fill="EAF1DC" w:themeFill="accent3" w:themeFillTint="34"/>
      </w:tcPr>
    </w:tblStylePr>
    <w:tblStylePr w:type="band1Horz">
      <w:rPr>
        <w:color w:val="9BBB59" w:themeColor="accent3"/>
        <w:sz w:val="22"/>
      </w:rPr>
      <w:tblPr/>
      <w:tcPr>
        <w:shd w:val="clear" w:color="EAF1DC" w:fill="EAF1DC" w:themeFill="accent3" w:themeFillTint="34"/>
      </w:tcPr>
    </w:tblStylePr>
    <w:tblStylePr w:type="band2Horz">
      <w:rPr>
        <w:color w:val="9BBB59" w:themeColor="accent3"/>
        <w:sz w:val="22"/>
      </w:rPr>
    </w:tblStylePr>
  </w:style>
  <w:style w:type="table" w:customStyle="1" w:styleId="GridTable6Colorful-Accent4">
    <w:name w:val="Grid Table 6 Colorful - Accent 4"/>
    <w:basedOn w:val="Tabelanormal"/>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7" w:themeColor="accent4" w:themeTint="99"/>
      </w:rPr>
      <w:tblPr/>
      <w:tcPr>
        <w:tcBorders>
          <w:bottom w:val="single" w:sz="12" w:space="0" w:color="8064A2" w:themeColor="accent4"/>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fill="E5DFEC" w:themeFill="accent4" w:themeFillTint="34"/>
      </w:tcPr>
    </w:tblStylePr>
    <w:tblStylePr w:type="band1Horz">
      <w:rPr>
        <w:color w:val="B2A1C7" w:themeColor="accent4" w:themeTint="99"/>
        <w:sz w:val="22"/>
      </w:rPr>
      <w:tblPr/>
      <w:tcPr>
        <w:shd w:val="clear" w:color="E5DFEC" w:fill="E5DFEC" w:themeFill="accent4" w:themeFillTint="34"/>
      </w:tcPr>
    </w:tblStylePr>
    <w:tblStylePr w:type="band2Horz">
      <w:rPr>
        <w:color w:val="B2A1C7" w:themeColor="accent4" w:themeTint="99"/>
        <w:sz w:val="22"/>
      </w:rPr>
    </w:tblStylePr>
  </w:style>
  <w:style w:type="table" w:customStyle="1" w:styleId="GridTable6Colorful-Accent5">
    <w:name w:val="Grid Table 6 Colorful - Accent 5"/>
    <w:basedOn w:val="Tabelanormal"/>
    <w:uiPriority w:val="99"/>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fill="DAEEF3" w:themeFill="accent5" w:themeFillTint="34"/>
      </w:tcPr>
    </w:tblStylePr>
    <w:tblStylePr w:type="band1Horz">
      <w:rPr>
        <w:color w:val="266678" w:themeColor="accent5" w:themeShade="94"/>
        <w:sz w:val="22"/>
      </w:rPr>
      <w:tblPr/>
      <w:tcPr>
        <w:shd w:val="clear" w:color="DAEEF3" w:fill="DAEEF3" w:themeFill="accent5" w:themeFillTint="34"/>
      </w:tcPr>
    </w:tblStylePr>
    <w:tblStylePr w:type="band2Horz">
      <w:rPr>
        <w:color w:val="266678" w:themeColor="accent5" w:themeShade="94"/>
        <w:sz w:val="22"/>
      </w:rPr>
    </w:tblStylePr>
  </w:style>
  <w:style w:type="table" w:customStyle="1" w:styleId="GridTable6Colorful-Accent6">
    <w:name w:val="Grid Table 6 Colorful - Accent 6"/>
    <w:basedOn w:val="Tabelanormal"/>
    <w:uiPriority w:val="99"/>
    <w:qFormat/>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fill="FDE9D8" w:themeFill="accent6" w:themeFillTint="34"/>
      </w:tcPr>
    </w:tblStylePr>
    <w:tblStylePr w:type="band1Horz">
      <w:rPr>
        <w:color w:val="266678" w:themeColor="accent5" w:themeShade="94"/>
        <w:sz w:val="22"/>
      </w:rPr>
      <w:tblPr/>
      <w:tcPr>
        <w:shd w:val="clear" w:color="FDE9D8" w:fill="FDE9D8" w:themeFill="accent6" w:themeFillTint="34"/>
      </w:tcPr>
    </w:tblStylePr>
    <w:tblStylePr w:type="band2Horz">
      <w:rPr>
        <w:color w:val="266678" w:themeColor="accent5" w:themeShade="94"/>
        <w:sz w:val="22"/>
      </w:rPr>
    </w:tblStylePr>
  </w:style>
  <w:style w:type="table" w:customStyle="1" w:styleId="TabeladeGrade7Colorida1">
    <w:name w:val="Tabela de Grade 7 Colorida1"/>
    <w:basedOn w:val="Tabelanormal"/>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sz w:val="22"/>
      </w:rPr>
      <w:tblPr/>
      <w:tcPr>
        <w:tcBorders>
          <w:top w:val="none" w:sz="4" w:space="0" w:color="000000"/>
          <w:left w:val="none" w:sz="4" w:space="0" w:color="000000"/>
          <w:bottom w:val="single" w:sz="4" w:space="0" w:color="000000" w:themeColor="text1"/>
          <w:right w:val="none" w:sz="4" w:space="0" w:color="000000"/>
        </w:tcBorders>
        <w:shd w:val="clear" w:color="FFFFFF" w:fill="FFFFFF" w:themeFill="light1"/>
      </w:tcPr>
    </w:tblStylePr>
    <w:tblStylePr w:type="lastRow">
      <w:rPr>
        <w:b/>
        <w:color w:val="7F7F7F" w:themeColor="text1" w:themeTint="80"/>
        <w:sz w:val="22"/>
      </w:rPr>
      <w:tblPr/>
      <w:tcPr>
        <w:tcBorders>
          <w:top w:val="single" w:sz="4" w:space="0" w:color="000000" w:themeColor="text1"/>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7F7F7F" w:themeColor="text1" w:themeTint="80"/>
        <w:sz w:val="22"/>
      </w:rPr>
      <w:tblPr/>
      <w:tcPr>
        <w:tcBorders>
          <w:top w:val="none" w:sz="4" w:space="0" w:color="000000"/>
          <w:left w:val="none" w:sz="4" w:space="0" w:color="000000"/>
          <w:bottom w:val="none" w:sz="4" w:space="0" w:color="000000"/>
          <w:right w:val="single" w:sz="4" w:space="0" w:color="000000" w:themeColor="text1"/>
        </w:tcBorders>
        <w:shd w:val="clear" w:color="FFFFFF" w:fill="auto"/>
      </w:tcPr>
    </w:tblStylePr>
    <w:tblStylePr w:type="lastCol">
      <w:rPr>
        <w:i/>
        <w:color w:val="7F7F7F" w:themeColor="text1" w:themeTint="80"/>
        <w:sz w:val="22"/>
      </w:rPr>
      <w:tblPr/>
      <w:tcPr>
        <w:tcBorders>
          <w:top w:val="none" w:sz="4" w:space="0" w:color="000000"/>
          <w:left w:val="single" w:sz="4" w:space="0" w:color="000000" w:themeColor="text1"/>
          <w:bottom w:val="none" w:sz="4" w:space="0" w:color="000000"/>
          <w:right w:val="none" w:sz="4" w:space="0" w:color="000000"/>
        </w:tcBorders>
        <w:shd w:val="clear" w:color="FFFFFF" w:fill="auto"/>
      </w:tcPr>
    </w:tblStylePr>
    <w:tblStylePr w:type="band1Vert">
      <w:tblPr/>
      <w:tcPr>
        <w:shd w:val="clear" w:color="F2F2F2" w:fill="F2F2F2" w:themeFill="text1" w:themeFillTint="0D"/>
      </w:tcPr>
    </w:tblStylePr>
    <w:tblStylePr w:type="band1Horz">
      <w:rPr>
        <w:color w:val="7F7F7F" w:themeColor="text1" w:themeTint="80"/>
        <w:sz w:val="22"/>
      </w:rPr>
      <w:tblPr/>
      <w:tcPr>
        <w:shd w:val="clear" w:color="F2F2F2" w:fill="F2F2F2" w:themeFill="text1" w:themeFillTint="0D"/>
      </w:tcPr>
    </w:tblStylePr>
    <w:tblStylePr w:type="band2Horz">
      <w:rPr>
        <w:color w:val="7F7F7F" w:themeColor="text1" w:themeTint="80"/>
        <w:sz w:val="22"/>
      </w:rPr>
    </w:tblStylePr>
  </w:style>
  <w:style w:type="table" w:customStyle="1" w:styleId="GridTable7Colorful-Accent1">
    <w:name w:val="Grid Table 7 Colorful - Accent 1"/>
    <w:basedOn w:val="Tabelanormal"/>
    <w:uiPriority w:val="99"/>
    <w:qFormat/>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sz w:val="22"/>
      </w:rPr>
      <w:tblPr/>
      <w:tcPr>
        <w:tcBorders>
          <w:top w:val="none" w:sz="4" w:space="0" w:color="000000"/>
          <w:left w:val="none" w:sz="4" w:space="0" w:color="000000"/>
          <w:bottom w:val="single" w:sz="4" w:space="0" w:color="4F81BD" w:themeColor="accent1"/>
          <w:right w:val="none" w:sz="4" w:space="0" w:color="000000"/>
        </w:tcBorders>
        <w:shd w:val="clear" w:color="FFFFFF" w:fill="FFFFFF" w:themeFill="light1"/>
      </w:tcPr>
    </w:tblStylePr>
    <w:tblStylePr w:type="lastRow">
      <w:rPr>
        <w:b/>
        <w:color w:val="A6BFDD" w:themeColor="accent1" w:themeTint="80"/>
        <w:sz w:val="22"/>
      </w:rPr>
      <w:tblPr/>
      <w:tcPr>
        <w:tcBorders>
          <w:top w:val="single" w:sz="4" w:space="0" w:color="4F81BD" w:themeColor="accent1"/>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A6BFDD" w:themeColor="accent1" w:themeTint="80"/>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i/>
        <w:color w:val="A6BFDD" w:themeColor="accent1" w:themeTint="80"/>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AE5F1" w:fill="DAE5F1" w:themeFill="accent1" w:themeFillTint="34"/>
      </w:tcPr>
    </w:tblStylePr>
    <w:tblStylePr w:type="band1Horz">
      <w:rPr>
        <w:color w:val="A6BFDD" w:themeColor="accent1" w:themeTint="80"/>
        <w:sz w:val="22"/>
      </w:rPr>
      <w:tblPr/>
      <w:tcPr>
        <w:shd w:val="clear" w:color="DAE5F1" w:fill="DAE5F1" w:themeFill="accent1" w:themeFillTint="34"/>
      </w:tcPr>
    </w:tblStylePr>
    <w:tblStylePr w:type="band2Horz">
      <w:rPr>
        <w:color w:val="A6BFDD" w:themeColor="accent1" w:themeTint="80"/>
        <w:sz w:val="22"/>
      </w:rPr>
    </w:tblStylePr>
  </w:style>
  <w:style w:type="table" w:customStyle="1" w:styleId="GridTable7Colorful-Accent2">
    <w:name w:val="Grid Table 7 Colorful - Accent 2"/>
    <w:basedOn w:val="Tabelanormal"/>
    <w:uiPriority w:val="99"/>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A9796" w:themeColor="accent2" w:themeTint="96"/>
        <w:sz w:val="22"/>
      </w:rPr>
      <w:tblPr/>
      <w:tcPr>
        <w:tcBorders>
          <w:top w:val="none" w:sz="4" w:space="0" w:color="000000"/>
          <w:left w:val="none" w:sz="4" w:space="0" w:color="000000"/>
          <w:bottom w:val="single" w:sz="4" w:space="0" w:color="C0504D" w:themeColor="accent2"/>
          <w:right w:val="none" w:sz="4" w:space="0" w:color="000000"/>
        </w:tcBorders>
        <w:shd w:val="clear" w:color="FFFFFF" w:fill="FFFFFF" w:themeFill="light1"/>
      </w:tcPr>
    </w:tblStylePr>
    <w:tblStylePr w:type="lastRow">
      <w:rPr>
        <w:b/>
        <w:color w:val="DA9796" w:themeColor="accent2" w:themeTint="96"/>
        <w:sz w:val="22"/>
      </w:rPr>
      <w:tblPr/>
      <w:tcPr>
        <w:tcBorders>
          <w:top w:val="single" w:sz="4" w:space="0" w:color="C0504D" w:themeColor="accent2"/>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DA9796" w:themeColor="accent2" w:themeTint="96"/>
        <w:sz w:val="22"/>
      </w:rPr>
      <w:tblPr/>
      <w:tcPr>
        <w:tcBorders>
          <w:top w:val="none" w:sz="4" w:space="0" w:color="000000"/>
          <w:left w:val="none" w:sz="4" w:space="0" w:color="000000"/>
          <w:bottom w:val="none" w:sz="4" w:space="0" w:color="000000"/>
          <w:right w:val="single" w:sz="4" w:space="0" w:color="C0504D" w:themeColor="accent2"/>
        </w:tcBorders>
        <w:shd w:val="clear" w:color="FFFFFF" w:fill="auto"/>
      </w:tcPr>
    </w:tblStylePr>
    <w:tblStylePr w:type="lastCol">
      <w:rPr>
        <w:i/>
        <w:color w:val="DA9796" w:themeColor="accent2" w:themeTint="96"/>
        <w:sz w:val="22"/>
      </w:rPr>
      <w:tblPr/>
      <w:tcPr>
        <w:tcBorders>
          <w:top w:val="none" w:sz="4" w:space="0" w:color="000000"/>
          <w:left w:val="single" w:sz="4" w:space="0" w:color="C0504D" w:themeColor="accent2"/>
          <w:bottom w:val="none" w:sz="4" w:space="0" w:color="000000"/>
          <w:right w:val="none" w:sz="4" w:space="0" w:color="000000"/>
        </w:tcBorders>
        <w:shd w:val="clear" w:color="FFFFFF" w:fill="auto"/>
      </w:tcPr>
    </w:tblStylePr>
    <w:tblStylePr w:type="band1Vert">
      <w:tblPr/>
      <w:tcPr>
        <w:shd w:val="clear" w:color="F2DCDC" w:fill="F2DCDC" w:themeFill="accent2" w:themeFillTint="32"/>
      </w:tcPr>
    </w:tblStylePr>
    <w:tblStylePr w:type="band1Horz">
      <w:rPr>
        <w:color w:val="DA9796" w:themeColor="accent2" w:themeTint="96"/>
        <w:sz w:val="22"/>
      </w:rPr>
      <w:tblPr/>
      <w:tcPr>
        <w:shd w:val="clear" w:color="F2DCDC" w:fill="F2DCDC" w:themeFill="accent2" w:themeFillTint="32"/>
      </w:tcPr>
    </w:tblStylePr>
    <w:tblStylePr w:type="band2Horz">
      <w:rPr>
        <w:color w:val="DA9796" w:themeColor="accent2" w:themeTint="96"/>
        <w:sz w:val="22"/>
      </w:rPr>
    </w:tblStylePr>
  </w:style>
  <w:style w:type="table" w:customStyle="1" w:styleId="GridTable7Colorful-Accent3">
    <w:name w:val="Grid Table 7 Colorful - Accent 3"/>
    <w:basedOn w:val="Tabelanormal"/>
    <w:uiPriority w:val="99"/>
    <w:qFormat/>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BBB59" w:themeColor="accent3"/>
        <w:sz w:val="22"/>
      </w:rPr>
      <w:tblPr/>
      <w:tcPr>
        <w:tcBorders>
          <w:top w:val="none" w:sz="4" w:space="0" w:color="000000"/>
          <w:left w:val="none" w:sz="4" w:space="0" w:color="000000"/>
          <w:bottom w:val="single" w:sz="4" w:space="0" w:color="9BBB59" w:themeColor="accent3"/>
          <w:right w:val="none" w:sz="4" w:space="0" w:color="000000"/>
        </w:tcBorders>
        <w:shd w:val="clear" w:color="FFFFFF" w:fill="FFFFFF" w:themeFill="light1"/>
      </w:tcPr>
    </w:tblStylePr>
    <w:tblStylePr w:type="lastRow">
      <w:rPr>
        <w:b/>
        <w:color w:val="9BBB59" w:themeColor="accent3"/>
        <w:sz w:val="22"/>
      </w:rPr>
      <w:tblPr/>
      <w:tcPr>
        <w:tcBorders>
          <w:top w:val="single" w:sz="4" w:space="0" w:color="9BBB59" w:themeColor="accent3"/>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9BBB59" w:themeColor="accent3"/>
        <w:sz w:val="22"/>
      </w:rPr>
      <w:tblPr/>
      <w:tcPr>
        <w:tcBorders>
          <w:top w:val="none" w:sz="4" w:space="0" w:color="000000"/>
          <w:left w:val="none" w:sz="4" w:space="0" w:color="000000"/>
          <w:bottom w:val="none" w:sz="4" w:space="0" w:color="000000"/>
          <w:right w:val="single" w:sz="4" w:space="0" w:color="9BBB59" w:themeColor="accent3"/>
        </w:tcBorders>
        <w:shd w:val="clear" w:color="FFFFFF" w:fill="auto"/>
      </w:tcPr>
    </w:tblStylePr>
    <w:tblStylePr w:type="lastCol">
      <w:rPr>
        <w:i/>
        <w:color w:val="9BBB59" w:themeColor="accent3"/>
        <w:sz w:val="22"/>
      </w:rPr>
      <w:tblPr/>
      <w:tcPr>
        <w:tcBorders>
          <w:top w:val="none" w:sz="4" w:space="0" w:color="000000"/>
          <w:left w:val="single" w:sz="4" w:space="0" w:color="9BBB59" w:themeColor="accent3"/>
          <w:bottom w:val="none" w:sz="4" w:space="0" w:color="000000"/>
          <w:right w:val="none" w:sz="4" w:space="0" w:color="000000"/>
        </w:tcBorders>
        <w:shd w:val="clear" w:color="FFFFFF" w:fill="auto"/>
      </w:tcPr>
    </w:tblStylePr>
    <w:tblStylePr w:type="band1Vert">
      <w:tblPr/>
      <w:tcPr>
        <w:shd w:val="clear" w:color="EAF1DC" w:fill="EAF1DC" w:themeFill="accent3" w:themeFillTint="34"/>
      </w:tcPr>
    </w:tblStylePr>
    <w:tblStylePr w:type="band1Horz">
      <w:rPr>
        <w:color w:val="9BBB59" w:themeColor="accent3"/>
        <w:sz w:val="22"/>
      </w:rPr>
      <w:tblPr/>
      <w:tcPr>
        <w:shd w:val="clear" w:color="EAF1DC" w:fill="EAF1DC" w:themeFill="accent3" w:themeFillTint="34"/>
      </w:tcPr>
    </w:tblStylePr>
    <w:tblStylePr w:type="band2Horz">
      <w:rPr>
        <w:color w:val="9BBB59" w:themeColor="accent3"/>
        <w:sz w:val="22"/>
      </w:rPr>
    </w:tblStylePr>
  </w:style>
  <w:style w:type="table" w:customStyle="1" w:styleId="GridTable7Colorful-Accent4">
    <w:name w:val="Grid Table 7 Colorful - Accent 4"/>
    <w:basedOn w:val="Tabelanormal"/>
    <w:uiPriority w:val="99"/>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7" w:themeColor="accent4" w:themeTint="99"/>
        <w:sz w:val="22"/>
      </w:rPr>
      <w:tblPr/>
      <w:tcPr>
        <w:tcBorders>
          <w:top w:val="none" w:sz="4" w:space="0" w:color="000000"/>
          <w:left w:val="none" w:sz="4" w:space="0" w:color="000000"/>
          <w:bottom w:val="single" w:sz="4" w:space="0" w:color="8064A2" w:themeColor="accent4"/>
          <w:right w:val="none" w:sz="4" w:space="0" w:color="000000"/>
        </w:tcBorders>
        <w:shd w:val="clear" w:color="FFFFFF" w:fill="FFFFFF" w:themeFill="light1"/>
      </w:tcPr>
    </w:tblStylePr>
    <w:tblStylePr w:type="lastRow">
      <w:rPr>
        <w:b/>
        <w:color w:val="B2A1C7" w:themeColor="accent4" w:themeTint="99"/>
        <w:sz w:val="22"/>
      </w:rPr>
      <w:tblPr/>
      <w:tcPr>
        <w:tcBorders>
          <w:top w:val="single" w:sz="4" w:space="0" w:color="8064A2" w:themeColor="accent4"/>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B2A1C7" w:themeColor="accent4" w:themeTint="99"/>
        <w:sz w:val="22"/>
      </w:rPr>
      <w:tblPr/>
      <w:tcPr>
        <w:tcBorders>
          <w:top w:val="none" w:sz="4" w:space="0" w:color="000000"/>
          <w:left w:val="none" w:sz="4" w:space="0" w:color="000000"/>
          <w:bottom w:val="none" w:sz="4" w:space="0" w:color="000000"/>
          <w:right w:val="single" w:sz="4" w:space="0" w:color="8064A2" w:themeColor="accent4"/>
        </w:tcBorders>
        <w:shd w:val="clear" w:color="FFFFFF" w:fill="auto"/>
      </w:tcPr>
    </w:tblStylePr>
    <w:tblStylePr w:type="lastCol">
      <w:rPr>
        <w:i/>
        <w:color w:val="B2A1C7" w:themeColor="accent4" w:themeTint="99"/>
        <w:sz w:val="22"/>
      </w:rPr>
      <w:tblPr/>
      <w:tcPr>
        <w:tcBorders>
          <w:top w:val="none" w:sz="4" w:space="0" w:color="000000"/>
          <w:left w:val="single" w:sz="4" w:space="0" w:color="8064A2" w:themeColor="accent4"/>
          <w:bottom w:val="none" w:sz="4" w:space="0" w:color="000000"/>
          <w:right w:val="none" w:sz="4" w:space="0" w:color="000000"/>
        </w:tcBorders>
        <w:shd w:val="clear" w:color="FFFFFF" w:fill="auto"/>
      </w:tcPr>
    </w:tblStylePr>
    <w:tblStylePr w:type="band1Vert">
      <w:tblPr/>
      <w:tcPr>
        <w:shd w:val="clear" w:color="E5DFEC" w:fill="E5DFEC" w:themeFill="accent4" w:themeFillTint="34"/>
      </w:tcPr>
    </w:tblStylePr>
    <w:tblStylePr w:type="band1Horz">
      <w:rPr>
        <w:color w:val="B2A1C7" w:themeColor="accent4" w:themeTint="99"/>
        <w:sz w:val="22"/>
      </w:rPr>
      <w:tblPr/>
      <w:tcPr>
        <w:shd w:val="clear" w:color="E5DFEC" w:fill="E5DFEC" w:themeFill="accent4" w:themeFillTint="34"/>
      </w:tcPr>
    </w:tblStylePr>
    <w:tblStylePr w:type="band2Horz">
      <w:rPr>
        <w:color w:val="B2A1C7" w:themeColor="accent4" w:themeTint="99"/>
        <w:sz w:val="22"/>
      </w:rPr>
    </w:tblStylePr>
  </w:style>
  <w:style w:type="table" w:customStyle="1" w:styleId="GridTable7Colorful-Accent5">
    <w:name w:val="Grid Table 7 Colorful - Accent 5"/>
    <w:basedOn w:val="Tabelanormal"/>
    <w:uiPriority w:val="99"/>
    <w:qFormat/>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b/>
        <w:color w:val="266678" w:themeColor="accent5" w:themeShade="94"/>
        <w:sz w:val="22"/>
      </w:rPr>
      <w:tblPr/>
      <w:tcPr>
        <w:tcBorders>
          <w:top w:val="none" w:sz="4" w:space="0" w:color="000000"/>
          <w:left w:val="none" w:sz="4" w:space="0" w:color="000000"/>
          <w:bottom w:val="single" w:sz="4" w:space="0" w:color="4BACC6" w:themeColor="accent5"/>
          <w:right w:val="none" w:sz="4" w:space="0" w:color="000000"/>
        </w:tcBorders>
        <w:shd w:val="clear" w:color="FFFFFF" w:fill="FFFFFF" w:themeFill="light1"/>
      </w:tcPr>
    </w:tblStylePr>
    <w:tblStylePr w:type="lastRow">
      <w:rPr>
        <w:b/>
        <w:color w:val="266678" w:themeColor="accent5" w:themeShade="94"/>
        <w:sz w:val="22"/>
      </w:rPr>
      <w:tblPr/>
      <w:tcPr>
        <w:tcBorders>
          <w:top w:val="single" w:sz="4" w:space="0" w:color="4BACC6" w:themeColor="accent5"/>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266678" w:themeColor="accent5" w:themeShade="94"/>
        <w:sz w:val="22"/>
      </w:rPr>
      <w:tblPr/>
      <w:tcPr>
        <w:tcBorders>
          <w:top w:val="none" w:sz="4" w:space="0" w:color="000000"/>
          <w:left w:val="none" w:sz="4" w:space="0" w:color="000000"/>
          <w:bottom w:val="none" w:sz="4" w:space="0" w:color="000000"/>
          <w:right w:val="single" w:sz="4" w:space="0" w:color="4BACC6" w:themeColor="accent5"/>
        </w:tcBorders>
        <w:shd w:val="clear" w:color="FFFFFF" w:fill="auto"/>
      </w:tcPr>
    </w:tblStylePr>
    <w:tblStylePr w:type="lastCol">
      <w:rPr>
        <w:i/>
        <w:color w:val="266678" w:themeColor="accent5" w:themeShade="94"/>
        <w:sz w:val="22"/>
      </w:rPr>
      <w:tblPr/>
      <w:tcPr>
        <w:tcBorders>
          <w:top w:val="none" w:sz="4" w:space="0" w:color="000000"/>
          <w:left w:val="single" w:sz="4" w:space="0" w:color="4BACC6" w:themeColor="accent5"/>
          <w:bottom w:val="none" w:sz="4" w:space="0" w:color="000000"/>
          <w:right w:val="none" w:sz="4" w:space="0" w:color="000000"/>
        </w:tcBorders>
        <w:shd w:val="clear" w:color="FFFFFF" w:fill="auto"/>
      </w:tcPr>
    </w:tblStylePr>
    <w:tblStylePr w:type="band1Vert">
      <w:tblPr/>
      <w:tcPr>
        <w:shd w:val="clear" w:color="DAEEF3" w:fill="DAEEF3" w:themeFill="accent5" w:themeFillTint="34"/>
      </w:tcPr>
    </w:tblStylePr>
    <w:tblStylePr w:type="band1Horz">
      <w:rPr>
        <w:color w:val="266678" w:themeColor="accent5" w:themeShade="94"/>
        <w:sz w:val="22"/>
      </w:rPr>
      <w:tblPr/>
      <w:tcPr>
        <w:shd w:val="clear" w:color="DAEEF3" w:fill="DAEEF3" w:themeFill="accent5" w:themeFillTint="34"/>
      </w:tcPr>
    </w:tblStylePr>
    <w:tblStylePr w:type="band2Horz">
      <w:rPr>
        <w:color w:val="266678" w:themeColor="accent5" w:themeShade="94"/>
        <w:sz w:val="22"/>
      </w:rPr>
    </w:tblStylePr>
  </w:style>
  <w:style w:type="table" w:customStyle="1" w:styleId="GridTable7Colorful-Accent6">
    <w:name w:val="Grid Table 7 Colorful - Accent 6"/>
    <w:basedOn w:val="Tabelanormal"/>
    <w:uiPriority w:val="99"/>
    <w:qFormat/>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b/>
        <w:color w:val="B05307" w:themeColor="accent6" w:themeShade="94"/>
        <w:sz w:val="22"/>
      </w:rPr>
      <w:tblPr/>
      <w:tcPr>
        <w:tcBorders>
          <w:top w:val="none" w:sz="4" w:space="0" w:color="000000"/>
          <w:left w:val="none" w:sz="4" w:space="0" w:color="000000"/>
          <w:bottom w:val="single" w:sz="4" w:space="0" w:color="F79646" w:themeColor="accent6"/>
          <w:right w:val="none" w:sz="4" w:space="0" w:color="000000"/>
        </w:tcBorders>
        <w:shd w:val="clear" w:color="FFFFFF" w:fill="FFFFFF" w:themeFill="light1"/>
      </w:tcPr>
    </w:tblStylePr>
    <w:tblStylePr w:type="lastRow">
      <w:rPr>
        <w:b/>
        <w:color w:val="B05307" w:themeColor="accent6" w:themeShade="94"/>
        <w:sz w:val="22"/>
      </w:rPr>
      <w:tblPr/>
      <w:tcPr>
        <w:tcBorders>
          <w:top w:val="single" w:sz="4" w:space="0" w:color="F79646" w:themeColor="accent6"/>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B05307" w:themeColor="accent6" w:themeShade="94"/>
        <w:sz w:val="22"/>
      </w:rPr>
      <w:tblPr/>
      <w:tcPr>
        <w:tcBorders>
          <w:top w:val="none" w:sz="4" w:space="0" w:color="000000"/>
          <w:left w:val="none" w:sz="4" w:space="0" w:color="000000"/>
          <w:bottom w:val="none" w:sz="4" w:space="0" w:color="000000"/>
          <w:right w:val="single" w:sz="4" w:space="0" w:color="F79646" w:themeColor="accent6"/>
        </w:tcBorders>
        <w:shd w:val="clear" w:color="FFFFFF" w:fill="auto"/>
      </w:tcPr>
    </w:tblStylePr>
    <w:tblStylePr w:type="lastCol">
      <w:rPr>
        <w:i/>
        <w:color w:val="B05307" w:themeColor="accent6" w:themeShade="94"/>
        <w:sz w:val="22"/>
      </w:rPr>
      <w:tblPr/>
      <w:tcPr>
        <w:tcBorders>
          <w:top w:val="none" w:sz="4" w:space="0" w:color="000000"/>
          <w:left w:val="single" w:sz="4" w:space="0" w:color="F79646" w:themeColor="accent6"/>
          <w:bottom w:val="none" w:sz="4" w:space="0" w:color="000000"/>
          <w:right w:val="none" w:sz="4" w:space="0" w:color="000000"/>
        </w:tcBorders>
        <w:shd w:val="clear" w:color="FFFFFF" w:fill="auto"/>
      </w:tcPr>
    </w:tblStylePr>
    <w:tblStylePr w:type="band1Vert">
      <w:tblPr/>
      <w:tcPr>
        <w:shd w:val="clear" w:color="FDE9D8" w:fill="FDE9D8" w:themeFill="accent6" w:themeFillTint="34"/>
      </w:tcPr>
    </w:tblStylePr>
    <w:tblStylePr w:type="band1Horz">
      <w:rPr>
        <w:color w:val="B05307" w:themeColor="accent6" w:themeShade="94"/>
        <w:sz w:val="22"/>
      </w:rPr>
      <w:tblPr/>
      <w:tcPr>
        <w:shd w:val="clear" w:color="FDE9D8" w:fill="FDE9D8" w:themeFill="accent6" w:themeFillTint="34"/>
      </w:tcPr>
    </w:tblStylePr>
    <w:tblStylePr w:type="band2Horz">
      <w:rPr>
        <w:color w:val="B05307" w:themeColor="accent6" w:themeShade="94"/>
        <w:sz w:val="22"/>
      </w:rPr>
    </w:tblStylePr>
  </w:style>
  <w:style w:type="table" w:customStyle="1" w:styleId="TabeladeLista1Clara1">
    <w:name w:val="Tabela de Lista 1 Clara1"/>
    <w:basedOn w:val="Tabelanormal"/>
    <w:uiPriority w:val="99"/>
    <w:qFormat/>
    <w:tblPr/>
    <w:tblStylePr w:type="firstRow">
      <w:rPr>
        <w:b/>
      </w:rPr>
      <w:tblPr/>
      <w:tcPr>
        <w:tcBorders>
          <w:top w:val="none" w:sz="4" w:space="0" w:color="000000"/>
          <w:left w:val="none" w:sz="4" w:space="0" w:color="000000"/>
          <w:bottom w:val="single" w:sz="4" w:space="0" w:color="000000" w:themeColor="text1"/>
          <w:right w:val="none" w:sz="4" w:space="0" w:color="000000"/>
        </w:tcBorders>
      </w:tcPr>
    </w:tblStylePr>
    <w:tblStylePr w:type="lastRow">
      <w:rPr>
        <w:b/>
      </w:rPr>
      <w:tblPr/>
      <w:tcPr>
        <w:tcBorders>
          <w:top w:val="single" w:sz="4" w:space="0" w:color="000000" w:themeColor="text1"/>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BFBFBF" w:fill="BFBFBF" w:themeFill="text1" w:themeFillTint="40"/>
      </w:tcPr>
    </w:tblStylePr>
    <w:tblStylePr w:type="band1Horz">
      <w:tblPr/>
      <w:tcPr>
        <w:shd w:val="clear" w:color="BFBFBF" w:fill="BFBFBF" w:themeFill="text1" w:themeFillTint="40"/>
      </w:tcPr>
    </w:tblStylePr>
  </w:style>
  <w:style w:type="table" w:customStyle="1" w:styleId="ListTable1Light-Accent1">
    <w:name w:val="List Table 1 Light - Accent 1"/>
    <w:basedOn w:val="Tabelanormal"/>
    <w:uiPriority w:val="99"/>
    <w:qFormat/>
    <w:tblPr/>
    <w:tblStylePr w:type="firstRow">
      <w:rPr>
        <w:b/>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D2DFEE" w:fill="D2DFEE" w:themeFill="accent1" w:themeFillTint="40"/>
      </w:tcPr>
    </w:tblStylePr>
    <w:tblStylePr w:type="band1Horz">
      <w:tblPr/>
      <w:tcPr>
        <w:shd w:val="clear" w:color="D2DFEE" w:fill="D2DFEE" w:themeFill="accent1" w:themeFillTint="40"/>
      </w:tcPr>
    </w:tblStylePr>
  </w:style>
  <w:style w:type="table" w:customStyle="1" w:styleId="ListTable1Light-Accent2">
    <w:name w:val="List Table 1 Light - Accent 2"/>
    <w:basedOn w:val="Tabelanormal"/>
    <w:qFormat/>
    <w:tblPr/>
    <w:tblStylePr w:type="firstRow">
      <w:rPr>
        <w:b/>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EFD2D2" w:fill="EFD2D2" w:themeFill="accent2" w:themeFillTint="40"/>
      </w:tcPr>
    </w:tblStylePr>
    <w:tblStylePr w:type="band1Horz">
      <w:tblPr/>
      <w:tcPr>
        <w:shd w:val="clear" w:color="EFD2D2" w:fill="EFD2D2" w:themeFill="accent2" w:themeFillTint="40"/>
      </w:tcPr>
    </w:tblStylePr>
  </w:style>
  <w:style w:type="table" w:customStyle="1" w:styleId="ListTable1Light-Accent3">
    <w:name w:val="List Table 1 Light - Accent 3"/>
    <w:basedOn w:val="Tabelanormal"/>
    <w:uiPriority w:val="99"/>
    <w:qFormat/>
    <w:tblPr/>
    <w:tblStylePr w:type="firstRow">
      <w:rPr>
        <w:b/>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E5EED5" w:fill="E5EED5" w:themeFill="accent3" w:themeFillTint="40"/>
      </w:tcPr>
    </w:tblStylePr>
    <w:tblStylePr w:type="band1Horz">
      <w:tblPr/>
      <w:tcPr>
        <w:shd w:val="clear" w:color="E5EED5" w:fill="E5EED5" w:themeFill="accent3" w:themeFillTint="40"/>
      </w:tcPr>
    </w:tblStylePr>
  </w:style>
  <w:style w:type="table" w:customStyle="1" w:styleId="ListTable1Light-Accent4">
    <w:name w:val="List Table 1 Light - Accent 4"/>
    <w:basedOn w:val="Tabelanormal"/>
    <w:qFormat/>
    <w:tblPr/>
    <w:tblStylePr w:type="firstRow">
      <w:rPr>
        <w:b/>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DFD8E7" w:fill="DFD8E7" w:themeFill="accent4" w:themeFillTint="40"/>
      </w:tcPr>
    </w:tblStylePr>
    <w:tblStylePr w:type="band1Horz">
      <w:tblPr/>
      <w:tcPr>
        <w:shd w:val="clear" w:color="DFD8E7" w:fill="DFD8E7" w:themeFill="accent4" w:themeFillTint="40"/>
      </w:tcPr>
    </w:tblStylePr>
  </w:style>
  <w:style w:type="table" w:customStyle="1" w:styleId="ListTable1Light-Accent5">
    <w:name w:val="List Table 1 Light - Accent 5"/>
    <w:basedOn w:val="Tabelanormal"/>
    <w:uiPriority w:val="99"/>
    <w:tblPr/>
    <w:tblStylePr w:type="firstRow">
      <w:rPr>
        <w:b/>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D1EAF0" w:fill="D1EAF0" w:themeFill="accent5" w:themeFillTint="40"/>
      </w:tcPr>
    </w:tblStylePr>
    <w:tblStylePr w:type="band1Horz">
      <w:tblPr/>
      <w:tcPr>
        <w:shd w:val="clear" w:color="D1EAF0" w:fill="D1EAF0" w:themeFill="accent5" w:themeFillTint="40"/>
      </w:tcPr>
    </w:tblStylePr>
  </w:style>
  <w:style w:type="table" w:customStyle="1" w:styleId="ListTable1Light-Accent6">
    <w:name w:val="List Table 1 Light - Accent 6"/>
    <w:basedOn w:val="Tabelanormal"/>
    <w:uiPriority w:val="99"/>
    <w:tblPr/>
    <w:tblStylePr w:type="firstRow">
      <w:rPr>
        <w:b/>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FDE4D0" w:fill="FDE4D0" w:themeFill="accent6" w:themeFillTint="40"/>
      </w:tcPr>
    </w:tblStylePr>
    <w:tblStylePr w:type="band1Horz">
      <w:tblPr/>
      <w:tcPr>
        <w:shd w:val="clear" w:color="FDE4D0" w:fill="FDE4D0" w:themeFill="accent6" w:themeFillTint="40"/>
      </w:tcPr>
    </w:tblStylePr>
  </w:style>
  <w:style w:type="table" w:customStyle="1" w:styleId="TabeladeLista21">
    <w:name w:val="Tabela de Lista 21"/>
    <w:basedOn w:val="Tabelanormal"/>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b/>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lastRow">
      <w:rPr>
        <w:b/>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firstCol">
      <w:rPr>
        <w:b/>
        <w:sz w:val="22"/>
      </w:rPr>
    </w:tblStylePr>
    <w:tblStylePr w:type="lastCol">
      <w:rPr>
        <w:b/>
        <w:sz w:val="22"/>
      </w:rPr>
    </w:tblStylePr>
    <w:tblStylePr w:type="band1Vert">
      <w:rPr>
        <w:sz w:val="22"/>
      </w:rPr>
      <w:tblPr/>
      <w:tcPr>
        <w:shd w:val="clear" w:color="BFBFBF" w:fill="BFBFBF" w:themeFill="text1" w:themeFillTint="40"/>
      </w:tcPr>
    </w:tblStylePr>
    <w:tblStylePr w:type="band1Horz">
      <w:rPr>
        <w:sz w:val="22"/>
      </w:rPr>
      <w:tblPr/>
      <w:tcPr>
        <w:shd w:val="clear" w:color="BFBFBF" w:fill="BFBFBF" w:themeFill="text1" w:themeFillTint="40"/>
      </w:tcPr>
    </w:tblStylePr>
  </w:style>
  <w:style w:type="table" w:customStyle="1" w:styleId="ListTable2-Accent1">
    <w:name w:val="List Table 2 - Accent 1"/>
    <w:basedOn w:val="Tabelanormal"/>
    <w:uiPriority w:val="99"/>
    <w:qFormat/>
    <w:tblPr>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b/>
        <w:sz w:val="22"/>
      </w:rPr>
      <w:tblPr/>
      <w:tcPr>
        <w:tcBorders>
          <w:top w:val="single" w:sz="4" w:space="0" w:color="4F81BD" w:themeColor="accent1"/>
          <w:left w:val="none" w:sz="4" w:space="0" w:color="000000"/>
          <w:bottom w:val="single" w:sz="4" w:space="0" w:color="4F81BD" w:themeColor="accent1"/>
          <w:right w:val="none" w:sz="4" w:space="0" w:color="000000"/>
        </w:tcBorders>
      </w:tcPr>
    </w:tblStylePr>
    <w:tblStylePr w:type="lastRow">
      <w:rPr>
        <w:b/>
        <w:sz w:val="22"/>
      </w:rPr>
      <w:tblPr/>
      <w:tcPr>
        <w:tcBorders>
          <w:top w:val="single" w:sz="4" w:space="0" w:color="4F81BD" w:themeColor="accent1"/>
          <w:left w:val="none" w:sz="4" w:space="0" w:color="000000"/>
          <w:bottom w:val="single" w:sz="4" w:space="0" w:color="4F81BD" w:themeColor="accent1"/>
          <w:right w:val="none" w:sz="4" w:space="0" w:color="000000"/>
        </w:tcBorders>
      </w:tcPr>
    </w:tblStylePr>
    <w:tblStylePr w:type="firstCol">
      <w:rPr>
        <w:b/>
        <w:sz w:val="22"/>
      </w:rPr>
    </w:tblStylePr>
    <w:tblStylePr w:type="lastCol">
      <w:rPr>
        <w:b/>
        <w:sz w:val="22"/>
      </w:rPr>
    </w:tblStylePr>
    <w:tblStylePr w:type="band1Vert">
      <w:rPr>
        <w:sz w:val="22"/>
      </w:rPr>
      <w:tblPr/>
      <w:tcPr>
        <w:shd w:val="clear" w:color="D2DFEE" w:fill="D2DFEE" w:themeFill="accent1" w:themeFillTint="40"/>
      </w:tcPr>
    </w:tblStylePr>
    <w:tblStylePr w:type="band1Horz">
      <w:rPr>
        <w:sz w:val="22"/>
      </w:rPr>
      <w:tblPr/>
      <w:tcPr>
        <w:shd w:val="clear" w:color="D2DFEE" w:fill="D2DFEE" w:themeFill="accent1" w:themeFillTint="40"/>
      </w:tcPr>
    </w:tblStylePr>
  </w:style>
  <w:style w:type="table" w:customStyle="1" w:styleId="ListTable2-Accent2">
    <w:name w:val="List Table 2 - Accent 2"/>
    <w:basedOn w:val="Tabelanormal"/>
    <w:uiPriority w:val="99"/>
    <w:tblPr>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b/>
        <w:sz w:val="22"/>
      </w:rPr>
      <w:tblPr/>
      <w:tcPr>
        <w:tcBorders>
          <w:top w:val="single" w:sz="4" w:space="0" w:color="C0504D" w:themeColor="accent2"/>
          <w:left w:val="none" w:sz="4" w:space="0" w:color="000000"/>
          <w:bottom w:val="single" w:sz="4" w:space="0" w:color="C0504D" w:themeColor="accent2"/>
          <w:right w:val="none" w:sz="4" w:space="0" w:color="000000"/>
        </w:tcBorders>
      </w:tcPr>
    </w:tblStylePr>
    <w:tblStylePr w:type="lastRow">
      <w:rPr>
        <w:b/>
        <w:sz w:val="22"/>
      </w:rPr>
      <w:tblPr/>
      <w:tcPr>
        <w:tcBorders>
          <w:top w:val="single" w:sz="4" w:space="0" w:color="C0504D" w:themeColor="accent2"/>
          <w:left w:val="none" w:sz="4" w:space="0" w:color="000000"/>
          <w:bottom w:val="single" w:sz="4" w:space="0" w:color="C0504D" w:themeColor="accent2"/>
          <w:right w:val="none" w:sz="4" w:space="0" w:color="000000"/>
        </w:tcBorders>
      </w:tcPr>
    </w:tblStylePr>
    <w:tblStylePr w:type="firstCol">
      <w:rPr>
        <w:b/>
        <w:sz w:val="22"/>
      </w:rPr>
    </w:tblStylePr>
    <w:tblStylePr w:type="lastCol">
      <w:rPr>
        <w:b/>
        <w:sz w:val="22"/>
      </w:rPr>
    </w:tblStylePr>
    <w:tblStylePr w:type="band1Vert">
      <w:rPr>
        <w:sz w:val="22"/>
      </w:rPr>
      <w:tblPr/>
      <w:tcPr>
        <w:shd w:val="clear" w:color="EFD2D2" w:fill="EFD2D2" w:themeFill="accent2" w:themeFillTint="40"/>
      </w:tcPr>
    </w:tblStylePr>
    <w:tblStylePr w:type="band1Horz">
      <w:rPr>
        <w:sz w:val="22"/>
      </w:rPr>
      <w:tblPr/>
      <w:tcPr>
        <w:shd w:val="clear" w:color="EFD2D2" w:fill="EFD2D2" w:themeFill="accent2" w:themeFillTint="40"/>
      </w:tcPr>
    </w:tblStylePr>
  </w:style>
  <w:style w:type="table" w:customStyle="1" w:styleId="ListTable2-Accent3">
    <w:name w:val="List Table 2 - Accent 3"/>
    <w:basedOn w:val="Tabelanormal"/>
    <w:uiPriority w:val="99"/>
    <w:tblPr>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b/>
        <w:sz w:val="22"/>
      </w:rPr>
      <w:tblPr/>
      <w:tcPr>
        <w:tcBorders>
          <w:top w:val="single" w:sz="4" w:space="0" w:color="9BBB59" w:themeColor="accent3"/>
          <w:left w:val="none" w:sz="4" w:space="0" w:color="000000"/>
          <w:bottom w:val="single" w:sz="4" w:space="0" w:color="9BBB59" w:themeColor="accent3"/>
          <w:right w:val="none" w:sz="4" w:space="0" w:color="000000"/>
        </w:tcBorders>
      </w:tcPr>
    </w:tblStylePr>
    <w:tblStylePr w:type="lastRow">
      <w:rPr>
        <w:b/>
        <w:sz w:val="22"/>
      </w:rPr>
      <w:tblPr/>
      <w:tcPr>
        <w:tcBorders>
          <w:top w:val="single" w:sz="4" w:space="0" w:color="9BBB59" w:themeColor="accent3"/>
          <w:left w:val="none" w:sz="4" w:space="0" w:color="000000"/>
          <w:bottom w:val="single" w:sz="4" w:space="0" w:color="9BBB59" w:themeColor="accent3"/>
          <w:right w:val="none" w:sz="4" w:space="0" w:color="000000"/>
        </w:tcBorders>
      </w:tcPr>
    </w:tblStylePr>
    <w:tblStylePr w:type="firstCol">
      <w:rPr>
        <w:b/>
        <w:sz w:val="22"/>
      </w:rPr>
    </w:tblStylePr>
    <w:tblStylePr w:type="lastCol">
      <w:rPr>
        <w:b/>
        <w:sz w:val="22"/>
      </w:rPr>
    </w:tblStylePr>
    <w:tblStylePr w:type="band1Vert">
      <w:rPr>
        <w:sz w:val="22"/>
      </w:rPr>
      <w:tblPr/>
      <w:tcPr>
        <w:shd w:val="clear" w:color="E5EED5" w:fill="E5EED5" w:themeFill="accent3" w:themeFillTint="40"/>
      </w:tcPr>
    </w:tblStylePr>
    <w:tblStylePr w:type="band1Horz">
      <w:rPr>
        <w:sz w:val="22"/>
      </w:rPr>
      <w:tblPr/>
      <w:tcPr>
        <w:shd w:val="clear" w:color="E5EED5" w:fill="E5EED5" w:themeFill="accent3" w:themeFillTint="40"/>
      </w:tcPr>
    </w:tblStylePr>
  </w:style>
  <w:style w:type="table" w:customStyle="1" w:styleId="ListTable2-Accent4">
    <w:name w:val="List Table 2 - Accent 4"/>
    <w:basedOn w:val="Tabelanormal"/>
    <w:uiPriority w:val="99"/>
    <w:tblPr>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b/>
        <w:sz w:val="22"/>
      </w:rPr>
      <w:tblPr/>
      <w:tcPr>
        <w:tcBorders>
          <w:top w:val="single" w:sz="4" w:space="0" w:color="8064A2" w:themeColor="accent4"/>
          <w:left w:val="none" w:sz="4" w:space="0" w:color="000000"/>
          <w:bottom w:val="single" w:sz="4" w:space="0" w:color="8064A2" w:themeColor="accent4"/>
          <w:right w:val="none" w:sz="4" w:space="0" w:color="000000"/>
        </w:tcBorders>
      </w:tcPr>
    </w:tblStylePr>
    <w:tblStylePr w:type="lastRow">
      <w:rPr>
        <w:b/>
        <w:sz w:val="22"/>
      </w:rPr>
      <w:tblPr/>
      <w:tcPr>
        <w:tcBorders>
          <w:top w:val="single" w:sz="4" w:space="0" w:color="8064A2" w:themeColor="accent4"/>
          <w:left w:val="none" w:sz="4" w:space="0" w:color="000000"/>
          <w:bottom w:val="single" w:sz="4" w:space="0" w:color="8064A2" w:themeColor="accent4"/>
          <w:right w:val="none" w:sz="4" w:space="0" w:color="000000"/>
        </w:tcBorders>
      </w:tcPr>
    </w:tblStylePr>
    <w:tblStylePr w:type="firstCol">
      <w:rPr>
        <w:b/>
        <w:sz w:val="22"/>
      </w:rPr>
    </w:tblStylePr>
    <w:tblStylePr w:type="lastCol">
      <w:rPr>
        <w:b/>
        <w:sz w:val="22"/>
      </w:rPr>
    </w:tblStylePr>
    <w:tblStylePr w:type="band1Vert">
      <w:rPr>
        <w:sz w:val="22"/>
      </w:rPr>
      <w:tblPr/>
      <w:tcPr>
        <w:shd w:val="clear" w:color="DFD8E7" w:fill="DFD8E7" w:themeFill="accent4" w:themeFillTint="40"/>
      </w:tcPr>
    </w:tblStylePr>
    <w:tblStylePr w:type="band1Horz">
      <w:rPr>
        <w:sz w:val="22"/>
      </w:rPr>
      <w:tblPr/>
      <w:tcPr>
        <w:shd w:val="clear" w:color="DFD8E7" w:fill="DFD8E7" w:themeFill="accent4" w:themeFillTint="40"/>
      </w:tcPr>
    </w:tblStylePr>
  </w:style>
  <w:style w:type="table" w:customStyle="1" w:styleId="ListTable2-Accent5">
    <w:name w:val="List Table 2 - Accent 5"/>
    <w:basedOn w:val="Tabelanormal"/>
    <w:uiPriority w:val="99"/>
    <w:tblPr>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b/>
        <w:sz w:val="22"/>
      </w:rPr>
      <w:tblPr/>
      <w:tcPr>
        <w:tcBorders>
          <w:top w:val="single" w:sz="4" w:space="0" w:color="4BACC6" w:themeColor="accent5"/>
          <w:left w:val="none" w:sz="4" w:space="0" w:color="000000"/>
          <w:bottom w:val="single" w:sz="4" w:space="0" w:color="4BACC6" w:themeColor="accent5"/>
          <w:right w:val="none" w:sz="4" w:space="0" w:color="000000"/>
        </w:tcBorders>
      </w:tcPr>
    </w:tblStylePr>
    <w:tblStylePr w:type="lastRow">
      <w:rPr>
        <w:b/>
        <w:sz w:val="22"/>
      </w:rPr>
      <w:tblPr/>
      <w:tcPr>
        <w:tcBorders>
          <w:top w:val="single" w:sz="4" w:space="0" w:color="4BACC6" w:themeColor="accent5"/>
          <w:left w:val="none" w:sz="4" w:space="0" w:color="000000"/>
          <w:bottom w:val="single" w:sz="4" w:space="0" w:color="4BACC6" w:themeColor="accent5"/>
          <w:right w:val="none" w:sz="4" w:space="0" w:color="000000"/>
        </w:tcBorders>
      </w:tcPr>
    </w:tblStylePr>
    <w:tblStylePr w:type="firstCol">
      <w:rPr>
        <w:b/>
        <w:sz w:val="22"/>
      </w:rPr>
    </w:tblStylePr>
    <w:tblStylePr w:type="lastCol">
      <w:rPr>
        <w:b/>
        <w:sz w:val="22"/>
      </w:rPr>
    </w:tblStylePr>
    <w:tblStylePr w:type="band1Vert">
      <w:rPr>
        <w:sz w:val="22"/>
      </w:rPr>
      <w:tblPr/>
      <w:tcPr>
        <w:shd w:val="clear" w:color="D1EAF0" w:fill="D1EAF0" w:themeFill="accent5" w:themeFillTint="40"/>
      </w:tcPr>
    </w:tblStylePr>
    <w:tblStylePr w:type="band1Horz">
      <w:rPr>
        <w:sz w:val="22"/>
      </w:rPr>
      <w:tblPr/>
      <w:tcPr>
        <w:shd w:val="clear" w:color="D1EAF0" w:fill="D1EAF0" w:themeFill="accent5" w:themeFillTint="40"/>
      </w:tcPr>
    </w:tblStylePr>
  </w:style>
  <w:style w:type="table" w:customStyle="1" w:styleId="ListTable2-Accent6">
    <w:name w:val="List Table 2 - Accent 6"/>
    <w:basedOn w:val="Tabelanormal"/>
    <w:uiPriority w:val="99"/>
    <w:tblPr>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b/>
        <w:sz w:val="22"/>
      </w:rPr>
      <w:tblPr/>
      <w:tcPr>
        <w:tcBorders>
          <w:top w:val="single" w:sz="4" w:space="0" w:color="F79646" w:themeColor="accent6"/>
          <w:left w:val="none" w:sz="4" w:space="0" w:color="000000"/>
          <w:bottom w:val="single" w:sz="4" w:space="0" w:color="F79646" w:themeColor="accent6"/>
          <w:right w:val="none" w:sz="4" w:space="0" w:color="000000"/>
        </w:tcBorders>
      </w:tcPr>
    </w:tblStylePr>
    <w:tblStylePr w:type="lastRow">
      <w:rPr>
        <w:b/>
        <w:sz w:val="22"/>
      </w:rPr>
      <w:tblPr/>
      <w:tcPr>
        <w:tcBorders>
          <w:top w:val="single" w:sz="4" w:space="0" w:color="F79646" w:themeColor="accent6"/>
          <w:left w:val="none" w:sz="4" w:space="0" w:color="000000"/>
          <w:bottom w:val="single" w:sz="4" w:space="0" w:color="F79646" w:themeColor="accent6"/>
          <w:right w:val="none" w:sz="4" w:space="0" w:color="000000"/>
        </w:tcBorders>
      </w:tcPr>
    </w:tblStylePr>
    <w:tblStylePr w:type="firstCol">
      <w:rPr>
        <w:b/>
        <w:sz w:val="22"/>
      </w:rPr>
    </w:tblStylePr>
    <w:tblStylePr w:type="lastCol">
      <w:rPr>
        <w:b/>
        <w:sz w:val="22"/>
      </w:rPr>
    </w:tblStylePr>
    <w:tblStylePr w:type="band1Vert">
      <w:rPr>
        <w:sz w:val="22"/>
      </w:rPr>
      <w:tblPr/>
      <w:tcPr>
        <w:shd w:val="clear" w:color="FDE4D0" w:fill="FDE4D0" w:themeFill="accent6" w:themeFillTint="40"/>
      </w:tcPr>
    </w:tblStylePr>
    <w:tblStylePr w:type="band1Horz">
      <w:rPr>
        <w:sz w:val="22"/>
      </w:rPr>
      <w:tblPr/>
      <w:tcPr>
        <w:shd w:val="clear" w:color="FDE4D0" w:fill="FDE4D0" w:themeFill="accent6" w:themeFillTint="40"/>
      </w:tcPr>
    </w:tblStylePr>
  </w:style>
  <w:style w:type="table" w:customStyle="1" w:styleId="TabeladeLista31">
    <w:name w:val="Tabela de Lista 31"/>
    <w:basedOn w:val="Tabelanormal"/>
    <w:uiPriority w:val="99"/>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sz w:val="22"/>
      </w:rPr>
      <w:tblPr/>
      <w:tcPr>
        <w:shd w:val="clear" w:color="000000" w:fill="000000" w:themeFill="text1"/>
      </w:tcPr>
    </w:tblStylePr>
    <w:tblStylePr w:type="lastRow">
      <w:rPr>
        <w:b/>
      </w:rPr>
    </w:tblStylePr>
    <w:tblStylePr w:type="firstCol">
      <w:rPr>
        <w:b/>
      </w:rPr>
    </w:tblStylePr>
    <w:tblStylePr w:type="lastCol">
      <w:rPr>
        <w:b/>
      </w:rPr>
    </w:tblStylePr>
    <w:tblStylePr w:type="band1Vert">
      <w:rPr>
        <w:sz w:val="22"/>
      </w:rPr>
      <w:tblPr/>
      <w:tcPr>
        <w:tcBorders>
          <w:left w:val="single" w:sz="4" w:space="0" w:color="000000" w:themeColor="text1"/>
          <w:right w:val="single" w:sz="4" w:space="0" w:color="000000" w:themeColor="text1"/>
        </w:tcBorders>
      </w:tcPr>
    </w:tblStylePr>
    <w:tblStylePr w:type="band1Horz">
      <w:rPr>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elanormal"/>
    <w:uiPriority w:val="99"/>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b/>
        <w:sz w:val="22"/>
      </w:rPr>
      <w:tblPr/>
      <w:tcPr>
        <w:shd w:val="clear" w:color="4F81BD" w:fill="4F81BD" w:themeFill="accent1"/>
      </w:tcPr>
    </w:tblStylePr>
    <w:tblStylePr w:type="lastRow">
      <w:rPr>
        <w:b/>
      </w:rPr>
    </w:tblStylePr>
    <w:tblStylePr w:type="firstCol">
      <w:rPr>
        <w:b/>
      </w:rPr>
    </w:tblStylePr>
    <w:tblStylePr w:type="lastCol">
      <w:rPr>
        <w:b/>
      </w:rPr>
    </w:tblStylePr>
    <w:tblStylePr w:type="band1Vert">
      <w:rPr>
        <w:sz w:val="22"/>
      </w:rPr>
      <w:tblPr/>
      <w:tcPr>
        <w:tcBorders>
          <w:left w:val="single" w:sz="4" w:space="0" w:color="4F81BD" w:themeColor="accent1"/>
          <w:right w:val="single" w:sz="4" w:space="0" w:color="4F81BD" w:themeColor="accent1"/>
        </w:tcBorders>
      </w:tcPr>
    </w:tblStylePr>
    <w:tblStylePr w:type="band1Horz">
      <w:rPr>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Tabelanormal"/>
    <w:uiPriority w:val="99"/>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b/>
        <w:sz w:val="22"/>
      </w:rPr>
      <w:tblPr/>
      <w:tcPr>
        <w:shd w:val="clear" w:color="D99695" w:fill="D99695" w:themeFill="accent2" w:themeFillTint="97"/>
      </w:tcPr>
    </w:tblStylePr>
    <w:tblStylePr w:type="lastRow">
      <w:rPr>
        <w:b/>
      </w:rPr>
    </w:tblStylePr>
    <w:tblStylePr w:type="firstCol">
      <w:rPr>
        <w:b/>
      </w:rPr>
    </w:tblStylePr>
    <w:tblStylePr w:type="lastCol">
      <w:rPr>
        <w:b/>
      </w:rPr>
    </w:tblStylePr>
    <w:tblStylePr w:type="band1Vert">
      <w:rPr>
        <w:sz w:val="22"/>
      </w:rPr>
      <w:tblPr/>
      <w:tcPr>
        <w:tcBorders>
          <w:left w:val="single" w:sz="4" w:space="0" w:color="C0504D" w:themeColor="accent2"/>
          <w:right w:val="single" w:sz="4" w:space="0" w:color="C0504D" w:themeColor="accent2"/>
        </w:tcBorders>
      </w:tcPr>
    </w:tblStylePr>
    <w:tblStylePr w:type="band1Horz">
      <w:rPr>
        <w:sz w:val="22"/>
      </w:rPr>
      <w:tblPr/>
      <w:tcPr>
        <w:tcBorders>
          <w:top w:val="single" w:sz="4" w:space="0" w:color="C0504D" w:themeColor="accent2"/>
          <w:bottom w:val="single" w:sz="4" w:space="0" w:color="C0504D" w:themeColor="accent2"/>
        </w:tcBorders>
      </w:tcPr>
    </w:tblStylePr>
  </w:style>
  <w:style w:type="table" w:customStyle="1" w:styleId="ListTable3-Accent3">
    <w:name w:val="List Table 3 - Accent 3"/>
    <w:basedOn w:val="Tabelanormal"/>
    <w:uiPriority w:val="99"/>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b/>
        <w:sz w:val="22"/>
      </w:rPr>
      <w:tblPr/>
      <w:tcPr>
        <w:shd w:val="clear" w:color="C3D69B" w:fill="C3D69B" w:themeFill="accent3" w:themeFillTint="98"/>
      </w:tcPr>
    </w:tblStylePr>
    <w:tblStylePr w:type="lastRow">
      <w:rPr>
        <w:b/>
      </w:rPr>
    </w:tblStylePr>
    <w:tblStylePr w:type="firstCol">
      <w:rPr>
        <w:b/>
      </w:rPr>
    </w:tblStylePr>
    <w:tblStylePr w:type="lastCol">
      <w:rPr>
        <w:b/>
      </w:rPr>
    </w:tblStylePr>
    <w:tblStylePr w:type="band1Vert">
      <w:rPr>
        <w:sz w:val="22"/>
      </w:rPr>
      <w:tblPr/>
      <w:tcPr>
        <w:tcBorders>
          <w:left w:val="single" w:sz="4" w:space="0" w:color="9BBB59" w:themeColor="accent3"/>
          <w:right w:val="single" w:sz="4" w:space="0" w:color="9BBB59" w:themeColor="accent3"/>
        </w:tcBorders>
      </w:tcPr>
    </w:tblStylePr>
    <w:tblStylePr w:type="band1Horz">
      <w:rPr>
        <w:sz w:val="22"/>
      </w:rPr>
      <w:tblPr/>
      <w:tcPr>
        <w:tcBorders>
          <w:top w:val="single" w:sz="4" w:space="0" w:color="9BBB59" w:themeColor="accent3"/>
          <w:bottom w:val="single" w:sz="4" w:space="0" w:color="9BBB59" w:themeColor="accent3"/>
        </w:tcBorders>
      </w:tcPr>
    </w:tblStylePr>
  </w:style>
  <w:style w:type="table" w:customStyle="1" w:styleId="ListTable3-Accent4">
    <w:name w:val="List Table 3 - Accent 4"/>
    <w:basedOn w:val="Tabelanormal"/>
    <w:uiPriority w:val="99"/>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b/>
        <w:sz w:val="22"/>
      </w:rPr>
      <w:tblPr/>
      <w:tcPr>
        <w:shd w:val="clear" w:color="B2A1C6" w:fill="B2A1C6" w:themeFill="accent4" w:themeFillTint="9A"/>
      </w:tcPr>
    </w:tblStylePr>
    <w:tblStylePr w:type="lastRow">
      <w:rPr>
        <w:b/>
      </w:rPr>
    </w:tblStylePr>
    <w:tblStylePr w:type="firstCol">
      <w:rPr>
        <w:b/>
      </w:rPr>
    </w:tblStylePr>
    <w:tblStylePr w:type="lastCol">
      <w:rPr>
        <w:b/>
      </w:rPr>
    </w:tblStylePr>
    <w:tblStylePr w:type="band1Vert">
      <w:rPr>
        <w:sz w:val="22"/>
      </w:rPr>
      <w:tblPr/>
      <w:tcPr>
        <w:tcBorders>
          <w:left w:val="single" w:sz="4" w:space="0" w:color="8064A2" w:themeColor="accent4"/>
          <w:right w:val="single" w:sz="4" w:space="0" w:color="8064A2" w:themeColor="accent4"/>
        </w:tcBorders>
      </w:tcPr>
    </w:tblStylePr>
    <w:tblStylePr w:type="band1Horz">
      <w:rPr>
        <w:sz w:val="22"/>
      </w:rPr>
      <w:tblPr/>
      <w:tcPr>
        <w:tcBorders>
          <w:top w:val="single" w:sz="4" w:space="0" w:color="8064A2" w:themeColor="accent4"/>
          <w:bottom w:val="single" w:sz="4" w:space="0" w:color="8064A2" w:themeColor="accent4"/>
        </w:tcBorders>
      </w:tcPr>
    </w:tblStylePr>
  </w:style>
  <w:style w:type="table" w:customStyle="1" w:styleId="ListTable3-Accent5">
    <w:name w:val="List Table 3 - Accent 5"/>
    <w:basedOn w:val="Tabelanormal"/>
    <w:uiPriority w:val="99"/>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b/>
        <w:sz w:val="22"/>
      </w:rPr>
      <w:tblPr/>
      <w:tcPr>
        <w:shd w:val="clear" w:color="92CCDC" w:fill="92CCDC" w:themeFill="accent5" w:themeFillTint="9A"/>
      </w:tcPr>
    </w:tblStylePr>
    <w:tblStylePr w:type="lastRow">
      <w:rPr>
        <w:b/>
      </w:rPr>
    </w:tblStylePr>
    <w:tblStylePr w:type="firstCol">
      <w:rPr>
        <w:b/>
      </w:rPr>
    </w:tblStylePr>
    <w:tblStylePr w:type="lastCol">
      <w:rPr>
        <w:b/>
      </w:rPr>
    </w:tblStylePr>
    <w:tblStylePr w:type="band1Vert">
      <w:rPr>
        <w:sz w:val="22"/>
      </w:rPr>
      <w:tblPr/>
      <w:tcPr>
        <w:tcBorders>
          <w:left w:val="single" w:sz="4" w:space="0" w:color="4BACC6" w:themeColor="accent5"/>
          <w:right w:val="single" w:sz="4" w:space="0" w:color="4BACC6" w:themeColor="accent5"/>
        </w:tcBorders>
      </w:tcPr>
    </w:tblStylePr>
    <w:tblStylePr w:type="band1Horz">
      <w:rPr>
        <w:sz w:val="22"/>
      </w:rPr>
      <w:tblPr/>
      <w:tcPr>
        <w:tcBorders>
          <w:top w:val="single" w:sz="4" w:space="0" w:color="4BACC6" w:themeColor="accent5"/>
          <w:bottom w:val="single" w:sz="4" w:space="0" w:color="4BACC6" w:themeColor="accent5"/>
        </w:tcBorders>
      </w:tcPr>
    </w:tblStylePr>
  </w:style>
  <w:style w:type="table" w:customStyle="1" w:styleId="ListTable3-Accent6">
    <w:name w:val="List Table 3 - Accent 6"/>
    <w:basedOn w:val="Tabelanormal"/>
    <w:uiPriority w:val="99"/>
    <w:qFormat/>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b/>
        <w:sz w:val="22"/>
      </w:rPr>
      <w:tblPr/>
      <w:tcPr>
        <w:shd w:val="clear" w:color="FAC090" w:fill="FAC090" w:themeFill="accent6" w:themeFillTint="98"/>
      </w:tcPr>
    </w:tblStylePr>
    <w:tblStylePr w:type="lastRow">
      <w:rPr>
        <w:b/>
      </w:rPr>
    </w:tblStylePr>
    <w:tblStylePr w:type="firstCol">
      <w:rPr>
        <w:b/>
      </w:rPr>
    </w:tblStylePr>
    <w:tblStylePr w:type="lastCol">
      <w:rPr>
        <w:b/>
      </w:rPr>
    </w:tblStylePr>
    <w:tblStylePr w:type="band1Vert">
      <w:rPr>
        <w:sz w:val="22"/>
      </w:rPr>
      <w:tblPr/>
      <w:tcPr>
        <w:tcBorders>
          <w:left w:val="single" w:sz="4" w:space="0" w:color="F79646" w:themeColor="accent6"/>
          <w:right w:val="single" w:sz="4" w:space="0" w:color="F79646" w:themeColor="accent6"/>
        </w:tcBorders>
      </w:tcPr>
    </w:tblStylePr>
    <w:tblStylePr w:type="band1Horz">
      <w:rPr>
        <w:sz w:val="22"/>
      </w:rPr>
      <w:tblPr/>
      <w:tcPr>
        <w:tcBorders>
          <w:top w:val="single" w:sz="4" w:space="0" w:color="F79646" w:themeColor="accent6"/>
          <w:bottom w:val="single" w:sz="4" w:space="0" w:color="F79646" w:themeColor="accent6"/>
        </w:tcBorders>
      </w:tcPr>
    </w:tblStylePr>
  </w:style>
  <w:style w:type="table" w:customStyle="1" w:styleId="TabeladeLista41">
    <w:name w:val="Tabela de Lista 41"/>
    <w:basedOn w:val="Tabelanormal"/>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b/>
        <w:sz w:val="22"/>
      </w:rPr>
      <w:tblPr/>
      <w:tcPr>
        <w:shd w:val="clear" w:color="000000" w:fill="000000" w:themeFill="text1"/>
      </w:tcPr>
    </w:tblStylePr>
    <w:tblStylePr w:type="lastRow">
      <w:rPr>
        <w:b/>
      </w:rPr>
    </w:tblStylePr>
    <w:tblStylePr w:type="firstCol">
      <w:rPr>
        <w:b/>
      </w:rPr>
    </w:tblStylePr>
    <w:tblStylePr w:type="lastCol">
      <w:rPr>
        <w:b/>
      </w:rPr>
    </w:tblStylePr>
    <w:tblStylePr w:type="band1Vert">
      <w:rPr>
        <w:sz w:val="22"/>
      </w:rPr>
      <w:tblPr/>
      <w:tcPr>
        <w:shd w:val="clear" w:color="BFBFBF" w:fill="BFBFBF" w:themeFill="text1" w:themeFillTint="40"/>
      </w:tcPr>
    </w:tblStylePr>
    <w:tblStylePr w:type="band1Horz">
      <w:rPr>
        <w:sz w:val="22"/>
      </w:rPr>
      <w:tblPr/>
      <w:tcPr>
        <w:shd w:val="clear" w:color="BFBFBF" w:fill="BFBFBF" w:themeFill="text1" w:themeFillTint="40"/>
      </w:tcPr>
    </w:tblStylePr>
  </w:style>
  <w:style w:type="table" w:customStyle="1" w:styleId="ListTable4-Accent1">
    <w:name w:val="List Table 4 - Accent 1"/>
    <w:basedOn w:val="Tabelanormal"/>
    <w:uiPriority w:val="9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b/>
        <w:sz w:val="22"/>
      </w:rPr>
      <w:tblPr/>
      <w:tcPr>
        <w:shd w:val="clear" w:color="4F81BD" w:fill="4F81BD" w:themeFill="accent1"/>
      </w:tcPr>
    </w:tblStylePr>
    <w:tblStylePr w:type="lastRow">
      <w:rPr>
        <w:b/>
      </w:rPr>
    </w:tblStylePr>
    <w:tblStylePr w:type="firstCol">
      <w:rPr>
        <w:b/>
      </w:rPr>
    </w:tblStylePr>
    <w:tblStylePr w:type="lastCol">
      <w:rPr>
        <w:b/>
      </w:rPr>
    </w:tblStylePr>
    <w:tblStylePr w:type="band1Vert">
      <w:rPr>
        <w:sz w:val="22"/>
      </w:rPr>
      <w:tblPr/>
      <w:tcPr>
        <w:shd w:val="clear" w:color="D2DFEE" w:fill="D2DFEE" w:themeFill="accent1" w:themeFillTint="40"/>
      </w:tcPr>
    </w:tblStylePr>
    <w:tblStylePr w:type="band1Horz">
      <w:rPr>
        <w:sz w:val="22"/>
      </w:rPr>
      <w:tblPr/>
      <w:tcPr>
        <w:shd w:val="clear" w:color="D2DFEE" w:fill="D2DFEE" w:themeFill="accent1" w:themeFillTint="40"/>
      </w:tcPr>
    </w:tblStylePr>
  </w:style>
  <w:style w:type="table" w:customStyle="1" w:styleId="ListTable4-Accent2">
    <w:name w:val="List Table 4 - Accent 2"/>
    <w:basedOn w:val="Tabelanormal"/>
    <w:uiPriority w:val="99"/>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b/>
        <w:sz w:val="22"/>
      </w:rPr>
      <w:tblPr/>
      <w:tcPr>
        <w:shd w:val="clear" w:color="C0504D" w:fill="C0504D" w:themeFill="accent2"/>
      </w:tcPr>
    </w:tblStylePr>
    <w:tblStylePr w:type="lastRow">
      <w:rPr>
        <w:b/>
      </w:rPr>
    </w:tblStylePr>
    <w:tblStylePr w:type="firstCol">
      <w:rPr>
        <w:b/>
      </w:rPr>
    </w:tblStylePr>
    <w:tblStylePr w:type="lastCol">
      <w:rPr>
        <w:b/>
      </w:rPr>
    </w:tblStylePr>
    <w:tblStylePr w:type="band1Vert">
      <w:rPr>
        <w:sz w:val="22"/>
      </w:rPr>
      <w:tblPr/>
      <w:tcPr>
        <w:shd w:val="clear" w:color="EFD2D2" w:fill="EFD2D2" w:themeFill="accent2" w:themeFillTint="40"/>
      </w:tcPr>
    </w:tblStylePr>
    <w:tblStylePr w:type="band1Horz">
      <w:rPr>
        <w:sz w:val="22"/>
      </w:rPr>
      <w:tblPr/>
      <w:tcPr>
        <w:shd w:val="clear" w:color="EFD2D2" w:fill="EFD2D2" w:themeFill="accent2" w:themeFillTint="40"/>
      </w:tcPr>
    </w:tblStylePr>
  </w:style>
  <w:style w:type="table" w:customStyle="1" w:styleId="ListTable4-Accent3">
    <w:name w:val="List Table 4 - Accent 3"/>
    <w:basedOn w:val="Tabelanormal"/>
    <w:uiPriority w:val="9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b/>
        <w:sz w:val="22"/>
      </w:rPr>
      <w:tblPr/>
      <w:tcPr>
        <w:shd w:val="clear" w:color="9BBB59" w:fill="9BBB59" w:themeFill="accent3"/>
      </w:tcPr>
    </w:tblStylePr>
    <w:tblStylePr w:type="lastRow">
      <w:rPr>
        <w:b/>
      </w:rPr>
    </w:tblStylePr>
    <w:tblStylePr w:type="firstCol">
      <w:rPr>
        <w:b/>
      </w:rPr>
    </w:tblStylePr>
    <w:tblStylePr w:type="lastCol">
      <w:rPr>
        <w:b/>
      </w:rPr>
    </w:tblStylePr>
    <w:tblStylePr w:type="band1Vert">
      <w:rPr>
        <w:sz w:val="22"/>
      </w:rPr>
      <w:tblPr/>
      <w:tcPr>
        <w:shd w:val="clear" w:color="E5EED5" w:fill="E5EED5" w:themeFill="accent3" w:themeFillTint="40"/>
      </w:tcPr>
    </w:tblStylePr>
    <w:tblStylePr w:type="band1Horz">
      <w:rPr>
        <w:sz w:val="22"/>
      </w:rPr>
      <w:tblPr/>
      <w:tcPr>
        <w:shd w:val="clear" w:color="E5EED5" w:fill="E5EED5" w:themeFill="accent3" w:themeFillTint="40"/>
      </w:tcPr>
    </w:tblStylePr>
  </w:style>
  <w:style w:type="table" w:customStyle="1" w:styleId="ListTable4-Accent4">
    <w:name w:val="List Table 4 - Accent 4"/>
    <w:basedOn w:val="Tabelanormal"/>
    <w:uiPriority w:val="9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b/>
        <w:sz w:val="22"/>
      </w:rPr>
      <w:tblPr/>
      <w:tcPr>
        <w:shd w:val="clear" w:color="8064A2" w:fill="8064A2" w:themeFill="accent4"/>
      </w:tcPr>
    </w:tblStylePr>
    <w:tblStylePr w:type="lastRow">
      <w:rPr>
        <w:b/>
      </w:rPr>
    </w:tblStylePr>
    <w:tblStylePr w:type="firstCol">
      <w:rPr>
        <w:b/>
      </w:rPr>
    </w:tblStylePr>
    <w:tblStylePr w:type="lastCol">
      <w:rPr>
        <w:b/>
      </w:rPr>
    </w:tblStylePr>
    <w:tblStylePr w:type="band1Vert">
      <w:rPr>
        <w:sz w:val="22"/>
      </w:rPr>
      <w:tblPr/>
      <w:tcPr>
        <w:shd w:val="clear" w:color="DFD8E7" w:fill="DFD8E7" w:themeFill="accent4" w:themeFillTint="40"/>
      </w:tcPr>
    </w:tblStylePr>
    <w:tblStylePr w:type="band1Horz">
      <w:rPr>
        <w:sz w:val="22"/>
      </w:rPr>
      <w:tblPr/>
      <w:tcPr>
        <w:shd w:val="clear" w:color="DFD8E7" w:fill="DFD8E7" w:themeFill="accent4" w:themeFillTint="40"/>
      </w:tcPr>
    </w:tblStylePr>
  </w:style>
  <w:style w:type="table" w:customStyle="1" w:styleId="ListTable4-Accent5">
    <w:name w:val="List Table 4 - Accent 5"/>
    <w:basedOn w:val="Tabelanormal"/>
    <w:uiPriority w:val="9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b/>
        <w:sz w:val="22"/>
      </w:rPr>
      <w:tblPr/>
      <w:tcPr>
        <w:shd w:val="clear" w:color="4BACC6" w:fill="4BACC6" w:themeFill="accent5"/>
      </w:tcPr>
    </w:tblStylePr>
    <w:tblStylePr w:type="lastRow">
      <w:rPr>
        <w:b/>
      </w:rPr>
    </w:tblStylePr>
    <w:tblStylePr w:type="firstCol">
      <w:rPr>
        <w:b/>
      </w:rPr>
    </w:tblStylePr>
    <w:tblStylePr w:type="lastCol">
      <w:rPr>
        <w:b/>
      </w:rPr>
    </w:tblStylePr>
    <w:tblStylePr w:type="band1Vert">
      <w:rPr>
        <w:sz w:val="22"/>
      </w:rPr>
      <w:tblPr/>
      <w:tcPr>
        <w:shd w:val="clear" w:color="D1EAF0" w:fill="D1EAF0" w:themeFill="accent5" w:themeFillTint="40"/>
      </w:tcPr>
    </w:tblStylePr>
    <w:tblStylePr w:type="band1Horz">
      <w:rPr>
        <w:sz w:val="22"/>
      </w:rPr>
      <w:tblPr/>
      <w:tcPr>
        <w:shd w:val="clear" w:color="D1EAF0" w:fill="D1EAF0" w:themeFill="accent5" w:themeFillTint="40"/>
      </w:tcPr>
    </w:tblStylePr>
  </w:style>
  <w:style w:type="table" w:customStyle="1" w:styleId="ListTable4-Accent6">
    <w:name w:val="List Table 4 - Accent 6"/>
    <w:basedOn w:val="Tabelanormal"/>
    <w:uiPriority w:val="9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b/>
        <w:sz w:val="22"/>
      </w:rPr>
      <w:tblPr/>
      <w:tcPr>
        <w:shd w:val="clear" w:color="F79646" w:fill="F79646" w:themeFill="accent6"/>
      </w:tcPr>
    </w:tblStylePr>
    <w:tblStylePr w:type="lastRow">
      <w:rPr>
        <w:b/>
      </w:rPr>
    </w:tblStylePr>
    <w:tblStylePr w:type="firstCol">
      <w:rPr>
        <w:b/>
      </w:rPr>
    </w:tblStylePr>
    <w:tblStylePr w:type="lastCol">
      <w:rPr>
        <w:b/>
      </w:rPr>
    </w:tblStylePr>
    <w:tblStylePr w:type="band1Vert">
      <w:rPr>
        <w:sz w:val="22"/>
      </w:rPr>
      <w:tblPr/>
      <w:tcPr>
        <w:shd w:val="clear" w:color="FDE4D0" w:fill="FDE4D0" w:themeFill="accent6" w:themeFillTint="40"/>
      </w:tcPr>
    </w:tblStylePr>
    <w:tblStylePr w:type="band1Horz">
      <w:rPr>
        <w:sz w:val="22"/>
      </w:rPr>
      <w:tblPr/>
      <w:tcPr>
        <w:shd w:val="clear" w:color="FDE4D0" w:fill="FDE4D0" w:themeFill="accent6" w:themeFillTint="40"/>
      </w:tcPr>
    </w:tblStylePr>
  </w:style>
  <w:style w:type="table" w:customStyle="1" w:styleId="TabeladeLista5Escura1">
    <w:name w:val="Tabela de Lista 5 Escura1"/>
    <w:basedOn w:val="Tabelanormal"/>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b/>
        <w:color w:val="FFFFFF" w:themeColor="light1"/>
        <w:sz w:val="22"/>
      </w:rPr>
      <w:tblPr/>
      <w:tcPr>
        <w:tcBorders>
          <w:top w:val="single" w:sz="32" w:space="0" w:color="000000" w:themeColor="text1"/>
          <w:bottom w:val="single" w:sz="12" w:space="0" w:color="FFFFFF" w:themeColor="light1"/>
        </w:tcBorders>
        <w:shd w:val="clear" w:color="7F7F7F" w:fill="7F7F7F" w:themeFill="text1" w:themeFillTint="80"/>
      </w:tcPr>
    </w:tblStylePr>
    <w:tblStylePr w:type="lastRow">
      <w:rPr>
        <w:b/>
        <w:color w:val="FFFFFF" w:themeColor="light1"/>
        <w:sz w:val="22"/>
      </w:rPr>
    </w:tblStylePr>
    <w:tblStylePr w:type="firstCol">
      <w:rPr>
        <w:b/>
        <w:color w:val="FFFFFF" w:themeColor="light1"/>
        <w:sz w:val="22"/>
      </w:rPr>
      <w:tblPr/>
      <w:tcPr>
        <w:tcBorders>
          <w:left w:val="single" w:sz="32" w:space="0" w:color="000000" w:themeColor="text1"/>
          <w:right w:val="single" w:sz="4" w:space="0" w:color="FFFFFF" w:themeColor="light1"/>
        </w:tcBorders>
      </w:tcPr>
    </w:tblStylePr>
    <w:tblStylePr w:type="lastCol">
      <w:tblPr/>
      <w:tcPr>
        <w:tcBorders>
          <w:left w:val="single" w:sz="4" w:space="0" w:color="FFFFFF" w:themeColor="light1"/>
          <w:right w:val="single" w:sz="32" w:space="0" w:color="000000" w:themeColor="text1"/>
        </w:tcBorders>
      </w:tcPr>
    </w:tblStylePr>
    <w:tblStylePr w:type="band1Vert">
      <w:tblPr/>
      <w:tcPr>
        <w:tcBorders>
          <w:left w:val="single" w:sz="4" w:space="0" w:color="FFFFFF" w:themeColor="light1"/>
          <w:right w:val="single" w:sz="4" w:space="0" w:color="FFFFFF" w:themeColor="light1"/>
        </w:tcBorders>
        <w:shd w:val="clear" w:color="7F7F7F"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fill="7F7F7F" w:themeFill="text1" w:themeFillTint="80"/>
      </w:tcPr>
    </w:tblStylePr>
    <w:tblStylePr w:type="band2Horz">
      <w:tblPr/>
      <w:tcPr>
        <w:tcBorders>
          <w:top w:val="single" w:sz="4" w:space="0" w:color="FFFFFF" w:themeColor="light1"/>
          <w:bottom w:val="single" w:sz="4" w:space="0" w:color="FFFFFF" w:themeColor="light1"/>
        </w:tcBorders>
        <w:shd w:val="clear" w:color="7F7F7F" w:fill="7F7F7F" w:themeFill="text1" w:themeFillTint="80"/>
      </w:tcPr>
    </w:tblStylePr>
  </w:style>
  <w:style w:type="table" w:customStyle="1" w:styleId="ListTable5Dark-Accent1">
    <w:name w:val="List Table 5 Dark - Accent 1"/>
    <w:basedOn w:val="Tabelanormal"/>
    <w:uiPriority w:val="99"/>
    <w:qFormat/>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Pr>
    <w:tblStylePr w:type="firstRow">
      <w:rPr>
        <w:b/>
        <w:color w:val="FFFFFF" w:themeColor="light1"/>
        <w:sz w:val="22"/>
      </w:rPr>
      <w:tblPr/>
      <w:tcPr>
        <w:tcBorders>
          <w:top w:val="single" w:sz="32" w:space="0" w:color="4F81BD" w:themeColor="accent1"/>
          <w:bottom w:val="single" w:sz="12" w:space="0" w:color="FFFFFF" w:themeColor="light1"/>
        </w:tcBorders>
        <w:shd w:val="clear" w:color="4F81BD" w:fill="4F81BD" w:themeFill="accent1"/>
      </w:tcPr>
    </w:tblStylePr>
    <w:tblStylePr w:type="lastRow">
      <w:rPr>
        <w:b/>
        <w:color w:val="FFFFFF" w:themeColor="light1"/>
        <w:sz w:val="22"/>
      </w:rPr>
    </w:tblStylePr>
    <w:tblStylePr w:type="firstCol">
      <w:rPr>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fill="4F81BD" w:themeFill="accent1"/>
      </w:tcPr>
    </w:tblStylePr>
    <w:tblStylePr w:type="band2Horz">
      <w:tblPr/>
      <w:tcPr>
        <w:tcBorders>
          <w:top w:val="single" w:sz="4" w:space="0" w:color="FFFFFF" w:themeColor="light1"/>
          <w:bottom w:val="single" w:sz="4" w:space="0" w:color="FFFFFF" w:themeColor="light1"/>
        </w:tcBorders>
        <w:shd w:val="clear" w:color="4F81BD" w:fill="4F81BD" w:themeFill="accent1"/>
      </w:tcPr>
    </w:tblStylePr>
  </w:style>
  <w:style w:type="table" w:customStyle="1" w:styleId="ListTable5Dark-Accent2">
    <w:name w:val="List Table 5 Dark - Accent 2"/>
    <w:basedOn w:val="Tabelanormal"/>
    <w:uiPriority w:val="99"/>
    <w:qFormat/>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Pr>
    <w:tblStylePr w:type="firstRow">
      <w:rPr>
        <w:b/>
        <w:color w:val="FFFFFF" w:themeColor="light1"/>
        <w:sz w:val="22"/>
      </w:rPr>
      <w:tblPr/>
      <w:tcPr>
        <w:tcBorders>
          <w:top w:val="single" w:sz="32" w:space="0" w:color="C0504D" w:themeColor="accent2"/>
          <w:bottom w:val="single" w:sz="12" w:space="0" w:color="FFFFFF" w:themeColor="light1"/>
        </w:tcBorders>
        <w:shd w:val="clear" w:color="D99695" w:fill="D99695" w:themeFill="accent2" w:themeFillTint="97"/>
      </w:tcPr>
    </w:tblStylePr>
    <w:tblStylePr w:type="lastRow">
      <w:rPr>
        <w:b/>
        <w:color w:val="FFFFFF" w:themeColor="light1"/>
        <w:sz w:val="22"/>
      </w:rPr>
    </w:tblStylePr>
    <w:tblStylePr w:type="firstCol">
      <w:rPr>
        <w:b/>
        <w:color w:val="FFFFFF" w:themeColor="light1"/>
        <w:sz w:val="22"/>
      </w:rPr>
      <w:tblPr/>
      <w:tcPr>
        <w:tcBorders>
          <w:left w:val="single" w:sz="32" w:space="0" w:color="C0504D" w:themeColor="accent2"/>
          <w:right w:val="single" w:sz="4" w:space="0" w:color="FFFFFF" w:themeColor="light1"/>
        </w:tcBorders>
      </w:tcPr>
    </w:tblStylePr>
    <w:tblStylePr w:type="lastCol">
      <w:tblPr/>
      <w:tcPr>
        <w:tcBorders>
          <w:left w:val="single" w:sz="4" w:space="0" w:color="FFFFFF" w:themeColor="light1"/>
          <w:right w:val="single" w:sz="32" w:space="0" w:color="C0504D" w:themeColor="accent2"/>
        </w:tcBorders>
      </w:tcPr>
    </w:tblStylePr>
    <w:tblStylePr w:type="band1Vert">
      <w:tblPr/>
      <w:tcPr>
        <w:tcBorders>
          <w:left w:val="single" w:sz="4" w:space="0" w:color="FFFFFF" w:themeColor="light1"/>
          <w:right w:val="single" w:sz="4" w:space="0" w:color="FFFFFF" w:themeColor="light1"/>
        </w:tcBorders>
        <w:shd w:val="clear" w:color="D99695"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fill="D99695" w:themeFill="accent2" w:themeFillTint="97"/>
      </w:tcPr>
    </w:tblStylePr>
  </w:style>
  <w:style w:type="table" w:customStyle="1" w:styleId="ListTable5Dark-Accent3">
    <w:name w:val="List Table 5 Dark - Accent 3"/>
    <w:basedOn w:val="Tabelanormal"/>
    <w:uiPriority w:val="99"/>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Pr>
    <w:tblStylePr w:type="firstRow">
      <w:rPr>
        <w:b/>
        <w:color w:val="FFFFFF" w:themeColor="light1"/>
        <w:sz w:val="22"/>
      </w:rPr>
      <w:tblPr/>
      <w:tcPr>
        <w:tcBorders>
          <w:top w:val="single" w:sz="32" w:space="0" w:color="9BBB59" w:themeColor="accent3"/>
          <w:bottom w:val="single" w:sz="12" w:space="0" w:color="FFFFFF" w:themeColor="light1"/>
        </w:tcBorders>
        <w:shd w:val="clear" w:color="C3D69B" w:fill="C3D69B" w:themeFill="accent3"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9BBB59" w:themeColor="accent3"/>
          <w:right w:val="single" w:sz="4" w:space="0" w:color="FFFFFF" w:themeColor="light1"/>
        </w:tcBorders>
      </w:tcPr>
    </w:tblStylePr>
    <w:tblStylePr w:type="lastCol">
      <w:tblPr/>
      <w:tcPr>
        <w:tcBorders>
          <w:left w:val="single" w:sz="4" w:space="0" w:color="FFFFFF" w:themeColor="light1"/>
          <w:right w:val="single" w:sz="32" w:space="0" w:color="9BBB59" w:themeColor="accent3"/>
        </w:tcBorders>
      </w:tcPr>
    </w:tblStylePr>
    <w:tblStylePr w:type="band1Vert">
      <w:tblPr/>
      <w:tcPr>
        <w:tcBorders>
          <w:left w:val="single" w:sz="4" w:space="0" w:color="FFFFFF" w:themeColor="light1"/>
          <w:right w:val="single" w:sz="4" w:space="0" w:color="FFFFFF" w:themeColor="light1"/>
        </w:tcBorders>
        <w:shd w:val="clear" w:color="C3D69B"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fill="C3D69B" w:themeFill="accent3" w:themeFillTint="98"/>
      </w:tcPr>
    </w:tblStylePr>
  </w:style>
  <w:style w:type="table" w:customStyle="1" w:styleId="ListTable5Dark-Accent4">
    <w:name w:val="List Table 5 Dark - Accent 4"/>
    <w:basedOn w:val="Tabelanormal"/>
    <w:uiPriority w:val="99"/>
    <w:qFormat/>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Pr>
    <w:tblStylePr w:type="firstRow">
      <w:rPr>
        <w:b/>
        <w:color w:val="FFFFFF" w:themeColor="light1"/>
        <w:sz w:val="22"/>
      </w:rPr>
      <w:tblPr/>
      <w:tcPr>
        <w:tcBorders>
          <w:top w:val="single" w:sz="32" w:space="0" w:color="8064A2" w:themeColor="accent4"/>
          <w:bottom w:val="single" w:sz="12" w:space="0" w:color="FFFFFF" w:themeColor="light1"/>
        </w:tcBorders>
        <w:shd w:val="clear" w:color="B2A1C6" w:fill="B2A1C6" w:themeFill="accent4"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8064A2" w:themeColor="accent4"/>
          <w:right w:val="single" w:sz="4" w:space="0" w:color="FFFFFF" w:themeColor="light1"/>
        </w:tcBorders>
      </w:tcPr>
    </w:tblStylePr>
    <w:tblStylePr w:type="lastCol">
      <w:tblPr/>
      <w:tcPr>
        <w:tcBorders>
          <w:left w:val="single" w:sz="4" w:space="0" w:color="FFFFFF" w:themeColor="light1"/>
          <w:right w:val="single" w:sz="32" w:space="0" w:color="8064A2" w:themeColor="accent4"/>
        </w:tcBorders>
      </w:tcPr>
    </w:tblStylePr>
    <w:tblStylePr w:type="band1Vert">
      <w:tblPr/>
      <w:tcPr>
        <w:tcBorders>
          <w:left w:val="single" w:sz="4" w:space="0" w:color="FFFFFF" w:themeColor="light1"/>
          <w:right w:val="single" w:sz="4" w:space="0" w:color="FFFFFF" w:themeColor="light1"/>
        </w:tcBorders>
        <w:shd w:val="clear" w:color="B2A1C6"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fill="B2A1C6" w:themeFill="accent4" w:themeFillTint="9A"/>
      </w:tcPr>
    </w:tblStylePr>
  </w:style>
  <w:style w:type="table" w:customStyle="1" w:styleId="ListTable5Dark-Accent5">
    <w:name w:val="List Table 5 Dark - Accent 5"/>
    <w:basedOn w:val="Tabelanormal"/>
    <w:uiPriority w:val="99"/>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Pr>
    <w:tblStylePr w:type="firstRow">
      <w:rPr>
        <w:b/>
        <w:color w:val="FFFFFF" w:themeColor="light1"/>
        <w:sz w:val="22"/>
      </w:rPr>
      <w:tblPr/>
      <w:tcPr>
        <w:tcBorders>
          <w:top w:val="single" w:sz="32" w:space="0" w:color="4BACC6" w:themeColor="accent5"/>
          <w:bottom w:val="single" w:sz="12" w:space="0" w:color="FFFFFF" w:themeColor="light1"/>
        </w:tcBorders>
        <w:shd w:val="clear" w:color="92CCDC" w:fill="92CCDC" w:themeFill="accent5"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4BACC6" w:themeColor="accent5"/>
          <w:right w:val="single" w:sz="4" w:space="0" w:color="FFFFFF" w:themeColor="light1"/>
        </w:tcBorders>
      </w:tcPr>
    </w:tblStylePr>
    <w:tblStylePr w:type="lastCol">
      <w:tblPr/>
      <w:tcPr>
        <w:tcBorders>
          <w:left w:val="single" w:sz="4" w:space="0" w:color="FFFFFF" w:themeColor="light1"/>
          <w:right w:val="single" w:sz="32" w:space="0" w:color="4BACC6" w:themeColor="accent5"/>
        </w:tcBorders>
      </w:tcPr>
    </w:tblStylePr>
    <w:tblStylePr w:type="band1Vert">
      <w:tblPr/>
      <w:tcPr>
        <w:tcBorders>
          <w:left w:val="single" w:sz="4" w:space="0" w:color="FFFFFF" w:themeColor="light1"/>
          <w:right w:val="single" w:sz="4" w:space="0" w:color="FFFFFF" w:themeColor="light1"/>
        </w:tcBorders>
        <w:shd w:val="clear" w:color="92CCDC"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fill="92CCDC" w:themeFill="accent5" w:themeFillTint="9A"/>
      </w:tcPr>
    </w:tblStylePr>
  </w:style>
  <w:style w:type="table" w:customStyle="1" w:styleId="ListTable5Dark-Accent6">
    <w:name w:val="List Table 5 Dark - Accent 6"/>
    <w:basedOn w:val="Tabelanormal"/>
    <w:uiPriority w:val="99"/>
    <w:qFormat/>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Pr>
    <w:tblStylePr w:type="firstRow">
      <w:rPr>
        <w:b/>
        <w:color w:val="FFFFFF" w:themeColor="light1"/>
        <w:sz w:val="22"/>
      </w:rPr>
      <w:tblPr/>
      <w:tcPr>
        <w:tcBorders>
          <w:top w:val="single" w:sz="32" w:space="0" w:color="F79646" w:themeColor="accent6"/>
          <w:bottom w:val="single" w:sz="12" w:space="0" w:color="FFFFFF" w:themeColor="light1"/>
        </w:tcBorders>
        <w:shd w:val="clear" w:color="FAC090" w:fill="FAC090" w:themeFill="accent6"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F79646" w:themeColor="accent6"/>
          <w:right w:val="single" w:sz="4" w:space="0" w:color="FFFFFF" w:themeColor="light1"/>
        </w:tcBorders>
      </w:tcPr>
    </w:tblStylePr>
    <w:tblStylePr w:type="lastCol">
      <w:tblPr/>
      <w:tcPr>
        <w:tcBorders>
          <w:left w:val="single" w:sz="4" w:space="0" w:color="FFFFFF" w:themeColor="light1"/>
          <w:right w:val="single" w:sz="32" w:space="0" w:color="F79646" w:themeColor="accent6"/>
        </w:tcBorders>
      </w:tcPr>
    </w:tblStylePr>
    <w:tblStylePr w:type="band1Vert">
      <w:tblPr/>
      <w:tcPr>
        <w:tcBorders>
          <w:left w:val="single" w:sz="4" w:space="0" w:color="FFFFFF" w:themeColor="light1"/>
          <w:right w:val="single" w:sz="4" w:space="0" w:color="FFFFFF" w:themeColor="light1"/>
        </w:tcBorders>
        <w:shd w:val="clear" w:color="FAC090"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fill="FAC090" w:themeFill="accent6" w:themeFillTint="98"/>
      </w:tcPr>
    </w:tblStylePr>
  </w:style>
  <w:style w:type="table" w:customStyle="1" w:styleId="TabeladeLista6Colorida1">
    <w:name w:val="Tabela de Lista 6 Colorida1"/>
    <w:basedOn w:val="Tabelanormal"/>
    <w:uiPriority w:val="99"/>
    <w:qFormat/>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000000" w:themeColor="text1"/>
        </w:tcBorders>
      </w:tcPr>
    </w:tblStylePr>
    <w:tblStylePr w:type="lastRow">
      <w:rPr>
        <w:b/>
        <w:color w:val="000000" w:themeColor="text1"/>
      </w:rPr>
      <w:tblPr/>
      <w:tcPr>
        <w:tcBorders>
          <w:top w:val="single" w:sz="4" w:space="0" w:color="000000" w:themeColor="text1"/>
        </w:tcBorders>
      </w:tcPr>
    </w:tblStylePr>
    <w:tblStylePr w:type="firstCol">
      <w:rPr>
        <w:b/>
        <w:color w:val="000000" w:themeColor="text1"/>
      </w:rPr>
    </w:tblStylePr>
    <w:tblStylePr w:type="lastCol">
      <w:rPr>
        <w:b/>
        <w:color w:val="000000" w:themeColor="text1"/>
      </w:rPr>
    </w:tblStylePr>
    <w:tblStylePr w:type="band1Vert">
      <w:tblPr/>
      <w:tcPr>
        <w:shd w:val="clear" w:color="BFBFBF" w:fill="BFBFBF" w:themeFill="text1" w:themeFillTint="40"/>
      </w:tcPr>
    </w:tblStylePr>
    <w:tblStylePr w:type="band1Horz">
      <w:rPr>
        <w:color w:val="000000" w:themeColor="text1"/>
        <w:sz w:val="22"/>
      </w:rPr>
      <w:tblPr/>
      <w:tcPr>
        <w:shd w:val="clear" w:color="BFBFBF" w:fill="BFBFBF" w:themeFill="text1" w:themeFillTint="40"/>
      </w:tcPr>
    </w:tblStylePr>
    <w:tblStylePr w:type="band2Horz">
      <w:rPr>
        <w:color w:val="000000" w:themeColor="text1"/>
        <w:sz w:val="22"/>
      </w:rPr>
    </w:tblStylePr>
  </w:style>
  <w:style w:type="table" w:customStyle="1" w:styleId="ListTable6Colorful-Accent1">
    <w:name w:val="List Table 6 Colorful - Accent 1"/>
    <w:basedOn w:val="Tabelanormal"/>
    <w:uiPriority w:val="99"/>
    <w:qFormat/>
    <w:tblPr>
      <w:tblBorders>
        <w:top w:val="single" w:sz="4" w:space="0" w:color="4F81BD" w:themeColor="accent1"/>
        <w:bottom w:val="single" w:sz="4" w:space="0" w:color="4F81BD" w:themeColor="accent1"/>
      </w:tblBorders>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fill="D2DFEE" w:themeFill="accent1" w:themeFillTint="40"/>
      </w:tcPr>
    </w:tblStylePr>
    <w:tblStylePr w:type="band1Horz">
      <w:rPr>
        <w:color w:val="2A4A70" w:themeColor="accent1" w:themeShade="94"/>
        <w:sz w:val="22"/>
      </w:rPr>
      <w:tblPr/>
      <w:tcPr>
        <w:shd w:val="clear" w:color="D2DFEE" w:fill="D2DFEE" w:themeFill="accent1" w:themeFillTint="40"/>
      </w:tcPr>
    </w:tblStylePr>
    <w:tblStylePr w:type="band2Horz">
      <w:rPr>
        <w:color w:val="2A4A70" w:themeColor="accent1" w:themeShade="94"/>
        <w:sz w:val="22"/>
      </w:rPr>
    </w:tblStylePr>
  </w:style>
  <w:style w:type="table" w:customStyle="1" w:styleId="ListTable6Colorful-Accent2">
    <w:name w:val="List Table 6 Colorful - Accent 2"/>
    <w:basedOn w:val="Tabelanormal"/>
    <w:uiPriority w:val="99"/>
    <w:tblPr>
      <w:tblBorders>
        <w:top w:val="single" w:sz="4" w:space="0" w:color="D99695" w:themeColor="accent2" w:themeTint="97"/>
        <w:bottom w:val="single" w:sz="4" w:space="0" w:color="D99695" w:themeColor="accent2" w:themeTint="97"/>
      </w:tblBorders>
    </w:tblPr>
    <w:tblStylePr w:type="firstRow">
      <w:rPr>
        <w:b/>
        <w:color w:val="DA9796" w:themeColor="accent2" w:themeTint="96"/>
      </w:rPr>
      <w:tblPr/>
      <w:tcPr>
        <w:tcBorders>
          <w:bottom w:val="single" w:sz="4" w:space="0" w:color="C0504D" w:themeColor="accent2"/>
        </w:tcBorders>
      </w:tcPr>
    </w:tblStylePr>
    <w:tblStylePr w:type="lastRow">
      <w:rPr>
        <w:b/>
        <w:color w:val="DA9796" w:themeColor="accent2" w:themeTint="96"/>
      </w:rPr>
      <w:tblPr/>
      <w:tcPr>
        <w:tcBorders>
          <w:top w:val="single" w:sz="4" w:space="0" w:color="C0504D" w:themeColor="accent2"/>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fill="EFD2D2" w:themeFill="accent2" w:themeFillTint="40"/>
      </w:tcPr>
    </w:tblStylePr>
    <w:tblStylePr w:type="band1Horz">
      <w:rPr>
        <w:color w:val="DA9796" w:themeColor="accent2" w:themeTint="96"/>
        <w:sz w:val="22"/>
      </w:rPr>
      <w:tblPr/>
      <w:tcPr>
        <w:shd w:val="clear" w:color="EFD2D2" w:fill="EFD2D2" w:themeFill="accent2" w:themeFillTint="40"/>
      </w:tcPr>
    </w:tblStylePr>
    <w:tblStylePr w:type="band2Horz">
      <w:rPr>
        <w:color w:val="DA9796" w:themeColor="accent2" w:themeTint="96"/>
        <w:sz w:val="22"/>
      </w:rPr>
    </w:tblStylePr>
  </w:style>
  <w:style w:type="table" w:customStyle="1" w:styleId="ListTable6Colorful-Accent3">
    <w:name w:val="List Table 6 Colorful - Accent 3"/>
    <w:basedOn w:val="Tabelanormal"/>
    <w:uiPriority w:val="99"/>
    <w:qFormat/>
    <w:tblPr>
      <w:tblBorders>
        <w:top w:val="single" w:sz="4" w:space="0" w:color="C3D69B" w:themeColor="accent3" w:themeTint="98"/>
        <w:bottom w:val="single" w:sz="4" w:space="0" w:color="C3D69B" w:themeColor="accent3" w:themeTint="98"/>
      </w:tblBorders>
    </w:tblPr>
    <w:tblStylePr w:type="firstRow">
      <w:rPr>
        <w:b/>
        <w:color w:val="C2D69B" w:themeColor="accent3" w:themeTint="99"/>
      </w:rPr>
      <w:tblPr/>
      <w:tcPr>
        <w:tcBorders>
          <w:bottom w:val="single" w:sz="4" w:space="0" w:color="9BBB59" w:themeColor="accent3"/>
        </w:tcBorders>
      </w:tcPr>
    </w:tblStylePr>
    <w:tblStylePr w:type="lastRow">
      <w:rPr>
        <w:b/>
        <w:color w:val="C2D69B" w:themeColor="accent3" w:themeTint="99"/>
      </w:rPr>
      <w:tblPr/>
      <w:tcPr>
        <w:tcBorders>
          <w:top w:val="single" w:sz="4" w:space="0" w:color="9BBB59" w:themeColor="accent3"/>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fill="E5EED5" w:themeFill="accent3" w:themeFillTint="40"/>
      </w:tcPr>
    </w:tblStylePr>
    <w:tblStylePr w:type="band1Horz">
      <w:rPr>
        <w:color w:val="C2D69B" w:themeColor="accent3" w:themeTint="99"/>
        <w:sz w:val="22"/>
      </w:rPr>
      <w:tblPr/>
      <w:tcPr>
        <w:shd w:val="clear" w:color="E5EED5" w:fill="E5EED5" w:themeFill="accent3" w:themeFillTint="40"/>
      </w:tcPr>
    </w:tblStylePr>
    <w:tblStylePr w:type="band2Horz">
      <w:rPr>
        <w:color w:val="C2D69B" w:themeColor="accent3" w:themeTint="99"/>
        <w:sz w:val="22"/>
      </w:rPr>
    </w:tblStylePr>
  </w:style>
  <w:style w:type="table" w:customStyle="1" w:styleId="ListTable6Colorful-Accent4">
    <w:name w:val="List Table 6 Colorful - Accent 4"/>
    <w:basedOn w:val="Tabelanormal"/>
    <w:uiPriority w:val="99"/>
    <w:qFormat/>
    <w:tblPr>
      <w:tblBorders>
        <w:top w:val="single" w:sz="4" w:space="0" w:color="B2A1C6" w:themeColor="accent4" w:themeTint="9A"/>
        <w:bottom w:val="single" w:sz="4" w:space="0" w:color="B2A1C6" w:themeColor="accent4" w:themeTint="9A"/>
      </w:tblBorders>
    </w:tblPr>
    <w:tblStylePr w:type="firstRow">
      <w:rPr>
        <w:b/>
        <w:color w:val="B2A1C7" w:themeColor="accent4" w:themeTint="99"/>
      </w:rPr>
      <w:tblPr/>
      <w:tcPr>
        <w:tcBorders>
          <w:bottom w:val="single" w:sz="4" w:space="0" w:color="8064A2" w:themeColor="accent4"/>
        </w:tcBorders>
      </w:tcPr>
    </w:tblStylePr>
    <w:tblStylePr w:type="lastRow">
      <w:rPr>
        <w:b/>
        <w:color w:val="B2A1C7" w:themeColor="accent4" w:themeTint="99"/>
      </w:rPr>
      <w:tblPr/>
      <w:tcPr>
        <w:tcBorders>
          <w:top w:val="single" w:sz="4" w:space="0" w:color="8064A2" w:themeColor="accent4"/>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fill="DFD8E7" w:themeFill="accent4" w:themeFillTint="40"/>
      </w:tcPr>
    </w:tblStylePr>
    <w:tblStylePr w:type="band1Horz">
      <w:rPr>
        <w:color w:val="B2A1C7" w:themeColor="accent4" w:themeTint="99"/>
        <w:sz w:val="22"/>
      </w:rPr>
      <w:tblPr/>
      <w:tcPr>
        <w:shd w:val="clear" w:color="DFD8E7" w:fill="DFD8E7" w:themeFill="accent4" w:themeFillTint="40"/>
      </w:tcPr>
    </w:tblStylePr>
    <w:tblStylePr w:type="band2Horz">
      <w:rPr>
        <w:color w:val="B2A1C7" w:themeColor="accent4" w:themeTint="99"/>
        <w:sz w:val="22"/>
      </w:rPr>
    </w:tblStylePr>
  </w:style>
  <w:style w:type="table" w:customStyle="1" w:styleId="ListTable6Colorful-Accent5">
    <w:name w:val="List Table 6 Colorful - Accent 5"/>
    <w:basedOn w:val="Tabelanormal"/>
    <w:uiPriority w:val="99"/>
    <w:qFormat/>
    <w:tblPr>
      <w:tblBorders>
        <w:top w:val="single" w:sz="4" w:space="0" w:color="92CCDC" w:themeColor="accent5" w:themeTint="9A"/>
        <w:bottom w:val="single" w:sz="4" w:space="0" w:color="92CCDC" w:themeColor="accent5" w:themeTint="9A"/>
      </w:tblBorders>
    </w:tblPr>
    <w:tblStylePr w:type="firstRow">
      <w:rPr>
        <w:b/>
        <w:color w:val="92CDDC" w:themeColor="accent5" w:themeTint="99"/>
      </w:rPr>
      <w:tblPr/>
      <w:tcPr>
        <w:tcBorders>
          <w:bottom w:val="single" w:sz="4" w:space="0" w:color="4BACC6" w:themeColor="accent5"/>
        </w:tcBorders>
      </w:tcPr>
    </w:tblStylePr>
    <w:tblStylePr w:type="lastRow">
      <w:rPr>
        <w:b/>
        <w:color w:val="92CDDC" w:themeColor="accent5" w:themeTint="99"/>
      </w:rPr>
      <w:tblPr/>
      <w:tcPr>
        <w:tcBorders>
          <w:top w:val="single" w:sz="4" w:space="0" w:color="4BACC6" w:themeColor="accent5"/>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fill="D1EAF0" w:themeFill="accent5" w:themeFillTint="40"/>
      </w:tcPr>
    </w:tblStylePr>
    <w:tblStylePr w:type="band1Horz">
      <w:rPr>
        <w:color w:val="92CDDC" w:themeColor="accent5" w:themeTint="99"/>
        <w:sz w:val="22"/>
      </w:rPr>
      <w:tblPr/>
      <w:tcPr>
        <w:shd w:val="clear" w:color="D1EAF0" w:fill="D1EAF0" w:themeFill="accent5" w:themeFillTint="40"/>
      </w:tcPr>
    </w:tblStylePr>
    <w:tblStylePr w:type="band2Horz">
      <w:rPr>
        <w:color w:val="92CDDC" w:themeColor="accent5" w:themeTint="99"/>
        <w:sz w:val="22"/>
      </w:rPr>
    </w:tblStylePr>
  </w:style>
  <w:style w:type="table" w:customStyle="1" w:styleId="ListTable6Colorful-Accent6">
    <w:name w:val="List Table 6 Colorful - Accent 6"/>
    <w:basedOn w:val="Tabelanormal"/>
    <w:uiPriority w:val="99"/>
    <w:qFormat/>
    <w:tblPr>
      <w:tblBorders>
        <w:top w:val="single" w:sz="4" w:space="0" w:color="FAC090" w:themeColor="accent6" w:themeTint="98"/>
        <w:bottom w:val="single" w:sz="4" w:space="0" w:color="FAC090" w:themeColor="accent6" w:themeTint="98"/>
      </w:tblBorders>
    </w:tblPr>
    <w:tblStylePr w:type="firstRow">
      <w:rPr>
        <w:b/>
        <w:color w:val="FABF8F" w:themeColor="accent6" w:themeTint="99"/>
      </w:rPr>
      <w:tblPr/>
      <w:tcPr>
        <w:tcBorders>
          <w:bottom w:val="single" w:sz="4" w:space="0" w:color="F79646" w:themeColor="accent6"/>
        </w:tcBorders>
      </w:tcPr>
    </w:tblStylePr>
    <w:tblStylePr w:type="lastRow">
      <w:rPr>
        <w:b/>
        <w:color w:val="FABF8F" w:themeColor="accent6" w:themeTint="99"/>
      </w:rPr>
      <w:tblPr/>
      <w:tcPr>
        <w:tcBorders>
          <w:top w:val="single" w:sz="4" w:space="0" w:color="F79646" w:themeColor="accent6"/>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fill="FDE4D0" w:themeFill="accent6" w:themeFillTint="40"/>
      </w:tcPr>
    </w:tblStylePr>
    <w:tblStylePr w:type="band1Horz">
      <w:rPr>
        <w:color w:val="FABF8F" w:themeColor="accent6" w:themeTint="99"/>
        <w:sz w:val="22"/>
      </w:rPr>
      <w:tblPr/>
      <w:tcPr>
        <w:shd w:val="clear" w:color="FDE4D0" w:fill="FDE4D0" w:themeFill="accent6" w:themeFillTint="40"/>
      </w:tcPr>
    </w:tblStylePr>
    <w:tblStylePr w:type="band2Horz">
      <w:rPr>
        <w:color w:val="FABF8F" w:themeColor="accent6" w:themeTint="99"/>
        <w:sz w:val="22"/>
      </w:rPr>
    </w:tblStylePr>
  </w:style>
  <w:style w:type="table" w:customStyle="1" w:styleId="TabeladeLista7Colorida1">
    <w:name w:val="Tabela de Lista 7 Colorida1"/>
    <w:basedOn w:val="Tabelanormal"/>
    <w:uiPriority w:val="99"/>
    <w:qFormat/>
    <w:tblPr>
      <w:tblBorders>
        <w:right w:val="single" w:sz="4" w:space="0" w:color="7F7F7F" w:themeColor="text1" w:themeTint="80"/>
      </w:tblBorders>
    </w:tblPr>
    <w:tblStylePr w:type="firstRow">
      <w:rPr>
        <w:i/>
        <w:color w:val="7F7F7F" w:themeColor="text1" w:themeTint="80"/>
        <w:sz w:val="22"/>
      </w:rPr>
      <w:tblPr/>
      <w:tcPr>
        <w:tcBorders>
          <w:top w:val="none" w:sz="4" w:space="0" w:color="000000"/>
          <w:left w:val="none" w:sz="4" w:space="0" w:color="000000"/>
          <w:bottom w:val="single" w:sz="4" w:space="0" w:color="000000" w:themeColor="text1"/>
          <w:right w:val="none" w:sz="4" w:space="0" w:color="000000"/>
        </w:tcBorders>
        <w:shd w:val="clear" w:color="FFFFFF" w:fill="FFFFFF" w:themeFill="light1"/>
      </w:tcPr>
    </w:tblStylePr>
    <w:tblStylePr w:type="lastRow">
      <w:rPr>
        <w:i/>
        <w:color w:val="7F7F7F" w:themeColor="text1" w:themeTint="80"/>
        <w:sz w:val="22"/>
      </w:rPr>
      <w:tblPr/>
      <w:tcPr>
        <w:tcBorders>
          <w:top w:val="single" w:sz="4" w:space="0" w:color="000000" w:themeColor="text1"/>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7F7F7F" w:themeColor="text1" w:themeTint="80"/>
        <w:sz w:val="22"/>
      </w:rPr>
      <w:tblPr/>
      <w:tcPr>
        <w:tcBorders>
          <w:top w:val="none" w:sz="4" w:space="0" w:color="000000"/>
          <w:left w:val="none" w:sz="4" w:space="0" w:color="000000"/>
          <w:bottom w:val="none" w:sz="4" w:space="0" w:color="000000"/>
          <w:right w:val="single" w:sz="4" w:space="0" w:color="000000" w:themeColor="text1"/>
        </w:tcBorders>
        <w:shd w:val="clear" w:color="FFFFFF" w:fill="auto"/>
      </w:tcPr>
    </w:tblStylePr>
    <w:tblStylePr w:type="lastCol">
      <w:rPr>
        <w:i/>
        <w:color w:val="7F7F7F" w:themeColor="text1" w:themeTint="80"/>
        <w:sz w:val="22"/>
      </w:rPr>
      <w:tblPr/>
      <w:tcPr>
        <w:tcBorders>
          <w:top w:val="none" w:sz="4" w:space="0" w:color="000000"/>
          <w:left w:val="single" w:sz="4" w:space="0" w:color="000000" w:themeColor="text1"/>
          <w:bottom w:val="none" w:sz="4" w:space="0" w:color="000000"/>
          <w:right w:val="none" w:sz="4" w:space="0" w:color="000000"/>
        </w:tcBorders>
        <w:shd w:val="clear" w:color="FFFFFF" w:fill="auto"/>
      </w:tcPr>
    </w:tblStylePr>
    <w:tblStylePr w:type="band1Vert">
      <w:tblPr/>
      <w:tcPr>
        <w:shd w:val="clear" w:color="BFBFBF" w:fill="BFBFBF" w:themeFill="text1" w:themeFillTint="40"/>
      </w:tcPr>
    </w:tblStylePr>
    <w:tblStylePr w:type="band1Horz">
      <w:rPr>
        <w:color w:val="7F7F7F" w:themeColor="text1" w:themeTint="80"/>
        <w:sz w:val="22"/>
      </w:rPr>
      <w:tblPr/>
      <w:tcPr>
        <w:shd w:val="clear" w:color="BFBFBF" w:fill="BFBFBF" w:themeFill="text1" w:themeFillTint="40"/>
      </w:tcPr>
    </w:tblStylePr>
    <w:tblStylePr w:type="band2Horz">
      <w:rPr>
        <w:color w:val="7F7F7F" w:themeColor="text1" w:themeTint="80"/>
        <w:sz w:val="22"/>
      </w:rPr>
    </w:tblStylePr>
  </w:style>
  <w:style w:type="table" w:customStyle="1" w:styleId="ListTable7Colorful-Accent1">
    <w:name w:val="List Table 7 Colorful - Accent 1"/>
    <w:basedOn w:val="Tabelanormal"/>
    <w:uiPriority w:val="99"/>
    <w:qFormat/>
    <w:tblPr>
      <w:tblBorders>
        <w:right w:val="single" w:sz="4" w:space="0" w:color="4F81BD" w:themeColor="accent1"/>
      </w:tblBorders>
    </w:tblPr>
    <w:tblStylePr w:type="firstRow">
      <w:rPr>
        <w:i/>
        <w:color w:val="2A4A70" w:themeColor="accent1" w:themeShade="94"/>
        <w:sz w:val="22"/>
      </w:rPr>
      <w:tblPr/>
      <w:tcPr>
        <w:tcBorders>
          <w:top w:val="none" w:sz="4" w:space="0" w:color="000000"/>
          <w:left w:val="none" w:sz="4" w:space="0" w:color="000000"/>
          <w:bottom w:val="single" w:sz="4" w:space="0" w:color="4F81BD" w:themeColor="accent1"/>
          <w:right w:val="none" w:sz="4" w:space="0" w:color="000000"/>
        </w:tcBorders>
        <w:shd w:val="clear" w:color="FFFFFF" w:fill="FFFFFF" w:themeFill="light1"/>
      </w:tcPr>
    </w:tblStylePr>
    <w:tblStylePr w:type="lastRow">
      <w:rPr>
        <w:i/>
        <w:color w:val="2A4A70" w:themeColor="accent1" w:themeShade="94"/>
        <w:sz w:val="22"/>
      </w:rPr>
      <w:tblPr/>
      <w:tcPr>
        <w:tcBorders>
          <w:top w:val="single" w:sz="4" w:space="0" w:color="4F81BD" w:themeColor="accent1"/>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2A4A70" w:themeColor="accent1" w:themeShade="94"/>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i/>
        <w:color w:val="2A4A70" w:themeColor="accent1" w:themeShade="94"/>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fill="D2DFEE" w:themeFill="accent1" w:themeFillTint="40"/>
      </w:tcPr>
    </w:tblStylePr>
    <w:tblStylePr w:type="band1Horz">
      <w:rPr>
        <w:color w:val="2A4A70" w:themeColor="accent1" w:themeShade="94"/>
        <w:sz w:val="22"/>
      </w:rPr>
      <w:tblPr/>
      <w:tcPr>
        <w:shd w:val="clear" w:color="D2DFEE" w:fill="D2DFEE" w:themeFill="accent1" w:themeFillTint="40"/>
      </w:tcPr>
    </w:tblStylePr>
    <w:tblStylePr w:type="band2Horz">
      <w:rPr>
        <w:color w:val="2A4A70" w:themeColor="accent1" w:themeShade="94"/>
        <w:sz w:val="22"/>
      </w:rPr>
    </w:tblStylePr>
  </w:style>
  <w:style w:type="table" w:customStyle="1" w:styleId="ListTable7Colorful-Accent2">
    <w:name w:val="List Table 7 Colorful - Accent 2"/>
    <w:basedOn w:val="Tabelanormal"/>
    <w:uiPriority w:val="99"/>
    <w:qFormat/>
    <w:tblPr>
      <w:tblBorders>
        <w:right w:val="single" w:sz="4" w:space="0" w:color="D99695" w:themeColor="accent2" w:themeTint="97"/>
      </w:tblBorders>
    </w:tblPr>
    <w:tblStylePr w:type="firstRow">
      <w:rPr>
        <w:i/>
        <w:color w:val="DA9796" w:themeColor="accent2" w:themeTint="96"/>
        <w:sz w:val="22"/>
      </w:rPr>
      <w:tblPr/>
      <w:tcPr>
        <w:tcBorders>
          <w:top w:val="none" w:sz="4" w:space="0" w:color="000000"/>
          <w:left w:val="none" w:sz="4" w:space="0" w:color="000000"/>
          <w:bottom w:val="single" w:sz="4" w:space="0" w:color="C0504D" w:themeColor="accent2"/>
          <w:right w:val="none" w:sz="4" w:space="0" w:color="000000"/>
        </w:tcBorders>
        <w:shd w:val="clear" w:color="FFFFFF" w:fill="FFFFFF" w:themeFill="light1"/>
      </w:tcPr>
    </w:tblStylePr>
    <w:tblStylePr w:type="lastRow">
      <w:rPr>
        <w:i/>
        <w:color w:val="DA9796" w:themeColor="accent2" w:themeTint="96"/>
        <w:sz w:val="22"/>
      </w:rPr>
      <w:tblPr/>
      <w:tcPr>
        <w:tcBorders>
          <w:top w:val="single" w:sz="4" w:space="0" w:color="C0504D" w:themeColor="accent2"/>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DA9796" w:themeColor="accent2" w:themeTint="96"/>
        <w:sz w:val="22"/>
      </w:rPr>
      <w:tblPr/>
      <w:tcPr>
        <w:tcBorders>
          <w:top w:val="none" w:sz="4" w:space="0" w:color="000000"/>
          <w:left w:val="none" w:sz="4" w:space="0" w:color="000000"/>
          <w:bottom w:val="none" w:sz="4" w:space="0" w:color="000000"/>
          <w:right w:val="single" w:sz="4" w:space="0" w:color="C0504D" w:themeColor="accent2"/>
        </w:tcBorders>
        <w:shd w:val="clear" w:color="FFFFFF" w:fill="auto"/>
      </w:tcPr>
    </w:tblStylePr>
    <w:tblStylePr w:type="lastCol">
      <w:rPr>
        <w:i/>
        <w:color w:val="DA9796" w:themeColor="accent2" w:themeTint="96"/>
        <w:sz w:val="22"/>
      </w:rPr>
      <w:tblPr/>
      <w:tcPr>
        <w:tcBorders>
          <w:top w:val="none" w:sz="4" w:space="0" w:color="000000"/>
          <w:left w:val="single" w:sz="4" w:space="0" w:color="C0504D" w:themeColor="accent2"/>
          <w:bottom w:val="none" w:sz="4" w:space="0" w:color="000000"/>
          <w:right w:val="none" w:sz="4" w:space="0" w:color="000000"/>
        </w:tcBorders>
        <w:shd w:val="clear" w:color="FFFFFF" w:fill="auto"/>
      </w:tcPr>
    </w:tblStylePr>
    <w:tblStylePr w:type="band1Vert">
      <w:tblPr/>
      <w:tcPr>
        <w:shd w:val="clear" w:color="EFD2D2" w:fill="EFD2D2" w:themeFill="accent2" w:themeFillTint="40"/>
      </w:tcPr>
    </w:tblStylePr>
    <w:tblStylePr w:type="band1Horz">
      <w:rPr>
        <w:color w:val="DA9796" w:themeColor="accent2" w:themeTint="96"/>
        <w:sz w:val="22"/>
      </w:rPr>
      <w:tblPr/>
      <w:tcPr>
        <w:shd w:val="clear" w:color="EFD2D2" w:fill="EFD2D2" w:themeFill="accent2" w:themeFillTint="40"/>
      </w:tcPr>
    </w:tblStylePr>
    <w:tblStylePr w:type="band2Horz">
      <w:rPr>
        <w:color w:val="DA9796" w:themeColor="accent2" w:themeTint="96"/>
        <w:sz w:val="22"/>
      </w:rPr>
    </w:tblStylePr>
  </w:style>
  <w:style w:type="table" w:customStyle="1" w:styleId="ListTable7Colorful-Accent3">
    <w:name w:val="List Table 7 Colorful - Accent 3"/>
    <w:basedOn w:val="Tabelanormal"/>
    <w:uiPriority w:val="99"/>
    <w:qFormat/>
    <w:tblPr>
      <w:tblBorders>
        <w:right w:val="single" w:sz="4" w:space="0" w:color="C3D69B" w:themeColor="accent3" w:themeTint="98"/>
      </w:tblBorders>
    </w:tblPr>
    <w:tblStylePr w:type="firstRow">
      <w:rPr>
        <w:i/>
        <w:color w:val="C2D69B" w:themeColor="accent3" w:themeTint="99"/>
        <w:sz w:val="22"/>
      </w:rPr>
      <w:tblPr/>
      <w:tcPr>
        <w:tcBorders>
          <w:top w:val="none" w:sz="4" w:space="0" w:color="000000"/>
          <w:left w:val="none" w:sz="4" w:space="0" w:color="000000"/>
          <w:bottom w:val="single" w:sz="4" w:space="0" w:color="9BBB59" w:themeColor="accent3"/>
          <w:right w:val="none" w:sz="4" w:space="0" w:color="000000"/>
        </w:tcBorders>
        <w:shd w:val="clear" w:color="FFFFFF" w:fill="FFFFFF" w:themeFill="light1"/>
      </w:tcPr>
    </w:tblStylePr>
    <w:tblStylePr w:type="lastRow">
      <w:rPr>
        <w:i/>
        <w:color w:val="C2D69B" w:themeColor="accent3" w:themeTint="99"/>
        <w:sz w:val="22"/>
      </w:rPr>
      <w:tblPr/>
      <w:tcPr>
        <w:tcBorders>
          <w:top w:val="single" w:sz="4" w:space="0" w:color="9BBB59" w:themeColor="accent3"/>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C2D69B" w:themeColor="accent3" w:themeTint="99"/>
        <w:sz w:val="22"/>
      </w:rPr>
      <w:tblPr/>
      <w:tcPr>
        <w:tcBorders>
          <w:top w:val="none" w:sz="4" w:space="0" w:color="000000"/>
          <w:left w:val="none" w:sz="4" w:space="0" w:color="000000"/>
          <w:bottom w:val="none" w:sz="4" w:space="0" w:color="000000"/>
          <w:right w:val="single" w:sz="4" w:space="0" w:color="9BBB59" w:themeColor="accent3"/>
        </w:tcBorders>
        <w:shd w:val="clear" w:color="FFFFFF" w:fill="auto"/>
      </w:tcPr>
    </w:tblStylePr>
    <w:tblStylePr w:type="lastCol">
      <w:rPr>
        <w:i/>
        <w:color w:val="C2D69B" w:themeColor="accent3" w:themeTint="99"/>
        <w:sz w:val="22"/>
      </w:rPr>
      <w:tblPr/>
      <w:tcPr>
        <w:tcBorders>
          <w:top w:val="none" w:sz="4" w:space="0" w:color="000000"/>
          <w:left w:val="single" w:sz="4" w:space="0" w:color="9BBB59" w:themeColor="accent3"/>
          <w:bottom w:val="none" w:sz="4" w:space="0" w:color="000000"/>
          <w:right w:val="none" w:sz="4" w:space="0" w:color="000000"/>
        </w:tcBorders>
        <w:shd w:val="clear" w:color="FFFFFF" w:fill="auto"/>
      </w:tcPr>
    </w:tblStylePr>
    <w:tblStylePr w:type="band1Vert">
      <w:tblPr/>
      <w:tcPr>
        <w:shd w:val="clear" w:color="E5EED5" w:fill="E5EED5" w:themeFill="accent3" w:themeFillTint="40"/>
      </w:tcPr>
    </w:tblStylePr>
    <w:tblStylePr w:type="band1Horz">
      <w:rPr>
        <w:color w:val="C2D69B" w:themeColor="accent3" w:themeTint="99"/>
        <w:sz w:val="22"/>
      </w:rPr>
      <w:tblPr/>
      <w:tcPr>
        <w:shd w:val="clear" w:color="E5EED5" w:fill="E5EED5" w:themeFill="accent3" w:themeFillTint="40"/>
      </w:tcPr>
    </w:tblStylePr>
    <w:tblStylePr w:type="band2Horz">
      <w:rPr>
        <w:color w:val="C2D69B" w:themeColor="accent3" w:themeTint="99"/>
        <w:sz w:val="22"/>
      </w:rPr>
    </w:tblStylePr>
  </w:style>
  <w:style w:type="table" w:customStyle="1" w:styleId="ListTable7Colorful-Accent4">
    <w:name w:val="List Table 7 Colorful - Accent 4"/>
    <w:basedOn w:val="Tabelanormal"/>
    <w:uiPriority w:val="99"/>
    <w:qFormat/>
    <w:tblPr>
      <w:tblBorders>
        <w:right w:val="single" w:sz="4" w:space="0" w:color="B2A1C6" w:themeColor="accent4" w:themeTint="9A"/>
      </w:tblBorders>
    </w:tblPr>
    <w:tblStylePr w:type="firstRow">
      <w:rPr>
        <w:i/>
        <w:color w:val="B2A1C7" w:themeColor="accent4" w:themeTint="99"/>
        <w:sz w:val="22"/>
      </w:rPr>
      <w:tblPr/>
      <w:tcPr>
        <w:tcBorders>
          <w:top w:val="none" w:sz="4" w:space="0" w:color="000000"/>
          <w:left w:val="none" w:sz="4" w:space="0" w:color="000000"/>
          <w:bottom w:val="single" w:sz="4" w:space="0" w:color="8064A2" w:themeColor="accent4"/>
          <w:right w:val="none" w:sz="4" w:space="0" w:color="000000"/>
        </w:tcBorders>
        <w:shd w:val="clear" w:color="FFFFFF" w:fill="FFFFFF" w:themeFill="light1"/>
      </w:tcPr>
    </w:tblStylePr>
    <w:tblStylePr w:type="lastRow">
      <w:rPr>
        <w:i/>
        <w:color w:val="B2A1C7" w:themeColor="accent4" w:themeTint="99"/>
        <w:sz w:val="22"/>
      </w:rPr>
      <w:tblPr/>
      <w:tcPr>
        <w:tcBorders>
          <w:top w:val="single" w:sz="4" w:space="0" w:color="8064A2" w:themeColor="accent4"/>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B2A1C7" w:themeColor="accent4" w:themeTint="99"/>
        <w:sz w:val="22"/>
      </w:rPr>
      <w:tblPr/>
      <w:tcPr>
        <w:tcBorders>
          <w:top w:val="none" w:sz="4" w:space="0" w:color="000000"/>
          <w:left w:val="none" w:sz="4" w:space="0" w:color="000000"/>
          <w:bottom w:val="none" w:sz="4" w:space="0" w:color="000000"/>
          <w:right w:val="single" w:sz="4" w:space="0" w:color="8064A2" w:themeColor="accent4"/>
        </w:tcBorders>
        <w:shd w:val="clear" w:color="FFFFFF" w:fill="auto"/>
      </w:tcPr>
    </w:tblStylePr>
    <w:tblStylePr w:type="lastCol">
      <w:rPr>
        <w:i/>
        <w:color w:val="B2A1C7" w:themeColor="accent4" w:themeTint="99"/>
        <w:sz w:val="22"/>
      </w:rPr>
      <w:tblPr/>
      <w:tcPr>
        <w:tcBorders>
          <w:top w:val="none" w:sz="4" w:space="0" w:color="000000"/>
          <w:left w:val="single" w:sz="4" w:space="0" w:color="8064A2" w:themeColor="accent4"/>
          <w:bottom w:val="none" w:sz="4" w:space="0" w:color="000000"/>
          <w:right w:val="none" w:sz="4" w:space="0" w:color="000000"/>
        </w:tcBorders>
        <w:shd w:val="clear" w:color="FFFFFF" w:fill="auto"/>
      </w:tcPr>
    </w:tblStylePr>
    <w:tblStylePr w:type="band1Vert">
      <w:tblPr/>
      <w:tcPr>
        <w:shd w:val="clear" w:color="DFD8E7" w:fill="DFD8E7" w:themeFill="accent4" w:themeFillTint="40"/>
      </w:tcPr>
    </w:tblStylePr>
    <w:tblStylePr w:type="band1Horz">
      <w:rPr>
        <w:color w:val="B2A1C7" w:themeColor="accent4" w:themeTint="99"/>
        <w:sz w:val="22"/>
      </w:rPr>
      <w:tblPr/>
      <w:tcPr>
        <w:shd w:val="clear" w:color="DFD8E7" w:fill="DFD8E7" w:themeFill="accent4" w:themeFillTint="40"/>
      </w:tcPr>
    </w:tblStylePr>
    <w:tblStylePr w:type="band2Horz">
      <w:rPr>
        <w:color w:val="B2A1C7" w:themeColor="accent4" w:themeTint="99"/>
        <w:sz w:val="22"/>
      </w:rPr>
    </w:tblStylePr>
  </w:style>
  <w:style w:type="table" w:customStyle="1" w:styleId="ListTable7Colorful-Accent5">
    <w:name w:val="List Table 7 Colorful - Accent 5"/>
    <w:basedOn w:val="Tabelanormal"/>
    <w:uiPriority w:val="99"/>
    <w:qFormat/>
    <w:tblPr>
      <w:tblBorders>
        <w:right w:val="single" w:sz="4" w:space="0" w:color="92CCDC" w:themeColor="accent5" w:themeTint="9A"/>
      </w:tblBorders>
    </w:tblPr>
    <w:tblStylePr w:type="firstRow">
      <w:rPr>
        <w:i/>
        <w:color w:val="92CDDC" w:themeColor="accent5" w:themeTint="99"/>
        <w:sz w:val="22"/>
      </w:rPr>
      <w:tblPr/>
      <w:tcPr>
        <w:tcBorders>
          <w:top w:val="none" w:sz="4" w:space="0" w:color="000000"/>
          <w:left w:val="none" w:sz="4" w:space="0" w:color="000000"/>
          <w:bottom w:val="single" w:sz="4" w:space="0" w:color="4BACC6" w:themeColor="accent5"/>
          <w:right w:val="none" w:sz="4" w:space="0" w:color="000000"/>
        </w:tcBorders>
        <w:shd w:val="clear" w:color="FFFFFF" w:fill="FFFFFF" w:themeFill="light1"/>
      </w:tcPr>
    </w:tblStylePr>
    <w:tblStylePr w:type="lastRow">
      <w:rPr>
        <w:i/>
        <w:color w:val="92CDDC" w:themeColor="accent5" w:themeTint="99"/>
        <w:sz w:val="22"/>
      </w:rPr>
      <w:tblPr/>
      <w:tcPr>
        <w:tcBorders>
          <w:top w:val="single" w:sz="4" w:space="0" w:color="4BACC6" w:themeColor="accent5"/>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92CDDC" w:themeColor="accent5" w:themeTint="99"/>
        <w:sz w:val="22"/>
      </w:rPr>
      <w:tblPr/>
      <w:tcPr>
        <w:tcBorders>
          <w:top w:val="none" w:sz="4" w:space="0" w:color="000000"/>
          <w:left w:val="none" w:sz="4" w:space="0" w:color="000000"/>
          <w:bottom w:val="none" w:sz="4" w:space="0" w:color="000000"/>
          <w:right w:val="single" w:sz="4" w:space="0" w:color="4BACC6" w:themeColor="accent5"/>
        </w:tcBorders>
        <w:shd w:val="clear" w:color="FFFFFF" w:fill="auto"/>
      </w:tcPr>
    </w:tblStylePr>
    <w:tblStylePr w:type="lastCol">
      <w:rPr>
        <w:i/>
        <w:color w:val="92CDDC" w:themeColor="accent5" w:themeTint="99"/>
        <w:sz w:val="22"/>
      </w:rPr>
      <w:tblPr/>
      <w:tcPr>
        <w:tcBorders>
          <w:top w:val="none" w:sz="4" w:space="0" w:color="000000"/>
          <w:left w:val="single" w:sz="4" w:space="0" w:color="4BACC6" w:themeColor="accent5"/>
          <w:bottom w:val="none" w:sz="4" w:space="0" w:color="000000"/>
          <w:right w:val="none" w:sz="4" w:space="0" w:color="000000"/>
        </w:tcBorders>
        <w:shd w:val="clear" w:color="FFFFFF" w:fill="auto"/>
      </w:tcPr>
    </w:tblStylePr>
    <w:tblStylePr w:type="band1Vert">
      <w:tblPr/>
      <w:tcPr>
        <w:shd w:val="clear" w:color="D1EAF0" w:fill="D1EAF0" w:themeFill="accent5" w:themeFillTint="40"/>
      </w:tcPr>
    </w:tblStylePr>
    <w:tblStylePr w:type="band1Horz">
      <w:rPr>
        <w:color w:val="92CDDC" w:themeColor="accent5" w:themeTint="99"/>
        <w:sz w:val="22"/>
      </w:rPr>
      <w:tblPr/>
      <w:tcPr>
        <w:shd w:val="clear" w:color="D1EAF0" w:fill="D1EAF0" w:themeFill="accent5" w:themeFillTint="40"/>
      </w:tcPr>
    </w:tblStylePr>
    <w:tblStylePr w:type="band2Horz">
      <w:rPr>
        <w:color w:val="92CDDC" w:themeColor="accent5" w:themeTint="99"/>
        <w:sz w:val="22"/>
      </w:rPr>
    </w:tblStylePr>
  </w:style>
  <w:style w:type="table" w:customStyle="1" w:styleId="ListTable7Colorful-Accent6">
    <w:name w:val="List Table 7 Colorful - Accent 6"/>
    <w:basedOn w:val="Tabelanormal"/>
    <w:uiPriority w:val="99"/>
    <w:qFormat/>
    <w:tblPr>
      <w:tblBorders>
        <w:right w:val="single" w:sz="4" w:space="0" w:color="FAC090" w:themeColor="accent6" w:themeTint="98"/>
      </w:tblBorders>
    </w:tblPr>
    <w:tblStylePr w:type="firstRow">
      <w:rPr>
        <w:i/>
        <w:color w:val="FABF8F" w:themeColor="accent6" w:themeTint="99"/>
        <w:sz w:val="22"/>
      </w:rPr>
      <w:tblPr/>
      <w:tcPr>
        <w:tcBorders>
          <w:top w:val="none" w:sz="4" w:space="0" w:color="000000"/>
          <w:left w:val="none" w:sz="4" w:space="0" w:color="000000"/>
          <w:bottom w:val="single" w:sz="4" w:space="0" w:color="F79646" w:themeColor="accent6"/>
          <w:right w:val="none" w:sz="4" w:space="0" w:color="000000"/>
        </w:tcBorders>
        <w:shd w:val="clear" w:color="FFFFFF" w:fill="FFFFFF" w:themeFill="light1"/>
      </w:tcPr>
    </w:tblStylePr>
    <w:tblStylePr w:type="lastRow">
      <w:rPr>
        <w:i/>
        <w:color w:val="FABF8F" w:themeColor="accent6" w:themeTint="99"/>
        <w:sz w:val="22"/>
      </w:rPr>
      <w:tblPr/>
      <w:tcPr>
        <w:tcBorders>
          <w:top w:val="single" w:sz="4" w:space="0" w:color="F79646" w:themeColor="accent6"/>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FABF8F" w:themeColor="accent6" w:themeTint="99"/>
        <w:sz w:val="22"/>
      </w:rPr>
      <w:tblPr/>
      <w:tcPr>
        <w:tcBorders>
          <w:top w:val="none" w:sz="4" w:space="0" w:color="000000"/>
          <w:left w:val="none" w:sz="4" w:space="0" w:color="000000"/>
          <w:bottom w:val="none" w:sz="4" w:space="0" w:color="000000"/>
          <w:right w:val="single" w:sz="4" w:space="0" w:color="F79646" w:themeColor="accent6"/>
        </w:tcBorders>
        <w:shd w:val="clear" w:color="FFFFFF" w:fill="auto"/>
      </w:tcPr>
    </w:tblStylePr>
    <w:tblStylePr w:type="lastCol">
      <w:rPr>
        <w:i/>
        <w:color w:val="FABF8F" w:themeColor="accent6" w:themeTint="99"/>
        <w:sz w:val="22"/>
      </w:rPr>
      <w:tblPr/>
      <w:tcPr>
        <w:tcBorders>
          <w:top w:val="none" w:sz="4" w:space="0" w:color="000000"/>
          <w:left w:val="single" w:sz="4" w:space="0" w:color="F79646" w:themeColor="accent6"/>
          <w:bottom w:val="none" w:sz="4" w:space="0" w:color="000000"/>
          <w:right w:val="none" w:sz="4" w:space="0" w:color="000000"/>
        </w:tcBorders>
        <w:shd w:val="clear" w:color="FFFFFF" w:fill="auto"/>
      </w:tcPr>
    </w:tblStylePr>
    <w:tblStylePr w:type="band1Vert">
      <w:tblPr/>
      <w:tcPr>
        <w:shd w:val="clear" w:color="FDE4D0" w:fill="FDE4D0" w:themeFill="accent6" w:themeFillTint="40"/>
      </w:tcPr>
    </w:tblStylePr>
    <w:tblStylePr w:type="band1Horz">
      <w:rPr>
        <w:color w:val="FABF8F" w:themeColor="accent6" w:themeTint="99"/>
        <w:sz w:val="22"/>
      </w:rPr>
      <w:tblPr/>
      <w:tcPr>
        <w:shd w:val="clear" w:color="FDE4D0" w:fill="FDE4D0" w:themeFill="accent6" w:themeFillTint="40"/>
      </w:tcPr>
    </w:tblStylePr>
    <w:tblStylePr w:type="band2Horz">
      <w:rPr>
        <w:color w:val="FABF8F" w:themeColor="accent6" w:themeTint="99"/>
        <w:sz w:val="22"/>
      </w:rPr>
    </w:tblStylePr>
  </w:style>
  <w:style w:type="table" w:customStyle="1" w:styleId="Lined-Accent">
    <w:name w:val="Lined - Accent"/>
    <w:basedOn w:val="Tabelanormal"/>
    <w:uiPriority w:val="99"/>
    <w:qFormat/>
    <w:tblPr/>
    <w:tblStylePr w:type="firstRow">
      <w:rPr>
        <w:sz w:val="22"/>
      </w:rPr>
      <w:tblPr/>
      <w:tcPr>
        <w:shd w:val="clear" w:color="7F7F7F" w:fill="7F7F7F" w:themeFill="text1" w:themeFillTint="80"/>
      </w:tcPr>
    </w:tblStylePr>
    <w:tblStylePr w:type="lastRow">
      <w:rPr>
        <w:sz w:val="22"/>
      </w:rPr>
      <w:tblPr/>
      <w:tcPr>
        <w:shd w:val="clear" w:color="7F7F7F" w:fill="7F7F7F" w:themeFill="text1" w:themeFillTint="80"/>
      </w:tcPr>
    </w:tblStylePr>
    <w:tblStylePr w:type="firstCol">
      <w:rPr>
        <w:sz w:val="22"/>
      </w:rPr>
      <w:tblPr/>
      <w:tcPr>
        <w:shd w:val="clear" w:color="7F7F7F" w:fill="7F7F7F" w:themeFill="text1" w:themeFillTint="80"/>
      </w:tcPr>
    </w:tblStylePr>
    <w:tblStylePr w:type="lastCol">
      <w:rPr>
        <w:sz w:val="22"/>
      </w:rPr>
      <w:tblPr/>
      <w:tcPr>
        <w:shd w:val="clear" w:color="7F7F7F" w:fill="7F7F7F" w:themeFill="text1" w:themeFillTint="80"/>
      </w:tcPr>
    </w:tblStylePr>
    <w:tblStylePr w:type="band1Vert">
      <w:rPr>
        <w:sz w:val="22"/>
      </w:rPr>
    </w:tblStylePr>
    <w:tblStylePr w:type="band2Vert">
      <w:rPr>
        <w:sz w:val="22"/>
      </w:rPr>
      <w:tblPr/>
      <w:tcPr>
        <w:shd w:val="clear" w:color="F2F2F2" w:fill="F2F2F2" w:themeFill="text1" w:themeFillTint="0D"/>
      </w:tcPr>
    </w:tblStylePr>
    <w:tblStylePr w:type="band1Horz">
      <w:rPr>
        <w:sz w:val="22"/>
      </w:rPr>
    </w:tblStylePr>
    <w:tblStylePr w:type="band2Horz">
      <w:rPr>
        <w:sz w:val="22"/>
      </w:rPr>
      <w:tblPr/>
      <w:tcPr>
        <w:shd w:val="clear" w:color="F2F2F2" w:fill="F2F2F2" w:themeFill="text1" w:themeFillTint="0D"/>
      </w:tcPr>
    </w:tblStylePr>
  </w:style>
  <w:style w:type="table" w:customStyle="1" w:styleId="Lined-Accent1">
    <w:name w:val="Lined - Accent 1"/>
    <w:basedOn w:val="Tabelanormal"/>
    <w:uiPriority w:val="99"/>
    <w:qFormat/>
    <w:tblPr/>
    <w:tblStylePr w:type="firstRow">
      <w:rPr>
        <w:sz w:val="22"/>
      </w:rPr>
      <w:tblPr/>
      <w:tcPr>
        <w:shd w:val="clear" w:color="5D8AC2" w:fill="5D8AC2" w:themeFill="accent1" w:themeFillTint="EA"/>
      </w:tcPr>
    </w:tblStylePr>
    <w:tblStylePr w:type="lastRow">
      <w:rPr>
        <w:sz w:val="22"/>
      </w:rPr>
      <w:tblPr/>
      <w:tcPr>
        <w:shd w:val="clear" w:color="5D8AC2" w:fill="5D8AC2" w:themeFill="accent1" w:themeFillTint="EA"/>
      </w:tcPr>
    </w:tblStylePr>
    <w:tblStylePr w:type="firstCol">
      <w:rPr>
        <w:sz w:val="22"/>
      </w:rPr>
      <w:tblPr/>
      <w:tcPr>
        <w:shd w:val="clear" w:color="5D8AC2" w:fill="5D8AC2" w:themeFill="accent1" w:themeFillTint="EA"/>
      </w:tcPr>
    </w:tblStylePr>
    <w:tblStylePr w:type="lastCol">
      <w:rPr>
        <w:sz w:val="22"/>
      </w:rPr>
      <w:tblPr/>
      <w:tcPr>
        <w:shd w:val="clear" w:color="5D8AC2" w:fill="5D8AC2" w:themeFill="accent1" w:themeFillTint="EA"/>
      </w:tcPr>
    </w:tblStylePr>
    <w:tblStylePr w:type="band1Vert">
      <w:rPr>
        <w:sz w:val="22"/>
      </w:rPr>
    </w:tblStylePr>
    <w:tblStylePr w:type="band2Vert">
      <w:rPr>
        <w:sz w:val="22"/>
      </w:rPr>
      <w:tblPr/>
      <w:tcPr>
        <w:shd w:val="clear" w:color="C7D7EA" w:fill="C7D7EA" w:themeFill="accent1" w:themeFillTint="50"/>
      </w:tcPr>
    </w:tblStylePr>
    <w:tblStylePr w:type="band1Horz">
      <w:rPr>
        <w:sz w:val="22"/>
      </w:rPr>
    </w:tblStylePr>
    <w:tblStylePr w:type="band2Horz">
      <w:rPr>
        <w:sz w:val="22"/>
      </w:rPr>
      <w:tblPr/>
      <w:tcPr>
        <w:shd w:val="clear" w:color="C7D7EA" w:fill="C7D7EA" w:themeFill="accent1" w:themeFillTint="50"/>
      </w:tcPr>
    </w:tblStylePr>
  </w:style>
  <w:style w:type="table" w:customStyle="1" w:styleId="Lined-Accent2">
    <w:name w:val="Lined - Accent 2"/>
    <w:basedOn w:val="Tabelanormal"/>
    <w:uiPriority w:val="99"/>
    <w:qFormat/>
    <w:tblPr/>
    <w:tblStylePr w:type="firstRow">
      <w:rPr>
        <w:sz w:val="22"/>
      </w:rPr>
      <w:tblPr/>
      <w:tcPr>
        <w:shd w:val="clear" w:color="D99695" w:fill="D99695" w:themeFill="accent2" w:themeFillTint="97"/>
      </w:tcPr>
    </w:tblStylePr>
    <w:tblStylePr w:type="lastRow">
      <w:rPr>
        <w:sz w:val="22"/>
      </w:rPr>
      <w:tblPr/>
      <w:tcPr>
        <w:shd w:val="clear" w:color="D99695" w:fill="D99695" w:themeFill="accent2" w:themeFillTint="97"/>
      </w:tcPr>
    </w:tblStylePr>
    <w:tblStylePr w:type="firstCol">
      <w:rPr>
        <w:sz w:val="22"/>
      </w:rPr>
      <w:tblPr/>
      <w:tcPr>
        <w:shd w:val="clear" w:color="D99695" w:fill="D99695" w:themeFill="accent2" w:themeFillTint="97"/>
      </w:tcPr>
    </w:tblStylePr>
    <w:tblStylePr w:type="lastCol">
      <w:rPr>
        <w:sz w:val="22"/>
      </w:rPr>
      <w:tblPr/>
      <w:tcPr>
        <w:shd w:val="clear" w:color="D99695" w:fill="D99695" w:themeFill="accent2" w:themeFillTint="97"/>
      </w:tcPr>
    </w:tblStylePr>
    <w:tblStylePr w:type="band1Vert">
      <w:rPr>
        <w:sz w:val="22"/>
      </w:rPr>
    </w:tblStylePr>
    <w:tblStylePr w:type="band2Vert">
      <w:rPr>
        <w:sz w:val="22"/>
      </w:rPr>
      <w:tblPr/>
      <w:tcPr>
        <w:shd w:val="clear" w:color="F2DCDC" w:fill="F2DCDC" w:themeFill="accent2" w:themeFillTint="32"/>
      </w:tcPr>
    </w:tblStylePr>
    <w:tblStylePr w:type="band1Horz">
      <w:rPr>
        <w:sz w:val="22"/>
      </w:rPr>
    </w:tblStylePr>
    <w:tblStylePr w:type="band2Horz">
      <w:rPr>
        <w:sz w:val="22"/>
      </w:rPr>
      <w:tblPr/>
      <w:tcPr>
        <w:shd w:val="clear" w:color="F2DCDC" w:fill="F2DCDC" w:themeFill="accent2" w:themeFillTint="32"/>
      </w:tcPr>
    </w:tblStylePr>
  </w:style>
  <w:style w:type="table" w:customStyle="1" w:styleId="Lined-Accent3">
    <w:name w:val="Lined - Accent 3"/>
    <w:basedOn w:val="Tabelanormal"/>
    <w:uiPriority w:val="99"/>
    <w:qFormat/>
    <w:tblPr/>
    <w:tblStylePr w:type="firstRow">
      <w:rPr>
        <w:sz w:val="22"/>
      </w:rPr>
      <w:tblPr/>
      <w:tcPr>
        <w:shd w:val="clear" w:color="9ABB59" w:fill="9ABB59" w:themeFill="accent3" w:themeFillTint="FE"/>
      </w:tcPr>
    </w:tblStylePr>
    <w:tblStylePr w:type="lastRow">
      <w:rPr>
        <w:sz w:val="22"/>
      </w:rPr>
      <w:tblPr/>
      <w:tcPr>
        <w:shd w:val="clear" w:color="9ABB59" w:fill="9ABB59" w:themeFill="accent3" w:themeFillTint="FE"/>
      </w:tcPr>
    </w:tblStylePr>
    <w:tblStylePr w:type="firstCol">
      <w:rPr>
        <w:sz w:val="22"/>
      </w:rPr>
      <w:tblPr/>
      <w:tcPr>
        <w:shd w:val="clear" w:color="9ABB59" w:fill="9ABB59" w:themeFill="accent3" w:themeFillTint="FE"/>
      </w:tcPr>
    </w:tblStylePr>
    <w:tblStylePr w:type="lastCol">
      <w:rPr>
        <w:sz w:val="22"/>
      </w:rPr>
      <w:tblPr/>
      <w:tcPr>
        <w:shd w:val="clear" w:color="9ABB59" w:fill="9ABB59" w:themeFill="accent3" w:themeFillTint="FE"/>
      </w:tcPr>
    </w:tblStylePr>
    <w:tblStylePr w:type="band1Vert">
      <w:rPr>
        <w:sz w:val="22"/>
      </w:rPr>
    </w:tblStylePr>
    <w:tblStylePr w:type="band2Vert">
      <w:rPr>
        <w:sz w:val="22"/>
      </w:rPr>
      <w:tblPr/>
      <w:tcPr>
        <w:shd w:val="clear" w:color="EAF1DC" w:fill="EAF1DC" w:themeFill="accent3" w:themeFillTint="34"/>
      </w:tcPr>
    </w:tblStylePr>
    <w:tblStylePr w:type="band1Horz">
      <w:rPr>
        <w:sz w:val="22"/>
      </w:rPr>
    </w:tblStylePr>
    <w:tblStylePr w:type="band2Horz">
      <w:rPr>
        <w:sz w:val="22"/>
      </w:rPr>
      <w:tblPr/>
      <w:tcPr>
        <w:shd w:val="clear" w:color="EAF1DC" w:fill="EAF1DC" w:themeFill="accent3" w:themeFillTint="34"/>
      </w:tcPr>
    </w:tblStylePr>
  </w:style>
  <w:style w:type="table" w:customStyle="1" w:styleId="Lined-Accent4">
    <w:name w:val="Lined - Accent 4"/>
    <w:basedOn w:val="Tabelanormal"/>
    <w:uiPriority w:val="99"/>
    <w:qFormat/>
    <w:tblPr/>
    <w:tblStylePr w:type="firstRow">
      <w:rPr>
        <w:sz w:val="22"/>
      </w:rPr>
      <w:tblPr/>
      <w:tcPr>
        <w:shd w:val="clear" w:color="B2A1C6" w:fill="B2A1C6" w:themeFill="accent4" w:themeFillTint="9A"/>
      </w:tcPr>
    </w:tblStylePr>
    <w:tblStylePr w:type="lastRow">
      <w:rPr>
        <w:sz w:val="22"/>
      </w:rPr>
      <w:tblPr/>
      <w:tcPr>
        <w:shd w:val="clear" w:color="B2A1C6" w:fill="B2A1C6" w:themeFill="accent4" w:themeFillTint="9A"/>
      </w:tcPr>
    </w:tblStylePr>
    <w:tblStylePr w:type="firstCol">
      <w:rPr>
        <w:sz w:val="22"/>
      </w:rPr>
      <w:tblPr/>
      <w:tcPr>
        <w:shd w:val="clear" w:color="B2A1C6" w:fill="B2A1C6" w:themeFill="accent4" w:themeFillTint="9A"/>
      </w:tcPr>
    </w:tblStylePr>
    <w:tblStylePr w:type="lastCol">
      <w:rPr>
        <w:sz w:val="22"/>
      </w:rPr>
      <w:tblPr/>
      <w:tcPr>
        <w:shd w:val="clear" w:color="B2A1C6" w:fill="B2A1C6" w:themeFill="accent4" w:themeFillTint="9A"/>
      </w:tcPr>
    </w:tblStylePr>
    <w:tblStylePr w:type="band1Vert">
      <w:rPr>
        <w:sz w:val="22"/>
      </w:rPr>
    </w:tblStylePr>
    <w:tblStylePr w:type="band2Vert">
      <w:rPr>
        <w:sz w:val="22"/>
      </w:rPr>
      <w:tblPr/>
      <w:tcPr>
        <w:shd w:val="clear" w:color="E5DFEC" w:fill="E5DFEC" w:themeFill="accent4" w:themeFillTint="34"/>
      </w:tcPr>
    </w:tblStylePr>
    <w:tblStylePr w:type="band1Horz">
      <w:rPr>
        <w:sz w:val="22"/>
      </w:rPr>
    </w:tblStylePr>
    <w:tblStylePr w:type="band2Horz">
      <w:rPr>
        <w:sz w:val="22"/>
      </w:rPr>
      <w:tblPr/>
      <w:tcPr>
        <w:shd w:val="clear" w:color="E5DFEC" w:fill="E5DFEC" w:themeFill="accent4" w:themeFillTint="34"/>
      </w:tcPr>
    </w:tblStylePr>
  </w:style>
  <w:style w:type="table" w:customStyle="1" w:styleId="Lined-Accent5">
    <w:name w:val="Lined - Accent 5"/>
    <w:basedOn w:val="Tabelanormal"/>
    <w:uiPriority w:val="99"/>
    <w:qFormat/>
    <w:tblPr/>
    <w:tblStylePr w:type="firstRow">
      <w:rPr>
        <w:sz w:val="22"/>
      </w:rPr>
      <w:tblPr/>
      <w:tcPr>
        <w:shd w:val="clear" w:color="4BACC6" w:fill="4BACC6" w:themeFill="accent5"/>
      </w:tcPr>
    </w:tblStylePr>
    <w:tblStylePr w:type="lastRow">
      <w:rPr>
        <w:sz w:val="22"/>
      </w:rPr>
      <w:tblPr/>
      <w:tcPr>
        <w:shd w:val="clear" w:color="4BACC6" w:fill="4BACC6" w:themeFill="accent5"/>
      </w:tcPr>
    </w:tblStylePr>
    <w:tblStylePr w:type="firstCol">
      <w:rPr>
        <w:sz w:val="22"/>
      </w:rPr>
      <w:tblPr/>
      <w:tcPr>
        <w:shd w:val="clear" w:color="4BACC6" w:fill="4BACC6" w:themeFill="accent5"/>
      </w:tcPr>
    </w:tblStylePr>
    <w:tblStylePr w:type="lastCol">
      <w:rPr>
        <w:sz w:val="22"/>
      </w:rPr>
      <w:tblPr/>
      <w:tcPr>
        <w:shd w:val="clear" w:color="4BACC6" w:fill="4BACC6" w:themeFill="accent5"/>
      </w:tcPr>
    </w:tblStylePr>
    <w:tblStylePr w:type="band1Vert">
      <w:rPr>
        <w:sz w:val="22"/>
      </w:rPr>
    </w:tblStylePr>
    <w:tblStylePr w:type="band2Vert">
      <w:rPr>
        <w:sz w:val="22"/>
      </w:rPr>
      <w:tblPr/>
      <w:tcPr>
        <w:shd w:val="clear" w:color="DAEEF3" w:fill="DAEEF3" w:themeFill="accent5" w:themeFillTint="34"/>
      </w:tcPr>
    </w:tblStylePr>
    <w:tblStylePr w:type="band1Horz">
      <w:rPr>
        <w:sz w:val="22"/>
      </w:rPr>
    </w:tblStylePr>
    <w:tblStylePr w:type="band2Horz">
      <w:rPr>
        <w:sz w:val="22"/>
      </w:rPr>
      <w:tblPr/>
      <w:tcPr>
        <w:shd w:val="clear" w:color="DAEEF3" w:fill="DAEEF3" w:themeFill="accent5" w:themeFillTint="34"/>
      </w:tcPr>
    </w:tblStylePr>
  </w:style>
  <w:style w:type="table" w:customStyle="1" w:styleId="Lined-Accent6">
    <w:name w:val="Lined - Accent 6"/>
    <w:basedOn w:val="Tabelanormal"/>
    <w:uiPriority w:val="99"/>
    <w:qFormat/>
    <w:tblPr/>
    <w:tblStylePr w:type="firstRow">
      <w:rPr>
        <w:sz w:val="22"/>
      </w:rPr>
      <w:tblPr/>
      <w:tcPr>
        <w:shd w:val="clear" w:color="F79646" w:fill="F79646" w:themeFill="accent6"/>
      </w:tcPr>
    </w:tblStylePr>
    <w:tblStylePr w:type="lastRow">
      <w:rPr>
        <w:sz w:val="22"/>
      </w:rPr>
      <w:tblPr/>
      <w:tcPr>
        <w:shd w:val="clear" w:color="F79646" w:fill="F79646" w:themeFill="accent6"/>
      </w:tcPr>
    </w:tblStylePr>
    <w:tblStylePr w:type="firstCol">
      <w:rPr>
        <w:sz w:val="22"/>
      </w:rPr>
      <w:tblPr/>
      <w:tcPr>
        <w:shd w:val="clear" w:color="F79646" w:fill="F79646" w:themeFill="accent6"/>
      </w:tcPr>
    </w:tblStylePr>
    <w:tblStylePr w:type="lastCol">
      <w:rPr>
        <w:sz w:val="22"/>
      </w:rPr>
      <w:tblPr/>
      <w:tcPr>
        <w:shd w:val="clear" w:color="F79646" w:fill="F79646" w:themeFill="accent6"/>
      </w:tcPr>
    </w:tblStylePr>
    <w:tblStylePr w:type="band1Vert">
      <w:rPr>
        <w:sz w:val="22"/>
      </w:rPr>
    </w:tblStylePr>
    <w:tblStylePr w:type="band2Vert">
      <w:rPr>
        <w:sz w:val="22"/>
      </w:rPr>
      <w:tblPr/>
      <w:tcPr>
        <w:shd w:val="clear" w:color="FDE9D8" w:fill="FDE9D8" w:themeFill="accent6" w:themeFillTint="34"/>
      </w:tcPr>
    </w:tblStylePr>
    <w:tblStylePr w:type="band1Horz">
      <w:rPr>
        <w:sz w:val="22"/>
      </w:rPr>
    </w:tblStylePr>
    <w:tblStylePr w:type="band2Horz">
      <w:rPr>
        <w:sz w:val="22"/>
      </w:rPr>
      <w:tblPr/>
      <w:tcPr>
        <w:shd w:val="clear" w:color="FDE9D8" w:fill="FDE9D8" w:themeFill="accent6" w:themeFillTint="34"/>
      </w:tcPr>
    </w:tblStylePr>
  </w:style>
  <w:style w:type="table" w:customStyle="1" w:styleId="BorderedLined-Accent">
    <w:name w:val="Bordered &amp; Lined - Accent"/>
    <w:basedOn w:val="Tabelanormal"/>
    <w:uiPriority w:val="99"/>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sz w:val="22"/>
      </w:rPr>
      <w:tblPr/>
      <w:tcPr>
        <w:shd w:val="clear" w:color="7F7F7F" w:fill="7F7F7F" w:themeFill="text1" w:themeFillTint="80"/>
      </w:tcPr>
    </w:tblStylePr>
    <w:tblStylePr w:type="lastRow">
      <w:rPr>
        <w:sz w:val="22"/>
      </w:rPr>
      <w:tblPr/>
      <w:tcPr>
        <w:shd w:val="clear" w:color="7F7F7F" w:fill="7F7F7F" w:themeFill="text1" w:themeFillTint="80"/>
      </w:tcPr>
    </w:tblStylePr>
    <w:tblStylePr w:type="firstCol">
      <w:rPr>
        <w:sz w:val="22"/>
      </w:rPr>
      <w:tblPr/>
      <w:tcPr>
        <w:shd w:val="clear" w:color="7F7F7F" w:fill="7F7F7F" w:themeFill="text1" w:themeFillTint="80"/>
      </w:tcPr>
    </w:tblStylePr>
    <w:tblStylePr w:type="lastCol">
      <w:rPr>
        <w:sz w:val="22"/>
      </w:rPr>
      <w:tblPr/>
      <w:tcPr>
        <w:shd w:val="clear" w:color="7F7F7F" w:fill="7F7F7F" w:themeFill="text1" w:themeFillTint="80"/>
      </w:tcPr>
    </w:tblStylePr>
    <w:tblStylePr w:type="band1Vert">
      <w:rPr>
        <w:sz w:val="22"/>
      </w:rPr>
    </w:tblStylePr>
    <w:tblStylePr w:type="band2Vert">
      <w:rPr>
        <w:sz w:val="22"/>
      </w:rPr>
      <w:tblPr/>
      <w:tcPr>
        <w:shd w:val="clear" w:color="F2F2F2" w:fill="F2F2F2" w:themeFill="text1" w:themeFillTint="0D"/>
      </w:tcPr>
    </w:tblStylePr>
    <w:tblStylePr w:type="band1Horz">
      <w:rPr>
        <w:sz w:val="22"/>
      </w:rPr>
    </w:tblStylePr>
    <w:tblStylePr w:type="band2Horz">
      <w:rPr>
        <w:sz w:val="22"/>
      </w:rPr>
      <w:tblPr/>
      <w:tcPr>
        <w:shd w:val="clear" w:color="F2F2F2" w:fill="F2F2F2" w:themeFill="text1" w:themeFillTint="0D"/>
      </w:tcPr>
    </w:tblStylePr>
  </w:style>
  <w:style w:type="table" w:customStyle="1" w:styleId="BorderedLined-Accent1">
    <w:name w:val="Bordered &amp; Lined - Accent 1"/>
    <w:basedOn w:val="Tabelanormal"/>
    <w:uiPriority w:val="99"/>
    <w:qFormat/>
    <w:tblPr>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Pr>
    <w:tblStylePr w:type="firstRow">
      <w:rPr>
        <w:sz w:val="22"/>
      </w:rPr>
      <w:tblPr/>
      <w:tcPr>
        <w:shd w:val="clear" w:color="5D8AC2" w:fill="5D8AC2" w:themeFill="accent1" w:themeFillTint="EA"/>
      </w:tcPr>
    </w:tblStylePr>
    <w:tblStylePr w:type="lastRow">
      <w:rPr>
        <w:sz w:val="22"/>
      </w:rPr>
      <w:tblPr/>
      <w:tcPr>
        <w:shd w:val="clear" w:color="5D8AC2" w:fill="5D8AC2" w:themeFill="accent1" w:themeFillTint="EA"/>
      </w:tcPr>
    </w:tblStylePr>
    <w:tblStylePr w:type="firstCol">
      <w:rPr>
        <w:sz w:val="22"/>
      </w:rPr>
      <w:tblPr/>
      <w:tcPr>
        <w:shd w:val="clear" w:color="5D8AC2" w:fill="5D8AC2" w:themeFill="accent1" w:themeFillTint="EA"/>
      </w:tcPr>
    </w:tblStylePr>
    <w:tblStylePr w:type="lastCol">
      <w:rPr>
        <w:sz w:val="22"/>
      </w:rPr>
      <w:tblPr/>
      <w:tcPr>
        <w:shd w:val="clear" w:color="5D8AC2" w:fill="5D8AC2" w:themeFill="accent1" w:themeFillTint="EA"/>
      </w:tcPr>
    </w:tblStylePr>
    <w:tblStylePr w:type="band1Vert">
      <w:rPr>
        <w:sz w:val="22"/>
      </w:rPr>
    </w:tblStylePr>
    <w:tblStylePr w:type="band2Vert">
      <w:rPr>
        <w:sz w:val="22"/>
      </w:rPr>
      <w:tblPr/>
      <w:tcPr>
        <w:shd w:val="clear" w:color="C7D7EA" w:fill="C7D7EA" w:themeFill="accent1" w:themeFillTint="50"/>
      </w:tcPr>
    </w:tblStylePr>
    <w:tblStylePr w:type="band1Horz">
      <w:rPr>
        <w:sz w:val="22"/>
      </w:rPr>
    </w:tblStylePr>
    <w:tblStylePr w:type="band2Horz">
      <w:rPr>
        <w:sz w:val="22"/>
      </w:rPr>
      <w:tblPr/>
      <w:tcPr>
        <w:shd w:val="clear" w:color="C7D7EA" w:fill="C7D7EA" w:themeFill="accent1" w:themeFillTint="50"/>
      </w:tcPr>
    </w:tblStylePr>
  </w:style>
  <w:style w:type="table" w:customStyle="1" w:styleId="BorderedLined-Accent2">
    <w:name w:val="Bordered &amp; Lined - Accent 2"/>
    <w:basedOn w:val="Tabelanormal"/>
    <w:uiPriority w:val="99"/>
    <w:qFormat/>
    <w:tblPr>
      <w:tblBorders>
        <w:top w:val="single" w:sz="4" w:space="0" w:color="C0504D" w:themeColor="accent2"/>
        <w:left w:val="single" w:sz="4" w:space="0" w:color="C0504D" w:themeColor="accent2"/>
        <w:bottom w:val="single" w:sz="4" w:space="0" w:color="C0504D" w:themeColor="accent2"/>
        <w:right w:val="single" w:sz="4" w:space="0" w:color="C0504D" w:themeColor="accent2"/>
        <w:insideH w:val="single" w:sz="4" w:space="0" w:color="C0504D" w:themeColor="accent2"/>
        <w:insideV w:val="single" w:sz="4" w:space="0" w:color="C0504D" w:themeColor="accent2"/>
      </w:tblBorders>
    </w:tblPr>
    <w:tblStylePr w:type="firstRow">
      <w:rPr>
        <w:sz w:val="22"/>
      </w:rPr>
      <w:tblPr/>
      <w:tcPr>
        <w:shd w:val="clear" w:color="D99695" w:fill="D99695" w:themeFill="accent2" w:themeFillTint="97"/>
      </w:tcPr>
    </w:tblStylePr>
    <w:tblStylePr w:type="lastRow">
      <w:rPr>
        <w:sz w:val="22"/>
      </w:rPr>
      <w:tblPr/>
      <w:tcPr>
        <w:shd w:val="clear" w:color="D99695" w:fill="D99695" w:themeFill="accent2" w:themeFillTint="97"/>
      </w:tcPr>
    </w:tblStylePr>
    <w:tblStylePr w:type="firstCol">
      <w:rPr>
        <w:sz w:val="22"/>
      </w:rPr>
      <w:tblPr/>
      <w:tcPr>
        <w:shd w:val="clear" w:color="D99695" w:fill="D99695" w:themeFill="accent2" w:themeFillTint="97"/>
      </w:tcPr>
    </w:tblStylePr>
    <w:tblStylePr w:type="lastCol">
      <w:rPr>
        <w:sz w:val="22"/>
      </w:rPr>
      <w:tblPr/>
      <w:tcPr>
        <w:shd w:val="clear" w:color="D99695" w:fill="D99695" w:themeFill="accent2" w:themeFillTint="97"/>
      </w:tcPr>
    </w:tblStylePr>
    <w:tblStylePr w:type="band1Vert">
      <w:rPr>
        <w:sz w:val="22"/>
      </w:rPr>
    </w:tblStylePr>
    <w:tblStylePr w:type="band2Vert">
      <w:rPr>
        <w:sz w:val="22"/>
      </w:rPr>
      <w:tblPr/>
      <w:tcPr>
        <w:shd w:val="clear" w:color="F2DCDC" w:fill="F2DCDC" w:themeFill="accent2" w:themeFillTint="32"/>
      </w:tcPr>
    </w:tblStylePr>
    <w:tblStylePr w:type="band1Horz">
      <w:rPr>
        <w:sz w:val="22"/>
      </w:rPr>
    </w:tblStylePr>
    <w:tblStylePr w:type="band2Horz">
      <w:rPr>
        <w:sz w:val="22"/>
      </w:rPr>
      <w:tblPr/>
      <w:tcPr>
        <w:shd w:val="clear" w:color="F2DCDC" w:fill="F2DCDC" w:themeFill="accent2" w:themeFillTint="32"/>
      </w:tcPr>
    </w:tblStylePr>
  </w:style>
  <w:style w:type="table" w:customStyle="1" w:styleId="BorderedLined-Accent3">
    <w:name w:val="Bordered &amp; Lined - Accent 3"/>
    <w:basedOn w:val="Tabelanormal"/>
    <w:uiPriority w:val="99"/>
    <w:qFormat/>
    <w:tblPr>
      <w:tblBorders>
        <w:top w:val="single" w:sz="4" w:space="0" w:color="9BBB59" w:themeColor="accent3"/>
        <w:left w:val="single" w:sz="4" w:space="0" w:color="9BBB59" w:themeColor="accent3"/>
        <w:bottom w:val="single" w:sz="4" w:space="0" w:color="9BBB59" w:themeColor="accent3"/>
        <w:right w:val="single" w:sz="4" w:space="0" w:color="9BBB59" w:themeColor="accent3"/>
        <w:insideH w:val="single" w:sz="4" w:space="0" w:color="9BBB59" w:themeColor="accent3"/>
        <w:insideV w:val="single" w:sz="4" w:space="0" w:color="9BBB59" w:themeColor="accent3"/>
      </w:tblBorders>
    </w:tblPr>
    <w:tblStylePr w:type="firstRow">
      <w:rPr>
        <w:sz w:val="22"/>
      </w:rPr>
      <w:tblPr/>
      <w:tcPr>
        <w:shd w:val="clear" w:color="9ABB59" w:fill="9ABB59" w:themeFill="accent3" w:themeFillTint="FE"/>
      </w:tcPr>
    </w:tblStylePr>
    <w:tblStylePr w:type="lastRow">
      <w:rPr>
        <w:sz w:val="22"/>
      </w:rPr>
      <w:tblPr/>
      <w:tcPr>
        <w:shd w:val="clear" w:color="9ABB59" w:fill="9ABB59" w:themeFill="accent3" w:themeFillTint="FE"/>
      </w:tcPr>
    </w:tblStylePr>
    <w:tblStylePr w:type="firstCol">
      <w:rPr>
        <w:sz w:val="22"/>
      </w:rPr>
      <w:tblPr/>
      <w:tcPr>
        <w:shd w:val="clear" w:color="9ABB59" w:fill="9ABB59" w:themeFill="accent3" w:themeFillTint="FE"/>
      </w:tcPr>
    </w:tblStylePr>
    <w:tblStylePr w:type="lastCol">
      <w:rPr>
        <w:sz w:val="22"/>
      </w:rPr>
      <w:tblPr/>
      <w:tcPr>
        <w:shd w:val="clear" w:color="9ABB59" w:fill="9ABB59" w:themeFill="accent3" w:themeFillTint="FE"/>
      </w:tcPr>
    </w:tblStylePr>
    <w:tblStylePr w:type="band1Vert">
      <w:rPr>
        <w:sz w:val="22"/>
      </w:rPr>
    </w:tblStylePr>
    <w:tblStylePr w:type="band2Vert">
      <w:rPr>
        <w:sz w:val="22"/>
      </w:rPr>
      <w:tblPr/>
      <w:tcPr>
        <w:shd w:val="clear" w:color="EAF1DC" w:fill="EAF1DC" w:themeFill="accent3" w:themeFillTint="34"/>
      </w:tcPr>
    </w:tblStylePr>
    <w:tblStylePr w:type="band1Horz">
      <w:rPr>
        <w:sz w:val="22"/>
      </w:rPr>
    </w:tblStylePr>
    <w:tblStylePr w:type="band2Horz">
      <w:rPr>
        <w:sz w:val="22"/>
      </w:rPr>
      <w:tblPr/>
      <w:tcPr>
        <w:shd w:val="clear" w:color="EAF1DC" w:fill="EAF1DC" w:themeFill="accent3" w:themeFillTint="34"/>
      </w:tcPr>
    </w:tblStylePr>
  </w:style>
  <w:style w:type="table" w:customStyle="1" w:styleId="BorderedLined-Accent4">
    <w:name w:val="Bordered &amp; Lined - Accent 4"/>
    <w:basedOn w:val="Tabelanormal"/>
    <w:uiPriority w:val="99"/>
    <w:qFormat/>
    <w:tblPr>
      <w:tblBorders>
        <w:top w:val="single" w:sz="4" w:space="0" w:color="8064A2" w:themeColor="accent4"/>
        <w:left w:val="single" w:sz="4" w:space="0" w:color="8064A2" w:themeColor="accent4"/>
        <w:bottom w:val="single" w:sz="4" w:space="0" w:color="8064A2" w:themeColor="accent4"/>
        <w:right w:val="single" w:sz="4" w:space="0" w:color="8064A2" w:themeColor="accent4"/>
        <w:insideH w:val="single" w:sz="4" w:space="0" w:color="8064A2" w:themeColor="accent4"/>
        <w:insideV w:val="single" w:sz="4" w:space="0" w:color="8064A2" w:themeColor="accent4"/>
      </w:tblBorders>
    </w:tblPr>
    <w:tblStylePr w:type="firstRow">
      <w:rPr>
        <w:sz w:val="22"/>
      </w:rPr>
      <w:tblPr/>
      <w:tcPr>
        <w:shd w:val="clear" w:color="B2A1C6" w:fill="B2A1C6" w:themeFill="accent4" w:themeFillTint="9A"/>
      </w:tcPr>
    </w:tblStylePr>
    <w:tblStylePr w:type="lastRow">
      <w:rPr>
        <w:sz w:val="22"/>
      </w:rPr>
      <w:tblPr/>
      <w:tcPr>
        <w:shd w:val="clear" w:color="B2A1C6" w:fill="B2A1C6" w:themeFill="accent4" w:themeFillTint="9A"/>
      </w:tcPr>
    </w:tblStylePr>
    <w:tblStylePr w:type="firstCol">
      <w:rPr>
        <w:sz w:val="22"/>
      </w:rPr>
      <w:tblPr/>
      <w:tcPr>
        <w:shd w:val="clear" w:color="B2A1C6" w:fill="B2A1C6" w:themeFill="accent4" w:themeFillTint="9A"/>
      </w:tcPr>
    </w:tblStylePr>
    <w:tblStylePr w:type="lastCol">
      <w:rPr>
        <w:sz w:val="22"/>
      </w:rPr>
      <w:tblPr/>
      <w:tcPr>
        <w:shd w:val="clear" w:color="B2A1C6" w:fill="B2A1C6" w:themeFill="accent4" w:themeFillTint="9A"/>
      </w:tcPr>
    </w:tblStylePr>
    <w:tblStylePr w:type="band1Vert">
      <w:rPr>
        <w:sz w:val="22"/>
      </w:rPr>
    </w:tblStylePr>
    <w:tblStylePr w:type="band2Vert">
      <w:rPr>
        <w:sz w:val="22"/>
      </w:rPr>
      <w:tblPr/>
      <w:tcPr>
        <w:shd w:val="clear" w:color="E5DFEC" w:fill="E5DFEC" w:themeFill="accent4" w:themeFillTint="34"/>
      </w:tcPr>
    </w:tblStylePr>
    <w:tblStylePr w:type="band1Horz">
      <w:rPr>
        <w:sz w:val="22"/>
      </w:rPr>
    </w:tblStylePr>
    <w:tblStylePr w:type="band2Horz">
      <w:rPr>
        <w:sz w:val="22"/>
      </w:rPr>
      <w:tblPr/>
      <w:tcPr>
        <w:shd w:val="clear" w:color="E5DFEC" w:fill="E5DFEC" w:themeFill="accent4" w:themeFillTint="34"/>
      </w:tcPr>
    </w:tblStylePr>
  </w:style>
  <w:style w:type="table" w:customStyle="1" w:styleId="BorderedLined-Accent5">
    <w:name w:val="Bordered &amp; Lined - Accent 5"/>
    <w:basedOn w:val="Tabelanormal"/>
    <w:uiPriority w:val="99"/>
    <w:qFormat/>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sz w:val="22"/>
      </w:rPr>
      <w:tblPr/>
      <w:tcPr>
        <w:shd w:val="clear" w:color="4BACC6" w:fill="4BACC6" w:themeFill="accent5"/>
      </w:tcPr>
    </w:tblStylePr>
    <w:tblStylePr w:type="lastRow">
      <w:rPr>
        <w:sz w:val="22"/>
      </w:rPr>
      <w:tblPr/>
      <w:tcPr>
        <w:shd w:val="clear" w:color="4BACC6" w:fill="4BACC6" w:themeFill="accent5"/>
      </w:tcPr>
    </w:tblStylePr>
    <w:tblStylePr w:type="firstCol">
      <w:rPr>
        <w:sz w:val="22"/>
      </w:rPr>
      <w:tblPr/>
      <w:tcPr>
        <w:shd w:val="clear" w:color="4BACC6" w:fill="4BACC6" w:themeFill="accent5"/>
      </w:tcPr>
    </w:tblStylePr>
    <w:tblStylePr w:type="lastCol">
      <w:rPr>
        <w:sz w:val="22"/>
      </w:rPr>
      <w:tblPr/>
      <w:tcPr>
        <w:shd w:val="clear" w:color="4BACC6" w:fill="4BACC6" w:themeFill="accent5"/>
      </w:tcPr>
    </w:tblStylePr>
    <w:tblStylePr w:type="band1Vert">
      <w:rPr>
        <w:sz w:val="22"/>
      </w:rPr>
    </w:tblStylePr>
    <w:tblStylePr w:type="band2Vert">
      <w:rPr>
        <w:sz w:val="22"/>
      </w:rPr>
      <w:tblPr/>
      <w:tcPr>
        <w:shd w:val="clear" w:color="DAEEF3" w:fill="DAEEF3" w:themeFill="accent5" w:themeFillTint="34"/>
      </w:tcPr>
    </w:tblStylePr>
    <w:tblStylePr w:type="band1Horz">
      <w:rPr>
        <w:sz w:val="22"/>
      </w:rPr>
    </w:tblStylePr>
    <w:tblStylePr w:type="band2Horz">
      <w:rPr>
        <w:sz w:val="22"/>
      </w:rPr>
      <w:tblPr/>
      <w:tcPr>
        <w:shd w:val="clear" w:color="DAEEF3" w:fill="DAEEF3" w:themeFill="accent5" w:themeFillTint="34"/>
      </w:tcPr>
    </w:tblStylePr>
  </w:style>
  <w:style w:type="table" w:customStyle="1" w:styleId="BorderedLined-Accent6">
    <w:name w:val="Bordered &amp; Lined - Accent 6"/>
    <w:basedOn w:val="Tabelanormal"/>
    <w:uiPriority w:val="99"/>
    <w:qFormat/>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sz w:val="22"/>
      </w:rPr>
      <w:tblPr/>
      <w:tcPr>
        <w:shd w:val="clear" w:color="F79646" w:fill="F79646" w:themeFill="accent6"/>
      </w:tcPr>
    </w:tblStylePr>
    <w:tblStylePr w:type="lastRow">
      <w:rPr>
        <w:sz w:val="22"/>
      </w:rPr>
      <w:tblPr/>
      <w:tcPr>
        <w:shd w:val="clear" w:color="F79646" w:fill="F79646" w:themeFill="accent6"/>
      </w:tcPr>
    </w:tblStylePr>
    <w:tblStylePr w:type="firstCol">
      <w:rPr>
        <w:sz w:val="22"/>
      </w:rPr>
      <w:tblPr/>
      <w:tcPr>
        <w:shd w:val="clear" w:color="F79646" w:fill="F79646" w:themeFill="accent6"/>
      </w:tcPr>
    </w:tblStylePr>
    <w:tblStylePr w:type="lastCol">
      <w:rPr>
        <w:sz w:val="22"/>
      </w:rPr>
      <w:tblPr/>
      <w:tcPr>
        <w:shd w:val="clear" w:color="F79646" w:fill="F79646" w:themeFill="accent6"/>
      </w:tcPr>
    </w:tblStylePr>
    <w:tblStylePr w:type="band1Vert">
      <w:rPr>
        <w:sz w:val="22"/>
      </w:rPr>
    </w:tblStylePr>
    <w:tblStylePr w:type="band2Vert">
      <w:rPr>
        <w:sz w:val="22"/>
      </w:rPr>
      <w:tblPr/>
      <w:tcPr>
        <w:shd w:val="clear" w:color="FDE9D8" w:fill="FDE9D8" w:themeFill="accent6" w:themeFillTint="34"/>
      </w:tcPr>
    </w:tblStylePr>
    <w:tblStylePr w:type="band1Horz">
      <w:rPr>
        <w:sz w:val="22"/>
      </w:rPr>
    </w:tblStylePr>
    <w:tblStylePr w:type="band2Horz">
      <w:rPr>
        <w:sz w:val="22"/>
      </w:rPr>
      <w:tblPr/>
      <w:tcPr>
        <w:shd w:val="clear" w:color="FDE9D8" w:fill="FDE9D8" w:themeFill="accent6" w:themeFillTint="34"/>
      </w:tcPr>
    </w:tblStylePr>
  </w:style>
  <w:style w:type="table" w:customStyle="1" w:styleId="Bordered">
    <w:name w:val="Bordered"/>
    <w:basedOn w:val="Tabelanormal"/>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sz w:val="22"/>
      </w:rPr>
      <w:tblPr/>
      <w:tcPr>
        <w:tcBorders>
          <w:bottom w:val="single" w:sz="12" w:space="0" w:color="000000" w:themeColor="text1"/>
        </w:tcBorders>
      </w:tcPr>
    </w:tblStylePr>
    <w:tblStylePr w:type="lastRow">
      <w:rPr>
        <w:sz w:val="22"/>
      </w:rPr>
      <w:tblPr/>
      <w:tcPr>
        <w:tcBorders>
          <w:top w:val="single" w:sz="12" w:space="0" w:color="000000" w:themeColor="text1"/>
        </w:tcBorders>
      </w:tcPr>
    </w:tblStylePr>
    <w:tblStylePr w:type="firstCol">
      <w:rPr>
        <w:sz w:val="22"/>
      </w:rPr>
    </w:tblStylePr>
    <w:tblStylePr w:type="lastCol">
      <w:rPr>
        <w:sz w:val="22"/>
      </w:rPr>
      <w:tblPr/>
      <w:tcPr>
        <w:tcBorders>
          <w:left w:val="single" w:sz="12" w:space="0" w:color="000000" w:themeColor="text1"/>
        </w:tcBorders>
      </w:tcPr>
    </w:tblStylePr>
    <w:tblStylePr w:type="band1Horz">
      <w:rPr>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Bordered-Accent1">
    <w:name w:val="Bordered - Accent 1"/>
    <w:basedOn w:val="Tabelanormal"/>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sz w:val="22"/>
      </w:rPr>
      <w:tblPr/>
      <w:tcPr>
        <w:tcBorders>
          <w:bottom w:val="single" w:sz="12" w:space="0" w:color="4F81BD" w:themeColor="accent1"/>
        </w:tcBorders>
      </w:tcPr>
    </w:tblStylePr>
    <w:tblStylePr w:type="lastRow">
      <w:rPr>
        <w:sz w:val="22"/>
      </w:rPr>
      <w:tblPr/>
      <w:tcPr>
        <w:tcBorders>
          <w:top w:val="single" w:sz="12" w:space="0" w:color="4F81BD" w:themeColor="accent1"/>
        </w:tcBorders>
      </w:tcPr>
    </w:tblStylePr>
    <w:tblStylePr w:type="firstCol">
      <w:rPr>
        <w:sz w:val="22"/>
      </w:rPr>
    </w:tblStylePr>
    <w:tblStylePr w:type="lastCol">
      <w:rPr>
        <w:sz w:val="22"/>
      </w:rPr>
      <w:tblPr/>
      <w:tcPr>
        <w:tcBorders>
          <w:left w:val="single" w:sz="12" w:space="0" w:color="4F81BD" w:themeColor="accent1"/>
        </w:tcBorders>
      </w:tcPr>
    </w:tblStylePr>
    <w:tblStylePr w:type="band1Horz">
      <w:rPr>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tblStylePr>
  </w:style>
  <w:style w:type="table" w:customStyle="1" w:styleId="Bordered-Accent2">
    <w:name w:val="Bordered - Accent 2"/>
    <w:basedOn w:val="Tabelanormal"/>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sz w:val="22"/>
      </w:rPr>
      <w:tblPr/>
      <w:tcPr>
        <w:tcBorders>
          <w:bottom w:val="single" w:sz="12" w:space="0" w:color="C0504D" w:themeColor="accent2"/>
        </w:tcBorders>
      </w:tcPr>
    </w:tblStylePr>
    <w:tblStylePr w:type="lastRow">
      <w:rPr>
        <w:sz w:val="22"/>
      </w:rPr>
      <w:tblPr/>
      <w:tcPr>
        <w:tcBorders>
          <w:top w:val="single" w:sz="12" w:space="0" w:color="C0504D" w:themeColor="accent2"/>
        </w:tcBorders>
      </w:tcPr>
    </w:tblStylePr>
    <w:tblStylePr w:type="firstCol">
      <w:rPr>
        <w:sz w:val="22"/>
      </w:rPr>
    </w:tblStylePr>
    <w:tblStylePr w:type="lastCol">
      <w:rPr>
        <w:sz w:val="22"/>
      </w:rPr>
      <w:tblPr/>
      <w:tcPr>
        <w:tcBorders>
          <w:left w:val="single" w:sz="12" w:space="0" w:color="C0504D" w:themeColor="accent2"/>
        </w:tcBorders>
      </w:tcPr>
    </w:tblStylePr>
    <w:tblStylePr w:type="band1Horz">
      <w:rPr>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tblStylePr>
  </w:style>
  <w:style w:type="table" w:customStyle="1" w:styleId="Bordered-Accent3">
    <w:name w:val="Bordered - Accent 3"/>
    <w:basedOn w:val="Tabelanormal"/>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sz w:val="22"/>
      </w:rPr>
      <w:tblPr/>
      <w:tcPr>
        <w:tcBorders>
          <w:bottom w:val="single" w:sz="12" w:space="0" w:color="9BBB59" w:themeColor="accent3"/>
        </w:tcBorders>
      </w:tcPr>
    </w:tblStylePr>
    <w:tblStylePr w:type="lastRow">
      <w:rPr>
        <w:sz w:val="22"/>
      </w:rPr>
      <w:tblPr/>
      <w:tcPr>
        <w:tcBorders>
          <w:top w:val="single" w:sz="12" w:space="0" w:color="9BBB59" w:themeColor="accent3"/>
        </w:tcBorders>
      </w:tcPr>
    </w:tblStylePr>
    <w:tblStylePr w:type="firstCol">
      <w:rPr>
        <w:sz w:val="22"/>
      </w:rPr>
    </w:tblStylePr>
    <w:tblStylePr w:type="lastCol">
      <w:rPr>
        <w:sz w:val="22"/>
      </w:rPr>
      <w:tblPr/>
      <w:tcPr>
        <w:tcBorders>
          <w:left w:val="single" w:sz="12" w:space="0" w:color="9BBB59" w:themeColor="accent3"/>
        </w:tcBorders>
      </w:tcPr>
    </w:tblStylePr>
    <w:tblStylePr w:type="band1Horz">
      <w:rPr>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tcPr>
    </w:tblStylePr>
  </w:style>
  <w:style w:type="table" w:customStyle="1" w:styleId="Bordered-Accent4">
    <w:name w:val="Bordered - Accent 4"/>
    <w:basedOn w:val="Tabelanormal"/>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sz w:val="22"/>
      </w:rPr>
      <w:tblPr/>
      <w:tcPr>
        <w:tcBorders>
          <w:bottom w:val="single" w:sz="12" w:space="0" w:color="8064A2" w:themeColor="accent4"/>
        </w:tcBorders>
      </w:tcPr>
    </w:tblStylePr>
    <w:tblStylePr w:type="lastRow">
      <w:rPr>
        <w:sz w:val="22"/>
      </w:rPr>
      <w:tblPr/>
      <w:tcPr>
        <w:tcBorders>
          <w:top w:val="single" w:sz="12" w:space="0" w:color="8064A2" w:themeColor="accent4"/>
        </w:tcBorders>
      </w:tcPr>
    </w:tblStylePr>
    <w:tblStylePr w:type="firstCol">
      <w:rPr>
        <w:sz w:val="22"/>
      </w:rPr>
    </w:tblStylePr>
    <w:tblStylePr w:type="lastCol">
      <w:rPr>
        <w:sz w:val="22"/>
      </w:rPr>
      <w:tblPr/>
      <w:tcPr>
        <w:tcBorders>
          <w:left w:val="single" w:sz="12" w:space="0" w:color="8064A2" w:themeColor="accent4"/>
        </w:tcBorders>
      </w:tcPr>
    </w:tblStylePr>
    <w:tblStylePr w:type="band1Horz">
      <w:rPr>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tcPr>
    </w:tblStylePr>
  </w:style>
  <w:style w:type="table" w:customStyle="1" w:styleId="Bordered-Accent5">
    <w:name w:val="Bordered - Accent 5"/>
    <w:basedOn w:val="Tabelanormal"/>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sz w:val="22"/>
      </w:rPr>
      <w:tblPr/>
      <w:tcPr>
        <w:tcBorders>
          <w:bottom w:val="single" w:sz="12" w:space="0" w:color="4BACC6" w:themeColor="accent5"/>
        </w:tcBorders>
      </w:tcPr>
    </w:tblStylePr>
    <w:tblStylePr w:type="lastRow">
      <w:rPr>
        <w:sz w:val="22"/>
      </w:rPr>
      <w:tblPr/>
      <w:tcPr>
        <w:tcBorders>
          <w:top w:val="single" w:sz="12" w:space="0" w:color="4BACC6" w:themeColor="accent5"/>
        </w:tcBorders>
      </w:tcPr>
    </w:tblStylePr>
    <w:tblStylePr w:type="firstCol">
      <w:rPr>
        <w:sz w:val="22"/>
      </w:rPr>
    </w:tblStylePr>
    <w:tblStylePr w:type="lastCol">
      <w:rPr>
        <w:sz w:val="22"/>
      </w:rPr>
      <w:tblPr/>
      <w:tcPr>
        <w:tcBorders>
          <w:left w:val="single" w:sz="12" w:space="0" w:color="4BACC6" w:themeColor="accent5"/>
        </w:tcBorders>
      </w:tcPr>
    </w:tblStylePr>
    <w:tblStylePr w:type="band1Horz">
      <w:rPr>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tblStylePr>
  </w:style>
  <w:style w:type="table" w:customStyle="1" w:styleId="Bordered-Accent6">
    <w:name w:val="Bordered - Accent 6"/>
    <w:basedOn w:val="Tabelanormal"/>
    <w:uiPriority w:val="99"/>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sz w:val="22"/>
      </w:rPr>
      <w:tblPr/>
      <w:tcPr>
        <w:tcBorders>
          <w:bottom w:val="single" w:sz="12" w:space="0" w:color="F79646" w:themeColor="accent6"/>
        </w:tcBorders>
      </w:tcPr>
    </w:tblStylePr>
    <w:tblStylePr w:type="lastRow">
      <w:rPr>
        <w:sz w:val="22"/>
      </w:rPr>
      <w:tblPr/>
      <w:tcPr>
        <w:tcBorders>
          <w:top w:val="single" w:sz="12" w:space="0" w:color="F79646" w:themeColor="accent6"/>
        </w:tcBorders>
      </w:tcPr>
    </w:tblStylePr>
    <w:tblStylePr w:type="firstCol">
      <w:rPr>
        <w:sz w:val="22"/>
      </w:rPr>
    </w:tblStylePr>
    <w:tblStylePr w:type="lastCol">
      <w:rPr>
        <w:sz w:val="22"/>
      </w:rPr>
      <w:tblPr/>
      <w:tcPr>
        <w:tcBorders>
          <w:left w:val="single" w:sz="12" w:space="0" w:color="F79646" w:themeColor="accent6"/>
        </w:tcBorders>
      </w:tcPr>
    </w:tblStylePr>
    <w:tblStylePr w:type="band1Horz">
      <w:rPr>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4604180">
      <w:bodyDiv w:val="1"/>
      <w:marLeft w:val="0"/>
      <w:marRight w:val="0"/>
      <w:marTop w:val="0"/>
      <w:marBottom w:val="0"/>
      <w:divBdr>
        <w:top w:val="none" w:sz="0" w:space="0" w:color="auto"/>
        <w:left w:val="none" w:sz="0" w:space="0" w:color="auto"/>
        <w:bottom w:val="none" w:sz="0" w:space="0" w:color="auto"/>
        <w:right w:val="none" w:sz="0" w:space="0" w:color="auto"/>
      </w:divBdr>
    </w:div>
    <w:div w:id="8385441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pregaobanrisul.com.br/" TargetMode="External"/><Relationship Id="rId18" Type="http://schemas.openxmlformats.org/officeDocument/2006/relationships/hyperlink" Target="https://www.portaltransparencia.gov.br/sancoes/ceis" TargetMode="External"/><Relationship Id="rId26" Type="http://schemas.openxmlformats.org/officeDocument/2006/relationships/hyperlink" Target="http://www.santabarbaradosul.rs.gov.br/" TargetMode="External"/><Relationship Id="rId39" Type="http://schemas.openxmlformats.org/officeDocument/2006/relationships/theme" Target="theme/theme1.xml"/><Relationship Id="rId21" Type="http://schemas.openxmlformats.org/officeDocument/2006/relationships/hyperlink" Target="http://www.planalto.gov.br/ccivil_03/_ato2019-2022/2021/lei/L14133.htm" TargetMode="External"/><Relationship Id="rId34"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pregaobanrisul.com.br/"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planalto.gov.br/ccivil_03/_ato2007-2010/2009/lei/l12187.htm" TargetMode="External"/><Relationship Id="rId20" Type="http://schemas.openxmlformats.org/officeDocument/2006/relationships/hyperlink" Target="https://www.planalto.gov.br/ccivil_03/leis/l8429.htm" TargetMode="Externa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pregaobanrisul.com.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santabarbaradosul.rs.gov.br/" TargetMode="External"/><Relationship Id="rId37"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hyperlink" Target="https://www.portaltransparencia.gov.br/sancoes/cnep" TargetMode="External"/><Relationship Id="rId31" Type="http://schemas.openxmlformats.org/officeDocument/2006/relationships/hyperlink" Target="mailto:licita@santabarbaradosul.rs.gov.b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lanalto.gov.br/ccivil_03/leis/lcp/lcp12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1-2014/2013/lei/l12846.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footer" Target="footer1.xml"/><Relationship Id="rId8" Type="http://schemas.openxmlformats.org/officeDocument/2006/relationships/webSettings" Target="webSettings.xml"/><Relationship Id="rId3" Type="http://schemas.openxmlformats.org/officeDocument/2006/relationships/customXml" Target="../customXml/item3.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Arial"/>
        <a:cs typeface="Arial"/>
      </a:majorFont>
      <a:minorFont>
        <a:latin typeface="Cambria"/>
        <a:ea typeface="Arial"/>
        <a:cs typeface="Arial"/>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tint val="100000"/>
                <a:shade val="100000"/>
              </a:schemeClr>
            </a:gs>
            <a:gs pos="100000">
              <a:schemeClr val="phClr">
                <a:tint val="50000"/>
                <a:shade val="100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a:path>
          <a:tileRect/>
        </a:gradFill>
        <a:gradFill>
          <a:gsLst>
            <a:gs pos="0">
              <a:schemeClr val="phClr">
                <a:tint val="80000"/>
              </a:schemeClr>
            </a:gs>
            <a:gs pos="100000">
              <a:schemeClr val="phClr">
                <a:shade val="30000"/>
              </a:schemeClr>
            </a:gs>
          </a:gsLst>
          <a:path path="circle">
            <a:fillToRect/>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2.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3.xml><?xml version="1.0" encoding="utf-8"?>
<ds:datastoreItem xmlns:ds="http://schemas.openxmlformats.org/officeDocument/2006/customXml" ds:itemID="{333155A9-BAF1-48BC-B994-B7CF18741D9A}">
  <ds:schemaRefs>
    <ds:schemaRef ds:uri="http://schemas.openxmlformats.org/officeDocument/2006/bibliography"/>
  </ds:schemaRefs>
</ds:datastoreItem>
</file>

<file path=customXml/itemProps4.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1531</TotalTime>
  <Pages>25</Pages>
  <Words>15187</Words>
  <Characters>82015</Characters>
  <Application>Microsoft Office Word</Application>
  <DocSecurity>0</DocSecurity>
  <Lines>683</Lines>
  <Paragraphs>194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97008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dc:creator>
  <dc:description/>
  <cp:lastModifiedBy>licitacao</cp:lastModifiedBy>
  <cp:revision>158</cp:revision>
  <cp:lastPrinted>2025-09-29T13:24:00Z</cp:lastPrinted>
  <dcterms:created xsi:type="dcterms:W3CDTF">2024-02-15T20:07:00Z</dcterms:created>
  <dcterms:modified xsi:type="dcterms:W3CDTF">2025-11-17T13:56:00Z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y fmtid="{D5CDD505-2E9C-101B-9397-08002B2CF9AE}" pid="3" name="ICV">
    <vt:lpwstr>31095916759F41F785D3FDA5FAC73A08_13</vt:lpwstr>
  </property>
  <property fmtid="{D5CDD505-2E9C-101B-9397-08002B2CF9AE}" pid="4" name="KSOProductBuildVer">
    <vt:lpwstr>1046-12.2.0.13306</vt:lpwstr>
  </property>
  <property fmtid="{D5CDD505-2E9C-101B-9397-08002B2CF9AE}" pid="5" name="MediaServiceImageTags">
    <vt:lpwstr/>
  </property>
</Properties>
</file>