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4"/>
        <w:jc w:val="center"/>
        <w:spacing w:before="216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5"/>
        <w:ind w:left="850" w:right="0" w:firstLine="0"/>
        <w:jc w:val="center"/>
        <w:spacing w:line="379" w:lineRule="auto"/>
        <w:rPr>
          <w:rFonts w:ascii="Gadugi" w:hAnsi="Gadugi" w:cs="Gadugi"/>
          <w:spacing w:val="-5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INEXIGIBILIDADE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LICITAÇÃO</w:t>
      </w:r>
      <w:r>
        <w:rPr>
          <w:rFonts w:ascii="Gadugi" w:hAnsi="Gadugi" w:cs="Gadugi"/>
          <w:spacing w:val="-5"/>
          <w:sz w:val="20"/>
          <w:szCs w:val="20"/>
          <w:lang w:val="pt-BR"/>
        </w:rPr>
        <w:t xml:space="preserve"> Nº  10/2025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5"/>
        <w:ind w:left="567" w:right="0" w:firstLine="0"/>
        <w:jc w:val="center"/>
        <w:spacing w:line="379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pacing w:val="-5"/>
          <w:sz w:val="20"/>
          <w:szCs w:val="20"/>
          <w:lang w:val="pt-BR"/>
        </w:rPr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(ART.74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  <w:lang w:val="pt-BR"/>
        </w:rPr>
        <w:t xml:space="preserve">INCISOS I e III alíneas”a” “b” “c”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LEI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Nº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14.133/2021) 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5"/>
        <w:ind w:left="567" w:right="0" w:firstLine="0"/>
        <w:jc w:val="center"/>
        <w:spacing w:line="379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PROCESSO ADMINISTRATIVO Nº</w:t>
      </w:r>
      <w:r>
        <w:rPr>
          <w:rFonts w:ascii="Gadugi" w:hAnsi="Gadugi" w:cs="Gadugi"/>
          <w:sz w:val="20"/>
          <w:szCs w:val="20"/>
          <w:lang w:val="pt-BR"/>
        </w:rPr>
        <w:t xml:space="preserve"> 35/2025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spacing w:before="4"/>
        <w:rPr>
          <w:rFonts w:ascii="Gadugi" w:hAnsi="Gadugi" w:cs="Gadugi"/>
          <w:b/>
          <w:sz w:val="20"/>
          <w:szCs w:val="20"/>
        </w:rPr>
      </w:pPr>
      <w:r>
        <w:rPr>
          <w:rFonts w:ascii="Gadugi" w:hAnsi="Gadugi" w:cs="Gadugi"/>
          <w:b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6"/>
        <w:numPr>
          <w:ilvl w:val="0"/>
          <w:numId w:val="2"/>
        </w:numPr>
        <w:ind w:left="1069" w:right="0" w:hanging="359"/>
        <w:jc w:val="both"/>
        <w:spacing w:before="0" w:after="0" w:line="240" w:lineRule="auto"/>
        <w:tabs>
          <w:tab w:val="left" w:pos="1069" w:leader="none"/>
        </w:tabs>
        <w:rPr>
          <w:rFonts w:ascii="Gadugi" w:hAnsi="Gadugi" w:cs="Gadugi"/>
          <w:b/>
          <w:sz w:val="20"/>
          <w:szCs w:val="20"/>
        </w:rPr>
      </w:pPr>
      <w:r>
        <w:rPr>
          <w:rFonts w:ascii="Gadugi" w:hAnsi="Gadugi" w:cs="Gadugi"/>
          <w:b/>
          <w:spacing w:val="-2"/>
          <w:sz w:val="20"/>
          <w:szCs w:val="20"/>
        </w:rPr>
        <w:t xml:space="preserve">PRÊAMBULO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right="138" w:firstLine="566"/>
        <w:jc w:val="both"/>
        <w:spacing w:before="257" w:line="360" w:lineRule="auto"/>
        <w:rPr>
          <w:rFonts w:ascii="Gadugi" w:hAnsi="Gadugi" w:cs="Gadugi"/>
          <w:sz w:val="20"/>
          <w:szCs w:val="20"/>
          <w:highlight w:val="none"/>
        </w:rPr>
      </w:pPr>
      <w:r>
        <w:rPr>
          <w:rFonts w:ascii="Gadugi" w:hAnsi="Gadugi" w:cs="Gadugi"/>
          <w:sz w:val="20"/>
          <w:szCs w:val="20"/>
          <w:lang w:val="pt-BR"/>
        </w:rPr>
        <w:t xml:space="preserve">A Prefeitura Municipal de Santa Bárbara do Sul</w:t>
      </w:r>
      <w:r>
        <w:rPr>
          <w:rFonts w:ascii="Gadugi" w:hAnsi="Gadugi" w:cs="Gadugi"/>
          <w:sz w:val="20"/>
          <w:szCs w:val="20"/>
        </w:rPr>
        <w:t xml:space="preserve">,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com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personalidade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jurídica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direito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público,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na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forma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leva</w:t>
      </w:r>
      <w:r>
        <w:rPr>
          <w:rFonts w:ascii="Gadugi" w:hAnsi="Gadugi" w:cs="Gadugi"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ao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conhecimento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dos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interessados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a</w:t>
      </w:r>
      <w:r>
        <w:rPr>
          <w:rFonts w:ascii="Gadugi" w:hAnsi="Gadugi" w:cs="Gadugi"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realização do seguinte processo administrativo de INEXIGIBILIDADE DE LICITAÇÃO</w:t>
      </w:r>
      <w:r>
        <w:rPr>
          <w:rFonts w:ascii="Gadugi" w:hAnsi="Gadugi" w:cs="Gadugi"/>
          <w:sz w:val="20"/>
          <w:szCs w:val="20"/>
          <w:lang w:val="pt-BR"/>
        </w:rPr>
        <w:t xml:space="preserve"> Nº 10/2025</w:t>
      </w:r>
      <w:r>
        <w:rPr>
          <w:rFonts w:ascii="Gadugi" w:hAnsi="Gadugi" w:cs="Gadugi"/>
          <w:sz w:val="20"/>
          <w:szCs w:val="20"/>
        </w:rPr>
        <w:t xml:space="preserve">: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right="138" w:firstLine="566"/>
        <w:jc w:val="both"/>
        <w:spacing w:before="257" w:line="36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  <w:highlight w:val="none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5"/>
        <w:numPr>
          <w:ilvl w:val="0"/>
          <w:numId w:val="2"/>
        </w:numPr>
        <w:ind w:left="1069" w:right="0" w:hanging="359"/>
        <w:jc w:val="both"/>
        <w:spacing w:before="0" w:after="0" w:line="240" w:lineRule="auto"/>
        <w:tabs>
          <w:tab w:val="left" w:pos="1069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pacing w:val="-2"/>
          <w:sz w:val="20"/>
          <w:szCs w:val="20"/>
        </w:rPr>
        <w:t xml:space="preserve">OBJETO</w:t>
      </w:r>
      <w:r>
        <w:rPr>
          <w:rFonts w:ascii="Gadugi" w:hAnsi="Gadugi" w:cs="Gadugi"/>
          <w:sz w:val="20"/>
          <w:szCs w:val="20"/>
        </w:rPr>
      </w:r>
      <w:r/>
    </w:p>
    <w:p>
      <w:pPr>
        <w:ind w:left="2" w:right="137" w:firstLine="1068"/>
        <w:jc w:val="both"/>
        <w:spacing w:before="139" w:line="360" w:lineRule="auto"/>
        <w:rPr>
          <w:rFonts w:ascii="Gadugi" w:hAnsi="Gadugi" w:cs="Gadugi"/>
          <w:b w:val="0"/>
          <w:bCs w:val="0"/>
          <w:sz w:val="20"/>
          <w:szCs w:val="20"/>
          <w:highlight w:val="none"/>
          <w:lang w:val="pt-BR"/>
        </w:rPr>
      </w:pPr>
      <w:r>
        <w:rPr>
          <w:rFonts w:ascii="Gadugi" w:hAnsi="Gadugi" w:cs="Gadugi"/>
          <w:sz w:val="20"/>
          <w:szCs w:val="20"/>
        </w:rPr>
        <w:t xml:space="preserve">Trata-se de contratação da empresa </w:t>
      </w:r>
      <w:r>
        <w:rPr>
          <w:rFonts w:ascii="Gadugi" w:hAnsi="Gadugi" w:cs="Gadugi"/>
          <w:b/>
          <w:bCs/>
          <w:sz w:val="20"/>
          <w:szCs w:val="20"/>
          <w:lang w:val="pt-BR"/>
        </w:rPr>
        <w:t xml:space="preserve">MARITÂNIA DALLAGNOL SOCIEDADE INDIVIDUAL DE ADVOCACIA – CNPJ: 01.781.826/0001-06</w:t>
      </w:r>
      <w:r>
        <w:rPr>
          <w:rFonts w:ascii="Gadugi" w:hAnsi="Gadugi" w:cs="Gadugi"/>
          <w:b w:val="0"/>
          <w:bCs w:val="0"/>
          <w:sz w:val="20"/>
          <w:szCs w:val="20"/>
          <w:lang w:val="pt-BR"/>
        </w:rPr>
        <w:t xml:space="preserve"> para </w:t>
      </w:r>
      <w:r>
        <w:rPr>
          <w:rFonts w:ascii="Gadugi" w:hAnsi="Gadugi" w:cs="Gadugi"/>
          <w:b w:val="0"/>
          <w:bCs w:val="0"/>
          <w:sz w:val="20"/>
          <w:szCs w:val="20"/>
          <w:lang w:val="pt-BR"/>
        </w:rPr>
        <w:t xml:space="preserve">CONTRATAÇÃO  DE PRESTAÇÃO SERVIÇOS TÉCNICOS ESPECIALIZADOS DE CONSULTORIA E ASSESSORIA JURÍDICA, NA ÁREA DE DIREITO PÚBLICO À ADMINISTRAÇÃO DO MUNICÍPIO</w:t>
      </w:r>
      <w:r>
        <w:rPr>
          <w:rFonts w:ascii="Gadugi" w:hAnsi="Gadugi" w:cs="Gadugi"/>
          <w:b w:val="0"/>
          <w:bCs w:val="0"/>
          <w:sz w:val="20"/>
          <w:szCs w:val="20"/>
          <w:lang w:val="pt-BR"/>
        </w:rPr>
      </w:r>
      <w:r/>
    </w:p>
    <w:p>
      <w:pPr>
        <w:ind w:left="2" w:right="137" w:firstLine="1068"/>
        <w:jc w:val="both"/>
        <w:spacing w:before="139" w:line="360" w:lineRule="auto"/>
        <w:rPr>
          <w:rFonts w:ascii="Gadugi" w:hAnsi="Gadugi" w:cs="Gadugi"/>
          <w:sz w:val="20"/>
          <w:szCs w:val="20"/>
          <w:highlight w:val="none"/>
        </w:rPr>
      </w:pPr>
      <w:r>
        <w:rPr>
          <w:rFonts w:ascii="Gadugi" w:hAnsi="Gadugi" w:cs="Gadugi"/>
          <w:b w:val="0"/>
          <w:bCs w:val="0"/>
          <w:sz w:val="20"/>
          <w:szCs w:val="20"/>
          <w:highlight w:val="none"/>
          <w:lang w:val="pt-BR"/>
        </w:rPr>
      </w:r>
      <w:r>
        <w:rPr>
          <w:rFonts w:ascii="Gadugi" w:hAnsi="Gadugi" w:cs="Gadugi"/>
          <w:b w:val="0"/>
          <w:bCs w:val="0"/>
          <w:sz w:val="20"/>
          <w:szCs w:val="20"/>
          <w:highlight w:val="none"/>
          <w:lang w:val="pt-BR"/>
        </w:rPr>
      </w:r>
      <w:r/>
    </w:p>
    <w:p>
      <w:pPr>
        <w:pStyle w:val="875"/>
        <w:numPr>
          <w:ilvl w:val="0"/>
          <w:numId w:val="2"/>
        </w:numPr>
        <w:ind w:left="2" w:right="142" w:firstLine="708"/>
        <w:jc w:val="left"/>
        <w:spacing w:before="0" w:after="0" w:line="360" w:lineRule="auto"/>
        <w:tabs>
          <w:tab w:val="left" w:pos="1276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DADOS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DO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FORNECEDOR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RAZÃO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SUA</w:t>
      </w:r>
      <w:r>
        <w:rPr>
          <w:rFonts w:ascii="Gadugi" w:hAnsi="Gadugi" w:cs="Gadugi"/>
          <w:spacing w:val="-1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ESCOLHA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</w:t>
      </w:r>
      <w:r>
        <w:rPr>
          <w:rFonts w:ascii="Gadugi" w:hAnsi="Gadugi" w:cs="Gadugi"/>
          <w:spacing w:val="-1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JUSTIFICATIVA DO PREÇO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right="133" w:firstLine="708"/>
        <w:jc w:val="both"/>
        <w:spacing w:line="36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O fornecedor escolhido foi </w:t>
      </w:r>
      <w:r>
        <w:rPr>
          <w:rFonts w:ascii="Gadugi" w:hAnsi="Gadugi" w:cs="Gadugi"/>
          <w:sz w:val="20"/>
          <w:szCs w:val="20"/>
        </w:rPr>
        <w:t xml:space="preserve"> </w:t>
      </w:r>
      <w:r>
        <w:rPr>
          <w:rFonts w:ascii="Gadugi" w:hAnsi="Gadugi" w:cs="Gadugi"/>
          <w:b/>
          <w:bCs/>
          <w:sz w:val="20"/>
          <w:szCs w:val="20"/>
          <w:lang w:val="pt-BR"/>
        </w:rPr>
        <w:t xml:space="preserve">MARITÂNIA DALLAGNOL SOCIEDADE INDIVIDUAL DE ADVOCACIA – CNPJ: 01.781.826/0001-06</w:t>
      </w:r>
      <w:r>
        <w:rPr>
          <w:rFonts w:ascii="Gadugi" w:hAnsi="Gadugi" w:cs="Gadugi"/>
          <w:b/>
          <w:bCs/>
          <w:sz w:val="20"/>
          <w:szCs w:val="20"/>
          <w:lang w:val="pt-BR"/>
        </w:rPr>
        <w:t xml:space="preserve"> </w:t>
      </w:r>
      <w:r>
        <w:rPr>
          <w:rFonts w:ascii="Gadugi" w:hAnsi="Gadugi" w:cs="Gadugi"/>
          <w:sz w:val="20"/>
          <w:szCs w:val="20"/>
          <w:lang w:val="pt-BR"/>
        </w:rPr>
        <w:t xml:space="preserve">, Rua das Andradas, 1091 – conjunto 43, Porto Alegre/ RS. </w:t>
      </w:r>
      <w:r>
        <w:rPr>
          <w:rFonts w:ascii="Gadugi" w:hAnsi="Gadugi" w:cs="Gadugi"/>
          <w:sz w:val="20"/>
          <w:szCs w:val="20"/>
        </w:rPr>
        <w:t xml:space="preserve">Escolheu-se a empresa </w:t>
      </w:r>
      <w:r>
        <w:rPr>
          <w:rFonts w:ascii="Gadugi" w:hAnsi="Gadugi" w:cs="Gadugi"/>
          <w:sz w:val="20"/>
          <w:szCs w:val="20"/>
          <w:lang w:val="pt-BR"/>
        </w:rPr>
        <w:t xml:space="preserve">suprecitada p</w:t>
      </w:r>
      <w:r>
        <w:rPr>
          <w:rFonts w:ascii="Gadugi" w:hAnsi="Gadugi" w:cs="Gadugi"/>
          <w:sz w:val="20"/>
          <w:szCs w:val="20"/>
          <w:highlight w:val="none"/>
          <w:lang w:val="pt-BR"/>
        </w:rPr>
        <w:t xml:space="preserve">ois </w:t>
      </w:r>
      <w:r>
        <w:rPr>
          <w:rFonts w:ascii="Gadugi" w:hAnsi="Gadugi" w:cs="Gadugi"/>
          <w:sz w:val="20"/>
          <w:szCs w:val="20"/>
        </w:rPr>
        <w:t xml:space="preserve">os serviços de consultoria e assessoria jurídica justifica-se em virtude da necessidade e importância da prestação dos</w:t>
      </w:r>
      <w:r>
        <w:rPr>
          <w:rFonts w:ascii="Gadugi" w:hAnsi="Gadugi" w:cs="Gadugi"/>
          <w:sz w:val="20"/>
          <w:szCs w:val="20"/>
          <w:lang w:val="pt-BR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</w:t>
      </w:r>
      <w:r>
        <w:rPr>
          <w:rFonts w:ascii="Gadugi" w:hAnsi="Gadugi" w:cs="Gadugi"/>
          <w:sz w:val="20"/>
          <w:szCs w:val="20"/>
        </w:rPr>
        <w:t xml:space="preserve">eferidos serviços, os quais são indispensáveis para assessorar a Prefeitura Municipal , nas seguintes áreas: correta constituição e cobrança dos tributos de competência municipal, exclusivamente; constituição e aplicação do orçamento municipal dentro da Re</w:t>
      </w:r>
      <w:r>
        <w:rPr>
          <w:rFonts w:ascii="Gadugi" w:hAnsi="Gadugi" w:cs="Gadugi"/>
          <w:sz w:val="20"/>
          <w:szCs w:val="20"/>
        </w:rPr>
        <w:t xml:space="preserve">s</w:t>
      </w:r>
      <w:r>
        <w:rPr>
          <w:rFonts w:ascii="Gadugi" w:hAnsi="Gadugi" w:cs="Gadugi"/>
          <w:sz w:val="20"/>
          <w:szCs w:val="20"/>
        </w:rPr>
        <w:t xml:space="preserve">ponsabilidade Fiscal e da  legislação pertinente; Análise Administrativa da Politica urbana municipal; parâmetros do Direito Constitucional e Administrativo na Estrutura Administrativa e na administração pessoal do Poder Executivo Municipal; Aplicação das </w:t>
      </w:r>
      <w:r>
        <w:rPr>
          <w:rFonts w:ascii="Gadugi" w:hAnsi="Gadugi" w:cs="Gadugi"/>
          <w:sz w:val="20"/>
          <w:szCs w:val="20"/>
        </w:rPr>
        <w:t xml:space="preserve">d</w:t>
      </w:r>
      <w:r>
        <w:rPr>
          <w:rFonts w:ascii="Gadugi" w:hAnsi="Gadugi" w:cs="Gadugi"/>
          <w:sz w:val="20"/>
          <w:szCs w:val="20"/>
        </w:rPr>
        <w:t xml:space="preserve">iretrizes de administração pública nas licitações e contratos do Município; Análise constitucional da legislação que afete ou que seja de iniciativa do Poder executivo Municipal e  acompanhamento e defesa perante o Tribunal de Contas do Estado do Rio Grand</w:t>
      </w:r>
      <w:r>
        <w:rPr>
          <w:rFonts w:ascii="Gadugi" w:hAnsi="Gadugi" w:cs="Gadugi"/>
          <w:sz w:val="20"/>
          <w:szCs w:val="20"/>
        </w:rPr>
        <w:t xml:space="preserve">e do Sul e Tribunal de Contas da União.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firstLine="910"/>
        <w:spacing w:line="360" w:lineRule="auto"/>
        <w:rPr>
          <w:rFonts w:ascii="Gadugi" w:hAnsi="Gadugi" w:cs="Gadugi"/>
          <w:sz w:val="20"/>
          <w:szCs w:val="20"/>
          <w:highlight w:val="none"/>
        </w:rPr>
      </w:pPr>
      <w:r>
        <w:rPr>
          <w:rFonts w:ascii="Gadugi" w:hAnsi="Gadugi" w:cs="Gadugi"/>
          <w:sz w:val="20"/>
          <w:szCs w:val="20"/>
        </w:rPr>
        <w:t xml:space="preserve">Quanto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ao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preço,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trata-se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valor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estimados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pacing w:val="-2"/>
          <w:sz w:val="20"/>
          <w:szCs w:val="20"/>
          <w:lang w:val="pt-BR"/>
        </w:rPr>
        <w:t xml:space="preserve">pela administração, comprovado, através de notas fiscais estar conivente com preços pagos ao profissional em outros municípios  e ate´mesmo em Santa Bárbara do Sul, para eventos semelhantes.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firstLine="910"/>
        <w:spacing w:line="36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firstLine="910"/>
        <w:spacing w:line="36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firstLine="910"/>
        <w:spacing w:line="36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  <w:highlight w:val="none"/>
        </w:rPr>
      </w:r>
      <w:r>
        <w:rPr>
          <w:rFonts w:ascii="Gadugi" w:hAnsi="Gadugi" w:cs="Gadugi"/>
          <w:sz w:val="20"/>
          <w:szCs w:val="20"/>
          <w:highlight w:val="none"/>
        </w:rPr>
      </w:r>
      <w:r/>
    </w:p>
    <w:p>
      <w:pPr>
        <w:pStyle w:val="874"/>
        <w:ind w:left="2" w:right="41" w:firstLine="991"/>
        <w:spacing w:line="360" w:lineRule="auto"/>
        <w:rPr>
          <w:rFonts w:ascii="Gadugi" w:hAnsi="Gadugi" w:cs="Gadugi"/>
          <w:sz w:val="20"/>
          <w:szCs w:val="20"/>
          <w:lang w:val="pt-BR"/>
        </w:rPr>
      </w:pPr>
      <w:r>
        <w:rPr>
          <w:rFonts w:ascii="Gadugi" w:hAnsi="Gadugi" w:cs="Gadugi"/>
          <w:sz w:val="20"/>
          <w:szCs w:val="20"/>
        </w:rPr>
        <w:t xml:space="preserve">O valor estimativo da contratação para o exercício financeiro de 202</w:t>
      </w:r>
      <w:r>
        <w:rPr>
          <w:rFonts w:ascii="Gadugi" w:hAnsi="Gadugi" w:cs="Gadugi"/>
          <w:sz w:val="20"/>
          <w:szCs w:val="20"/>
          <w:lang w:val="pt-BR"/>
        </w:rPr>
        <w:t xml:space="preserve">5</w:t>
      </w:r>
      <w:r>
        <w:rPr>
          <w:rFonts w:ascii="Gadugi" w:hAnsi="Gadugi" w:cs="Gadugi"/>
          <w:sz w:val="20"/>
          <w:szCs w:val="20"/>
        </w:rPr>
        <w:t xml:space="preserve"> é de R$ </w:t>
      </w:r>
      <w:r>
        <w:rPr>
          <w:rFonts w:ascii="Gadugi" w:hAnsi="Gadugi" w:cs="Gadugi"/>
          <w:sz w:val="20"/>
          <w:szCs w:val="20"/>
          <w:lang w:val="pt-BR"/>
        </w:rPr>
        <w:t xml:space="preserve">62.400,00</w:t>
      </w:r>
      <w:r>
        <w:rPr>
          <w:rFonts w:ascii="Gadugi" w:hAnsi="Gadugi" w:cs="Gadugi"/>
          <w:sz w:val="20"/>
          <w:szCs w:val="20"/>
          <w:lang w:val="pt-BR"/>
        </w:rPr>
        <w:t xml:space="preserve">, sendo </w:t>
      </w:r>
      <w:r>
        <w:rPr>
          <w:highlight w:val="none"/>
        </w:rPr>
      </w:r>
      <w:r/>
    </w:p>
    <w:p>
      <w:pPr>
        <w:pStyle w:val="874"/>
        <w:ind w:left="0" w:right="41" w:firstLine="0"/>
        <w:spacing w:line="360" w:lineRule="auto"/>
        <w:rPr>
          <w:rFonts w:ascii="Gadugi" w:hAnsi="Gadugi" w:cs="Gadugi"/>
          <w:sz w:val="20"/>
          <w:szCs w:val="20"/>
          <w:highlight w:val="none"/>
          <w:lang w:val="pt-BR"/>
        </w:rPr>
      </w:pPr>
      <w:r>
        <w:rPr>
          <w:rFonts w:ascii="Gadugi" w:hAnsi="Gadugi" w:cs="Gadugi"/>
          <w:sz w:val="20"/>
          <w:szCs w:val="20"/>
          <w:lang w:val="pt-BR"/>
        </w:rPr>
        <w:t xml:space="preserve">R$ 5.200,00 mensais pelo período de 12 meses, podendo ser prorrogado por iguais e sucessivos periodos nos termos da Lei 14.133/21, se assim a administração entender.</w:t>
      </w:r>
      <w:r/>
    </w:p>
    <w:p>
      <w:pPr>
        <w:pStyle w:val="874"/>
        <w:ind w:left="0" w:right="41" w:firstLine="0"/>
        <w:spacing w:line="360" w:lineRule="auto"/>
        <w:rPr>
          <w:rFonts w:ascii="Gadugi" w:hAnsi="Gadugi" w:cs="Gadugi"/>
          <w:sz w:val="20"/>
          <w:szCs w:val="20"/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75"/>
        <w:numPr>
          <w:ilvl w:val="0"/>
          <w:numId w:val="2"/>
        </w:numPr>
        <w:ind w:left="928" w:right="0" w:hanging="359"/>
        <w:jc w:val="left"/>
        <w:spacing w:before="0" w:after="0" w:line="240" w:lineRule="auto"/>
        <w:tabs>
          <w:tab w:val="left" w:pos="928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FUNDAMENTAÇÃO </w:t>
      </w:r>
      <w:r>
        <w:rPr>
          <w:rFonts w:ascii="Gadugi" w:hAnsi="Gadugi" w:cs="Gadugi"/>
          <w:spacing w:val="-2"/>
          <w:sz w:val="20"/>
          <w:szCs w:val="20"/>
        </w:rPr>
        <w:t xml:space="preserve">LEGAL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right="137" w:firstLine="926"/>
        <w:jc w:val="both"/>
        <w:spacing w:before="137" w:line="36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A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contratação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direta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empresa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supra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identificada,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através</w:t>
      </w:r>
      <w:r>
        <w:rPr>
          <w:rFonts w:ascii="Gadugi" w:hAnsi="Gadugi" w:cs="Gadugi"/>
          <w:spacing w:val="-10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do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processo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contratação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para 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right="137" w:firstLine="926"/>
        <w:jc w:val="both"/>
        <w:spacing w:before="137" w:line="36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pequenas</w:t>
      </w:r>
      <w:r>
        <w:rPr>
          <w:rFonts w:ascii="Gadugi" w:hAnsi="Gadugi" w:cs="Gadugi"/>
          <w:spacing w:val="-10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compras</w:t>
      </w:r>
      <w:r>
        <w:rPr>
          <w:rFonts w:ascii="Gadugi" w:hAnsi="Gadugi" w:cs="Gadugi"/>
          <w:spacing w:val="-10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ou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prestação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serviços,</w:t>
      </w:r>
      <w:r>
        <w:rPr>
          <w:rFonts w:ascii="Gadugi" w:hAnsi="Gadugi" w:cs="Gadugi"/>
          <w:spacing w:val="-10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fundamenta-se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na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Resolução</w:t>
      </w:r>
      <w:r>
        <w:rPr>
          <w:rFonts w:ascii="Gadugi" w:hAnsi="Gadugi" w:cs="Gadugi"/>
          <w:spacing w:val="-1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Administrativa</w:t>
      </w:r>
      <w:r>
        <w:rPr>
          <w:rFonts w:ascii="Gadugi" w:hAnsi="Gadugi" w:cs="Gadugi"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n°</w:t>
      </w:r>
      <w:r>
        <w:rPr>
          <w:rFonts w:ascii="Gadugi" w:hAnsi="Gadugi" w:cs="Gadugi"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right="137" w:firstLine="926"/>
        <w:jc w:val="both"/>
        <w:spacing w:before="137" w:line="360" w:lineRule="auto"/>
        <w:rPr>
          <w:rFonts w:ascii="Gadugi" w:hAnsi="Gadugi" w:cs="Gadugi"/>
          <w:sz w:val="20"/>
          <w:szCs w:val="20"/>
          <w:highlight w:val="none"/>
        </w:rPr>
      </w:pPr>
      <w:r>
        <w:rPr>
          <w:rFonts w:ascii="Gadugi" w:hAnsi="Gadugi" w:cs="Gadugi"/>
          <w:sz w:val="20"/>
          <w:szCs w:val="20"/>
        </w:rPr>
        <w:t xml:space="preserve">10/2024, e nos dispostos no artigo 74, inciso </w:t>
      </w:r>
      <w:r>
        <w:rPr>
          <w:rFonts w:ascii="Gadugi" w:hAnsi="Gadugi" w:cs="Gadugi"/>
          <w:sz w:val="20"/>
          <w:szCs w:val="20"/>
          <w:lang w:val="pt-BR"/>
        </w:rPr>
        <w:t xml:space="preserve">III “e”</w:t>
      </w:r>
      <w:r>
        <w:rPr>
          <w:rFonts w:ascii="Gadugi" w:hAnsi="Gadugi" w:cs="Gadugi"/>
          <w:sz w:val="20"/>
          <w:szCs w:val="20"/>
        </w:rPr>
        <w:t xml:space="preserve">, da Lei 14.133/21, que dispõe:</w:t>
      </w:r>
      <w:r>
        <w:rPr>
          <w:rFonts w:ascii="Gadugi" w:hAnsi="Gadugi" w:cs="Gadugi"/>
          <w:sz w:val="20"/>
          <w:szCs w:val="20"/>
          <w:highlight w:val="none"/>
        </w:rPr>
      </w:r>
      <w:r/>
    </w:p>
    <w:p>
      <w:pPr>
        <w:pStyle w:val="874"/>
        <w:ind w:left="3545" w:right="239"/>
        <w:jc w:val="both"/>
        <w:spacing w:line="360" w:lineRule="auto"/>
        <w:rPr>
          <w:rFonts w:ascii="Gadugi" w:hAnsi="Gadugi" w:cs="Gadugi"/>
          <w:bCs/>
          <w:i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  <w:highlight w:val="none"/>
        </w:rPr>
      </w:r>
      <w:r>
        <w:rPr>
          <w:rFonts w:ascii="Gadugi" w:hAnsi="Gadugi" w:cs="Gadugi"/>
          <w:i/>
          <w:iCs/>
          <w:sz w:val="20"/>
          <w:szCs w:val="20"/>
          <w:highlight w:val="none"/>
        </w:rPr>
      </w:r>
      <w:r/>
    </w:p>
    <w:p>
      <w:pPr>
        <w:pStyle w:val="874"/>
        <w:ind w:left="3545" w:right="239"/>
        <w:jc w:val="both"/>
        <w:spacing w:line="360" w:lineRule="auto"/>
        <w:rPr>
          <w:rFonts w:ascii="Gadugi" w:hAnsi="Gadugi" w:cs="Gadugi"/>
          <w:bCs/>
          <w:i/>
          <w:sz w:val="18"/>
          <w:szCs w:val="18"/>
          <w:highlight w:val="none"/>
        </w:rPr>
      </w:pPr>
      <w:r>
        <w:rPr>
          <w:rFonts w:ascii="Gadugi" w:hAnsi="Gadugi" w:cs="Gadugi"/>
          <w:i/>
          <w:iCs/>
          <w:sz w:val="18"/>
          <w:szCs w:val="18"/>
          <w:lang w:val="pt-BR"/>
        </w:rPr>
        <w:t xml:space="preserve">“</w:t>
      </w:r>
      <w:r>
        <w:rPr>
          <w:rFonts w:ascii="Gadugi" w:hAnsi="Gadugi" w:cs="Gadugi"/>
          <w:i/>
          <w:iCs/>
          <w:sz w:val="18"/>
          <w:szCs w:val="18"/>
        </w:rPr>
        <w:t xml:space="preserve">Art.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 xml:space="preserve">74.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 xml:space="preserve">É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 xml:space="preserve">inexigível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 xml:space="preserve">a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 xml:space="preserve">licitação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 xml:space="preserve">quando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 xml:space="preserve">inviável</w:t>
      </w:r>
      <w:r>
        <w:rPr>
          <w:rFonts w:ascii="Gadugi" w:hAnsi="Gadugi" w:cs="Gadugi"/>
          <w:i/>
          <w:iCs/>
          <w:spacing w:val="-5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 xml:space="preserve">a</w:t>
      </w:r>
      <w:r>
        <w:rPr>
          <w:rFonts w:ascii="Gadugi" w:hAnsi="Gadugi" w:cs="Gadugi"/>
          <w:i/>
          <w:iCs/>
          <w:spacing w:val="-4"/>
          <w:sz w:val="18"/>
          <w:szCs w:val="18"/>
        </w:rPr>
        <w:t xml:space="preserve"> </w:t>
      </w:r>
      <w:r>
        <w:rPr>
          <w:rFonts w:ascii="Gadugi" w:hAnsi="Gadugi" w:cs="Gadugi"/>
          <w:i/>
          <w:iCs/>
          <w:sz w:val="18"/>
          <w:szCs w:val="18"/>
        </w:rPr>
        <w:t xml:space="preserve">competição, em especial nos casos de:</w:t>
      </w:r>
      <w:r>
        <w:rPr>
          <w:rFonts w:ascii="Gadugi" w:hAnsi="Gadugi" w:cs="Gadugi"/>
          <w:sz w:val="18"/>
          <w:szCs w:val="18"/>
        </w:rPr>
      </w:r>
      <w:r>
        <w:rPr>
          <w:sz w:val="22"/>
          <w:szCs w:val="22"/>
        </w:rPr>
      </w:r>
    </w:p>
    <w:p>
      <w:pPr>
        <w:pStyle w:val="874"/>
        <w:ind w:left="3404" w:right="141" w:firstLine="801"/>
        <w:jc w:val="both"/>
        <w:spacing w:line="360" w:lineRule="auto"/>
        <w:rPr>
          <w:sz w:val="18"/>
          <w:szCs w:val="18"/>
        </w:rPr>
      </w:pPr>
      <w:r>
        <w:rPr>
          <w:rFonts w:ascii="Gadugi" w:hAnsi="Gadugi" w:cs="Gadugi"/>
          <w:bCs/>
          <w:i/>
          <w:sz w:val="18"/>
          <w:szCs w:val="18"/>
          <w:highlight w:val="none"/>
        </w:rPr>
        <w:t xml:space="preserve">I - aquisição de materiais, de equipamentos ou de gêneros ou contratação de serviços que só possam ser fornecidos por produtor, empresa ou representante comercial exclusivos;</w:t>
      </w:r>
      <w:r>
        <w:rPr>
          <w:rFonts w:ascii="Gadugi" w:hAnsi="Gadugi" w:cs="Gadugi"/>
          <w:bCs/>
          <w:i/>
          <w:sz w:val="18"/>
          <w:szCs w:val="18"/>
          <w:highlight w:val="none"/>
        </w:rPr>
      </w:r>
      <w:r>
        <w:rPr>
          <w:rFonts w:ascii="Gadugi" w:hAnsi="Gadugi" w:cs="Gadugi"/>
          <w:bCs/>
          <w:i/>
          <w:sz w:val="18"/>
          <w:szCs w:val="18"/>
          <w:highlight w:val="none"/>
        </w:rPr>
      </w:r>
    </w:p>
    <w:p>
      <w:pPr>
        <w:pStyle w:val="874"/>
        <w:ind w:left="3404" w:right="141" w:firstLine="801"/>
        <w:jc w:val="both"/>
        <w:spacing w:line="360" w:lineRule="auto"/>
        <w:rPr>
          <w:sz w:val="18"/>
          <w:szCs w:val="18"/>
        </w:rPr>
      </w:pPr>
      <w:r>
        <w:rPr>
          <w:rFonts w:ascii="Gadugi" w:hAnsi="Gadugi" w:cs="Gadugi"/>
          <w:bCs/>
          <w:i/>
          <w:sz w:val="18"/>
          <w:szCs w:val="18"/>
          <w:highlight w:val="none"/>
        </w:rPr>
        <w:t xml:space="preserve">III - contratação dos seguintes serviços técnicos especializados de natureza predominantemente intelectual com profissionais ou empresas de notória especialização, vedada a inexigibilidade para serviços de publicidade e divulgação:</w:t>
      </w:r>
      <w:r>
        <w:rPr>
          <w:rFonts w:ascii="Gadugi" w:hAnsi="Gadugi" w:cs="Gadugi"/>
          <w:bCs/>
          <w:i/>
          <w:sz w:val="18"/>
          <w:szCs w:val="18"/>
          <w:highlight w:val="none"/>
        </w:rPr>
      </w:r>
      <w:r>
        <w:rPr>
          <w:rFonts w:ascii="Gadugi" w:hAnsi="Gadugi" w:cs="Gadugi"/>
          <w:bCs/>
          <w:i/>
          <w:sz w:val="18"/>
          <w:szCs w:val="18"/>
          <w:highlight w:val="none"/>
        </w:rPr>
      </w:r>
    </w:p>
    <w:p>
      <w:pPr>
        <w:pStyle w:val="874"/>
        <w:ind w:left="3404" w:right="141" w:firstLine="801"/>
        <w:jc w:val="both"/>
        <w:spacing w:line="360" w:lineRule="auto"/>
        <w:rPr>
          <w:sz w:val="18"/>
          <w:szCs w:val="18"/>
        </w:rPr>
      </w:pPr>
      <w:r>
        <w:rPr>
          <w:rFonts w:ascii="Gadugi" w:hAnsi="Gadugi" w:cs="Gadugi"/>
          <w:bCs/>
          <w:i/>
          <w:sz w:val="18"/>
          <w:szCs w:val="18"/>
          <w:highlight w:val="none"/>
        </w:rPr>
        <w:t xml:space="preserve">a) estudos técnicos, planejamentos, projetos básicos ou projetos executivos;</w:t>
      </w:r>
      <w:r>
        <w:rPr>
          <w:rFonts w:ascii="Gadugi" w:hAnsi="Gadugi" w:cs="Gadugi"/>
          <w:bCs/>
          <w:i/>
          <w:sz w:val="18"/>
          <w:szCs w:val="18"/>
          <w:highlight w:val="none"/>
        </w:rPr>
      </w:r>
      <w:r>
        <w:rPr>
          <w:rFonts w:ascii="Gadugi" w:hAnsi="Gadugi" w:cs="Gadugi"/>
          <w:bCs/>
          <w:i/>
          <w:sz w:val="18"/>
          <w:szCs w:val="18"/>
          <w:highlight w:val="none"/>
        </w:rPr>
      </w:r>
    </w:p>
    <w:p>
      <w:pPr>
        <w:pStyle w:val="874"/>
        <w:ind w:left="3404" w:right="141" w:firstLine="801"/>
        <w:jc w:val="both"/>
        <w:spacing w:line="360" w:lineRule="auto"/>
        <w:rPr>
          <w:sz w:val="18"/>
          <w:szCs w:val="18"/>
        </w:rPr>
      </w:pPr>
      <w:r>
        <w:rPr>
          <w:rFonts w:ascii="Gadugi" w:hAnsi="Gadugi" w:cs="Gadugi"/>
          <w:bCs/>
          <w:i/>
          <w:sz w:val="18"/>
          <w:szCs w:val="18"/>
          <w:highlight w:val="none"/>
        </w:rPr>
        <w:t xml:space="preserve">b) pareceres, perícias e avaliações em geral;</w:t>
      </w:r>
      <w:r>
        <w:rPr>
          <w:rFonts w:ascii="Gadugi" w:hAnsi="Gadugi" w:cs="Gadugi"/>
          <w:bCs/>
          <w:i/>
          <w:sz w:val="18"/>
          <w:szCs w:val="18"/>
          <w:highlight w:val="none"/>
        </w:rPr>
      </w:r>
      <w:r>
        <w:rPr>
          <w:rFonts w:ascii="Gadugi" w:hAnsi="Gadugi" w:cs="Gadugi"/>
          <w:bCs/>
          <w:i/>
          <w:sz w:val="18"/>
          <w:szCs w:val="18"/>
          <w:highlight w:val="none"/>
        </w:rPr>
      </w:r>
    </w:p>
    <w:p>
      <w:pPr>
        <w:pStyle w:val="874"/>
        <w:ind w:left="3404" w:right="141" w:firstLine="801"/>
        <w:jc w:val="both"/>
        <w:spacing w:line="360" w:lineRule="auto"/>
        <w:rPr>
          <w:rFonts w:ascii="Gadugi" w:hAnsi="Gadugi" w:cs="Gadugi"/>
          <w:bCs/>
          <w:i/>
          <w:sz w:val="18"/>
          <w:szCs w:val="18"/>
          <w:highlight w:val="none"/>
        </w:rPr>
      </w:pPr>
      <w:r>
        <w:rPr>
          <w:rFonts w:ascii="Gadugi" w:hAnsi="Gadugi" w:cs="Gadugi"/>
          <w:bCs/>
          <w:i/>
          <w:sz w:val="18"/>
          <w:szCs w:val="18"/>
          <w:highlight w:val="none"/>
        </w:rPr>
        <w:t xml:space="preserve">c) assessorias ou consultorias técnicas e auditorias financeiras ou tributárias;</w:t>
      </w:r>
      <w:r>
        <w:rPr>
          <w:rFonts w:ascii="Gadugi" w:hAnsi="Gadugi" w:cs="Gadugi"/>
          <w:bCs/>
          <w:i/>
          <w:sz w:val="18"/>
          <w:szCs w:val="18"/>
          <w:highlight w:val="none"/>
        </w:rPr>
      </w:r>
      <w:r>
        <w:rPr>
          <w:sz w:val="22"/>
          <w:szCs w:val="22"/>
        </w:rPr>
      </w:r>
    </w:p>
    <w:p>
      <w:pPr>
        <w:pStyle w:val="874"/>
        <w:ind w:left="3404" w:right="141" w:firstLine="801"/>
        <w:jc w:val="both"/>
        <w:spacing w:line="360" w:lineRule="auto"/>
        <w:rPr>
          <w:rFonts w:ascii="Gadugi" w:hAnsi="Gadugi" w:cs="Gadugi"/>
          <w:bCs/>
          <w:i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  <w:highlight w:val="none"/>
        </w:rPr>
      </w:r>
      <w:r>
        <w:rPr>
          <w:rFonts w:ascii="Gadugi" w:hAnsi="Gadugi" w:cs="Gadugi"/>
          <w:i/>
          <w:iCs/>
          <w:sz w:val="20"/>
          <w:szCs w:val="20"/>
          <w:highlight w:val="none"/>
        </w:rPr>
      </w:r>
      <w:r/>
    </w:p>
    <w:p>
      <w:pPr>
        <w:pStyle w:val="874"/>
        <w:ind w:left="141" w:firstLine="854"/>
        <w:spacing w:line="360" w:lineRule="auto"/>
        <w:rPr>
          <w:rFonts w:ascii="Gadugi" w:hAnsi="Gadugi" w:cs="Gadugi"/>
          <w:sz w:val="20"/>
          <w:szCs w:val="20"/>
          <w:highlight w:val="none"/>
          <w:lang w:val="pt-BR"/>
        </w:rPr>
      </w:pPr>
      <w:r>
        <w:rPr>
          <w:rFonts w:ascii="Gadugi" w:hAnsi="Gadugi" w:cs="Gadugi"/>
          <w:sz w:val="20"/>
          <w:szCs w:val="20"/>
        </w:rPr>
        <w:t xml:space="preserve">Sendo assim, justifica-se a escolha </w:t>
      </w:r>
      <w:r>
        <w:rPr>
          <w:rFonts w:ascii="Gadugi" w:hAnsi="Gadugi" w:cs="Gadugi"/>
          <w:sz w:val="20"/>
          <w:szCs w:val="20"/>
          <w:lang w:val="pt-BR"/>
        </w:rPr>
        <w:t xml:space="preserve">de </w:t>
      </w:r>
      <w:r>
        <w:rPr>
          <w:rFonts w:ascii="Gadugi" w:hAnsi="Gadugi" w:cs="Gadugi"/>
          <w:b/>
          <w:bCs/>
          <w:sz w:val="20"/>
          <w:szCs w:val="20"/>
          <w:lang w:val="pt-BR"/>
        </w:rPr>
        <w:t xml:space="preserve">MARITÂNIA DALLAGNOL SOCIEDADE INDIVIDUAL DE ADVOCACIA – CNPJ: 01.781.826/0001-06</w:t>
      </w:r>
      <w:r>
        <w:rPr>
          <w:rFonts w:ascii="Gadugi" w:hAnsi="Gadugi" w:cs="Gadugi"/>
          <w:sz w:val="20"/>
          <w:szCs w:val="20"/>
          <w:lang w:val="pt-BR"/>
        </w:rPr>
        <w:t xml:space="preserve">.</w:t>
      </w:r>
      <w:r/>
    </w:p>
    <w:p>
      <w:pPr>
        <w:pStyle w:val="874"/>
        <w:ind w:left="141" w:firstLine="854"/>
        <w:spacing w:line="360" w:lineRule="auto"/>
        <w:rPr>
          <w:rFonts w:ascii="Gadugi" w:hAnsi="Gadugi" w:cs="Gadugi"/>
          <w:sz w:val="20"/>
          <w:szCs w:val="20"/>
          <w:highlight w:val="none"/>
        </w:rPr>
      </w:pPr>
      <w:r>
        <w:rPr>
          <w:rFonts w:ascii="Gadugi" w:hAnsi="Gadugi" w:cs="Gadugi"/>
          <w:sz w:val="20"/>
          <w:szCs w:val="20"/>
          <w:highlight w:val="none"/>
          <w:lang w:val="pt-BR"/>
        </w:rPr>
      </w:r>
      <w:r>
        <w:rPr>
          <w:rFonts w:ascii="Gadugi" w:hAnsi="Gadugi" w:cs="Gadugi"/>
          <w:sz w:val="20"/>
          <w:szCs w:val="20"/>
          <w:highlight w:val="none"/>
          <w:lang w:val="pt-BR"/>
        </w:rPr>
      </w:r>
      <w:r/>
    </w:p>
    <w:p>
      <w:pPr>
        <w:pStyle w:val="875"/>
        <w:numPr>
          <w:ilvl w:val="0"/>
          <w:numId w:val="2"/>
        </w:numPr>
        <w:ind w:left="928" w:right="0" w:hanging="359"/>
        <w:jc w:val="left"/>
        <w:spacing w:before="1" w:after="0" w:line="240" w:lineRule="auto"/>
        <w:tabs>
          <w:tab w:val="left" w:pos="928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PREVISÃO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RECURSOS</w:t>
      </w:r>
      <w:r>
        <w:rPr>
          <w:rFonts w:ascii="Gadugi" w:hAnsi="Gadugi" w:cs="Gadugi"/>
          <w:spacing w:val="1"/>
          <w:sz w:val="20"/>
          <w:szCs w:val="20"/>
        </w:rPr>
        <w:t xml:space="preserve"> </w:t>
      </w:r>
      <w:r>
        <w:rPr>
          <w:rFonts w:ascii="Gadugi" w:hAnsi="Gadugi" w:cs="Gadugi"/>
          <w:spacing w:val="-2"/>
          <w:sz w:val="20"/>
          <w:szCs w:val="20"/>
        </w:rPr>
        <w:t xml:space="preserve">ORÇAMENTÁRIOS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6"/>
        <w:numPr>
          <w:ilvl w:val="1"/>
          <w:numId w:val="2"/>
        </w:numPr>
        <w:ind w:left="141" w:right="141" w:firstLine="787"/>
        <w:jc w:val="left"/>
        <w:spacing w:before="0" w:after="0" w:line="360" w:lineRule="auto"/>
        <w:tabs>
          <w:tab w:val="left" w:pos="1275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As</w:t>
      </w:r>
      <w:r>
        <w:rPr>
          <w:rFonts w:ascii="Gadugi" w:hAnsi="Gadugi" w:cs="Gadugi"/>
          <w:spacing w:val="3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despesas</w:t>
      </w:r>
      <w:r>
        <w:rPr>
          <w:rFonts w:ascii="Gadugi" w:hAnsi="Gadugi" w:cs="Gadugi"/>
          <w:spacing w:val="3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decorrentes</w:t>
      </w:r>
      <w:r>
        <w:rPr>
          <w:rFonts w:ascii="Gadugi" w:hAnsi="Gadugi" w:cs="Gadugi"/>
          <w:spacing w:val="3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deste</w:t>
      </w:r>
      <w:r>
        <w:rPr>
          <w:rFonts w:ascii="Gadugi" w:hAnsi="Gadugi" w:cs="Gadugi"/>
          <w:spacing w:val="3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processo</w:t>
      </w:r>
      <w:r>
        <w:rPr>
          <w:rFonts w:ascii="Gadugi" w:hAnsi="Gadugi" w:cs="Gadugi"/>
          <w:spacing w:val="3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3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inexigibilidade</w:t>
      </w:r>
      <w:r>
        <w:rPr>
          <w:rFonts w:ascii="Gadugi" w:hAnsi="Gadugi" w:cs="Gadugi"/>
          <w:spacing w:val="3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3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licitação</w:t>
      </w:r>
      <w:r>
        <w:rPr>
          <w:rFonts w:ascii="Gadugi" w:hAnsi="Gadugi" w:cs="Gadugi"/>
          <w:spacing w:val="3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correrão</w:t>
      </w:r>
      <w:r>
        <w:rPr>
          <w:rFonts w:ascii="Gadugi" w:hAnsi="Gadugi" w:cs="Gadugi"/>
          <w:spacing w:val="3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por conta do exercício de 202</w:t>
      </w:r>
      <w:r>
        <w:rPr>
          <w:rFonts w:ascii="Gadugi" w:hAnsi="Gadugi" w:cs="Gadugi"/>
          <w:sz w:val="20"/>
          <w:szCs w:val="20"/>
          <w:lang w:val="pt-BR"/>
        </w:rPr>
        <w:t xml:space="preserve">5</w:t>
      </w:r>
      <w:r>
        <w:rPr>
          <w:rFonts w:ascii="Gadugi" w:hAnsi="Gadugi" w:cs="Gadugi"/>
          <w:sz w:val="20"/>
          <w:szCs w:val="20"/>
        </w:rPr>
        <w:t xml:space="preserve">.</w:t>
      </w:r>
      <w:r>
        <w:rPr>
          <w:rFonts w:ascii="Gadugi" w:hAnsi="Gadugi" w:cs="Gadugi"/>
          <w:sz w:val="20"/>
          <w:szCs w:val="20"/>
        </w:rPr>
      </w:r>
      <w:r/>
    </w:p>
    <w:p>
      <w:pPr>
        <w:ind w:left="928" w:right="141" w:firstLine="0"/>
        <w:jc w:val="left"/>
        <w:spacing w:before="0" w:after="0" w:line="360" w:lineRule="auto"/>
        <w:tabs>
          <w:tab w:val="left" w:pos="1275" w:leader="none"/>
        </w:tabs>
        <w:rPr>
          <w:rFonts w:ascii="Gadugi" w:hAnsi="Gadugi" w:cs="Gadugi"/>
          <w:b/>
          <w:bCs/>
          <w:i/>
          <w:sz w:val="20"/>
          <w:szCs w:val="20"/>
          <w:highlight w:val="none"/>
        </w:rPr>
      </w:pPr>
      <w:r>
        <w:rPr>
          <w:rFonts w:ascii="Gadugi" w:hAnsi="Gadugi" w:cs="Gadugi"/>
          <w:b/>
          <w:bCs/>
          <w:i/>
          <w:iCs/>
          <w:sz w:val="20"/>
          <w:szCs w:val="20"/>
          <w:highlight w:val="none"/>
          <w:lang w:val="pt-BR"/>
        </w:rPr>
        <w:t xml:space="preserve">Secretaria de Educação, Cultura, Desporto e Lazer</w:t>
      </w:r>
      <w:r/>
    </w:p>
    <w:p>
      <w:pPr>
        <w:ind w:left="928" w:right="141" w:firstLine="0"/>
        <w:jc w:val="left"/>
        <w:spacing w:before="0" w:after="0" w:line="360" w:lineRule="auto"/>
        <w:tabs>
          <w:tab w:val="left" w:pos="1275" w:leader="none"/>
        </w:tabs>
        <w:rPr>
          <w:rFonts w:ascii="Gadugi" w:hAnsi="Gadugi" w:cs="Gadugi"/>
          <w:b/>
          <w:bCs/>
          <w:sz w:val="20"/>
          <w:szCs w:val="20"/>
          <w:highlight w:val="none"/>
        </w:rPr>
      </w:pPr>
      <w:r>
        <w:rPr>
          <w:rFonts w:ascii="Gadugi" w:hAnsi="Gadugi" w:cs="Gadugi"/>
          <w:b/>
          <w:bCs/>
          <w:sz w:val="20"/>
          <w:szCs w:val="20"/>
          <w:highlight w:val="none"/>
          <w:lang w:val="pt-BR"/>
        </w:rPr>
        <w:t xml:space="preserve">Acesso: 756</w:t>
      </w:r>
      <w:r/>
    </w:p>
    <w:p>
      <w:pPr>
        <w:ind w:left="928" w:right="141" w:firstLine="0"/>
        <w:jc w:val="left"/>
        <w:spacing w:before="0" w:after="0" w:line="360" w:lineRule="auto"/>
        <w:tabs>
          <w:tab w:val="left" w:pos="1275" w:leader="none"/>
        </w:tabs>
        <w:rPr>
          <w:rFonts w:ascii="Gadugi" w:hAnsi="Gadugi" w:cs="Gadugi"/>
          <w:b/>
          <w:bCs/>
          <w:sz w:val="20"/>
          <w:szCs w:val="20"/>
          <w:highlight w:val="none"/>
        </w:rPr>
      </w:pPr>
      <w:r>
        <w:rPr>
          <w:rFonts w:ascii="Gadugi" w:hAnsi="Gadugi" w:cs="Gadugi"/>
          <w:b/>
          <w:bCs/>
          <w:sz w:val="20"/>
          <w:szCs w:val="20"/>
          <w:highlight w:val="none"/>
          <w:lang w:val="pt-BR"/>
        </w:rPr>
        <w:t xml:space="preserve">Projeto: 2096</w:t>
      </w:r>
      <w:r/>
    </w:p>
    <w:p>
      <w:pPr>
        <w:ind w:left="928" w:right="141" w:firstLine="0"/>
        <w:jc w:val="left"/>
        <w:spacing w:before="0" w:after="0" w:line="360" w:lineRule="auto"/>
        <w:tabs>
          <w:tab w:val="left" w:pos="1275" w:leader="none"/>
        </w:tabs>
        <w:rPr>
          <w:rFonts w:ascii="Gadugi" w:hAnsi="Gadugi" w:cs="Gadugi"/>
          <w:sz w:val="20"/>
          <w:szCs w:val="20"/>
          <w:highlight w:val="none"/>
        </w:rPr>
      </w:pPr>
      <w:r>
        <w:rPr>
          <w:rFonts w:ascii="Gadugi" w:hAnsi="Gadugi" w:cs="Gadugi"/>
          <w:b/>
          <w:bCs/>
          <w:sz w:val="20"/>
          <w:szCs w:val="20"/>
          <w:highlight w:val="none"/>
          <w:lang w:val="pt-BR"/>
        </w:rPr>
        <w:t xml:space="preserve">Despesa: 3390-35</w:t>
      </w:r>
      <w:r>
        <w:rPr>
          <w:rFonts w:ascii="Gadugi" w:hAnsi="Gadugi" w:cs="Gadugi"/>
          <w:sz w:val="20"/>
          <w:szCs w:val="20"/>
        </w:rPr>
      </w:r>
      <w:r/>
    </w:p>
    <w:p>
      <w:pPr>
        <w:ind w:left="928" w:right="141" w:firstLine="0"/>
        <w:jc w:val="left"/>
        <w:spacing w:before="0" w:after="0" w:line="360" w:lineRule="auto"/>
        <w:tabs>
          <w:tab w:val="left" w:pos="1275" w:leader="none"/>
        </w:tabs>
        <w:rPr>
          <w:rFonts w:ascii="Gadugi" w:hAnsi="Gadugi" w:cs="Gadugi"/>
          <w:b/>
          <w:bCs/>
          <w:sz w:val="20"/>
          <w:szCs w:val="20"/>
        </w:rPr>
      </w:pPr>
      <w:r>
        <w:rPr>
          <w:rFonts w:ascii="Gadugi" w:hAnsi="Gadugi" w:cs="Gadugi"/>
          <w:sz w:val="20"/>
          <w:szCs w:val="20"/>
          <w:highlight w:val="none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5"/>
        <w:numPr>
          <w:ilvl w:val="0"/>
          <w:numId w:val="2"/>
        </w:numPr>
        <w:ind w:left="928" w:right="0" w:hanging="359"/>
        <w:jc w:val="left"/>
        <w:spacing w:before="0" w:after="0" w:line="240" w:lineRule="auto"/>
        <w:tabs>
          <w:tab w:val="left" w:pos="928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HABILITAÇÃO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QUALIFICAÇÃO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MÍNIMA PESSOA </w:t>
      </w:r>
      <w:r>
        <w:rPr>
          <w:rFonts w:ascii="Gadugi" w:hAnsi="Gadugi" w:cs="Gadugi"/>
          <w:spacing w:val="-2"/>
          <w:sz w:val="20"/>
          <w:szCs w:val="20"/>
        </w:rPr>
        <w:t xml:space="preserve">JURÍDICA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569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Conforme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previsto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no Art. 70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Lei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14.133/21,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capítulo VI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pacing w:val="-2"/>
          <w:sz w:val="20"/>
          <w:szCs w:val="20"/>
        </w:rPr>
        <w:t xml:space="preserve">habilitação: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spacing w:before="2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ind w:left="3689" w:right="0" w:firstLine="0"/>
        <w:jc w:val="both"/>
        <w:spacing w:before="0"/>
        <w:rPr>
          <w:rFonts w:ascii="Gadugi" w:hAnsi="Gadugi" w:cs="Gadugi"/>
          <w:bCs/>
          <w:i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  <w:lang w:val="pt-BR"/>
        </w:rPr>
        <w:t xml:space="preserve">“</w:t>
      </w:r>
      <w:r>
        <w:rPr>
          <w:rFonts w:ascii="Gadugi" w:hAnsi="Gadugi" w:cs="Gadugi"/>
          <w:i/>
          <w:iCs/>
          <w:sz w:val="20"/>
          <w:szCs w:val="20"/>
        </w:rPr>
        <w:t xml:space="preserve">Art.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70.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A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documentação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referida</w:t>
      </w:r>
      <w:r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neste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Capítulo</w:t>
      </w:r>
      <w:r>
        <w:rPr>
          <w:rFonts w:ascii="Gadugi" w:hAnsi="Gadugi" w:cs="Gadugi"/>
          <w:i/>
          <w:iCs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poderá</w:t>
      </w:r>
      <w:r>
        <w:rPr>
          <w:rFonts w:ascii="Gadugi" w:hAnsi="Gadugi" w:cs="Gadugi"/>
          <w:i/>
          <w:iCs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pacing w:val="-4"/>
          <w:sz w:val="20"/>
          <w:szCs w:val="20"/>
        </w:rPr>
        <w:t xml:space="preserve">ser: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rPr>
          <w:rFonts w:ascii="Gadugi" w:hAnsi="Gadugi" w:cs="Gadugi"/>
          <w:bCs/>
          <w:i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ind w:left="3689" w:right="135" w:firstLine="0"/>
        <w:jc w:val="both"/>
        <w:spacing w:before="0" w:line="360" w:lineRule="auto"/>
        <w:rPr>
          <w:rFonts w:ascii="Gadugi" w:hAnsi="Gadugi" w:cs="Gadugi"/>
          <w:bCs/>
          <w:i/>
          <w:sz w:val="20"/>
          <w:szCs w:val="20"/>
        </w:rPr>
      </w:pPr>
      <w:r>
        <w:rPr>
          <w:rFonts w:ascii="Gadugi" w:hAnsi="Gadugi" w:cs="Gadugi"/>
          <w:i/>
          <w:iCs/>
          <w:sz w:val="20"/>
          <w:szCs w:val="20"/>
        </w:rPr>
        <w:t xml:space="preserve">III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-</w:t>
      </w:r>
      <w:r>
        <w:rPr>
          <w:rFonts w:ascii="Gadugi" w:hAnsi="Gadugi" w:cs="Gadugi"/>
          <w:i/>
          <w:iCs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dispensada,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total</w:t>
      </w:r>
      <w:r>
        <w:rPr>
          <w:rFonts w:ascii="Gadugi" w:hAnsi="Gadugi" w:cs="Gadugi"/>
          <w:i/>
          <w:iCs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ou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parcialmente,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nas</w:t>
      </w:r>
      <w:r>
        <w:rPr>
          <w:rFonts w:ascii="Gadugi" w:hAnsi="Gadugi" w:cs="Gadugi"/>
          <w:i/>
          <w:iCs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contratações</w:t>
      </w:r>
      <w:r>
        <w:rPr>
          <w:rFonts w:ascii="Gadugi" w:hAnsi="Gadugi" w:cs="Gadugi"/>
          <w:i/>
          <w:iCs/>
          <w:spacing w:val="-12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para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entrega imediata, </w:t>
      </w:r>
      <w:r>
        <w:rPr>
          <w:rFonts w:ascii="Gadugi" w:hAnsi="Gadugi" w:cs="Gadugi"/>
          <w:i/>
          <w:iCs/>
          <w:sz w:val="20"/>
          <w:szCs w:val="20"/>
          <w:u w:val="single"/>
        </w:rPr>
        <w:t xml:space="preserve">nas contratações em valores inferiores a 1/4 (um quarto)</w:t>
      </w:r>
      <w:r>
        <w:rPr>
          <w:rFonts w:ascii="Gadugi" w:hAnsi="Gadugi" w:cs="Gadugi"/>
          <w:i/>
          <w:iCs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  <w:u w:val="single"/>
        </w:rPr>
        <w:t xml:space="preserve">do limite para dispensa de licitação para compras em geral</w:t>
      </w:r>
      <w:r>
        <w:rPr>
          <w:rFonts w:ascii="Gadugi" w:hAnsi="Gadugi" w:cs="Gadugi"/>
          <w:i/>
          <w:iCs/>
          <w:sz w:val="20"/>
          <w:szCs w:val="20"/>
        </w:rPr>
        <w:t xml:space="preserve"> e nas contratações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de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produto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para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pesquisa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e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desenvolvimento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até</w:t>
      </w:r>
      <w:r>
        <w:rPr>
          <w:rFonts w:ascii="Gadugi" w:hAnsi="Gadugi" w:cs="Gadugi"/>
          <w:i/>
          <w:iCs/>
          <w:spacing w:val="-13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o</w:t>
      </w:r>
      <w:r>
        <w:rPr>
          <w:rFonts w:ascii="Gadugi" w:hAnsi="Gadugi" w:cs="Gadugi"/>
          <w:i/>
          <w:iCs/>
          <w:spacing w:val="-14"/>
          <w:sz w:val="20"/>
          <w:szCs w:val="20"/>
        </w:rPr>
        <w:t xml:space="preserve"> </w:t>
      </w:r>
      <w:r>
        <w:rPr>
          <w:rFonts w:ascii="Gadugi" w:hAnsi="Gadugi" w:cs="Gadugi"/>
          <w:i/>
          <w:iCs/>
          <w:sz w:val="20"/>
          <w:szCs w:val="20"/>
        </w:rPr>
        <w:t xml:space="preserve">valor de R$ 300.000,00 (trezentos mil reais).</w:t>
      </w:r>
      <w:r>
        <w:rPr>
          <w:rFonts w:ascii="Gadugi" w:hAnsi="Gadugi" w:cs="Gadugi"/>
          <w:i/>
          <w:iCs/>
          <w:sz w:val="20"/>
          <w:szCs w:val="20"/>
          <w:lang w:val="pt-BR"/>
        </w:rPr>
        <w:t xml:space="preserve">”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6"/>
        <w:numPr>
          <w:ilvl w:val="1"/>
          <w:numId w:val="2"/>
        </w:numPr>
        <w:ind w:left="1984" w:right="0" w:hanging="849"/>
        <w:jc w:val="both"/>
        <w:spacing w:before="0" w:after="0" w:line="240" w:lineRule="auto"/>
        <w:tabs>
          <w:tab w:val="left" w:pos="1984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Inscrição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Cadastro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Nacional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Pessoa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Jurídica</w:t>
      </w:r>
      <w:r>
        <w:rPr>
          <w:rFonts w:ascii="Gadugi" w:hAnsi="Gadugi" w:cs="Gadugi"/>
          <w:spacing w:val="1"/>
          <w:sz w:val="20"/>
          <w:szCs w:val="20"/>
        </w:rPr>
        <w:t xml:space="preserve"> </w:t>
      </w:r>
      <w:r>
        <w:rPr>
          <w:rFonts w:ascii="Gadugi" w:hAnsi="Gadugi" w:cs="Gadugi"/>
          <w:spacing w:val="-2"/>
          <w:sz w:val="20"/>
          <w:szCs w:val="20"/>
        </w:rPr>
        <w:t xml:space="preserve">(</w:t>
      </w:r>
      <w:r>
        <w:rPr>
          <w:rFonts w:ascii="Gadugi" w:hAnsi="Gadugi" w:cs="Gadugi"/>
          <w:spacing w:val="-2"/>
          <w:sz w:val="20"/>
          <w:szCs w:val="20"/>
          <w:u w:val="single"/>
        </w:rPr>
        <w:t xml:space="preserve">CNPJ</w:t>
      </w:r>
      <w:r>
        <w:rPr>
          <w:rFonts w:ascii="Gadugi" w:hAnsi="Gadugi" w:cs="Gadugi"/>
          <w:spacing w:val="-2"/>
          <w:sz w:val="20"/>
          <w:szCs w:val="20"/>
        </w:rPr>
        <w:t xml:space="preserve">);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6"/>
        <w:numPr>
          <w:ilvl w:val="1"/>
          <w:numId w:val="2"/>
        </w:numPr>
        <w:ind w:left="2" w:right="142" w:firstLine="1133"/>
        <w:jc w:val="both"/>
        <w:spacing w:before="139" w:after="0" w:line="360" w:lineRule="auto"/>
        <w:tabs>
          <w:tab w:val="left" w:pos="1467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Prova de regularidade fiscal com a Fazenda Federal e com a Dívida Ativa da União, mediante apresentação da Certidão Negativa (ou Positiva com Efeitos de Negativa) Conjunta de Débitos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relativos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à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Tributos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Federais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à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Dívida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Ativa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União,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expedida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pela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Secretaria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Receita </w:t>
      </w:r>
      <w:r>
        <w:rPr>
          <w:rFonts w:ascii="Gadugi" w:hAnsi="Gadugi" w:cs="Gadugi"/>
          <w:sz w:val="20"/>
          <w:szCs w:val="20"/>
        </w:rPr>
        <w:t xml:space="preserve">Federal do Brasil;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6"/>
        <w:numPr>
          <w:ilvl w:val="1"/>
          <w:numId w:val="2"/>
        </w:numPr>
        <w:ind w:left="2" w:right="145" w:firstLine="1133"/>
        <w:jc w:val="both"/>
        <w:spacing w:before="1" w:after="0" w:line="360" w:lineRule="auto"/>
        <w:tabs>
          <w:tab w:val="left" w:pos="1374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Prova</w:t>
      </w:r>
      <w:r>
        <w:rPr>
          <w:rFonts w:ascii="Gadugi" w:hAnsi="Gadugi" w:cs="Gadugi"/>
          <w:spacing w:val="-9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regularidade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fiscal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com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a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Fazenda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Estadual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do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domicílio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ou</w:t>
      </w:r>
      <w:r>
        <w:rPr>
          <w:rFonts w:ascii="Gadugi" w:hAnsi="Gadugi" w:cs="Gadugi"/>
          <w:spacing w:val="-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sede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8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licitante, mediante apresentação da Certidão Negativa (ou Positiva com Efeitos de Negativa) de Débitos Estaduais, expedida pelo órgão competente;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6"/>
        <w:numPr>
          <w:ilvl w:val="1"/>
          <w:numId w:val="2"/>
        </w:numPr>
        <w:ind w:left="2" w:right="146" w:firstLine="1133"/>
        <w:jc w:val="both"/>
        <w:spacing w:before="0" w:after="0" w:line="360" w:lineRule="auto"/>
        <w:tabs>
          <w:tab w:val="left" w:pos="1395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Prova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regularidade relativa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ao Fundo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Garantia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por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Tempo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Serviço,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mediante a apresentação do Certificado de Regularidade do FGTS, expedida pelo órgão competente.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6"/>
        <w:numPr>
          <w:ilvl w:val="1"/>
          <w:numId w:val="2"/>
        </w:numPr>
        <w:ind w:left="2" w:right="140" w:firstLine="1133"/>
        <w:jc w:val="both"/>
        <w:spacing w:before="0" w:after="0" w:line="360" w:lineRule="auto"/>
        <w:tabs>
          <w:tab w:val="left" w:pos="1400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Prova de inexistência de Débitos Trabalhistas, mediante a apresentação de Certidão Negativa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(ou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Positiva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com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Efeitos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Negativa)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Débitos relativos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à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Justiça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do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Trabalho,</w:t>
      </w:r>
      <w:r>
        <w:rPr>
          <w:rFonts w:ascii="Gadugi" w:hAnsi="Gadugi" w:cs="Gadugi"/>
          <w:spacing w:val="-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expedida pelo órgão competente;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6"/>
        <w:numPr>
          <w:ilvl w:val="1"/>
          <w:numId w:val="2"/>
        </w:numPr>
        <w:ind w:left="1407" w:right="0" w:hanging="272"/>
        <w:jc w:val="both"/>
        <w:spacing w:before="0" w:after="0" w:line="240" w:lineRule="auto"/>
        <w:tabs>
          <w:tab w:val="left" w:pos="1407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Certidão</w:t>
      </w:r>
      <w:r>
        <w:rPr>
          <w:rFonts w:ascii="Gadugi" w:hAnsi="Gadugi" w:cs="Gadugi"/>
          <w:spacing w:val="5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negativa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de</w:t>
      </w:r>
      <w:r>
        <w:rPr>
          <w:rFonts w:ascii="Gadugi" w:hAnsi="Gadugi" w:cs="Gadugi"/>
          <w:spacing w:val="5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feitos</w:t>
      </w:r>
      <w:r>
        <w:rPr>
          <w:rFonts w:ascii="Gadugi" w:hAnsi="Gadugi" w:cs="Gadugi"/>
          <w:spacing w:val="5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sobre</w:t>
      </w:r>
      <w:r>
        <w:rPr>
          <w:rFonts w:ascii="Gadugi" w:hAnsi="Gadugi" w:cs="Gadugi"/>
          <w:spacing w:val="5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falência</w:t>
      </w:r>
      <w:r>
        <w:rPr>
          <w:rFonts w:ascii="Gadugi" w:hAnsi="Gadugi" w:cs="Gadugi"/>
          <w:spacing w:val="57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expedida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pelo</w:t>
      </w:r>
      <w:r>
        <w:rPr>
          <w:rFonts w:ascii="Gadugi" w:hAnsi="Gadugi" w:cs="Gadugi"/>
          <w:spacing w:val="54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distribuidor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sede</w:t>
      </w:r>
      <w:r>
        <w:rPr>
          <w:rFonts w:ascii="Gadugi" w:hAnsi="Gadugi" w:cs="Gadugi"/>
          <w:spacing w:val="53"/>
          <w:sz w:val="20"/>
          <w:szCs w:val="20"/>
        </w:rPr>
        <w:t xml:space="preserve"> </w:t>
      </w:r>
      <w:r>
        <w:rPr>
          <w:rFonts w:ascii="Gadugi" w:hAnsi="Gadugi" w:cs="Gadugi"/>
          <w:spacing w:val="-5"/>
          <w:sz w:val="20"/>
          <w:szCs w:val="20"/>
        </w:rPr>
        <w:t xml:space="preserve">do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/>
        <w:spacing w:before="137"/>
        <w:rPr>
          <w:rFonts w:ascii="Gadugi" w:hAnsi="Gadugi" w:cs="Gadugi"/>
          <w:sz w:val="20"/>
          <w:szCs w:val="20"/>
          <w:highlight w:val="none"/>
        </w:rPr>
      </w:pPr>
      <w:r>
        <w:rPr>
          <w:rFonts w:ascii="Gadugi" w:hAnsi="Gadugi" w:cs="Gadugi"/>
          <w:spacing w:val="-2"/>
          <w:sz w:val="20"/>
          <w:szCs w:val="20"/>
        </w:rPr>
        <w:t xml:space="preserve">licitante.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/>
        <w:spacing w:before="137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  <w:highlight w:val="none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5"/>
        <w:numPr>
          <w:ilvl w:val="0"/>
          <w:numId w:val="1"/>
        </w:numPr>
        <w:ind w:left="809" w:right="0" w:hanging="240"/>
        <w:jc w:val="left"/>
        <w:spacing w:before="0" w:after="0" w:line="240" w:lineRule="auto"/>
        <w:tabs>
          <w:tab w:val="left" w:pos="809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PRAZO</w:t>
      </w:r>
      <w:r>
        <w:rPr>
          <w:rFonts w:ascii="Gadugi" w:hAnsi="Gadugi" w:cs="Gadugi"/>
          <w:spacing w:val="-3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 LOCAL DO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FORNECIMENTO DO </w:t>
      </w:r>
      <w:r>
        <w:rPr>
          <w:rFonts w:ascii="Gadugi" w:hAnsi="Gadugi" w:cs="Gadugi"/>
          <w:spacing w:val="-2"/>
          <w:sz w:val="20"/>
          <w:szCs w:val="20"/>
        </w:rPr>
        <w:t xml:space="preserve">SERVIÇO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right="144" w:firstLine="1274"/>
        <w:jc w:val="both"/>
        <w:spacing w:line="36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  <w:lang w:val="pt-BR"/>
        </w:rPr>
        <w:t xml:space="preserve">Os serviços deverão ser prestados junto a via telefone, com pareceres escritos, reuniões previamente agendadas a realizarem-se em local definido pela contratada ou ainda através dos técnicos da contratada na sede da contratante.</w:t>
      </w:r>
      <w:r/>
    </w:p>
    <w:p>
      <w:pPr>
        <w:pStyle w:val="874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5"/>
        <w:numPr>
          <w:ilvl w:val="0"/>
          <w:numId w:val="1"/>
        </w:numPr>
        <w:ind w:left="900" w:right="0" w:hanging="240"/>
        <w:jc w:val="left"/>
        <w:spacing w:before="0" w:after="0" w:line="240" w:lineRule="auto"/>
        <w:tabs>
          <w:tab w:val="left" w:pos="900" w:leader="none"/>
        </w:tabs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DOS</w:t>
      </w:r>
      <w:r>
        <w:rPr>
          <w:rFonts w:ascii="Gadugi" w:hAnsi="Gadugi" w:cs="Gadugi"/>
          <w:spacing w:val="-2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RESPONSÁVEIS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PELA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FISCALIZAÇÃO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E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GESTÃO</w:t>
      </w:r>
      <w:r>
        <w:rPr>
          <w:rFonts w:ascii="Gadugi" w:hAnsi="Gadugi" w:cs="Gadugi"/>
          <w:spacing w:val="-1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2"/>
          <w:sz w:val="20"/>
          <w:szCs w:val="20"/>
        </w:rPr>
        <w:t xml:space="preserve"> CONTRATAÇÃO</w:t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2" w:right="137" w:firstLine="1274"/>
        <w:jc w:val="both"/>
        <w:spacing w:line="360" w:lineRule="auto"/>
        <w:rPr>
          <w:rFonts w:ascii="Gadugi" w:hAnsi="Gadugi" w:cs="Gadugi"/>
          <w:sz w:val="20"/>
          <w:szCs w:val="20"/>
          <w:highlight w:val="none"/>
          <w:lang w:val="pt-BR"/>
        </w:rPr>
      </w:pPr>
      <w:r>
        <w:rPr>
          <w:rFonts w:ascii="Gadugi" w:hAnsi="Gadugi" w:cs="Gadugi"/>
          <w:sz w:val="20"/>
          <w:szCs w:val="20"/>
        </w:rPr>
        <w:t xml:space="preserve">O responsável pela fiscalização </w:t>
      </w:r>
      <w:r>
        <w:rPr>
          <w:rFonts w:ascii="Gadugi" w:hAnsi="Gadugi" w:cs="Gadugi"/>
          <w:sz w:val="20"/>
          <w:szCs w:val="20"/>
          <w:lang w:val="pt-BR"/>
        </w:rPr>
        <w:t xml:space="preserve">da contratação Sra. Samanta Luciano França – Assessora Jurídica</w:t>
      </w:r>
      <w:r/>
      <w:r>
        <w:rPr>
          <w:rFonts w:ascii="Gadugi" w:hAnsi="Gadugi" w:cs="Gadugi"/>
          <w:sz w:val="20"/>
          <w:szCs w:val="20"/>
          <w:highlight w:val="none"/>
          <w:lang w:val="pt-BR"/>
        </w:rPr>
      </w:r>
      <w:r>
        <w:rPr>
          <w:rFonts w:ascii="Gadugi" w:hAnsi="Gadugi" w:cs="Gadugi"/>
          <w:sz w:val="20"/>
          <w:szCs w:val="20"/>
          <w:highlight w:val="none"/>
          <w:lang w:val="pt-BR"/>
        </w:rPr>
      </w:r>
      <w:r/>
      <w:r>
        <w:rPr>
          <w:rFonts w:ascii="Gadugi" w:hAnsi="Gadugi" w:cs="Gadugi"/>
          <w:sz w:val="20"/>
          <w:szCs w:val="20"/>
          <w:highlight w:val="none"/>
          <w:lang w:val="pt-BR"/>
        </w:rPr>
      </w:r>
    </w:p>
    <w:p>
      <w:pPr>
        <w:pStyle w:val="874"/>
        <w:ind w:left="427"/>
        <w:jc w:val="right"/>
        <w:rPr>
          <w:rFonts w:ascii="Gadugi" w:hAnsi="Gadugi" w:cs="Gadugi"/>
          <w:sz w:val="20"/>
          <w:szCs w:val="20"/>
          <w:highlight w:val="none"/>
        </w:rPr>
      </w:pPr>
      <w:r>
        <w:rPr>
          <w:rFonts w:ascii="Gadugi" w:hAnsi="Gadugi" w:cs="Gadugi"/>
          <w:sz w:val="20"/>
          <w:szCs w:val="20"/>
          <w:lang w:val="pt-BR"/>
        </w:rPr>
        <w:t xml:space="preserve">Santa Bárbara do Sul / RS, 06 de fevereiro de 2025</w:t>
      </w:r>
      <w:r/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  <w:r>
        <w:rPr>
          <w:rFonts w:ascii="Gadugi" w:hAnsi="Gadugi" w:cs="Gadugi"/>
          <w:sz w:val="20"/>
          <w:szCs w:val="20"/>
          <w:highlight w:val="none"/>
        </w:rPr>
      </w:r>
    </w:p>
    <w:p>
      <w:pPr>
        <w:pStyle w:val="874"/>
        <w:ind w:left="427"/>
        <w:jc w:val="right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427"/>
        <w:jc w:val="right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ind w:left="427"/>
        <w:jc w:val="center"/>
        <w:rPr>
          <w:rFonts w:ascii="Gadugi" w:hAnsi="Gadugi" w:cs="Gadugi"/>
          <w:b/>
          <w:bCs/>
          <w:sz w:val="20"/>
          <w:szCs w:val="20"/>
          <w:highlight w:val="none"/>
        </w:rPr>
      </w:pPr>
      <w:r>
        <w:rPr>
          <w:rFonts w:ascii="Gadugi" w:hAnsi="Gadugi" w:cs="Gadugi"/>
          <w:b/>
          <w:bCs/>
          <w:sz w:val="20"/>
          <w:szCs w:val="20"/>
          <w:highlight w:val="none"/>
          <w:lang w:val="pt-BR"/>
        </w:rPr>
        <w:t xml:space="preserve">Leandro Caraffini Veneral</w:t>
      </w:r>
      <w:r>
        <w:rPr>
          <w:b/>
          <w:bCs/>
        </w:rPr>
      </w:r>
      <w:r/>
    </w:p>
    <w:p>
      <w:pPr>
        <w:pStyle w:val="874"/>
        <w:ind w:left="427"/>
        <w:jc w:val="center"/>
        <w:rPr>
          <w:rFonts w:ascii="Gadugi" w:hAnsi="Gadugi" w:cs="Gadugi"/>
          <w:b/>
          <w:bCs/>
          <w:sz w:val="20"/>
          <w:szCs w:val="20"/>
        </w:rPr>
      </w:pPr>
      <w:r>
        <w:rPr>
          <w:rFonts w:ascii="Gadugi" w:hAnsi="Gadugi" w:cs="Gadugi"/>
          <w:b/>
          <w:bCs/>
          <w:sz w:val="20"/>
          <w:szCs w:val="20"/>
          <w:highlight w:val="none"/>
          <w:lang w:val="pt-BR"/>
        </w:rPr>
        <w:t xml:space="preserve">Prefeito</w:t>
      </w:r>
      <w:r>
        <w:rPr>
          <w:b/>
          <w:bCs/>
        </w:rPr>
      </w:r>
      <w:r/>
    </w:p>
    <w:p>
      <w:pPr>
        <w:pStyle w:val="874"/>
        <w:jc w:val="right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pStyle w:val="874"/>
        <w:spacing w:before="200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ind w:left="0" w:right="0" w:firstLine="0"/>
        <w:jc w:val="left"/>
        <w:spacing w:before="238" w:after="238" w:line="57" w:lineRule="atLeast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Cambria" w:cs="Gadugi"/>
          <w:b/>
          <w:color w:val="000000"/>
          <w:sz w:val="20"/>
          <w:szCs w:val="20"/>
          <w:highlight w:val="none"/>
        </w:rPr>
      </w:r>
      <w:r>
        <w:rPr>
          <w:rFonts w:ascii="Gadugi" w:hAnsi="Gadugi" w:eastAsia="Cambria" w:cs="Gadugi"/>
          <w:b/>
          <w:color w:val="000000"/>
          <w:sz w:val="20"/>
          <w:szCs w:val="20"/>
          <w:highlight w:val="none"/>
        </w:rPr>
      </w:r>
      <w:r/>
    </w:p>
    <w:p>
      <w:pPr>
        <w:ind w:left="0" w:right="0" w:firstLine="0"/>
        <w:jc w:val="center"/>
        <w:spacing w:before="238" w:after="238" w:line="57" w:lineRule="atLeast"/>
        <w:rPr>
          <w:rFonts w:ascii="Gadugi" w:hAnsi="Gadugi" w:eastAsia="Cambria" w:cs="Gadugi"/>
          <w:b/>
          <w:bCs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Cambria" w:cs="Gadugi"/>
          <w:b/>
          <w:color w:val="000000"/>
          <w:sz w:val="20"/>
          <w:szCs w:val="20"/>
        </w:rPr>
        <w:t xml:space="preserve">ESTADO DO RIO GRANDE DO SUL</w:t>
      </w:r>
      <w:r>
        <w:rPr>
          <w:rFonts w:ascii="Gadugi" w:hAnsi="Gadugi" w:cs="Gadugi"/>
          <w:sz w:val="20"/>
          <w:szCs w:val="20"/>
        </w:rPr>
      </w:r>
      <w:r/>
    </w:p>
    <w:p>
      <w:pPr>
        <w:ind w:left="0" w:right="0" w:firstLine="0"/>
        <w:jc w:val="center"/>
        <w:spacing w:before="238" w:after="238" w:line="57" w:lineRule="atLeast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Cambria" w:cs="Gadugi"/>
          <w:b/>
          <w:color w:val="000000"/>
          <w:sz w:val="20"/>
          <w:szCs w:val="20"/>
        </w:rPr>
        <w:t xml:space="preserve">PREFEITURA MUNICIPAL DE SANTA BÁRBARA DO SUL</w:t>
      </w:r>
      <w:r>
        <w:rPr>
          <w:rFonts w:ascii="Gadugi" w:hAnsi="Gadugi" w:cs="Gadugi"/>
          <w:sz w:val="20"/>
          <w:szCs w:val="20"/>
        </w:rPr>
      </w:r>
      <w:r/>
    </w:p>
    <w:p>
      <w:pPr>
        <w:ind w:left="0" w:right="0" w:firstLine="0"/>
        <w:jc w:val="center"/>
        <w:spacing w:before="238" w:after="238" w:line="57" w:lineRule="atLeast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Cambria" w:cs="Gadugi"/>
          <w:b/>
          <w:color w:val="000000"/>
          <w:sz w:val="20"/>
          <w:szCs w:val="20"/>
        </w:rPr>
        <w:t xml:space="preserve">INEXIGIBILIDADE DE LICITAÇÃO</w:t>
      </w:r>
      <w:r>
        <w:rPr>
          <w:rFonts w:ascii="Gadugi" w:hAnsi="Gadugi" w:cs="Gadugi"/>
          <w:sz w:val="20"/>
          <w:szCs w:val="20"/>
        </w:rPr>
      </w:r>
      <w:r/>
    </w:p>
    <w:p>
      <w:pPr>
        <w:ind w:left="0" w:right="0" w:firstLine="709"/>
        <w:spacing w:before="238" w:after="238" w:line="113" w:lineRule="atLeast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Arial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ind w:left="0" w:right="0" w:firstLine="709"/>
        <w:spacing w:before="238" w:after="238" w:line="360" w:lineRule="auto"/>
        <w:rPr>
          <w:rFonts w:ascii="Gadugi" w:hAnsi="Gadugi" w:cs="Gadugi"/>
          <w:bCs/>
          <w:i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Cambria" w:cs="Gadugi"/>
          <w:color w:val="000000"/>
          <w:sz w:val="20"/>
          <w:szCs w:val="20"/>
        </w:rPr>
        <w:t xml:space="preserve">Torno público</w:t>
      </w:r>
      <w:r>
        <w:rPr>
          <w:rFonts w:ascii="Gadugi" w:hAnsi="Gadugi" w:eastAsia="Cambria" w:cs="Gadugi"/>
          <w:color w:val="000000"/>
          <w:sz w:val="20"/>
          <w:szCs w:val="20"/>
          <w:lang w:val="pt-BR"/>
        </w:rPr>
        <w:t xml:space="preserve"> </w:t>
      </w:r>
      <w:r>
        <w:rPr>
          <w:rFonts w:ascii="Gadugi" w:hAnsi="Gadugi" w:eastAsia="Cambria" w:cs="Gadugi"/>
          <w:color w:val="000000"/>
          <w:sz w:val="20"/>
          <w:szCs w:val="20"/>
        </w:rPr>
        <w:t xml:space="preserve">a Inexigibilidade de Licitação n.º </w:t>
      </w:r>
      <w:r>
        <w:rPr>
          <w:rFonts w:ascii="Gadugi" w:hAnsi="Gadugi" w:eastAsia="Cambria" w:cs="Gadugi"/>
          <w:color w:val="000000"/>
          <w:sz w:val="20"/>
          <w:szCs w:val="20"/>
          <w:lang w:val="pt-BR"/>
        </w:rPr>
        <w:t xml:space="preserve">10</w:t>
      </w:r>
      <w:r>
        <w:rPr>
          <w:rFonts w:ascii="Gadugi" w:hAnsi="Gadugi" w:eastAsia="Cambria" w:cs="Gadugi"/>
          <w:color w:val="000000"/>
          <w:sz w:val="20"/>
          <w:szCs w:val="20"/>
        </w:rPr>
        <w:t xml:space="preserve">/2025,</w:t>
      </w:r>
      <w:r>
        <w:rPr>
          <w:rFonts w:ascii="Gadugi" w:hAnsi="Gadugi" w:eastAsia="Cambria" w:cs="Gadugi"/>
          <w:color w:val="000000"/>
          <w:sz w:val="20"/>
          <w:szCs w:val="20"/>
          <w:lang w:val="pt-BR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ART.74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  <w:lang w:val="pt-BR"/>
        </w:rPr>
        <w:t xml:space="preserve">INCISOS I e III alíneas”a” “b” “c”</w:t>
      </w:r>
      <w:r>
        <w:rPr>
          <w:rFonts w:ascii="Gadugi" w:hAnsi="Gadugi" w:cs="Gadugi"/>
          <w:sz w:val="20"/>
          <w:szCs w:val="20"/>
          <w:lang w:val="pt-BR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DA</w:t>
      </w:r>
      <w:r>
        <w:rPr>
          <w:rFonts w:ascii="Gadugi" w:hAnsi="Gadugi" w:cs="Gadugi"/>
          <w:spacing w:val="-6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LEI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Nº</w:t>
      </w:r>
      <w:r>
        <w:rPr>
          <w:rFonts w:ascii="Gadugi" w:hAnsi="Gadugi" w:cs="Gadugi"/>
          <w:spacing w:val="-5"/>
          <w:sz w:val="20"/>
          <w:szCs w:val="20"/>
        </w:rPr>
        <w:t xml:space="preserve"> </w:t>
      </w:r>
      <w:r>
        <w:rPr>
          <w:rFonts w:ascii="Gadugi" w:hAnsi="Gadugi" w:cs="Gadugi"/>
          <w:sz w:val="20"/>
          <w:szCs w:val="20"/>
        </w:rPr>
        <w:t xml:space="preserve">14.133/2021</w:t>
      </w:r>
      <w:r/>
      <w:r>
        <w:rPr>
          <w:rFonts w:ascii="Gadugi" w:hAnsi="Gadugi" w:eastAsia="Cambria" w:cs="Gadugi"/>
          <w:color w:val="000000"/>
          <w:sz w:val="20"/>
          <w:szCs w:val="20"/>
        </w:rPr>
      </w:r>
      <w:r>
        <w:rPr>
          <w:rFonts w:ascii="Gadugi" w:hAnsi="Gadugi" w:eastAsia="Cambria" w:cs="Gadugi"/>
          <w:color w:val="000000"/>
          <w:sz w:val="20"/>
          <w:szCs w:val="20"/>
        </w:rPr>
        <w:t xml:space="preserve">, para fins de contratação de </w:t>
      </w:r>
      <w:r>
        <w:rPr>
          <w:rFonts w:ascii="Gadugi" w:hAnsi="Gadugi" w:cs="Gadugi"/>
          <w:b/>
          <w:bCs/>
          <w:sz w:val="20"/>
          <w:szCs w:val="20"/>
          <w:lang w:val="pt-BR"/>
        </w:rPr>
        <w:t xml:space="preserve">MARITÂNIA DALLAGNOL SOCIEDADE INDIVIDUAL DE ADVOCACIA – CNPJ: 01.781.826/0001-06</w:t>
      </w:r>
      <w:r>
        <w:rPr>
          <w:rFonts w:ascii="Gadugi" w:hAnsi="Gadugi" w:cs="Gadugi"/>
          <w:sz w:val="20"/>
          <w:szCs w:val="20"/>
          <w:lang w:val="pt-BR"/>
        </w:rPr>
        <w:t xml:space="preserve">.</w:t>
      </w:r>
      <w:r>
        <w:rPr>
          <w:rFonts w:ascii="Gadugi" w:hAnsi="Gadugi" w:eastAsia="Cambria" w:cs="Gadugi"/>
          <w:color w:val="000000"/>
          <w:sz w:val="20"/>
          <w:szCs w:val="20"/>
        </w:rPr>
      </w:r>
      <w:r/>
    </w:p>
    <w:p>
      <w:pPr>
        <w:ind w:left="0" w:right="0" w:firstLine="709"/>
        <w:spacing w:before="238" w:after="238" w:line="360" w:lineRule="auto"/>
        <w:rPr>
          <w:rFonts w:ascii="Gadugi" w:hAnsi="Gadugi" w:cs="Gadugi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Cambria" w:cs="Gadugi"/>
          <w:color w:val="000000"/>
          <w:sz w:val="20"/>
          <w:szCs w:val="20"/>
        </w:rPr>
        <w:t xml:space="preserve">Informações pormenorizadas encontram-se a disposição dos interessados, junto ao Setor Jurídico.Fone: 0 xx 55 3372-3244, sito a Av. Eduardo de Brito, 101, nesta cidade, no horário de expediente.</w:t>
      </w:r>
      <w:r>
        <w:rPr>
          <w:rFonts w:ascii="Gadugi" w:hAnsi="Gadugi" w:cs="Gadugi"/>
          <w:sz w:val="20"/>
          <w:szCs w:val="20"/>
        </w:rPr>
      </w:r>
      <w:r/>
    </w:p>
    <w:p>
      <w:pPr>
        <w:ind w:left="0" w:right="0" w:firstLine="709"/>
        <w:spacing w:before="238" w:after="238" w:line="360" w:lineRule="auto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ind w:left="0" w:right="0" w:firstLine="709"/>
        <w:spacing w:before="238" w:after="238" w:line="360" w:lineRule="auto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cs="Gadugi"/>
          <w:sz w:val="20"/>
          <w:szCs w:val="20"/>
          <w:highlight w:val="none"/>
        </w:rPr>
      </w:r>
      <w:r>
        <w:rPr>
          <w:rFonts w:ascii="Gadugi" w:hAnsi="Gadugi" w:cs="Gadugi"/>
          <w:sz w:val="20"/>
          <w:szCs w:val="20"/>
          <w:highlight w:val="none"/>
        </w:rPr>
      </w:r>
      <w:r/>
    </w:p>
    <w:p>
      <w:pPr>
        <w:ind w:left="397" w:right="0" w:firstLine="0"/>
        <w:jc w:val="right"/>
        <w:spacing w:before="221" w:after="0" w:line="360" w:lineRule="auto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Cambria" w:cs="Gadugi"/>
          <w:color w:val="000000"/>
          <w:sz w:val="20"/>
          <w:szCs w:val="20"/>
        </w:rPr>
        <w:t xml:space="preserve">Santa Bárbara do Sul, </w:t>
      </w:r>
      <w:r>
        <w:rPr>
          <w:rFonts w:ascii="Gadugi" w:hAnsi="Gadugi" w:eastAsia="Cambria" w:cs="Gadugi"/>
          <w:color w:val="000000"/>
          <w:sz w:val="20"/>
          <w:szCs w:val="20"/>
          <w:lang w:val="pt-BR"/>
        </w:rPr>
        <w:t xml:space="preserve">07 de fevereiro de 2025</w:t>
      </w:r>
      <w:r/>
    </w:p>
    <w:p>
      <w:pPr>
        <w:ind w:left="0" w:right="0" w:firstLine="709"/>
        <w:spacing w:before="238" w:after="238" w:line="360" w:lineRule="auto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Arial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ind w:left="0" w:right="0" w:firstLine="0"/>
        <w:spacing w:before="238" w:after="238" w:line="360" w:lineRule="auto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p>
      <w:pPr>
        <w:ind w:left="748" w:right="0" w:firstLine="0"/>
        <w:jc w:val="center"/>
        <w:spacing w:before="85" w:after="0" w:line="360" w:lineRule="auto"/>
        <w:rPr>
          <w:rFonts w:ascii="Gadugi" w:hAnsi="Gadugi" w:cs="Gadugi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Cambria" w:cs="Gadugi"/>
          <w:b/>
          <w:color w:val="000000"/>
          <w:sz w:val="20"/>
          <w:szCs w:val="20"/>
        </w:rPr>
        <w:t xml:space="preserve">Leandro Caraffini Veneral</w:t>
      </w:r>
      <w:r>
        <w:rPr>
          <w:rFonts w:ascii="Gadugi" w:hAnsi="Gadugi" w:cs="Gadugi"/>
          <w:sz w:val="20"/>
          <w:szCs w:val="20"/>
        </w:rPr>
      </w:r>
      <w:r/>
    </w:p>
    <w:p>
      <w:pPr>
        <w:ind w:left="743" w:right="0" w:firstLine="0"/>
        <w:jc w:val="center"/>
        <w:spacing w:before="136" w:after="0" w:line="360" w:lineRule="auto"/>
        <w:rPr>
          <w:rFonts w:ascii="Gadugi" w:hAnsi="Gadugi" w:cs="Gadugi"/>
          <w:b/>
          <w:bCs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Gadugi" w:hAnsi="Gadugi" w:eastAsia="Cambria" w:cs="Gadugi"/>
          <w:b/>
          <w:bCs/>
          <w:color w:val="000000"/>
          <w:sz w:val="20"/>
          <w:szCs w:val="20"/>
        </w:rPr>
        <w:t xml:space="preserve">Prefeito Municipal</w:t>
      </w:r>
      <w:r>
        <w:rPr>
          <w:b/>
          <w:bCs/>
        </w:rPr>
      </w:r>
      <w:r/>
    </w:p>
    <w:p>
      <w:pPr>
        <w:spacing w:line="36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  <w:r/>
    </w:p>
    <w:sectPr>
      <w:headerReference w:type="default" r:id="rId9"/>
      <w:footerReference w:type="default" r:id="rId10"/>
      <w:footnotePr/>
      <w:endnotePr/>
      <w:type w:val="continuous"/>
      <w:pgSz w:w="11910" w:h="16840" w:orient="portrait"/>
      <w:pgMar w:top="1620" w:right="992" w:bottom="280" w:left="1133" w:header="142" w:footer="43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Gadug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1" locked="0" layoutInCell="1" allowOverlap="1">
              <wp:simplePos x="0" y="0"/>
              <wp:positionH relativeFrom="margin">
                <wp:posOffset>923925</wp:posOffset>
              </wp:positionH>
              <wp:positionV relativeFrom="paragraph">
                <wp:posOffset>19978</wp:posOffset>
              </wp:positionV>
              <wp:extent cx="3863045" cy="734996"/>
              <wp:effectExtent l="0" t="0" r="0" b="0"/>
              <wp:wrapTight wrapText="bothSides">
                <wp:wrapPolygon edited="1">
                  <wp:start x="0" y="0"/>
                  <wp:lineTo x="0" y="21226"/>
                  <wp:lineTo x="21488" y="21226"/>
                  <wp:lineTo x="21488" y="0"/>
                  <wp:lineTo x="0" y="0"/>
                </wp:wrapPolygon>
              </wp:wrapTight>
              <wp:docPr id="2" name="Imagem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97586898" name="Imagem 2143018524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3863044" cy="7349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-251661312;o:allowoverlap:true;o:allowincell:true;mso-position-horizontal-relative:margin;margin-left:72.8pt;mso-position-horizontal:absolute;mso-position-vertical-relative:text;margin-top:1.6pt;mso-position-vertical:absolute;width:304.2pt;height:57.9pt;mso-wrap-distance-left:9.0pt;mso-wrap-distance-top:0.0pt;mso-wrap-distance-right:9.0pt;mso-wrap-distance-bottom:0.0pt;rotation:0;" wrapcoords="0 0 0 98269 99481 98269 99481 0 0 0" stroked="false">
              <v:path textboxrect="0,0,0,0"/>
              <w10:wrap type="tight"/>
              <v:imagedata r:id="rId1" o:title=""/>
            </v:shape>
          </w:pict>
        </mc:Fallback>
      </mc:AlternateContent>
    </w:r>
    <w:r/>
  </w:p>
  <w:p>
    <w:r/>
    <w:r/>
  </w:p>
  <w:p>
    <w:pPr>
      <w:pStyle w:val="72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567" w:right="0" w:firstLine="0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posOffset>161783</wp:posOffset>
              </wp:positionH>
              <wp:positionV relativeFrom="paragraph">
                <wp:posOffset>-19098</wp:posOffset>
              </wp:positionV>
              <wp:extent cx="4729962" cy="915512"/>
              <wp:effectExtent l="0" t="0" r="0" b="0"/>
              <wp:wrapSquare wrapText="bothSides"/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93377160" name="Imagem 1060812878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>
                        <a:alphaModFix/>
                      </a:blip>
                      <a:stretch/>
                    </pic:blipFill>
                    <pic:spPr bwMode="auto">
                      <a:xfrm rot="0" flipH="0" flipV="0">
                        <a:off x="0" y="0"/>
                        <a:ext cx="4729961" cy="91551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9264;o:allowoverlap:true;o:allowincell:true;mso-position-horizontal-relative:margin;margin-left:12.7pt;mso-position-horizontal:absolute;mso-position-vertical-relative:text;margin-top:-1.5pt;mso-position-vertical:absolute;width:372.4pt;height:72.1pt;mso-wrap-distance-left:9.0pt;mso-wrap-distance-top:0.0pt;mso-wrap-distance-right:9.0pt;mso-wrap-distance-bottom:0.0pt;rotation:0;" stroked="false">
              <v:path textboxrect="0,0,0,0"/>
              <w10:wrap type="square"/>
              <v:imagedata r:id="rId1" o:title=""/>
            </v:shape>
          </w:pict>
        </mc:Fallback>
      </mc:AlternateContent>
    </w:r>
    <w:r/>
  </w:p>
  <w:p>
    <w:pPr>
      <w:pStyle w:val="874"/>
      <w:spacing w:line="14" w:lineRule="auto"/>
      <w:rPr>
        <w:sz w:val="20"/>
      </w:rPr>
    </w:pPr>
    <w:r>
      <w:rPr>
        <w:sz w:val="20"/>
      </w:rPr>
    </w:r>
    <w:r>
      <w:rPr>
        <w:sz w:val="20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809" w:hanging="240"/>
        <w:jc w:val="right"/>
      </w:pPr>
      <w:rPr>
        <w:rFonts w:hint="default" w:ascii="Gadugi" w:hAnsi="Gadugi" w:eastAsia="Gadugi" w:cs="Gadugi"/>
        <w:b/>
        <w:bCs/>
        <w:i w:val="0"/>
        <w:iCs w:val="0"/>
        <w:spacing w:val="0"/>
        <w:sz w:val="18"/>
        <w:szCs w:val="24"/>
        <w:lang w:val="pt-PT" w:eastAsia="en-US" w:bidi="ar-SA"/>
      </w:rPr>
    </w:lvl>
    <w:lvl w:ilvl="1">
      <w:start w:val="0"/>
      <w:numFmt w:val="bullet"/>
      <w:isLgl w:val="false"/>
      <w:suff w:val="tab"/>
      <w:lvlText w:val="•"/>
      <w:lvlJc w:val="left"/>
      <w:pPr>
        <w:ind w:left="1698" w:hanging="240"/>
      </w:pPr>
      <w:rPr>
        <w:rFonts w:hint="default"/>
        <w:lang w:val="pt-PT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2596" w:hanging="240"/>
      </w:pPr>
      <w:rPr>
        <w:rFonts w:hint="default"/>
        <w:lang w:val="pt-PT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3494" w:hanging="240"/>
      </w:pPr>
      <w:rPr>
        <w:rFonts w:hint="default"/>
        <w:lang w:val="pt-PT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4392" w:hanging="240"/>
      </w:pPr>
      <w:rPr>
        <w:rFonts w:hint="default"/>
        <w:lang w:val="pt-PT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5290" w:hanging="240"/>
      </w:pPr>
      <w:rPr>
        <w:rFonts w:hint="default"/>
        <w:lang w:val="pt-PT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6188" w:hanging="240"/>
      </w:pPr>
      <w:rPr>
        <w:rFonts w:hint="default"/>
        <w:lang w:val="pt-PT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7086" w:hanging="240"/>
      </w:pPr>
      <w:rPr>
        <w:rFonts w:hint="default"/>
        <w:lang w:val="pt-PT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7985" w:hanging="240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  <w:jc w:val="right"/>
      </w:pPr>
      <w:rPr>
        <w:rFonts w:hint="default" w:ascii="Gadugi" w:hAnsi="Gadugi" w:eastAsia="Gadugi" w:cs="Gadugi"/>
        <w:b/>
        <w:bCs/>
        <w:i w:val="0"/>
        <w:iCs w:val="0"/>
        <w:spacing w:val="0"/>
        <w:sz w:val="18"/>
        <w:szCs w:val="24"/>
        <w:lang w:val="pt-PT" w:eastAsia="en-US" w:bidi="ar-SA"/>
      </w:rPr>
    </w:lvl>
    <w:lvl w:ilvl="1">
      <w:start w:val="1"/>
      <w:numFmt w:val="lowerLetter"/>
      <w:isLgl w:val="false"/>
      <w:suff w:val="tab"/>
      <w:lvlText w:val="%2)"/>
      <w:lvlJc w:val="left"/>
      <w:pPr>
        <w:ind w:left="141" w:hanging="348"/>
        <w:jc w:val="left"/>
      </w:pPr>
      <w:rPr>
        <w:rFonts w:hint="default" w:ascii="Gadugi" w:hAnsi="Gadugi" w:eastAsia="Gadugi" w:cs="Gadugi"/>
        <w:b w:val="0"/>
        <w:bCs w:val="0"/>
        <w:i w:val="0"/>
        <w:iCs w:val="0"/>
        <w:spacing w:val="-1"/>
        <w:sz w:val="18"/>
        <w:szCs w:val="24"/>
        <w:lang w:val="pt-PT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1980" w:hanging="348"/>
      </w:pPr>
      <w:rPr>
        <w:rFonts w:hint="default"/>
        <w:lang w:val="pt-PT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2955" w:hanging="348"/>
      </w:pPr>
      <w:rPr>
        <w:rFonts w:hint="default"/>
        <w:lang w:val="pt-PT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3930" w:hanging="348"/>
      </w:pPr>
      <w:rPr>
        <w:rFonts w:hint="default"/>
        <w:lang w:val="pt-PT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4905" w:hanging="348"/>
      </w:pPr>
      <w:rPr>
        <w:rFonts w:hint="default"/>
        <w:lang w:val="pt-PT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5880" w:hanging="348"/>
      </w:pPr>
      <w:rPr>
        <w:rFonts w:hint="default"/>
        <w:lang w:val="pt-PT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6855" w:hanging="348"/>
      </w:pPr>
      <w:rPr>
        <w:rFonts w:hint="default"/>
        <w:lang w:val="pt-PT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7831" w:hanging="34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3">
    <w:name w:val="Heading 1 Char"/>
    <w:basedOn w:val="870"/>
    <w:link w:val="875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73"/>
    <w:next w:val="873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basedOn w:val="870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73"/>
    <w:next w:val="873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basedOn w:val="870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73"/>
    <w:next w:val="873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basedOn w:val="870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73"/>
    <w:next w:val="873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70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73"/>
    <w:next w:val="873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basedOn w:val="870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73"/>
    <w:next w:val="873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70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73"/>
    <w:next w:val="873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70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73"/>
    <w:next w:val="873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70"/>
    <w:link w:val="708"/>
    <w:uiPriority w:val="9"/>
    <w:rPr>
      <w:rFonts w:ascii="Arial" w:hAnsi="Arial" w:eastAsia="Arial" w:cs="Arial"/>
      <w:i/>
      <w:iCs/>
      <w:sz w:val="21"/>
      <w:szCs w:val="21"/>
    </w:rPr>
  </w:style>
  <w:style w:type="table" w:styleId="710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711">
    <w:name w:val="No Spacing"/>
    <w:uiPriority w:val="1"/>
    <w:qFormat/>
    <w:pPr>
      <w:spacing w:before="0" w:after="0" w:line="240" w:lineRule="auto"/>
    </w:pPr>
  </w:style>
  <w:style w:type="paragraph" w:styleId="712">
    <w:name w:val="Title"/>
    <w:basedOn w:val="873"/>
    <w:next w:val="873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>
    <w:name w:val="Title Char"/>
    <w:basedOn w:val="870"/>
    <w:link w:val="712"/>
    <w:uiPriority w:val="10"/>
    <w:rPr>
      <w:sz w:val="48"/>
      <w:szCs w:val="48"/>
    </w:rPr>
  </w:style>
  <w:style w:type="paragraph" w:styleId="714">
    <w:name w:val="Subtitle"/>
    <w:basedOn w:val="873"/>
    <w:next w:val="873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>
    <w:name w:val="Subtitle Char"/>
    <w:basedOn w:val="870"/>
    <w:link w:val="714"/>
    <w:uiPriority w:val="11"/>
    <w:rPr>
      <w:sz w:val="24"/>
      <w:szCs w:val="24"/>
    </w:rPr>
  </w:style>
  <w:style w:type="paragraph" w:styleId="716">
    <w:name w:val="Quote"/>
    <w:basedOn w:val="873"/>
    <w:next w:val="873"/>
    <w:link w:val="717"/>
    <w:uiPriority w:val="29"/>
    <w:qFormat/>
    <w:pPr>
      <w:ind w:left="720" w:right="720"/>
    </w:pPr>
    <w:rPr>
      <w:i/>
    </w:rPr>
  </w:style>
  <w:style w:type="character" w:styleId="717">
    <w:name w:val="Quote Char"/>
    <w:link w:val="716"/>
    <w:uiPriority w:val="29"/>
    <w:rPr>
      <w:i/>
    </w:rPr>
  </w:style>
  <w:style w:type="paragraph" w:styleId="718">
    <w:name w:val="Intense Quote"/>
    <w:basedOn w:val="873"/>
    <w:next w:val="873"/>
    <w:link w:val="71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>
    <w:name w:val="Intense Quote Char"/>
    <w:link w:val="718"/>
    <w:uiPriority w:val="30"/>
    <w:rPr>
      <w:i/>
    </w:rPr>
  </w:style>
  <w:style w:type="paragraph" w:styleId="720">
    <w:name w:val="Header"/>
    <w:basedOn w:val="873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>
    <w:name w:val="Header Char"/>
    <w:basedOn w:val="870"/>
    <w:link w:val="720"/>
    <w:uiPriority w:val="99"/>
  </w:style>
  <w:style w:type="paragraph" w:styleId="722">
    <w:name w:val="Footer"/>
    <w:basedOn w:val="873"/>
    <w:link w:val="72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3">
    <w:name w:val="Footer Char"/>
    <w:basedOn w:val="870"/>
    <w:link w:val="722"/>
    <w:uiPriority w:val="99"/>
  </w:style>
  <w:style w:type="paragraph" w:styleId="724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724"/>
    <w:link w:val="722"/>
    <w:uiPriority w:val="99"/>
  </w:style>
  <w:style w:type="table" w:styleId="726">
    <w:name w:val="Table Grid"/>
    <w:basedOn w:val="71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Table Grid Light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 &amp; 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Bordered &amp; 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Bordered &amp; 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Bordered &amp; 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Bordered &amp; 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Bordered &amp; 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2">
    <w:name w:val="Hyperlink"/>
    <w:uiPriority w:val="99"/>
    <w:unhideWhenUsed/>
    <w:rPr>
      <w:color w:val="0000ff" w:themeColor="hyperlink"/>
      <w:u w:val="single"/>
    </w:rPr>
  </w:style>
  <w:style w:type="paragraph" w:styleId="853">
    <w:name w:val="footnote text"/>
    <w:basedOn w:val="873"/>
    <w:link w:val="854"/>
    <w:uiPriority w:val="99"/>
    <w:semiHidden/>
    <w:unhideWhenUsed/>
    <w:pPr>
      <w:spacing w:after="40" w:line="240" w:lineRule="auto"/>
    </w:pPr>
    <w:rPr>
      <w:sz w:val="18"/>
    </w:rPr>
  </w:style>
  <w:style w:type="character" w:styleId="854">
    <w:name w:val="Footnote Text Char"/>
    <w:link w:val="853"/>
    <w:uiPriority w:val="99"/>
    <w:rPr>
      <w:sz w:val="18"/>
    </w:rPr>
  </w:style>
  <w:style w:type="character" w:styleId="855">
    <w:name w:val="footnote reference"/>
    <w:basedOn w:val="870"/>
    <w:uiPriority w:val="99"/>
    <w:unhideWhenUsed/>
    <w:rPr>
      <w:vertAlign w:val="superscript"/>
    </w:rPr>
  </w:style>
  <w:style w:type="paragraph" w:styleId="856">
    <w:name w:val="endnote text"/>
    <w:basedOn w:val="873"/>
    <w:link w:val="857"/>
    <w:uiPriority w:val="99"/>
    <w:semiHidden/>
    <w:unhideWhenUsed/>
    <w:pPr>
      <w:spacing w:after="0" w:line="240" w:lineRule="auto"/>
    </w:pPr>
    <w:rPr>
      <w:sz w:val="20"/>
    </w:rPr>
  </w:style>
  <w:style w:type="character" w:styleId="857">
    <w:name w:val="Endnote Text Char"/>
    <w:link w:val="856"/>
    <w:uiPriority w:val="99"/>
    <w:rPr>
      <w:sz w:val="20"/>
    </w:rPr>
  </w:style>
  <w:style w:type="character" w:styleId="858">
    <w:name w:val="endnote reference"/>
    <w:basedOn w:val="870"/>
    <w:uiPriority w:val="99"/>
    <w:semiHidden/>
    <w:unhideWhenUsed/>
    <w:rPr>
      <w:vertAlign w:val="superscript"/>
    </w:rPr>
  </w:style>
  <w:style w:type="paragraph" w:styleId="859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0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1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2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3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4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5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6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67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873"/>
    <w:next w:val="873"/>
    <w:uiPriority w:val="99"/>
    <w:unhideWhenUsed/>
    <w:pPr>
      <w:spacing w:after="0" w:afterAutospacing="0"/>
    </w:pPr>
  </w:style>
  <w:style w:type="character" w:styleId="870" w:default="1">
    <w:name w:val="Default Paragraph Font"/>
    <w:uiPriority w:val="1"/>
    <w:semiHidden/>
    <w:unhideWhenUsed/>
  </w:style>
  <w:style w:type="table" w:styleId="871" w:default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numbering" w:styleId="872" w:default="1">
    <w:name w:val="No List"/>
    <w:uiPriority w:val="99"/>
    <w:semiHidden/>
    <w:unhideWhenUsed/>
  </w:style>
  <w:style w:type="paragraph" w:styleId="873" w:default="1">
    <w:name w:val="Normal"/>
    <w:uiPriority w:val="1"/>
    <w:qFormat/>
    <w:rPr>
      <w:rFonts w:ascii="Times New Roman" w:hAnsi="Times New Roman" w:eastAsia="Times New Roman" w:cs="Times New Roman"/>
      <w:lang w:val="pt-PT" w:eastAsia="en-US" w:bidi="ar-SA"/>
    </w:rPr>
  </w:style>
  <w:style w:type="paragraph" w:styleId="874">
    <w:name w:val="Body Text"/>
    <w:basedOn w:val="873"/>
    <w:uiPriority w:val="1"/>
    <w:qFormat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875">
    <w:name w:val="Heading 1"/>
    <w:basedOn w:val="873"/>
    <w:uiPriority w:val="1"/>
    <w:qFormat/>
    <w:pPr>
      <w:ind w:left="928" w:hanging="359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876">
    <w:name w:val="List Paragraph"/>
    <w:basedOn w:val="873"/>
    <w:uiPriority w:val="1"/>
    <w:qFormat/>
    <w:pPr>
      <w:ind w:left="2" w:hanging="359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877">
    <w:name w:val="Table Paragraph"/>
    <w:basedOn w:val="873"/>
    <w:uiPriority w:val="1"/>
    <w:qFormat/>
    <w:pPr>
      <w:ind w:left="13"/>
      <w:spacing w:before="9"/>
    </w:pPr>
    <w:rPr>
      <w:rFonts w:ascii="Times New Roman" w:hAnsi="Times New Roman" w:eastAsia="Times New Roman" w:cs="Times New Roman"/>
      <w:lang w:val="pt-PT" w:eastAsia="en-US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 Zanchettin</dc:creator>
  <cp:revision>9</cp:revision>
  <dcterms:created xsi:type="dcterms:W3CDTF">2025-01-21T19:44:17Z</dcterms:created>
  <dcterms:modified xsi:type="dcterms:W3CDTF">2025-02-07T12:21:09Z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2025-01-21T00:00:00Z</vt:filetime>
  </property>
  <property fmtid="{D5CDD505-2E9C-101B-9397-08002B2CF9AE}" pid="5" name="Producer">
    <vt:lpwstr>Microsoft® Word 2019</vt:lpwstr>
  </property>
</Properties>
</file>