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media/image2.svg" ContentType="image/sv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mc:AlternateContent>
          <mc:Choice Requires="wps">
            <w:drawing>
              <wp:anchor distT="14605" distB="14605" distL="14605" distR="14605" simplePos="0" relativeHeight="56" behindDoc="0" locked="0" layoutInCell="1" allowOverlap="1">
                <wp:simplePos x="0" y="0"/>
                <wp:positionH relativeFrom="column">
                  <wp:posOffset>528955</wp:posOffset>
                </wp:positionH>
                <wp:positionV relativeFrom="paragraph">
                  <wp:posOffset>128905</wp:posOffset>
                </wp:positionV>
                <wp:extent cx="5143500" cy="5095875"/>
                <wp:effectExtent l="14605" t="14605" r="14605" b="14605"/>
                <wp:wrapNone/>
                <wp:docPr id="1" name="Forma1"/>
                <a:graphic xmlns:a="http://schemas.openxmlformats.org/drawingml/2006/main">
                  <a:graphicData uri="http://schemas.microsoft.com/office/word/2010/wordprocessingShape">
                    <wps:wsp>
                      <wps:cNvSpPr/>
                      <wps:nvSpPr>
                        <wps:cNvPr id="2" name="Forma1"/>
                        <wps:cNvSpPr/>
                      </wps:nvSpPr>
                      <wps:spPr>
                        <a:xfrm>
                          <a:off x="0" y="0"/>
                          <a:ext cx="5143680" cy="5095800"/>
                        </a:xfrm>
                        <a:prstGeom prst="rect">
                          <a:avLst/>
                        </a:prstGeom>
                        <a:noFill/>
                        <a:ln w="28440">
                          <a:solidFill>
                            <a:srgbClr val="4A7EBB"/>
                          </a:solidFill>
                          <a:round/>
                        </a:ln>
                      </wps:spPr>
                      <wps:bodyPr/>
                    </wps:wsp>
                  </a:graphicData>
                </a:graphic>
              </wp:anchor>
            </w:drawing>
          </mc:Choice>
          <mc:Fallback>
            <w:pict>
              <v:rect id="shape_0" stroked="t" o:allowincell="f" style="position:absolute;margin-left:41.65pt;margin-top:10.15pt;width:404.95pt;height:401.2pt;mso-wrap-style:none;v-text-anchor:middle">
                <v:fill o:detectmouseclick="t" on="false"/>
                <v:stroke color="#4a7ebb" weight="28440" joinstyle="round" endcap="flat"/>
                <w10:wrap type="none"/>
              </v:rect>
            </w:pict>
          </mc:Fallback>
        </mc:AlternateContent>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20"/>
          <w:szCs w:val="20"/>
        </w:rPr>
      </w:pPr>
      <w:r>
        <w:rPr>
          <w:rFonts w:cs="Gadugi" w:ascii="Gadugi" w:hAnsi="Gadugi"/>
          <w:b/>
          <w:bCs/>
          <w:color w:themeColor="text1" w:val="000000"/>
          <w:sz w:val="20"/>
          <w:szCs w:val="20"/>
          <w:u w:val="single"/>
        </w:rPr>
        <w:t>PREGÃO ELETRÔNICO Nº 41/2026</w:t>
      </w:r>
    </w:p>
    <w:p>
      <w:pPr>
        <w:pStyle w:val="Normal"/>
        <w:jc w:val="center"/>
        <w:rPr>
          <w:rFonts w:ascii="Gadugi" w:hAnsi="Gadugi" w:cs="Gadugi"/>
          <w:sz w:val="20"/>
          <w:szCs w:val="20"/>
        </w:rPr>
      </w:pPr>
      <w:r>
        <w:rPr>
          <w:rFonts w:cs="Gadugi" w:ascii="Gadugi" w:hAnsi="Gadugi"/>
          <w:b/>
          <w:bCs/>
          <w:color w:themeColor="text1" w:val="000000"/>
          <w:sz w:val="20"/>
          <w:szCs w:val="20"/>
          <w:u w:val="single"/>
        </w:rPr>
        <w:t>REGISTRO DE PREÇO N° 34/2026</w:t>
      </w:r>
    </w:p>
    <w:p>
      <w:pPr>
        <w:pStyle w:val="Normal"/>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color w:themeColor="text1" w:val="000000"/>
          <w:sz w:val="20"/>
          <w:szCs w:val="20"/>
        </w:rPr>
        <w:t>OBJETO</w:t>
      </w:r>
    </w:p>
    <w:p>
      <w:pPr>
        <w:pStyle w:val="Normal"/>
        <w:ind w:left="1276" w:right="851"/>
        <w:jc w:val="center"/>
        <w:rPr>
          <w:rFonts w:ascii="Gadugi" w:hAnsi="Gadugi" w:cs="Gadugi"/>
          <w:color w:themeColor="text1" w:val="000000"/>
          <w:sz w:val="20"/>
          <w:szCs w:val="20"/>
        </w:rPr>
      </w:pPr>
      <w:r>
        <w:rPr>
          <w:rFonts w:cs="Gadugi" w:ascii="Gadugi" w:hAnsi="Gadugi"/>
          <w:color w:themeColor="text1" w:val="000000"/>
          <w:sz w:val="20"/>
          <w:szCs w:val="20"/>
        </w:rPr>
        <w:t>Aquisição de veículos automotores novos, zero quilômetro, compreendendo veículos de passeio e caminhonetes tipo pick-up, destinados à ampliação da frota oficial do Município</w:t>
      </w:r>
    </w:p>
    <w:p>
      <w:pPr>
        <w:pStyle w:val="Normal"/>
        <w:ind w:left="1276" w:right="851"/>
        <w:jc w:val="center"/>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color w:themeColor="text1" w:val="000000"/>
          <w:sz w:val="20"/>
          <w:szCs w:val="20"/>
        </w:rPr>
        <w:t>VALOR TOTAL DA CONTRATAÇÃO</w:t>
      </w:r>
    </w:p>
    <w:p>
      <w:pPr>
        <w:pStyle w:val="Normal"/>
        <w:jc w:val="center"/>
        <w:rPr>
          <w:rFonts w:ascii="Gadugi" w:hAnsi="Gadugi"/>
          <w:color w:val="000000"/>
          <w:sz w:val="20"/>
          <w:szCs w:val="20"/>
        </w:rPr>
      </w:pPr>
      <w:r>
        <w:rPr>
          <w:rFonts w:cs="Gadugi" w:ascii="Gadugi" w:hAnsi="Gadugi"/>
          <w:color w:val="000000"/>
          <w:sz w:val="20"/>
          <w:szCs w:val="20"/>
        </w:rPr>
        <w:t>R$ 697.518,55</w:t>
      </w:r>
    </w:p>
    <w:p>
      <w:pPr>
        <w:pStyle w:val="Normal"/>
        <w:jc w:val="center"/>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color w:themeColor="text1" w:val="000000"/>
          <w:sz w:val="20"/>
          <w:szCs w:val="20"/>
        </w:rPr>
        <w:t>DATA DA SESSÃO PÚBLICA</w:t>
      </w:r>
    </w:p>
    <w:p>
      <w:pPr>
        <w:pStyle w:val="Normal"/>
        <w:jc w:val="center"/>
        <w:rPr>
          <w:rFonts w:ascii="Gadugi" w:hAnsi="Gadugi" w:cs="Gadugi"/>
          <w:sz w:val="20"/>
          <w:szCs w:val="20"/>
        </w:rPr>
      </w:pPr>
      <w:r>
        <w:rPr>
          <w:rFonts w:cs="Gadugi" w:ascii="Gadugi" w:hAnsi="Gadugi"/>
          <w:b/>
          <w:bCs/>
          <w:color w:themeColor="text1" w:val="000000"/>
          <w:sz w:val="20"/>
          <w:szCs w:val="20"/>
        </w:rPr>
        <w:t xml:space="preserve">Dia 07/08/2026 </w:t>
      </w:r>
      <w:r>
        <w:rPr>
          <w:rFonts w:cs="Gadugi" w:ascii="Gadugi" w:hAnsi="Gadugi"/>
          <w:color w:themeColor="text1" w:val="000000"/>
          <w:sz w:val="20"/>
          <w:szCs w:val="20"/>
        </w:rPr>
        <w:t xml:space="preserve">às </w:t>
      </w:r>
      <w:r>
        <w:rPr>
          <w:rFonts w:cs="Gadugi" w:ascii="Gadugi" w:hAnsi="Gadugi"/>
          <w:b/>
          <w:bCs/>
          <w:color w:themeColor="text1" w:val="000000"/>
          <w:sz w:val="20"/>
          <w:szCs w:val="20"/>
        </w:rPr>
        <w:t>08h (horário de Brasília)</w:t>
      </w:r>
    </w:p>
    <w:p>
      <w:pPr>
        <w:pStyle w:val="Normal"/>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caps/>
          <w:color w:themeColor="text1" w:val="000000"/>
          <w:sz w:val="20"/>
          <w:szCs w:val="20"/>
        </w:rPr>
        <w:t>Critério de Julgamento:</w:t>
      </w:r>
    </w:p>
    <w:p>
      <w:pPr>
        <w:pStyle w:val="Normal"/>
        <w:jc w:val="center"/>
        <w:rPr>
          <w:rFonts w:ascii="Gadugi" w:hAnsi="Gadugi" w:cs="Gadugi"/>
          <w:sz w:val="20"/>
          <w:szCs w:val="20"/>
        </w:rPr>
      </w:pPr>
      <w:r>
        <w:rPr>
          <w:rFonts w:cs="Gadugi" w:ascii="Gadugi" w:hAnsi="Gadugi"/>
          <w:color w:themeColor="text1" w:val="000000"/>
          <w:sz w:val="20"/>
          <w:szCs w:val="20"/>
        </w:rPr>
        <w:t>Menor Preço POR ITEM</w:t>
      </w:r>
    </w:p>
    <w:p>
      <w:pPr>
        <w:pStyle w:val="Normal"/>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caps/>
          <w:color w:themeColor="text1" w:val="000000"/>
          <w:sz w:val="20"/>
          <w:szCs w:val="20"/>
        </w:rPr>
        <w:t>Modo de disputa:</w:t>
      </w:r>
    </w:p>
    <w:p>
      <w:pPr>
        <w:pStyle w:val="Normal"/>
        <w:jc w:val="center"/>
        <w:rPr>
          <w:rFonts w:ascii="Gadugi" w:hAnsi="Gadugi" w:cs="Gadugi"/>
          <w:sz w:val="20"/>
          <w:szCs w:val="20"/>
        </w:rPr>
      </w:pPr>
      <w:r>
        <w:rPr>
          <w:rFonts w:cs="Gadugi" w:ascii="Gadugi" w:hAnsi="Gadugi"/>
          <w:color w:themeColor="text1" w:val="000000"/>
          <w:sz w:val="20"/>
          <w:szCs w:val="20"/>
        </w:rPr>
        <w:t>Aberto</w:t>
      </w:r>
    </w:p>
    <w:p>
      <w:pPr>
        <w:pStyle w:val="Normal"/>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sz w:val="20"/>
          <w:szCs w:val="20"/>
        </w:rPr>
        <w:t>PLATAFORMA:</w:t>
      </w:r>
    </w:p>
    <w:p>
      <w:pPr>
        <w:pStyle w:val="Normal"/>
        <w:jc w:val="center"/>
        <w:rPr>
          <w:rFonts w:ascii="Gadugi" w:hAnsi="Gadugi" w:cs="Gadugi"/>
          <w:sz w:val="20"/>
          <w:szCs w:val="20"/>
        </w:rPr>
      </w:pPr>
      <w:hyperlink r:id="rId2" w:tooltip="https://pregaobanrisul.com.br/">
        <w:r>
          <w:rPr>
            <w:rStyle w:val="Style"/>
            <w:rFonts w:cs="Gadugi" w:ascii="Gadugi" w:hAnsi="Gadugi"/>
            <w:color w:themeColor="hyperlink" w:val="0000FF"/>
            <w:sz w:val="20"/>
            <w:szCs w:val="20"/>
            <w:u w:val="single"/>
          </w:rPr>
          <w:t>https://pregaobanrisul.com.br/</w:t>
        </w:r>
      </w:hyperlink>
    </w:p>
    <w:p>
      <w:pPr>
        <w:pStyle w:val="Normal"/>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sz w:val="20"/>
          <w:szCs w:val="20"/>
        </w:rPr>
        <w:t xml:space="preserve">PREGOEIRA </w:t>
      </w:r>
    </w:p>
    <w:p>
      <w:pPr>
        <w:pStyle w:val="Normal"/>
        <w:jc w:val="center"/>
        <w:rPr>
          <w:rFonts w:ascii="Gadugi" w:hAnsi="Gadugi" w:cs="Gadugi"/>
          <w:sz w:val="20"/>
          <w:szCs w:val="20"/>
        </w:rPr>
      </w:pPr>
      <w:r>
        <w:rPr>
          <w:rFonts w:cs="Gadugi" w:ascii="Gadugi" w:hAnsi="Gadugi"/>
          <w:sz w:val="20"/>
          <w:szCs w:val="20"/>
        </w:rPr>
        <w:t>CAROLINA DA COSTA VIANNA</w:t>
      </w:r>
    </w:p>
    <w:p>
      <w:pPr>
        <w:pStyle w:val="Normal"/>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color w:themeColor="text1" w:val="000000"/>
          <w:sz w:val="20"/>
          <w:szCs w:val="20"/>
        </w:rPr>
        <w:t xml:space="preserve">TRATAMENTO </w:t>
      </w:r>
    </w:p>
    <w:p>
      <w:pPr>
        <w:pStyle w:val="Normal"/>
        <w:jc w:val="center"/>
        <w:rPr>
          <w:rFonts w:ascii="Gadugi" w:hAnsi="Gadugi" w:cs="Gadugi"/>
          <w:sz w:val="20"/>
          <w:szCs w:val="20"/>
        </w:rPr>
      </w:pPr>
      <w:r>
        <w:rPr>
          <w:rFonts w:cs="Gadugi" w:ascii="Gadugi" w:hAnsi="Gadugi"/>
          <w:color w:themeColor="text1" w:val="000000"/>
          <w:sz w:val="20"/>
          <w:szCs w:val="20"/>
        </w:rPr>
        <w:t>AMPLA CONCORRÊNCIA</w:t>
      </w:r>
    </w:p>
    <w:p>
      <w:pPr>
        <w:pStyle w:val="Normal"/>
        <w:jc w:val="center"/>
        <w:rPr>
          <w:rFonts w:ascii="Gadugi" w:hAnsi="Gadugi" w:cs="Gadugi"/>
          <w:bCs/>
          <w:color w:themeColor="text1" w:val="000000"/>
        </w:rPr>
      </w:pPr>
      <w:r>
        <w:rPr>
          <w:rFonts w:cs="Gadugi" w:ascii="Gadugi" w:hAnsi="Gadugi"/>
          <w:bCs/>
          <w:color w:themeColor="text1" w:val="000000"/>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ind w:firstLine="567"/>
        <w:jc w:val="center"/>
        <w:rPr>
          <w:rFonts w:ascii="Gadugi" w:hAnsi="Gadugi" w:cs="Gadugi"/>
          <w:b/>
          <w:color w:val="000000"/>
          <w:sz w:val="18"/>
          <w:szCs w:val="18"/>
        </w:rPr>
      </w:pPr>
      <w:r>
        <w:rPr>
          <w:rFonts w:cs="Gadugi" w:ascii="Gadugi" w:hAnsi="Gadugi"/>
          <w:b/>
          <w:color w:val="000000"/>
          <w:sz w:val="18"/>
          <w:szCs w:val="18"/>
        </w:rPr>
      </w:r>
    </w:p>
    <w:p>
      <w:pPr>
        <w:pStyle w:val="Normal"/>
        <w:ind w:firstLine="567"/>
        <w:jc w:val="center"/>
        <w:rPr>
          <w:rFonts w:ascii="Gadugi" w:hAnsi="Gadugi" w:cs="Gadugi"/>
          <w:b/>
          <w:bCs/>
          <w:color w:val="000000"/>
          <w:sz w:val="18"/>
          <w:szCs w:val="18"/>
        </w:rPr>
      </w:pPr>
      <w:r>
        <w:rPr>
          <w:rFonts w:cs="Gadugi" w:ascii="Gadugi" w:hAnsi="Gadugi"/>
          <w:b/>
          <w:color w:val="000000"/>
          <w:sz w:val="18"/>
          <w:szCs w:val="18"/>
        </w:rPr>
        <w:t>PREFEITURA MUNICIPAL DE SANTA BÁRBARA DO SUL/RS</w:t>
      </w:r>
    </w:p>
    <w:p>
      <w:pPr>
        <w:pStyle w:val="Normal"/>
        <w:ind w:firstLine="567"/>
        <w:jc w:val="center"/>
        <w:rPr>
          <w:rFonts w:ascii="Gadugi" w:hAnsi="Gadugi" w:cs="Gadugi"/>
          <w:b/>
          <w:color w:val="000000"/>
          <w:sz w:val="18"/>
          <w:szCs w:val="18"/>
        </w:rPr>
      </w:pPr>
      <w:r>
        <w:rPr>
          <w:rFonts w:cs="Gadugi" w:ascii="Gadugi" w:hAnsi="Gadugi"/>
          <w:b/>
          <w:color w:val="000000"/>
          <w:sz w:val="18"/>
          <w:szCs w:val="18"/>
        </w:rPr>
        <w:t>PREGÃO ELETRÔNICO Nº 41/2026.</w:t>
      </w:r>
    </w:p>
    <w:p>
      <w:pPr>
        <w:pStyle w:val="Normal"/>
        <w:ind w:firstLine="567"/>
        <w:jc w:val="center"/>
        <w:rPr>
          <w:rFonts w:ascii="Gadugi" w:hAnsi="Gadugi" w:cs="Gadugi"/>
          <w:bCs/>
          <w:color w:val="000000"/>
          <w:sz w:val="18"/>
          <w:szCs w:val="18"/>
        </w:rPr>
      </w:pPr>
      <w:r>
        <w:rPr>
          <w:rFonts w:cs="Gadugi" w:ascii="Gadugi" w:hAnsi="Gadugi"/>
          <w:color w:val="000000"/>
          <w:sz w:val="18"/>
          <w:szCs w:val="18"/>
        </w:rPr>
        <w:t>(Processo Administrativo n</w:t>
      </w:r>
      <w:r>
        <w:rPr>
          <w:rFonts w:cs="Gadugi" w:ascii="Gadugi" w:hAnsi="Gadugi"/>
          <w:bCs/>
          <w:color w:val="000000"/>
          <w:sz w:val="18"/>
          <w:szCs w:val="18"/>
        </w:rPr>
        <w:t>° 129/2026)</w:t>
      </w:r>
    </w:p>
    <w:p>
      <w:pPr>
        <w:pStyle w:val="Normal"/>
        <w:ind w:firstLine="567"/>
        <w:jc w:val="center"/>
        <w:rPr>
          <w:rFonts w:ascii="Gadugi" w:hAnsi="Gadugi" w:cs="Gadugi"/>
          <w:bCs/>
          <w:color w:val="000000"/>
          <w:sz w:val="18"/>
          <w:szCs w:val="18"/>
        </w:rPr>
      </w:pPr>
      <w:r>
        <w:rPr>
          <w:rFonts w:cs="Gadugi" w:ascii="Gadugi" w:hAnsi="Gadugi"/>
          <w:bCs/>
          <w:color w:val="000000"/>
          <w:sz w:val="18"/>
          <w:szCs w:val="18"/>
        </w:rPr>
      </w:r>
    </w:p>
    <w:p>
      <w:pPr>
        <w:pStyle w:val="Normal"/>
        <w:ind w:firstLine="567"/>
        <w:jc w:val="both"/>
        <w:rPr>
          <w:rFonts w:ascii="Gadugi" w:hAnsi="Gadugi" w:cs="Gadugi"/>
          <w:b/>
          <w:color w:val="000000"/>
          <w:sz w:val="18"/>
          <w:szCs w:val="18"/>
        </w:rPr>
      </w:pPr>
      <w:r>
        <w:rPr>
          <w:rFonts w:cs="Gadugi" w:ascii="Gadugi" w:hAnsi="Gadugi"/>
          <w:b/>
          <w:color w:val="000000"/>
          <w:sz w:val="18"/>
          <w:szCs w:val="18"/>
        </w:rPr>
      </w:r>
    </w:p>
    <w:p>
      <w:pPr>
        <w:pStyle w:val="Normal"/>
        <w:ind w:left="-142" w:right="-1"/>
        <w:jc w:val="both"/>
        <w:rPr>
          <w:rFonts w:ascii="Gadugi" w:hAnsi="Gadugi" w:cs="Gadugi"/>
          <w:color w:themeColor="text1" w:val="000000"/>
          <w:sz w:val="20"/>
          <w:szCs w:val="20"/>
        </w:rPr>
      </w:pPr>
      <w:r>
        <w:rPr>
          <w:rFonts w:cs="Gadugi" w:ascii="Gadugi" w:hAnsi="Gadugi"/>
          <w:sz w:val="18"/>
          <w:szCs w:val="18"/>
        </w:rPr>
        <w:t>Torna-se público que a Prefeitura Municipal de Santa Bárbara do Sul/RS, por meio do Setor de Licitações, sediado na Avenida Eduardo de Britto, nº 101, Bairro Cerutti, no Município de Santa Bárbara do Sul/RS, CEP 98.240-000, realizará licitação,</w:t>
      </w:r>
      <w:r>
        <w:rPr>
          <w:rFonts w:cs="Gadugi" w:ascii="Gadugi" w:hAnsi="Gadugi"/>
          <w:color w:themeColor="text1" w:val="000000"/>
          <w:sz w:val="18"/>
          <w:szCs w:val="18"/>
        </w:rPr>
        <w:t xml:space="preserve"> </w:t>
      </w:r>
      <w:r>
        <w:rPr>
          <w:rFonts w:cs="Gadugi" w:ascii="Gadugi" w:hAnsi="Gadugi"/>
          <w:sz w:val="18"/>
          <w:szCs w:val="18"/>
        </w:rPr>
        <w:t xml:space="preserve">para </w:t>
      </w:r>
      <w:r>
        <w:rPr>
          <w:rFonts w:cs="Gadugi" w:ascii="Gadugi" w:hAnsi="Gadugi"/>
          <w:b/>
          <w:bCs/>
          <w:color w:themeColor="text1" w:val="000000"/>
          <w:sz w:val="20"/>
          <w:szCs w:val="20"/>
        </w:rPr>
        <w:t>AQUISIÇÃO DE VEÍCULOS AUTOMOTORES NOVOS, ZERO QUILÔMETRO, COMPREENDENDO VEÍCULOS DE PASSEIO E CAMINHONETES TIPO PICK-UP, DESTINADOS À AMPLIAÇÃO DA FROTA OFICIAL DO MUNICÍPIO</w:t>
      </w:r>
      <w:r>
        <w:rPr>
          <w:rFonts w:cs="Gadugi" w:ascii="Gadugi" w:hAnsi="Gadugi"/>
          <w:b/>
          <w:bCs/>
          <w:color w:themeColor="text1" w:val="000000"/>
          <w:sz w:val="18"/>
          <w:szCs w:val="18"/>
        </w:rPr>
        <w:t xml:space="preserve">, </w:t>
      </w:r>
      <w:r>
        <w:rPr>
          <w:rFonts w:cs="Gadugi" w:ascii="Gadugi" w:hAnsi="Gadugi"/>
          <w:sz w:val="18"/>
          <w:szCs w:val="18"/>
        </w:rPr>
        <w:t>na modalidade PREGÃO, na forma ELETRÔNICA,</w:t>
      </w:r>
      <w:r>
        <w:rPr>
          <w:rFonts w:eastAsia="Times New Roman" w:cs="Gadugi" w:ascii="Gadugi" w:hAnsi="Gadugi"/>
          <w:sz w:val="18"/>
          <w:szCs w:val="18"/>
        </w:rPr>
        <w:t xml:space="preserve"> </w:t>
      </w:r>
      <w:r>
        <w:rPr>
          <w:rFonts w:cs="Gadugi" w:ascii="Gadugi" w:hAnsi="Gadugi"/>
          <w:sz w:val="18"/>
          <w:szCs w:val="18"/>
        </w:rPr>
        <w:t xml:space="preserve">nos termos da </w:t>
      </w:r>
      <w:hyperlink r:id="rId3" w:tooltip="http://www.planalto.gov.br/ccivil_03/_ato2019-2022/2021/lei/L14133.htm">
        <w:r>
          <w:rPr>
            <w:rStyle w:val="Style"/>
            <w:rFonts w:cs="Gadugi" w:ascii="Gadugi" w:hAnsi="Gadugi"/>
            <w:color w:themeColor="hyperlink" w:val="0000FF"/>
            <w:sz w:val="18"/>
            <w:szCs w:val="18"/>
            <w:u w:val="single"/>
          </w:rPr>
          <w:t>Lei nº 14.133, de 1º de abril de 2021</w:t>
        </w:r>
      </w:hyperlink>
      <w:r>
        <w:rPr>
          <w:rFonts w:cs="Gadugi" w:ascii="Gadugi" w:hAnsi="Gadugi"/>
          <w:sz w:val="18"/>
          <w:szCs w:val="18"/>
        </w:rPr>
        <w:t>, do Decreto nº 5.456, de 05 de setembro de 2023, e demais legislações aplicáveis e, ainda, de acordo com as condições estabelecidas neste Edital</w:t>
      </w:r>
      <w:r>
        <w:rPr>
          <w:rFonts w:eastAsia="Times New Roman" w:cs="Gadugi" w:ascii="Gadugi" w:hAnsi="Gadugi"/>
          <w:sz w:val="18"/>
          <w:szCs w:val="18"/>
        </w:rPr>
        <w:t>.</w:t>
      </w:r>
    </w:p>
    <w:p>
      <w:pPr>
        <w:pStyle w:val="Nivel2"/>
        <w:numPr>
          <w:ilvl w:val="0"/>
          <w:numId w:val="0"/>
        </w:numPr>
        <w:spacing w:lineRule="auto" w:line="240" w:before="0" w:after="0"/>
        <w:ind w:firstLine="709" w:left="0"/>
        <w:rPr>
          <w:rFonts w:ascii="Gadugi" w:hAnsi="Gadugi" w:cs="Gadugi"/>
          <w:sz w:val="18"/>
          <w:szCs w:val="18"/>
        </w:rPr>
      </w:pPr>
      <w:r>
        <w:rPr>
          <w:rFonts w:cs="Gadugi" w:ascii="Gadugi" w:hAnsi="Gadugi"/>
          <w:sz w:val="18"/>
          <w:szCs w:val="18"/>
        </w:rPr>
      </w:r>
    </w:p>
    <w:p>
      <w:pPr>
        <w:pStyle w:val="Nivel01"/>
        <w:numPr>
          <w:ilvl w:val="0"/>
          <w:numId w:val="2"/>
        </w:numPr>
        <w:spacing w:lineRule="auto" w:line="240" w:before="0" w:after="0"/>
        <w:ind w:hanging="0" w:left="0"/>
        <w:rPr>
          <w:color w:val="000000"/>
        </w:rPr>
      </w:pPr>
      <w:bookmarkStart w:id="0" w:name="_Toc135469223"/>
      <w:r>
        <w:rPr>
          <w:rFonts w:cs="Gadugi" w:ascii="Gadugi" w:hAnsi="Gadugi"/>
          <w:color w:val="000000"/>
          <w:sz w:val="18"/>
          <w:szCs w:val="18"/>
          <w:lang w:eastAsia="en-US"/>
        </w:rPr>
        <w:t>DO OBJETO</w:t>
      </w:r>
      <w:bookmarkEnd w:id="0"/>
    </w:p>
    <w:p>
      <w:pPr>
        <w:pStyle w:val="Nivel01"/>
        <w:numPr>
          <w:ilvl w:val="1"/>
          <w:numId w:val="2"/>
        </w:numPr>
        <w:spacing w:lineRule="auto" w:line="240" w:before="0" w:after="0"/>
        <w:ind w:hanging="0" w:left="0"/>
        <w:rPr>
          <w:color w:val="000000"/>
        </w:rPr>
      </w:pPr>
      <w:r>
        <w:rPr>
          <w:rFonts w:cs="Gadugi" w:ascii="Gadugi" w:hAnsi="Gadugi"/>
          <w:b w:val="false"/>
          <w:bCs w:val="false"/>
          <w:color w:val="000000"/>
          <w:sz w:val="18"/>
          <w:szCs w:val="18"/>
        </w:rPr>
        <w:t xml:space="preserve">O objeto da presente licitação é para </w:t>
      </w:r>
      <w:r>
        <w:rPr>
          <w:rFonts w:cs="Gadugi" w:ascii="Gadugi" w:hAnsi="Gadugi"/>
          <w:color w:themeColor="text1" w:val="000000"/>
        </w:rPr>
        <w:t>AQUISIÇÃO DE VEÍCULOS AUTOMOTORES NOVOS, ZERO QUILÔMETRO, COMPREENDENDO VEÍCULOS DE PASSEIO E CAMINHONETES TIPO PICK-UP, DESTINADOS À AMPLIAÇÃO DA FROTA OFICIAL DO MUNICÍPIO</w:t>
      </w:r>
      <w:r>
        <w:rPr>
          <w:rFonts w:cs="Gadugi" w:ascii="Gadugi" w:hAnsi="Gadugi"/>
          <w:color w:val="000000"/>
          <w:sz w:val="18"/>
          <w:szCs w:val="18"/>
        </w:rPr>
        <w:t>,</w:t>
      </w:r>
      <w:r>
        <w:rPr>
          <w:rFonts w:cs="Gadugi" w:ascii="Gadugi" w:hAnsi="Gadugi"/>
          <w:b w:val="false"/>
          <w:bCs w:val="false"/>
          <w:color w:val="000000"/>
          <w:sz w:val="18"/>
          <w:szCs w:val="18"/>
        </w:rPr>
        <w:t xml:space="preserve"> conforme condições, quantidades e exigências estabelecidas neste Edital e seus anexos.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01"/>
        <w:numPr>
          <w:ilvl w:val="0"/>
          <w:numId w:val="2"/>
        </w:numPr>
        <w:spacing w:lineRule="auto" w:line="240" w:before="0" w:after="0"/>
        <w:ind w:hanging="0" w:left="0"/>
        <w:rPr>
          <w:color w:val="000000"/>
        </w:rPr>
      </w:pPr>
      <w:bookmarkStart w:id="1" w:name="_Toc135469225"/>
      <w:r>
        <w:rPr>
          <w:rFonts w:cs="Gadugi" w:ascii="Gadugi" w:hAnsi="Gadugi"/>
          <w:color w:val="000000"/>
          <w:sz w:val="18"/>
          <w:szCs w:val="18"/>
        </w:rPr>
        <w:t>DA PARTICIPAÇÃO NA LICITAÇÃO</w:t>
      </w:r>
      <w:bookmarkEnd w:id="1"/>
    </w:p>
    <w:p>
      <w:pPr>
        <w:pStyle w:val="Nivel01"/>
        <w:numPr>
          <w:ilvl w:val="0"/>
          <w:numId w:val="0"/>
        </w:numPr>
        <w:spacing w:before="0" w:after="0"/>
        <w:ind w:hanging="0" w:left="360"/>
        <w:rPr>
          <w:rFonts w:ascii="Times New Roman" w:hAnsi="Times New Roman" w:eastAsia="Times New Roman" w:cs="Times New Roman"/>
          <w:b w:val="false"/>
          <w:bCs w:val="false"/>
          <w:color w:val="auto"/>
          <w:sz w:val="18"/>
          <w:szCs w:val="18"/>
        </w:rPr>
      </w:pPr>
      <w:r>
        <w:rPr>
          <w:rStyle w:val="Strong"/>
          <w:b w:val="false"/>
          <w:bCs w:val="false"/>
          <w:color w:val="auto"/>
          <w:sz w:val="18"/>
          <w:szCs w:val="18"/>
        </w:rPr>
        <w:t>2.1</w:t>
      </w:r>
      <w:r>
        <w:rPr>
          <w:b w:val="false"/>
          <w:bCs w:val="false"/>
          <w:color w:val="auto"/>
          <w:sz w:val="18"/>
          <w:szCs w:val="18"/>
        </w:rPr>
        <w:t xml:space="preserve"> Poderão participar deste Pregão os interessados que estiverem previamente credenciados no sistema eletrônico disponibilizado no endereço eletrônico </w:t>
      </w:r>
      <w:hyperlink r:id="rId4" w:tgtFrame="_new">
        <w:r>
          <w:rPr>
            <w:rStyle w:val="Hyperlink"/>
            <w:b w:val="false"/>
            <w:bCs w:val="false"/>
            <w:color w:val="auto"/>
            <w:sz w:val="18"/>
            <w:szCs w:val="18"/>
          </w:rPr>
          <w:t>https://pregaobanrisul.com.br/</w:t>
        </w:r>
      </w:hyperlink>
      <w:r>
        <w:rPr>
          <w:b w:val="false"/>
          <w:bCs w:val="false"/>
          <w:color w:val="auto"/>
          <w:sz w:val="18"/>
          <w:szCs w:val="18"/>
        </w:rPr>
        <w:t>, observadas as condições estabelecidas neste Edital e na legislação pertinente.</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2.2</w:t>
      </w:r>
      <w:r>
        <w:rPr>
          <w:b w:val="false"/>
          <w:bCs w:val="false"/>
          <w:color w:val="auto"/>
          <w:sz w:val="18"/>
          <w:szCs w:val="18"/>
        </w:rPr>
        <w:t xml:space="preserve"> 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do órgão promotor da licitação por eventuais danos decorrentes do uso indevido das credenciais de acesso, ainda que por terceiros.</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2.3</w:t>
      </w:r>
      <w:r>
        <w:rPr>
          <w:b w:val="false"/>
          <w:bCs w:val="false"/>
          <w:color w:val="auto"/>
          <w:sz w:val="18"/>
          <w:szCs w:val="18"/>
        </w:rPr>
        <w:t xml:space="preserve"> É de responsabilidade do licitante manter seus dados cadastrais atualizados perante o sistema eletrônico e os cadastros oficiais pertinentes, respondendo integralmente pela veracidade das informações prestadas.</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2.4</w:t>
      </w:r>
      <w:r>
        <w:rPr>
          <w:b w:val="false"/>
          <w:bCs w:val="false"/>
          <w:color w:val="auto"/>
          <w:sz w:val="18"/>
          <w:szCs w:val="18"/>
        </w:rPr>
        <w:t xml:space="preserve"> A não observância do disposto no item anterior poderá ensejar a inabilitação ou a desclassificação do licitante, conforme o caso.</w:t>
      </w:r>
    </w:p>
    <w:p>
      <w:pPr>
        <w:pStyle w:val="Nivel01"/>
        <w:numPr>
          <w:ilvl w:val="0"/>
          <w:numId w:val="0"/>
        </w:numPr>
        <w:spacing w:before="0" w:after="0"/>
        <w:ind w:hanging="0" w:left="360"/>
        <w:rPr>
          <w:b w:val="false"/>
          <w:bCs w:val="false"/>
          <w:color w:val="auto"/>
          <w:sz w:val="18"/>
          <w:szCs w:val="18"/>
        </w:rPr>
      </w:pPr>
      <w:r>
        <w:rPr>
          <w:b w:val="false"/>
          <w:bCs w:val="false"/>
          <w:color w:val="auto"/>
          <w:sz w:val="18"/>
          <w:szCs w:val="18"/>
        </w:rPr>
        <w:t>2.5 Não poderão participar desta licitação:</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2.5.1</w:t>
      </w:r>
      <w:r>
        <w:rPr>
          <w:b w:val="false"/>
          <w:bCs w:val="false"/>
          <w:color w:val="auto"/>
          <w:sz w:val="18"/>
          <w:szCs w:val="18"/>
        </w:rPr>
        <w:t xml:space="preserve"> aqueles que não atenderem às condições deste Edital e de seus anexos;</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2.5.2</w:t>
      </w:r>
      <w:r>
        <w:rPr>
          <w:b w:val="false"/>
          <w:bCs w:val="false"/>
          <w:color w:val="auto"/>
          <w:sz w:val="18"/>
          <w:szCs w:val="18"/>
        </w:rPr>
        <w:t xml:space="preserve"> o autor do anteprojeto, do projeto básico ou do projeto executivo, pessoa física ou jurídica, quando a licitação versar sobre obra, serviços ou fornecimento de bens a eles relacionados;</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2.5.3</w:t>
      </w:r>
      <w:r>
        <w:rPr>
          <w:b w:val="false"/>
          <w:bCs w:val="false"/>
          <w:color w:val="auto"/>
          <w:sz w:val="18"/>
          <w:szCs w:val="18"/>
        </w:rPr>
        <w:t xml:space="preserve"> empresa, isoladamente ou em consórcio, responsável pela elaboração do projeto básico ou executivo, bem como empresa da qual o autor do projeto seja dirigente, gerente, controlador, acionista ou detentor de mais de 5% (cinco por cento) do capital com direito a voto, responsável técnico ou subcontratado;</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2.5.4</w:t>
      </w:r>
      <w:r>
        <w:rPr>
          <w:b w:val="false"/>
          <w:bCs w:val="false"/>
          <w:color w:val="auto"/>
          <w:sz w:val="18"/>
          <w:szCs w:val="18"/>
        </w:rPr>
        <w:t xml:space="preserve"> pessoa física ou jurídica impedida de participar de licitação ou contratar com a Administração Pública em decorrência de sanção administrativa ou decisão judicial vigente;</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2.5.5</w:t>
      </w:r>
      <w:r>
        <w:rPr>
          <w:b w:val="false"/>
          <w:bCs w:val="false"/>
          <w:color w:val="auto"/>
          <w:sz w:val="18"/>
          <w:szCs w:val="18"/>
        </w:rPr>
        <w:t xml:space="preserve"> aquele que mantenha vínculo de natureza técnica, comercial, econômica, financeira, trabalhista ou civil com dirigente do órgão contratante, agente de contratação, pregoeiro, equipe de apoio, autoridade competente, gestor ou fiscal do contrato, ou que deles seja cônjuge, companheiro ou parente até o terceiro grau;</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2.5.6</w:t>
      </w:r>
      <w:r>
        <w:rPr>
          <w:b w:val="false"/>
          <w:bCs w:val="false"/>
          <w:color w:val="auto"/>
          <w:sz w:val="18"/>
          <w:szCs w:val="18"/>
        </w:rPr>
        <w:t xml:space="preserve"> empresas controladoras, controladas ou coligadas, nos termos da Lei nº 6.404/1976, concorrendo entre si;</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2.5.7</w:t>
      </w:r>
      <w:r>
        <w:rPr>
          <w:b w:val="false"/>
          <w:bCs w:val="false"/>
          <w:color w:val="auto"/>
          <w:sz w:val="18"/>
          <w:szCs w:val="18"/>
        </w:rPr>
        <w:t xml:space="preserve"> pessoa física ou jurídica condenada judicialmente, com trânsito em julgado, nos cinco anos anteriores à divulgação do edital, por exploração de trabalho infantil, submissão de trabalhadores a condições análogas às de escravo ou contratação irregular de adolescentes;</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2.5.8</w:t>
      </w:r>
      <w:r>
        <w:rPr>
          <w:b w:val="false"/>
          <w:bCs w:val="false"/>
          <w:color w:val="auto"/>
          <w:sz w:val="18"/>
          <w:szCs w:val="18"/>
        </w:rPr>
        <w:t xml:space="preserve"> agente público integrante do órgão ou entidade promotora da licitação;</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2.5.9</w:t>
      </w:r>
      <w:r>
        <w:rPr>
          <w:b w:val="false"/>
          <w:bCs w:val="false"/>
          <w:color w:val="auto"/>
          <w:sz w:val="18"/>
          <w:szCs w:val="18"/>
        </w:rPr>
        <w:t xml:space="preserve"> pessoas jurídicas reunidas em consórcio;</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2.5.10</w:t>
      </w:r>
      <w:r>
        <w:rPr>
          <w:b w:val="false"/>
          <w:bCs w:val="false"/>
          <w:color w:val="auto"/>
          <w:sz w:val="18"/>
          <w:szCs w:val="18"/>
        </w:rPr>
        <w:t xml:space="preserve"> Organizações da Sociedade Civil de Interesse Público – OSCIP, atuando nessa condição;</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2.5.11</w:t>
      </w:r>
      <w:r>
        <w:rPr>
          <w:b w:val="false"/>
          <w:bCs w:val="false"/>
          <w:color w:val="auto"/>
          <w:sz w:val="18"/>
          <w:szCs w:val="18"/>
        </w:rPr>
        <w:t xml:space="preserve"> empresas declaradas inidôneas para licitar ou contratar com a Administração Pública, enquanto perdurarem os efeitos da sanção;</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2.5.12</w:t>
      </w:r>
      <w:r>
        <w:rPr>
          <w:b w:val="false"/>
          <w:bCs w:val="false"/>
          <w:color w:val="auto"/>
          <w:sz w:val="18"/>
          <w:szCs w:val="18"/>
        </w:rPr>
        <w:t xml:space="preserve"> empresas suspensas ou impedidas de licitar e contratar, durante o prazo de vigência da penalidade;</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2.5.13</w:t>
      </w:r>
      <w:r>
        <w:rPr>
          <w:b w:val="false"/>
          <w:bCs w:val="false"/>
          <w:color w:val="auto"/>
          <w:sz w:val="18"/>
          <w:szCs w:val="18"/>
        </w:rPr>
        <w:t xml:space="preserve"> empresas que se encontrem em processo de falência, dissolução ou liquidação, ressalvada a hipótese de autorização judicial para continuidade das atividades, quando admitida pela legislação e pela jurisprudência aplicável.</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2.6</w:t>
      </w:r>
      <w:r>
        <w:rPr>
          <w:b w:val="false"/>
          <w:bCs w:val="false"/>
          <w:color w:val="auto"/>
          <w:sz w:val="18"/>
          <w:szCs w:val="18"/>
        </w:rPr>
        <w:t xml:space="preserve"> Equiparam-se aos autores do projeto as empresas integrantes do mesmo grupo econômico.</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2.7</w:t>
      </w:r>
      <w:r>
        <w:rPr>
          <w:b w:val="false"/>
          <w:bCs w:val="false"/>
          <w:color w:val="auto"/>
          <w:sz w:val="18"/>
          <w:szCs w:val="18"/>
        </w:rPr>
        <w:t xml:space="preserve"> Nas contratações financiadas, total ou parcialmente, por organismos financeiros internacionais ou agências oficiais de cooperação estrangeira, não poderá participar pessoa física ou jurídica que integre o rol de pessoas sancionadas por essas entidades ou que tenha sido declarada inidônea nos termos da Lei nº 14.133/2021.</w:t>
      </w:r>
    </w:p>
    <w:p>
      <w:pPr>
        <w:pStyle w:val="Nivel01"/>
        <w:numPr>
          <w:ilvl w:val="0"/>
          <w:numId w:val="0"/>
        </w:numPr>
        <w:spacing w:before="0" w:after="0"/>
        <w:ind w:hanging="0" w:left="360"/>
        <w:rPr>
          <w:b w:val="false"/>
          <w:bCs w:val="false"/>
          <w:color w:val="auto"/>
          <w:sz w:val="18"/>
          <w:szCs w:val="18"/>
        </w:rPr>
      </w:pPr>
      <w:r>
        <w:rPr>
          <w:rStyle w:val="Strong"/>
          <w:b w:val="false"/>
          <w:bCs w:val="false"/>
          <w:color w:val="auto"/>
          <w:sz w:val="18"/>
          <w:szCs w:val="18"/>
        </w:rPr>
        <w:t>2.8</w:t>
      </w:r>
      <w:r>
        <w:rPr>
          <w:b w:val="false"/>
          <w:bCs w:val="false"/>
          <w:color w:val="auto"/>
          <w:sz w:val="18"/>
          <w:szCs w:val="18"/>
        </w:rPr>
        <w:t xml:space="preserve"> A participação nesta licitação implica plena ciência e aceitação de todas as condições estabelecidas neste Edital e em seus anexos, bem como o atendimento aos requisitos de habilitação e às exigências para execução do objeto.</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01"/>
        <w:numPr>
          <w:ilvl w:val="0"/>
          <w:numId w:val="2"/>
        </w:numPr>
        <w:spacing w:lineRule="auto" w:line="240" w:before="0" w:after="0"/>
        <w:ind w:hanging="360" w:left="360"/>
        <w:rPr>
          <w:color w:val="000000"/>
        </w:rPr>
      </w:pPr>
      <w:bookmarkStart w:id="2" w:name="_Toc135469226"/>
      <w:r>
        <w:rPr>
          <w:rFonts w:cs="Gadugi" w:ascii="Gadugi" w:hAnsi="Gadugi"/>
          <w:color w:val="000000"/>
          <w:sz w:val="18"/>
          <w:szCs w:val="18"/>
        </w:rPr>
        <w:t>DA APRESENTAÇÃO DA PROPOSTA E DOS DOCUMENTOS DE HABILITAÇÃO</w:t>
      </w:r>
      <w:bookmarkEnd w:id="2"/>
    </w:p>
    <w:p>
      <w:pPr>
        <w:pStyle w:val="Nivel01"/>
        <w:numPr>
          <w:ilvl w:val="1"/>
          <w:numId w:val="2"/>
        </w:numPr>
        <w:spacing w:lineRule="auto" w:line="240" w:before="0" w:after="0"/>
        <w:rPr>
          <w:color w:val="000000"/>
        </w:rPr>
      </w:pPr>
      <w:bookmarkStart w:id="3" w:name="_Ref113886867"/>
      <w:r>
        <w:rPr>
          <w:rFonts w:cs="Gadugi" w:ascii="Gadugi" w:hAnsi="Gadugi"/>
          <w:b w:val="false"/>
          <w:bCs w:val="false"/>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3"/>
    </w:p>
    <w:p>
      <w:pPr>
        <w:pStyle w:val="Nivel01"/>
        <w:numPr>
          <w:ilvl w:val="2"/>
          <w:numId w:val="2"/>
        </w:numPr>
        <w:spacing w:lineRule="auto" w:line="240" w:before="0" w:after="0"/>
        <w:rPr>
          <w:rFonts w:ascii="Gadugi" w:hAnsi="Gadugi" w:cs="Gadugi"/>
          <w:b w:val="false"/>
          <w:bCs w:val="false"/>
          <w:sz w:val="18"/>
          <w:szCs w:val="18"/>
        </w:rPr>
      </w:pPr>
      <w:bookmarkStart w:id="4" w:name="_Ref113968921"/>
      <w:r>
        <w:rPr>
          <w:rFonts w:cs="Gadugi" w:ascii="Gadugi" w:hAnsi="Gadugi"/>
          <w:b w:val="false"/>
          <w:bCs w:val="false"/>
          <w:color w:themeColor="text1" w:val="000000"/>
          <w:sz w:val="18"/>
          <w:szCs w:val="18"/>
        </w:rPr>
        <w:t>No cadastramento da proposta inicial, o licitante declarará, em campo próprio do sistema, que:</w:t>
      </w:r>
      <w:bookmarkEnd w:id="4"/>
    </w:p>
    <w:p>
      <w:pPr>
        <w:pStyle w:val="Nvel2-Red"/>
        <w:numPr>
          <w:ilvl w:val="2"/>
          <w:numId w:val="2"/>
        </w:numPr>
        <w:spacing w:lineRule="auto" w:line="240" w:before="0" w:after="0"/>
        <w:rPr>
          <w:rFonts w:ascii="Gadugi" w:hAnsi="Gadugi" w:cs="Gadugi"/>
          <w:i w:val="false"/>
          <w:color w:val="auto"/>
          <w:sz w:val="18"/>
          <w:szCs w:val="18"/>
        </w:rPr>
      </w:pPr>
      <w:r>
        <w:rPr>
          <w:rFonts w:cs="Gadugi" w:ascii="Gadugi" w:hAnsi="Gadugi"/>
          <w:i w:val="false"/>
          <w:iCs w:val="false"/>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vel2-Red"/>
        <w:numPr>
          <w:ilvl w:val="2"/>
          <w:numId w:val="2"/>
        </w:numPr>
        <w:spacing w:lineRule="auto" w:line="240" w:before="0" w:after="0"/>
        <w:rPr>
          <w:rFonts w:ascii="Gadugi" w:hAnsi="Gadugi" w:cs="Gadugi"/>
          <w:i w:val="false"/>
          <w:color w:val="auto"/>
          <w:sz w:val="18"/>
          <w:szCs w:val="18"/>
        </w:rPr>
      </w:pPr>
      <w:r>
        <w:rPr>
          <w:rFonts w:cs="Gadugi" w:ascii="Gadugi" w:hAnsi="Gadugi"/>
          <w:i w:val="false"/>
          <w:iCs w:val="false"/>
          <w:color w:val="auto"/>
          <w:sz w:val="18"/>
          <w:szCs w:val="18"/>
        </w:rPr>
        <w:t xml:space="preserve">Não emprega menor de 18 anos em trabalho noturno, perigoso ou insalubre e não emprega menor de 16 anos, salvo menor, a partir de 14 anos, na condição de aprendiz, nos termos do </w:t>
      </w:r>
      <w:hyperlink r:id="rId5" w:tooltip="https://www.planalto.gov.br/ccivil_03/constituicao/constituicaocompilado.htm#art7&quot; l &quot;art7">
        <w:r>
          <w:rPr>
            <w:rStyle w:val="Style"/>
            <w:rFonts w:cs="Gadugi" w:ascii="Gadugi" w:hAnsi="Gadugi"/>
            <w:i w:val="false"/>
            <w:iCs w:val="false"/>
            <w:color w:val="auto"/>
            <w:sz w:val="18"/>
            <w:szCs w:val="18"/>
            <w:u w:val="single"/>
          </w:rPr>
          <w:t>artigo 7°, XXXIII, da Constituição</w:t>
        </w:r>
      </w:hyperlink>
      <w:r>
        <w:rPr>
          <w:rFonts w:cs="Gadugi" w:ascii="Gadugi" w:hAnsi="Gadugi"/>
          <w:i w:val="false"/>
          <w:iCs w:val="false"/>
          <w:color w:val="auto"/>
          <w:sz w:val="18"/>
          <w:szCs w:val="18"/>
        </w:rPr>
        <w:t>;</w:t>
      </w:r>
    </w:p>
    <w:p>
      <w:pPr>
        <w:pStyle w:val="Nvel2-Red"/>
        <w:numPr>
          <w:ilvl w:val="2"/>
          <w:numId w:val="2"/>
        </w:numPr>
        <w:spacing w:lineRule="auto" w:line="240" w:before="0" w:after="0"/>
        <w:rPr>
          <w:rFonts w:ascii="Gadugi" w:hAnsi="Gadugi" w:cs="Gadugi"/>
          <w:i w:val="false"/>
          <w:color w:val="auto"/>
          <w:sz w:val="18"/>
          <w:szCs w:val="18"/>
        </w:rPr>
      </w:pPr>
      <w:r>
        <w:rPr>
          <w:rFonts w:cs="Gadugi" w:ascii="Gadugi" w:hAnsi="Gadugi"/>
          <w:i w:val="false"/>
          <w:iCs w:val="false"/>
          <w:color w:val="auto"/>
          <w:sz w:val="18"/>
          <w:szCs w:val="18"/>
        </w:rPr>
        <w:t xml:space="preserve">Não possui empregados executando trabalho degradante ou forçado, observando o disposto nos </w:t>
      </w:r>
      <w:hyperlink r:id="rId6" w:tooltip="https://www.planalto.gov.br/ccivil_03/constituicao/constituicaocompilado.htm">
        <w:r>
          <w:rPr>
            <w:rStyle w:val="Style"/>
            <w:rFonts w:cs="Gadugi" w:ascii="Gadugi" w:hAnsi="Gadugi"/>
            <w:i w:val="false"/>
            <w:iCs w:val="false"/>
            <w:color w:val="auto"/>
            <w:sz w:val="18"/>
            <w:szCs w:val="18"/>
            <w:u w:val="single"/>
          </w:rPr>
          <w:t>incisos III e IV do art. 1º e no inciso III do art. 5º da Constituição Federal</w:t>
        </w:r>
      </w:hyperlink>
      <w:r>
        <w:rPr>
          <w:rFonts w:cs="Gadugi" w:ascii="Gadugi" w:hAnsi="Gadugi"/>
          <w:i w:val="false"/>
          <w:iCs w:val="false"/>
          <w:color w:val="auto"/>
          <w:sz w:val="18"/>
          <w:szCs w:val="18"/>
          <w:u w:val="single"/>
        </w:rPr>
        <w:t>.</w:t>
      </w:r>
    </w:p>
    <w:p>
      <w:pPr>
        <w:pStyle w:val="Nvel2-Red"/>
        <w:numPr>
          <w:ilvl w:val="2"/>
          <w:numId w:val="2"/>
        </w:numPr>
        <w:spacing w:lineRule="auto" w:line="240" w:before="0" w:after="0"/>
        <w:rPr>
          <w:rFonts w:ascii="Gadugi" w:hAnsi="Gadugi" w:cs="Gadugi"/>
          <w:i w:val="false"/>
          <w:color w:val="auto"/>
          <w:sz w:val="18"/>
          <w:szCs w:val="18"/>
        </w:rPr>
      </w:pPr>
      <w:r>
        <w:rPr>
          <w:rFonts w:cs="Gadugi" w:ascii="Gadugi" w:hAnsi="Gadugi"/>
          <w:i w:val="false"/>
          <w:iCs w:val="false"/>
          <w:color w:val="auto"/>
          <w:sz w:val="18"/>
          <w:szCs w:val="18"/>
        </w:rPr>
        <w:t>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rFonts w:ascii="Gadugi" w:hAnsi="Gadugi" w:cs="Gadugi"/>
          <w:i w:val="false"/>
          <w:color w:val="auto"/>
          <w:sz w:val="18"/>
          <w:szCs w:val="18"/>
        </w:rPr>
      </w:pPr>
      <w:r>
        <w:rPr>
          <w:rFonts w:cs="Gadugi" w:ascii="Gadugi" w:hAnsi="Gadugi"/>
          <w:i w:val="false"/>
          <w:iCs w:val="false"/>
          <w:color w:val="auto"/>
          <w:sz w:val="18"/>
          <w:szCs w:val="18"/>
        </w:rPr>
        <w:t xml:space="preserve">O licitante organizado em cooperativa deverá declarar, ainda, em campo próprio do sistema eletrônico, que cumpre os requisitos estabelecidos no </w:t>
      </w:r>
      <w:hyperlink r:id="rId7" w:tooltip="http://www.planalto.gov.br/ccivil_03/_ato2019-2022/2021/lei/L14133.htm#art16&quot; l &quot;art16">
        <w:r>
          <w:rPr>
            <w:rStyle w:val="Style"/>
            <w:rFonts w:cs="Gadugi" w:ascii="Gadugi" w:hAnsi="Gadugi"/>
            <w:i w:val="false"/>
            <w:iCs w:val="false"/>
            <w:color w:val="auto"/>
            <w:sz w:val="18"/>
            <w:szCs w:val="18"/>
            <w:u w:val="single"/>
          </w:rPr>
          <w:t>artigo 16 da Lei nº 14.133, de 2021</w:t>
        </w:r>
      </w:hyperlink>
      <w:r>
        <w:rPr>
          <w:rFonts w:cs="Gadugi" w:ascii="Gadugi" w:hAnsi="Gadugi"/>
          <w:i w:val="false"/>
          <w:iCs w:val="false"/>
          <w:color w:val="auto"/>
          <w:sz w:val="18"/>
          <w:szCs w:val="18"/>
        </w:rPr>
        <w:t>.</w:t>
      </w:r>
    </w:p>
    <w:p>
      <w:pPr>
        <w:pStyle w:val="Nvel2-Red"/>
        <w:numPr>
          <w:ilvl w:val="1"/>
          <w:numId w:val="2"/>
        </w:numPr>
        <w:spacing w:lineRule="auto" w:line="240" w:before="0" w:after="0"/>
        <w:ind w:hanging="432" w:left="999"/>
        <w:rPr>
          <w:rFonts w:ascii="Gadugi" w:hAnsi="Gadugi" w:cs="Gadugi"/>
          <w:i w:val="false"/>
          <w:color w:val="auto"/>
          <w:sz w:val="18"/>
          <w:szCs w:val="18"/>
        </w:rPr>
      </w:pPr>
      <w:bookmarkStart w:id="5" w:name="_Ref117000019"/>
      <w:r>
        <w:rPr>
          <w:rFonts w:cs="Gadugi" w:ascii="Gadugi" w:hAnsi="Gadugi"/>
          <w:i w:val="false"/>
          <w:iCs w:val="false"/>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8" w:tooltip="https://www.planalto.gov.br/ccivil_03/leis/lcp/lcp123.htm#art3&quot; l &quot;art3">
        <w:r>
          <w:rPr>
            <w:rStyle w:val="Style"/>
            <w:rFonts w:cs="Gadugi" w:ascii="Gadugi" w:hAnsi="Gadugi"/>
            <w:i w:val="false"/>
            <w:iCs w:val="false"/>
            <w:color w:val="auto"/>
            <w:sz w:val="18"/>
            <w:szCs w:val="18"/>
            <w:u w:val="single"/>
          </w:rPr>
          <w:t>artigo 3° da Lei Complementar nº 123, de 2006</w:t>
        </w:r>
      </w:hyperlink>
      <w:r>
        <w:rPr>
          <w:rFonts w:cs="Gadugi" w:ascii="Gadugi" w:hAnsi="Gadugi"/>
          <w:i w:val="false"/>
          <w:iCs w:val="false"/>
          <w:color w:val="auto"/>
          <w:sz w:val="18"/>
          <w:szCs w:val="18"/>
        </w:rPr>
        <w:t xml:space="preserve">, estando apto a usufruir do tratamento favorecido estabelecido em seus </w:t>
      </w:r>
      <w:r>
        <w:fldChar w:fldCharType="begin"/>
      </w:r>
      <w:r>
        <w:rPr>
          <w:rStyle w:val="Style"/>
          <w:rFonts w:cs="Gadugi" w:ascii="Gadugi" w:hAnsi="Gadugi"/>
          <w:color w:themeColor="hyperlink" w:val="0000FF"/>
          <w:sz w:val="18"/>
          <w:szCs w:val="18"/>
          <w:u w:val="single"/>
        </w:rPr>
        <w:instrText xml:space="preserve"> HYPERLINK "https://www.planalto.gov.br/ccivil_03/leis/lcp/lcp123.htm" \l "art42"</w:instrText>
      </w:r>
      <w:r>
        <w:rPr>
          <w:rStyle w:val="Style"/>
          <w:rFonts w:cs="Gadugi" w:ascii="Gadugi" w:hAnsi="Gadugi"/>
          <w:color w:themeColor="hyperlink" w:val="0000FF"/>
          <w:sz w:val="18"/>
          <w:szCs w:val="18"/>
          <w:u w:val="single"/>
        </w:rPr>
        <w:fldChar w:fldCharType="separate"/>
      </w:r>
      <w:bookmarkEnd w:id="5"/>
      <w:r>
        <w:rPr>
          <w:rStyle w:val="Style"/>
          <w:rFonts w:cs="Gadugi" w:ascii="Gadugi" w:hAnsi="Gadugi"/>
          <w:color w:themeColor="hyperlink" w:val="0000FF"/>
          <w:sz w:val="18"/>
          <w:szCs w:val="18"/>
          <w:u w:val="single"/>
        </w:rPr>
        <w:t>arts. 42 a 49</w:t>
      </w:r>
      <w:r>
        <w:rPr>
          <w:rStyle w:val="Style"/>
          <w:rFonts w:cs="Gadugi" w:ascii="Gadugi" w:hAnsi="Gadugi"/>
          <w:color w:themeColor="hyperlink" w:val="0000FF"/>
          <w:sz w:val="18"/>
          <w:szCs w:val="18"/>
          <w:u w:val="single"/>
        </w:rPr>
        <w:fldChar w:fldCharType="end"/>
      </w:r>
      <w:r>
        <w:rPr>
          <w:rFonts w:cs="Gadugi" w:ascii="Gadugi" w:hAnsi="Gadugi"/>
          <w:i w:val="false"/>
          <w:iCs w:val="false"/>
          <w:color w:val="auto"/>
          <w:sz w:val="18"/>
          <w:szCs w:val="18"/>
        </w:rPr>
        <w:t xml:space="preserve">, observado o disposto nos </w:t>
      </w:r>
      <w:hyperlink r:id="rId9" w:tooltip="http://www.planalto.gov.br/ccivil_03/_ato2019-2022/2021/lei/L14133.htm#art4§1&quot; l &quot;art4§1">
        <w:r>
          <w:rPr>
            <w:rStyle w:val="Style"/>
            <w:rFonts w:cs="Gadugi" w:ascii="Gadugi" w:hAnsi="Gadugi"/>
            <w:i w:val="false"/>
            <w:iCs w:val="false"/>
            <w:color w:val="auto"/>
            <w:sz w:val="18"/>
            <w:szCs w:val="18"/>
            <w:u w:val="single"/>
          </w:rPr>
          <w:t>§§ 1º ao 3º do art. 4º, da Lei n.º 14.133, de 2021.</w:t>
        </w:r>
      </w:hyperlink>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falsidade de quaisquer declarações ou informações prestadas pelo licitante sujeitá-lo-á às sanções previstas na Lei Federal nº 14.133/2021, neste Edital e na regulamentação municipal aplicável, assegurados o contraditório e a ampla defesa, podendo ser instaurado o competente processo administrativo pela Comissão de Sanções e Penalidades instituída pela Portaria Municipal nº 293/2026, sem prejuízo das responsabilidades civil e penal cabíveis.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Serão disponibilizados para acesso público os documentos que compõem a proposta dos licitantes convocados para apresentação de propostas, após a fase de envio de lances.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bookmarkStart w:id="6" w:name="_Ref116992247"/>
      <w:r>
        <w:rPr>
          <w:rFonts w:cs="Gadugi" w:ascii="Gadugi" w:hAnsi="Gadugi"/>
          <w:i w:val="false"/>
          <w:iCs w:val="false"/>
          <w:color w:themeColor="text1" w:val="000000"/>
          <w:sz w:val="18"/>
          <w:szCs w:val="18"/>
        </w:rPr>
        <w:t>Desde que disponibilizada a funcionalidade no sistema, o licitante poderá parametrizar o seu valor final mínimo ou o seu percentual de desconto máximo quando do cadastramento da proposta e obedecerá às seguintes regras:</w:t>
      </w:r>
      <w:bookmarkEnd w:id="6"/>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aplicação do intervalo mínimo de diferença de valores entre os lances, que incidirá tanto em relação aos lances intermediários quanto em relação ao lance que cobrir a melhor oferta; </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lances serão de envio automático pelo sistema, respeitado o valor final mínimo, caso estabelecido, e o intervalo de que trata o subitem acima.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valor final mínimo parametrizado no sistema poderá ser alterado pelo fornecedor durante a fase de disputa, sendo vedado:</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Valor superior a lance já registrado pelo fornecedor no sistema, quando adotado o critério de julgamento por menor preço; 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eastAsia="Times New Roman" w:cs="Gadugi" w:ascii="Gadugi" w:hAnsi="Gadugi"/>
          <w:i w:val="false"/>
          <w:iCs w:val="false"/>
          <w:color w:themeColor="text1" w:val="000000"/>
          <w:sz w:val="18"/>
          <w:szCs w:val="18"/>
        </w:rPr>
        <w:t xml:space="preserve">Caberá ao licitante interessado em participar da licitação </w:t>
      </w:r>
      <w:r>
        <w:rPr>
          <w:rFonts w:cs="Gadugi" w:ascii="Gadugi" w:hAnsi="Gadugi"/>
          <w:i w:val="false"/>
          <w:iCs w:val="false"/>
          <w:color w:themeColor="text1" w:val="000000"/>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eastAsia="Times New Roman" w:cs="Gadugi" w:ascii="Gadugi" w:hAnsi="Gadugi"/>
          <w:i w:val="false"/>
          <w:iCs w:val="false"/>
          <w:color w:themeColor="text1" w:val="000000"/>
          <w:sz w:val="18"/>
          <w:szCs w:val="18"/>
        </w:rPr>
        <w:t xml:space="preserve">O licitante deverá </w:t>
      </w:r>
      <w:r>
        <w:rPr>
          <w:rFonts w:cs="Gadugi" w:ascii="Gadugi" w:hAnsi="Gadugi"/>
          <w:i w:val="false"/>
          <w:iCs w:val="false"/>
          <w:color w:themeColor="text1" w:val="000000"/>
          <w:sz w:val="18"/>
          <w:szCs w:val="18"/>
        </w:rPr>
        <w:t>comunicar imediatamente ao provedor do sistema qualquer acontecimento que possa comprometer o sigilo ou a segurança, para imediato bloqueio de acesso.</w:t>
      </w:r>
      <w:bookmarkStart w:id="7" w:name="_Toc135469227"/>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color w:themeColor="text1" w:val="000000"/>
          <w:sz w:val="18"/>
          <w:szCs w:val="18"/>
        </w:rPr>
        <w:t>O licitante deverá observar integralmente as exigências constantes neste Edital e em seus anexos, especialmente aquelas relativas às especificações técnicas do objeto, à apresentação da proposta inicial e da proposta readequada, quando solicitada, bem como à apresentação dos documentos de habilitação e de toda a documentação técnica exigida no Termo de Referência, tais como marca, fabricante, descrição detalhada do item ofertado, catálogos, fichas técnicas, folders, prospectos ou outros documentos que comprovem o atendimento às especificações do objeto, sob pena de desclassificação, observado o disposto na Lei Federal nº 14.133/2021.</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color w:themeColor="text1" w:val="000000"/>
          <w:sz w:val="18"/>
          <w:szCs w:val="18"/>
        </w:rPr>
        <w:t>A proposta cadastrada no sistema eletrônico vincula o licitante, presumindo-se que este analisou integralmente o Edital e seus anexos, sendo de sua exclusiva responsabilidade a exatidão das informações apresentadas e a viabilidade do fornecimento pelo valor ofertado, não sendo admitidas alegações posteriores de erro, desconhecimento das condições da contratação ou inexequibilidade decorrente de equívoco na formulação da proposta, ressalvadas as hipóteses legalmente admitidas.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color w:themeColor="text1" w:val="000000"/>
          <w:sz w:val="18"/>
          <w:szCs w:val="18"/>
        </w:rPr>
        <w:t>O não atendimento às diligências promovidas pelo Pregoeiro ou Agente de Contratação, dentro do prazo fixado, quando destinadas ao saneamento da proposta ou à comprovação do atendimento das exigências do Edital, poderá acarretar a desclassificação da proposta ou a inabilitação do licitante, conforme o caso, sem prejuízo da apuração de eventual infração administrativa, nos termos da Lei Federal nº 14.133/2021, deste Edital e da Portaria Municipal nº 293/2026.</w:t>
      </w:r>
    </w:p>
    <w:p>
      <w:pPr>
        <w:pStyle w:val="Nvel2-Red"/>
        <w:numPr>
          <w:ilvl w:val="0"/>
          <w:numId w:val="2"/>
        </w:numPr>
        <w:spacing w:lineRule="auto" w:line="240" w:before="0" w:after="0"/>
        <w:ind w:hanging="425" w:left="992"/>
        <w:rPr>
          <w:rFonts w:ascii="Gadugi" w:hAnsi="Gadugi" w:cs="Gadugi"/>
          <w:b/>
          <w:i w:val="false"/>
          <w:color w:themeColor="text1" w:val="000000"/>
          <w:sz w:val="18"/>
          <w:szCs w:val="18"/>
        </w:rPr>
      </w:pPr>
      <w:r>
        <w:rPr>
          <w:rFonts w:cs="Gadugi" w:ascii="Gadugi" w:hAnsi="Gadugi"/>
          <w:b/>
          <w:bCs/>
          <w:i w:val="false"/>
          <w:iCs w:val="false"/>
          <w:color w:themeColor="text1" w:val="000000"/>
          <w:sz w:val="18"/>
          <w:szCs w:val="18"/>
        </w:rPr>
        <w:t>DO PREENCHIMENTO DA PROPOSTA</w:t>
      </w:r>
      <w:bookmarkEnd w:id="7"/>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licitante deverá enviar sua proposta mediante o preenchimento, no sistema eletrônico, dos seguintes campos:</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Valor unitário e total do ITEM;</w:t>
      </w:r>
    </w:p>
    <w:p>
      <w:pPr>
        <w:pStyle w:val="Nvel2-Red"/>
        <w:numPr>
          <w:ilvl w:val="2"/>
          <w:numId w:val="2"/>
        </w:numPr>
        <w:spacing w:lineRule="auto" w:line="240" w:before="0" w:after="0"/>
        <w:rPr>
          <w:rStyle w:val="normaltextrun"/>
          <w:rFonts w:ascii="Gadugi" w:hAnsi="Gadugi" w:cs="Gadugi"/>
          <w:i w:val="false"/>
          <w:color w:themeColor="text1" w:val="000000"/>
          <w:sz w:val="18"/>
          <w:szCs w:val="18"/>
          <w:u w:val="single"/>
        </w:rPr>
      </w:pPr>
      <w:r>
        <w:rPr>
          <w:rStyle w:val="normaltextrun"/>
          <w:rFonts w:cs="Gadugi" w:ascii="Gadugi" w:hAnsi="Gadugi"/>
          <w:i w:val="false"/>
          <w:iCs w:val="false"/>
          <w:color w:themeColor="text1" w:val="000000"/>
          <w:sz w:val="18"/>
          <w:szCs w:val="18"/>
          <w:shd w:fill="FFFFFF" w:val="clear"/>
        </w:rPr>
        <w:t xml:space="preserve">Quantidade total </w:t>
      </w:r>
      <w:r>
        <w:rPr>
          <w:rFonts w:cs="Gadugi" w:ascii="Gadugi" w:hAnsi="Gadugi"/>
          <w:i w:val="false"/>
          <w:iCs w:val="false"/>
          <w:color w:themeColor="text1" w:val="000000"/>
          <w:sz w:val="18"/>
          <w:szCs w:val="18"/>
        </w:rPr>
        <w:t>do ITEM.</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Todas as especificações do objeto constantes da proposta e dos documentos que a acompanham vinculam o licitante, devendo estar em conformidade com as exigências deste Edital e do Termo de Referência.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Nos valores propostos estarão inclusos todos os custos operacionais, encargos previdenciários, trabalhistas, tributários, comerciais e quaisquer outros que incidam direta ou indiretamente na execução do objeto.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 sem prejuízo da instauração de procedimento administrativo para apuração de eventual infração, nos termos da Lei nº 14.133/2021, deste Edital e da Portaria Municipal nº 293/2026.</w:t>
      </w:r>
    </w:p>
    <w:p>
      <w:pPr>
        <w:pStyle w:val="Nvel2-Red"/>
        <w:numPr>
          <w:ilvl w:val="1"/>
          <w:numId w:val="2"/>
        </w:numPr>
        <w:spacing w:lineRule="auto" w:line="240" w:before="0" w:after="0"/>
        <w:ind w:hanging="432" w:left="999"/>
        <w:rPr>
          <w:rFonts w:ascii="Gadugi" w:hAnsi="Gadugi" w:cs="Gadugi"/>
          <w:i w:val="false"/>
          <w:sz w:val="18"/>
          <w:szCs w:val="18"/>
        </w:rPr>
      </w:pPr>
      <w:r>
        <w:rPr>
          <w:rFonts w:cs="Gadugi" w:ascii="Gadugi" w:hAnsi="Gadugi"/>
          <w:i w:val="false"/>
          <w:iCs w:val="false"/>
          <w:color w:themeColor="text1" w:val="000000"/>
          <w:sz w:val="18"/>
          <w:szCs w:val="18"/>
        </w:rPr>
        <w:t>A apresentação da proposta implica a aceitação integral das condições estabelecidas neste Edital e no Termo de Referência, assumindo o licitante o compromisso de fornecer veículos novos, zero quilômetro, e demais itens que componham o objeto, em conformidade com todas as especificações técnicas, quantitativos, prazos, garantias e demais condições estabelecidas.</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color w:themeColor="text1" w:val="000000"/>
          <w:sz w:val="18"/>
          <w:szCs w:val="18"/>
        </w:rPr>
        <w:t>O</w:t>
      </w:r>
      <w:r>
        <w:rPr>
          <w:rFonts w:cs="Gadugi" w:ascii="Gadugi" w:hAnsi="Gadugi"/>
          <w:i w:val="false"/>
          <w:iCs w:val="false"/>
          <w:color w:themeColor="text1" w:val="000000"/>
          <w:sz w:val="18"/>
          <w:szCs w:val="18"/>
        </w:rPr>
        <w:t xml:space="preserve"> prazo de validade da proposta não será inferior a </w:t>
      </w:r>
      <w:r>
        <w:rPr>
          <w:rFonts w:cs="Gadugi" w:ascii="Gadugi" w:hAnsi="Gadugi"/>
          <w:b/>
          <w:bCs/>
          <w:i w:val="false"/>
          <w:iCs w:val="false"/>
          <w:color w:themeColor="text1" w:val="000000"/>
          <w:sz w:val="18"/>
          <w:szCs w:val="18"/>
        </w:rPr>
        <w:t>60 (sessenta)</w:t>
      </w:r>
      <w:r>
        <w:rPr>
          <w:rFonts w:cs="Gadugi" w:ascii="Gadugi" w:hAnsi="Gadugi"/>
          <w:i w:val="false"/>
          <w:iCs w:val="false"/>
          <w:color w:themeColor="text1" w:val="000000"/>
          <w:sz w:val="18"/>
          <w:szCs w:val="18"/>
        </w:rPr>
        <w:t xml:space="preserve"> dias</w:t>
      </w:r>
      <w:r>
        <w:rPr>
          <w:rFonts w:cs="Gadugi" w:ascii="Gadugi" w:hAnsi="Gadugi"/>
          <w:b/>
          <w:bCs/>
          <w:i w:val="false"/>
          <w:iCs w:val="false"/>
          <w:color w:themeColor="text1" w:val="000000"/>
          <w:sz w:val="18"/>
          <w:szCs w:val="18"/>
        </w:rPr>
        <w:t>,</w:t>
      </w:r>
      <w:r>
        <w:rPr>
          <w:rFonts w:cs="Gadugi" w:ascii="Gadugi" w:hAnsi="Gadugi"/>
          <w:i w:val="false"/>
          <w:iCs w:val="false"/>
          <w:color w:themeColor="text1" w:val="000000"/>
          <w:sz w:val="18"/>
          <w:szCs w:val="18"/>
        </w:rPr>
        <w:t xml:space="preserve"> a contar da data de sua apresentação.</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licitantes deverão observar os preços máximos estimados pela Administração para cada item, sendo desclassificadas as propostas que apresentarem valores superiores aos admitidos, ressalvadas as hipóteses legalmente previstas.</w:t>
      </w:r>
    </w:p>
    <w:p>
      <w:pPr>
        <w:pStyle w:val="Nvel2-Red"/>
        <w:numPr>
          <w:ilvl w:val="1"/>
          <w:numId w:val="2"/>
        </w:numPr>
        <w:spacing w:lineRule="auto" w:line="240" w:before="0" w:after="0"/>
        <w:ind w:hanging="432" w:left="999"/>
        <w:rPr>
          <w:rFonts w:ascii="Gadugi" w:hAnsi="Gadugi" w:cs="Gadugi"/>
          <w:i w:val="false"/>
          <w:color w:val="auto"/>
          <w:sz w:val="18"/>
          <w:szCs w:val="18"/>
        </w:rPr>
      </w:pPr>
      <w:r>
        <w:rPr>
          <w:rFonts w:cs="Gadugi" w:ascii="Gadugi" w:hAnsi="Gadugi"/>
          <w:i w:val="false"/>
          <w:color w:val="auto"/>
          <w:sz w:val="18"/>
          <w:szCs w:val="18"/>
        </w:rPr>
        <w:t>A proposta inicial e a proposta readequada, quando solicitada, deverão conter obrigatoriamente a identificação da marca, fabricante, modelo, versão, descrição detalhada do veículo ofertado e todas as especificações técnicas necessárias à verificação do atendimento integral às exigências do Termo de Referência.</w:t>
      </w:r>
    </w:p>
    <w:p>
      <w:pPr>
        <w:pStyle w:val="Nvel2-Red"/>
        <w:numPr>
          <w:ilvl w:val="1"/>
          <w:numId w:val="2"/>
        </w:numPr>
        <w:spacing w:lineRule="auto" w:line="240" w:before="0" w:after="0"/>
        <w:ind w:hanging="432" w:left="999"/>
        <w:rPr>
          <w:rFonts w:ascii="Gadugi" w:hAnsi="Gadugi" w:cs="Gadugi"/>
          <w:i w:val="false"/>
          <w:color w:val="auto"/>
          <w:sz w:val="18"/>
          <w:szCs w:val="18"/>
        </w:rPr>
      </w:pPr>
      <w:r>
        <w:rPr>
          <w:rFonts w:cs="Gadugi" w:ascii="Gadugi" w:hAnsi="Gadugi"/>
          <w:i w:val="false"/>
          <w:color w:val="auto"/>
          <w:sz w:val="18"/>
          <w:szCs w:val="18"/>
        </w:rPr>
        <w:t>Juntamente com a proposta readequada deverão ser apresentados catálogo, ficha técnica, prospecto ou documento oficial do fabricante que permita a perfeita identificação do veículo ofertado e a comprovação do atendimento às especificações mínimas exigidas, admitida diligência para esclarecimento de informações, observado o disposto na Lei Federal nº 14.133/2021.</w:t>
      </w:r>
    </w:p>
    <w:p>
      <w:pPr>
        <w:pStyle w:val="Nvel2-Red"/>
        <w:numPr>
          <w:ilvl w:val="1"/>
          <w:numId w:val="2"/>
        </w:numPr>
        <w:spacing w:lineRule="auto" w:line="240" w:before="0" w:after="0"/>
        <w:ind w:hanging="432" w:left="999"/>
        <w:rPr>
          <w:rFonts w:ascii="Gadugi" w:hAnsi="Gadugi" w:cs="Gadugi"/>
          <w:i w:val="false"/>
          <w:color w:val="auto"/>
          <w:sz w:val="18"/>
          <w:szCs w:val="18"/>
        </w:rPr>
      </w:pPr>
      <w:r>
        <w:rPr>
          <w:rFonts w:cs="Gadugi" w:ascii="Gadugi" w:hAnsi="Gadugi"/>
          <w:i w:val="false"/>
          <w:color w:val="auto"/>
          <w:sz w:val="18"/>
          <w:szCs w:val="18"/>
        </w:rPr>
        <w:t>A ausência da documentação técnica exigida ou a apresentação de documentos que não permitam verificar o atendimento às especificações poderá ensejar a desclassificação da proposta, após oportunizada diligência, quando cabível, observados os princípios da razoabilidade, da proporcionalidade e o disposto na Lei Federal nº 14.133/2021.</w:t>
      </w:r>
    </w:p>
    <w:p>
      <w:pPr>
        <w:pStyle w:val="Nvel2-Red"/>
        <w:numPr>
          <w:ilvl w:val="0"/>
          <w:numId w:val="2"/>
        </w:numPr>
        <w:spacing w:lineRule="auto" w:line="240" w:before="0" w:after="0"/>
        <w:ind w:hanging="425" w:left="992"/>
        <w:rPr>
          <w:rFonts w:ascii="Gadugi" w:hAnsi="Gadugi" w:cs="Gadugi"/>
          <w:b/>
          <w:i w:val="false"/>
          <w:color w:themeColor="text1" w:val="000000"/>
          <w:sz w:val="18"/>
          <w:szCs w:val="18"/>
        </w:rPr>
      </w:pPr>
      <w:bookmarkStart w:id="8" w:name="_Toc135469228"/>
      <w:r>
        <w:rPr>
          <w:rFonts w:cs="Gadugi" w:ascii="Gadugi" w:hAnsi="Gadugi"/>
          <w:b/>
          <w:bCs/>
          <w:i w:val="false"/>
          <w:iCs w:val="false"/>
          <w:color w:themeColor="text1" w:val="000000"/>
          <w:sz w:val="18"/>
          <w:szCs w:val="18"/>
        </w:rPr>
        <w:t>DA ABERTURA DA SESSÃO, CLASSIFICAÇÃO DAS PROPOSTAS E FORMULAÇÃO DE LANCES</w:t>
      </w:r>
      <w:bookmarkEnd w:id="8"/>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abertura da presente licitação dar-se-á automaticamente em sessão pública, por meio de sistema eletrônico, na data, horário e local indicados neste Edital.</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licitantes poderão retirar ou substituir a proposta ou os documentos de habilitação, quando for o caso, anteriormente inseridos no sistema, até a abertura da sessão pública.</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sistema disponibilizará campo próprio para troca de mensagens entre o Pregoeiro e os licitantes.</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Iniciada a etapa competitiva, os licitantes deverão encaminhar lances exclusivamente por meio de sistema eletrônico, sendo imediatamente informados do seu recebimento e do valor consignado no registro. </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lance deverá ser ofertado pelo valor unitário do ITEM.</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licitantes poderão oferecer lances sucessivos, observando o horário fixado para abertura da sessão e as regras estabelecidas no Edital.</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 licitante somente poderá oferecer lance de valor inferior ao último por ele ofertado e registrado pelo sistema. </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intervalo mínimo de diferença de valores ou percentuais entre os lances, que incidirá tanto em relação aos lances intermediários quanto em relação à proposta que cobrir a melhor oferta deverá ser de R$ 10,00.</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licitante poderá, uma única vez, excluir seu último lance ofertado, no intervalo de quinze segundos após o registro no sistema, na hipótese de lance inconsistente ou inexequível.</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procedimento seguirá de acordo com o modo de disputa adotado.</w:t>
      </w:r>
    </w:p>
    <w:p>
      <w:pPr>
        <w:pStyle w:val="Nvel2-Red"/>
        <w:numPr>
          <w:ilvl w:val="2"/>
          <w:numId w:val="2"/>
        </w:numPr>
        <w:spacing w:lineRule="auto" w:line="240" w:before="0" w:after="0"/>
        <w:rPr>
          <w:rFonts w:ascii="Gadugi" w:hAnsi="Gadugi" w:cs="Gadugi"/>
          <w:b/>
          <w:i w:val="false"/>
          <w:color w:themeColor="text1" w:val="000000"/>
          <w:sz w:val="18"/>
          <w:szCs w:val="18"/>
        </w:rPr>
      </w:pPr>
      <w:bookmarkStart w:id="9" w:name="_Hlk113697759"/>
      <w:r>
        <w:rPr>
          <w:rFonts w:cs="Gadugi" w:ascii="Gadugi" w:hAnsi="Gadugi"/>
          <w:i w:val="false"/>
          <w:iCs w:val="false"/>
          <w:color w:themeColor="text1" w:val="000000"/>
          <w:sz w:val="18"/>
          <w:szCs w:val="18"/>
        </w:rPr>
        <w:t>Caso seja adotado para o envio de lances no pregão eletrônico o modo de disputa “aberto”, os licitantes apresentarão lances públicos e sucessivos, com prorrogações.</w:t>
      </w:r>
      <w:bookmarkEnd w:id="9"/>
    </w:p>
    <w:p>
      <w:pPr>
        <w:pStyle w:val="Nvel2-Red"/>
        <w:numPr>
          <w:ilvl w:val="2"/>
          <w:numId w:val="2"/>
        </w:numPr>
        <w:spacing w:lineRule="auto" w:line="240" w:before="0" w:after="0"/>
        <w:rPr>
          <w:rFonts w:ascii="Gadugi" w:hAnsi="Gadugi" w:cs="Gadugi"/>
          <w:i w:val="false"/>
          <w:color w:themeColor="text1" w:val="000000"/>
          <w:sz w:val="18"/>
          <w:szCs w:val="18"/>
        </w:rPr>
      </w:pPr>
      <w:bookmarkStart w:id="10" w:name="_Hlk113697816"/>
      <w:r>
        <w:rPr>
          <w:rFonts w:cs="Gadugi" w:ascii="Gadugi" w:hAnsi="Gadugi"/>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3"/>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3"/>
          <w:numId w:val="2"/>
        </w:numPr>
        <w:spacing w:lineRule="auto" w:line="240" w:before="0" w:after="0"/>
        <w:rPr>
          <w:rFonts w:ascii="Gadugi" w:hAnsi="Gadugi" w:cs="Gadugi"/>
          <w:b/>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Após o reinício previsto no item supra, os licitantes serão convocados para apresentar lances intermediários.</w:t>
      </w:r>
      <w:bookmarkStart w:id="11" w:name="_Hlk113631522"/>
      <w:bookmarkEnd w:id="10"/>
      <w:bookmarkEnd w:id="11"/>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No caso de desconexão com o Pregoeiro, no decorrer da etapa competitiva do Pregão, o sistema eletrônico poderá permanecer acessível aos licitantes para a recepção dos lances. </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Caso o licitante não apresente lances, concorrerá com o valor de sua proposta.</w:t>
      </w:r>
    </w:p>
    <w:p>
      <w:pPr>
        <w:pStyle w:val="Nvel2-Red"/>
        <w:numPr>
          <w:ilvl w:val="2"/>
          <w:numId w:val="2"/>
        </w:numPr>
        <w:spacing w:lineRule="auto" w:line="240" w:before="0" w:after="0"/>
        <w:rPr>
          <w:rStyle w:val="Hyperlink1"/>
          <w:rFonts w:ascii="Gadugi" w:hAnsi="Gadugi" w:cs="Gadugi"/>
          <w:i w:val="false"/>
          <w:color w:themeColor="text1" w:val="000000"/>
          <w:sz w:val="18"/>
          <w:szCs w:val="18"/>
        </w:rPr>
      </w:pPr>
      <w:r>
        <w:rPr>
          <w:rFonts w:cs="Gadugi" w:ascii="Gadugi" w:hAnsi="Gadugi"/>
          <w:i w:val="false"/>
          <w:iCs w:val="false"/>
          <w:color w:themeColor="text1" w:val="000000"/>
          <w:sz w:val="18"/>
          <w:szCs w:val="18"/>
        </w:rPr>
        <w:t>Em relação a itens não exclusivos para participação de microempresas e empresas de pequeno porte, uma vez encerrada a etapa de lances</w:t>
      </w:r>
      <w:r>
        <w:rPr>
          <w:rFonts w:eastAsia="Zurich BT" w:cs="Gadugi" w:ascii="Gadugi" w:hAnsi="Gadugi"/>
          <w:i w:val="false"/>
          <w:iCs w:val="false"/>
          <w:color w:themeColor="text1" w:val="000000"/>
          <w:sz w:val="18"/>
          <w:szCs w:val="18"/>
        </w:rPr>
        <w:t xml:space="preserve">, será efetivada a verificação automática, junto à Receita Federal, do porte da entidade empresarial. O sistema identificará em coluna própria as microempresas e empresas de pequeno porte </w:t>
      </w:r>
      <w:r>
        <w:rPr>
          <w:rFonts w:cs="Gadugi" w:ascii="Gadugi" w:hAnsi="Gadugi"/>
          <w:i w:val="false"/>
          <w:iCs w:val="false"/>
          <w:color w:themeColor="text1" w:val="000000"/>
          <w:sz w:val="18"/>
          <w:szCs w:val="18"/>
        </w:rPr>
        <w:t>participantes</w:t>
      </w:r>
      <w:r>
        <w:rPr>
          <w:rFonts w:eastAsia="Zurich BT" w:cs="Gadugi" w:ascii="Gadugi" w:hAnsi="Gadugi"/>
          <w:i w:val="false"/>
          <w:iCs w:val="false"/>
          <w:color w:themeColor="text1" w:val="000000"/>
          <w:sz w:val="18"/>
          <w:szCs w:val="18"/>
        </w:rPr>
        <w:t xml:space="preserve">, procedendo à comparação com os valores da primeira colocada, se esta for empresa de maior porte, assim como das demais classificadas, para o fim de aplicar-se o disposto nos </w:t>
      </w:r>
      <w:hyperlink r:id="rId10" w:tooltip="https://www.planalto.gov.br/ccivil_03/leis/lcp/lcp123.htm#art44&quot; l &quot;art44">
        <w:r>
          <w:rPr>
            <w:rStyle w:val="Style"/>
            <w:rFonts w:eastAsia="Zurich BT" w:cs="Gadugi" w:ascii="Gadugi" w:hAnsi="Gadugi"/>
            <w:i w:val="false"/>
            <w:iCs w:val="false"/>
            <w:color w:themeColor="text1" w:val="000000"/>
            <w:sz w:val="18"/>
            <w:szCs w:val="18"/>
            <w:u w:val="single"/>
          </w:rPr>
          <w:t>arts. 44 e 45 da Lei Complementar nº 123, de 2006</w:t>
        </w:r>
      </w:hyperlink>
      <w:r>
        <w:rPr>
          <w:rStyle w:val="Hyperlink1"/>
          <w:rFonts w:eastAsia="Zurich BT"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Nessas condições, as propostas de </w:t>
      </w:r>
      <w:r>
        <w:rPr>
          <w:rFonts w:eastAsia="Zurich BT" w:cs="Gadugi" w:ascii="Gadugi" w:hAnsi="Gadugi"/>
          <w:i w:val="false"/>
          <w:iCs w:val="false"/>
          <w:color w:themeColor="text1" w:val="000000"/>
          <w:sz w:val="18"/>
          <w:szCs w:val="18"/>
        </w:rPr>
        <w:t xml:space="preserve">microempresas e empresas de pequeno porte </w:t>
      </w:r>
      <w:r>
        <w:rPr>
          <w:rFonts w:cs="Gadugi" w:ascii="Gadugi" w:hAnsi="Gadugi"/>
          <w:i w:val="false"/>
          <w:iCs w:val="false"/>
          <w:color w:themeColor="text1" w:val="000000"/>
          <w:sz w:val="18"/>
          <w:szCs w:val="18"/>
        </w:rPr>
        <w:t>que se encontrarem na faixa de até 5% (cinco por cento) acima da melhor proposta ou melhor lance serão consideradas empatadas com a primeira colocada.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Caso a </w:t>
      </w:r>
      <w:r>
        <w:rPr>
          <w:rFonts w:eastAsia="Zurich BT" w:cs="Gadugi" w:ascii="Gadugi" w:hAnsi="Gadugi"/>
          <w:i w:val="false"/>
          <w:iCs w:val="false"/>
          <w:color w:themeColor="text1" w:val="000000"/>
          <w:sz w:val="18"/>
          <w:szCs w:val="18"/>
        </w:rPr>
        <w:t>microempresa ou a empresa de pequeno porte</w:t>
      </w:r>
      <w:r>
        <w:rPr>
          <w:rFonts w:cs="Gadugi" w:ascii="Gadugi" w:hAnsi="Gadugi"/>
          <w:i w:val="false"/>
          <w:iCs w:val="false"/>
          <w:color w:themeColor="text1" w:val="000000"/>
          <w:sz w:val="18"/>
          <w:szCs w:val="18"/>
        </w:rPr>
        <w:t xml:space="preserve"> melhor classificada desista ou não se manifeste no prazo estabelecido, serão convocadas as demais licitantes </w:t>
      </w:r>
      <w:r>
        <w:rPr>
          <w:rFonts w:eastAsia="Zurich BT" w:cs="Gadugi" w:ascii="Gadugi" w:hAnsi="Gadugi"/>
          <w:i w:val="false"/>
          <w:iCs w:val="false"/>
          <w:color w:themeColor="text1" w:val="000000"/>
          <w:sz w:val="18"/>
          <w:szCs w:val="18"/>
        </w:rPr>
        <w:t>microempresa e empresa de pequeno porte</w:t>
      </w:r>
      <w:r>
        <w:rPr>
          <w:rFonts w:cs="Gadugi" w:ascii="Gadugi" w:hAnsi="Gadugi"/>
          <w:i w:val="false"/>
          <w:iCs w:val="false"/>
          <w:color w:themeColor="text1" w:val="000000"/>
          <w:sz w:val="18"/>
          <w:szCs w:val="18"/>
        </w:rPr>
        <w:t xml:space="preserve"> que se encontrem naquele intervalo de 5% (cinco por cento), na ordem de classificação, para o exercício do mesmo direito, no prazo estabelecido no subitem anterior.</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Só poderá haver empate entre propostas iguais (não seguidas de lances), ou entre lances finais da fase fechada do modo de disputa aberto e fechado.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Havendo eventual empate entre propostas ou lances, o critério de desempate será aquele previsto no </w:t>
      </w:r>
      <w:hyperlink r:id="rId11" w:tooltip="http://www.planalto.gov.br/ccivil_03/_ato2019-2022/2021/lei/L14133.htm#art60&quot; l &quot;art60">
        <w:r>
          <w:rPr>
            <w:rStyle w:val="Style"/>
            <w:rFonts w:eastAsia="Arial" w:cs="Gadugi" w:ascii="Gadugi" w:hAnsi="Gadugi"/>
            <w:i w:val="false"/>
            <w:iCs w:val="false"/>
            <w:color w:themeColor="text1" w:val="000000"/>
            <w:sz w:val="18"/>
            <w:szCs w:val="18"/>
            <w:u w:val="single"/>
          </w:rPr>
          <w:t>art</w:t>
        </w:r>
        <w:r>
          <w:rPr>
            <w:rStyle w:val="Style"/>
            <w:rFonts w:cs="Gadugi" w:ascii="Gadugi" w:hAnsi="Gadugi"/>
            <w:i w:val="false"/>
            <w:iCs w:val="false"/>
            <w:color w:themeColor="text1" w:val="000000"/>
            <w:sz w:val="18"/>
            <w:szCs w:val="18"/>
            <w:u w:val="single"/>
          </w:rPr>
          <w:t>. 60 da Lei nº 14.133, de 2021</w:t>
        </w:r>
      </w:hyperlink>
      <w:r>
        <w:rPr>
          <w:rFonts w:cs="Gadugi" w:ascii="Gadugi" w:hAnsi="Gadugi"/>
          <w:i w:val="false"/>
          <w:iCs w:val="false"/>
          <w:color w:themeColor="text1" w:val="000000"/>
          <w:sz w:val="18"/>
          <w:szCs w:val="18"/>
        </w:rPr>
        <w:t>, nesta ordem:</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Disputa final, hipótese em que os licitantes empatados poderão apresentar nova proposta em ato contínuo à classificação;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Avaliação do desempenho contratual prévio dos licitantes, para a qual deverão preferencialmente ser utilizados registros cadastrais para efeito de atesto de cumprimento de obrigações previstos nesta Lei;</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Desenvolvimento pelo licitante de ações de equidade entre homens e mulheres no ambiente de trabalho, conforme regulamento;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Desenvolvimento pelo licitante de programa de integridade, conforme orientações dos órgãos de controle.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Persistindo o empate, será assegurada preferência, sucessivamente, aos bens e serviços produzidos ou prestados por:</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Empresas brasileiras;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Empresas que invistam em pesquisa e no desenvolvimento de tecnologia no País;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Empresas que comprovem a prática de mitigação, nos termos da </w:t>
      </w:r>
      <w:hyperlink r:id="rId12" w:tooltip="https://www.planalto.gov.br/ccivil_03/_ato2007-2010/2009/lei/l12187.htm#:~:text=LEI%20N%C2%BA%2012.187%2C%20DE%2029%20DE%20DEZEMBRO%20DE%202009.&amp;text=Institui%20a%20Pol%C3%ADtica%20Nacional%20sobre,PNMC%20e%20d%C3%A1%20outras%20provid%C3%AAncias.&quot; l &quot;:~:text=L">
        <w:r>
          <w:rPr>
            <w:rStyle w:val="Style"/>
            <w:rFonts w:cs="Gadugi" w:ascii="Gadugi" w:hAnsi="Gadugi"/>
            <w:i w:val="false"/>
            <w:iCs w:val="false"/>
            <w:color w:themeColor="text1" w:val="000000"/>
            <w:sz w:val="18"/>
            <w:szCs w:val="18"/>
            <w:u w:val="single"/>
          </w:rPr>
          <w:t>Lei nº 12.187, de 29 de dezembro de 2009</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vel2-Red"/>
        <w:numPr>
          <w:ilvl w:val="2"/>
          <w:numId w:val="2"/>
        </w:numPr>
        <w:spacing w:lineRule="auto" w:line="240" w:before="0" w:after="0"/>
        <w:ind w:firstLine="170" w:left="1361"/>
        <w:rPr>
          <w:rFonts w:ascii="Gadugi" w:hAnsi="Gadugi" w:cs="Gadugi"/>
          <w:i w:val="false"/>
          <w:color w:themeColor="text1" w:val="000000"/>
          <w:sz w:val="18"/>
          <w:szCs w:val="18"/>
        </w:rPr>
      </w:pPr>
      <w:r>
        <w:rPr>
          <w:rFonts w:eastAsia="Times New Roman" w:cs="Gadugi" w:ascii="Gadugi" w:hAnsi="Gadugi"/>
          <w:i w:val="false"/>
          <w:iCs w:val="false"/>
          <w:color w:themeColor="text1" w:val="000000"/>
          <w:sz w:val="18"/>
          <w:szCs w:val="18"/>
        </w:rPr>
        <w:t xml:space="preserve">A </w:t>
      </w:r>
      <w:r>
        <w:rPr>
          <w:rFonts w:cs="Gadugi" w:ascii="Gadugi" w:hAnsi="Gadugi"/>
          <w:i w:val="false"/>
          <w:iCs w:val="false"/>
          <w:color w:themeColor="text1" w:val="000000"/>
          <w:sz w:val="18"/>
          <w:szCs w:val="18"/>
        </w:rPr>
        <w:t>negociação será realizada por meio do sistema, podendo ser acompanhada pelos demais licitantes.</w:t>
      </w:r>
    </w:p>
    <w:p>
      <w:pPr>
        <w:pStyle w:val="Nvel2-Red"/>
        <w:numPr>
          <w:ilvl w:val="2"/>
          <w:numId w:val="2"/>
        </w:numPr>
        <w:spacing w:lineRule="auto" w:line="240" w:before="0" w:after="0"/>
        <w:ind w:firstLine="57" w:left="1474"/>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resultado da negociação será divulgado a todos os licitantes e anexado aos autos do processo licitatório.</w:t>
      </w:r>
    </w:p>
    <w:p>
      <w:pPr>
        <w:pStyle w:val="Nvel2-Red"/>
        <w:numPr>
          <w:ilvl w:val="2"/>
          <w:numId w:val="2"/>
        </w:numPr>
        <w:spacing w:lineRule="auto" w:line="240" w:before="0" w:after="0"/>
        <w:ind w:firstLine="113" w:left="1417"/>
        <w:rPr>
          <w:rFonts w:ascii="Gadugi" w:hAnsi="Gadugi" w:cs="Gadugi"/>
          <w:b/>
          <w:i w:val="false"/>
          <w:color w:themeColor="text1" w:val="000000"/>
          <w:sz w:val="18"/>
          <w:szCs w:val="18"/>
        </w:rPr>
      </w:pPr>
      <w:r>
        <w:rPr>
          <w:rFonts w:cs="Gadugi" w:ascii="Gadugi" w:hAnsi="Gadugi"/>
          <w:i w:val="false"/>
          <w:iCs w:val="false"/>
          <w:color w:themeColor="text1" w:val="000000"/>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pPr>
        <w:pStyle w:val="Nvel2-Red"/>
        <w:numPr>
          <w:ilvl w:val="2"/>
          <w:numId w:val="2"/>
        </w:numPr>
        <w:spacing w:lineRule="auto" w:line="240" w:before="0" w:after="0"/>
        <w:ind w:firstLine="113" w:left="1417"/>
        <w:rPr>
          <w:rFonts w:ascii="Gadugi" w:hAnsi="Gadugi" w:cs="Gadugi"/>
          <w:i w:val="false"/>
          <w:color w:themeColor="text1" w:val="000000"/>
          <w:sz w:val="18"/>
          <w:szCs w:val="18"/>
        </w:rPr>
      </w:pPr>
      <w:r>
        <w:rPr>
          <w:rFonts w:cs="Gadugi" w:ascii="Gadugi" w:hAnsi="Gadugi"/>
          <w:i w:val="false"/>
          <w:iCs w:val="false"/>
          <w:color w:themeColor="text1" w:val="000000"/>
          <w:sz w:val="18"/>
          <w:szCs w:val="18"/>
        </w:rPr>
        <w:t>É facultado ao pregoeiro prorrogar o prazo estabelecido, a partir de solicitação fundamentada feita no chat pelo licitante, antes de findo o prazo.</w:t>
      </w:r>
    </w:p>
    <w:p>
      <w:pPr>
        <w:pStyle w:val="Nvel2-Red"/>
        <w:numPr>
          <w:ilvl w:val="2"/>
          <w:numId w:val="2"/>
        </w:numPr>
        <w:spacing w:lineRule="auto" w:line="240" w:before="0" w:after="0"/>
        <w:ind w:firstLine="113" w:left="1361"/>
        <w:rPr>
          <w:rFonts w:ascii="Gadugi" w:hAnsi="Gadugi" w:cs="Gadugi"/>
          <w:b/>
          <w:i w:val="false"/>
          <w:color w:themeColor="text1" w:val="000000"/>
          <w:sz w:val="18"/>
          <w:szCs w:val="18"/>
        </w:rPr>
      </w:pPr>
      <w:r>
        <w:rPr>
          <w:rFonts w:cs="Gadugi" w:ascii="Gadugi" w:hAnsi="Gadugi"/>
          <w:i w:val="false"/>
          <w:iCs w:val="false"/>
          <w:color w:themeColor="text1" w:val="000000"/>
          <w:sz w:val="18"/>
          <w:szCs w:val="18"/>
        </w:rPr>
        <w:t>Após a negociação do preço, o Pregoeiro iniciará a fase de aceitação e julgamento da proposta.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color w:themeColor="text1" w:val="000000"/>
          <w:sz w:val="18"/>
          <w:szCs w:val="18"/>
        </w:rPr>
        <w:t>O licitante provisoriamente vencedor deverá encaminhar, no prazo fixado pelo Pregoeiro, a proposta readequada ao último lance ofertado, contendo obrigatoriamente a marca, fabricante, modelo, versão, descrição detalhada do veículo ofertado e demais especificações técnicas exigidas no Termo de Referência, acompanhada dos catálogos, fichas técnicas, prospectos ou documentos oficiais do fabricante, quando exigidos neste Edital.</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color w:themeColor="text1" w:val="000000"/>
          <w:sz w:val="18"/>
          <w:szCs w:val="18"/>
        </w:rPr>
        <w:t>O não atendimento às diligências promovidas pelo Pregoeiro, bem como a não apresentação da proposta readequada ou da documentação técnica exigida no prazo estabelecido, poderá acarretar a desclassificação da proposta, sem prejuízo da instauração de procedimento administrativo para apuração de eventual infração administrativa, observado o disposto na Lei Federal nº 14.133/2021, neste Edital e na Portaria Municipal nº 293/2026, assegurados o contraditório e a ampla defesa.</w:t>
      </w:r>
    </w:p>
    <w:p>
      <w:pPr>
        <w:pStyle w:val="Nvel2-Red"/>
        <w:numPr>
          <w:ilvl w:val="0"/>
          <w:numId w:val="0"/>
        </w:numPr>
        <w:spacing w:lineRule="auto" w:line="240" w:before="0" w:after="0"/>
        <w:ind w:hanging="0" w:left="999"/>
        <w:rPr>
          <w:rFonts w:ascii="Gadugi" w:hAnsi="Gadugi" w:cs="Gadugi"/>
          <w:b/>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12" w:name="_Toc135469229"/>
      <w:r>
        <w:rPr>
          <w:rFonts w:cs="Gadugi" w:ascii="Gadugi" w:hAnsi="Gadugi"/>
          <w:b/>
          <w:bCs/>
          <w:i w:val="false"/>
          <w:iCs w:val="false"/>
          <w:color w:themeColor="text1" w:val="000000"/>
          <w:sz w:val="18"/>
          <w:szCs w:val="18"/>
        </w:rPr>
        <w:t>DA FASE DE JULGAMENTO</w:t>
      </w:r>
      <w:bookmarkEnd w:id="12"/>
    </w:p>
    <w:p>
      <w:pPr>
        <w:pStyle w:val="Nvel2-Red"/>
        <w:numPr>
          <w:ilvl w:val="1"/>
          <w:numId w:val="2"/>
        </w:numPr>
        <w:spacing w:lineRule="auto" w:line="240" w:before="0" w:after="0"/>
        <w:ind w:hanging="432" w:left="999"/>
        <w:rPr>
          <w:rFonts w:ascii="Gadugi" w:hAnsi="Gadugi" w:cs="Gadugi"/>
          <w:i w:val="false"/>
          <w:color w:themeColor="text1" w:val="000000"/>
          <w:sz w:val="18"/>
          <w:szCs w:val="18"/>
        </w:rPr>
      </w:pPr>
      <w:bookmarkStart w:id="13" w:name="_Ref117019424"/>
      <w:r>
        <w:rPr>
          <w:rFonts w:cs="Gadugi" w:ascii="Gadugi" w:hAnsi="Gadugi"/>
          <w:i w:val="false"/>
          <w:iCs w:val="false"/>
          <w:color w:themeColor="text1" w:val="000000"/>
          <w:sz w:val="18"/>
          <w:szCs w:val="18"/>
        </w:rPr>
        <w:t xml:space="preserve">Encerrada a etapa de negociação, o pregoeiro verificará se o licitante provisoriamente classificado em primeiro lugar atende às condições de participação no certame, conforme previsto no </w:t>
      </w:r>
      <w:hyperlink r:id="rId13" w:tooltip="http://www.planalto.gov.br/ccivil_03/_ato2019-2022/2021/lei/L14133.htm#art14&quot; l &quot;art14">
        <w:r>
          <w:rPr>
            <w:rStyle w:val="Style"/>
            <w:rFonts w:cs="Gadugi" w:ascii="Gadugi" w:hAnsi="Gadugi"/>
            <w:i w:val="false"/>
            <w:iCs w:val="false"/>
            <w:color w:themeColor="text1" w:val="000000"/>
            <w:sz w:val="18"/>
            <w:szCs w:val="18"/>
            <w:u w:val="single"/>
          </w:rPr>
          <w:t>art. 14 da Lei nº 14.133/2021</w:t>
        </w:r>
      </w:hyperlink>
      <w:r>
        <w:rPr>
          <w:rFonts w:cs="Gadugi" w:ascii="Gadugi" w:hAnsi="Gadugi"/>
          <w:i w:val="false"/>
          <w:iCs w:val="false"/>
          <w:color w:themeColor="text1" w:val="000000"/>
          <w:sz w:val="18"/>
          <w:szCs w:val="18"/>
        </w:rPr>
        <w:t xml:space="preserve">, legislação correlata e no item 3.6 do edital, </w:t>
      </w:r>
      <w:bookmarkEnd w:id="13"/>
      <w:r>
        <w:rPr>
          <w:rFonts w:cs="Gadugi" w:ascii="Gadugi" w:hAnsi="Gadugi"/>
          <w:i w:val="false"/>
          <w:iCs w:val="false"/>
          <w:color w:themeColor="text1" w:val="000000"/>
          <w:sz w:val="18"/>
          <w:szCs w:val="18"/>
          <w:lang w:eastAsia="ar-SA"/>
        </w:rPr>
        <w:t>especialmente quanto à existência de sanção que</w:t>
      </w:r>
      <w:r>
        <w:rPr>
          <w:rFonts w:cs="Gadugi" w:ascii="Gadugi" w:hAnsi="Gadugi"/>
          <w:i w:val="false"/>
          <w:color w:themeColor="text1" w:val="000000"/>
          <w:sz w:val="18"/>
          <w:szCs w:val="18"/>
        </w:rPr>
        <w:t xml:space="preserve"> </w:t>
      </w:r>
      <w:r>
        <w:rPr>
          <w:rFonts w:cs="Gadugi" w:ascii="Gadugi" w:hAnsi="Gadugi"/>
          <w:i w:val="false"/>
          <w:iCs w:val="false"/>
          <w:color w:themeColor="text1" w:val="000000"/>
          <w:sz w:val="18"/>
          <w:szCs w:val="18"/>
          <w:lang w:eastAsia="ar-SA"/>
        </w:rPr>
        <w:t>impeça a participação no certame ou a futura contratação, mediante a consulta aos seguintes cadastros:</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lang w:eastAsia="ar-SA"/>
        </w:rPr>
        <w:t>Cadastro Nacional de Empresas Inidôneas e Suspensas - CEIS, mantido pela Controladoria-Geral da União (</w:t>
      </w:r>
      <w:hyperlink r:id="rId14" w:tooltip="https://www.portaltransparencia.gov.br/sancoes/ceis">
        <w:r>
          <w:rPr>
            <w:rStyle w:val="Style"/>
            <w:rFonts w:cs="Gadugi" w:ascii="Gadugi" w:hAnsi="Gadugi"/>
            <w:i w:val="false"/>
            <w:iCs w:val="false"/>
            <w:color w:themeColor="text1" w:val="000000"/>
            <w:sz w:val="18"/>
            <w:szCs w:val="18"/>
            <w:u w:val="single"/>
            <w:lang w:eastAsia="ar-SA"/>
          </w:rPr>
          <w:t>https://www.portaltransparencia.gov.br/sancoes/ceis</w:t>
        </w:r>
      </w:hyperlink>
      <w:r>
        <w:rPr>
          <w:rFonts w:cs="Gadugi" w:ascii="Gadugi" w:hAnsi="Gadugi"/>
          <w:i w:val="false"/>
          <w:iCs w:val="false"/>
          <w:color w:themeColor="text1" w:val="000000"/>
          <w:sz w:val="18"/>
          <w:szCs w:val="18"/>
          <w:lang w:eastAsia="ar-SA"/>
        </w:rPr>
        <w:t xml:space="preserve">); e </w:t>
      </w:r>
    </w:p>
    <w:p>
      <w:pPr>
        <w:pStyle w:val="Nvel2-Red"/>
        <w:numPr>
          <w:ilvl w:val="3"/>
          <w:numId w:val="2"/>
        </w:numPr>
        <w:spacing w:lineRule="auto" w:line="240" w:before="0" w:after="0"/>
        <w:ind w:hanging="0" w:left="1474"/>
        <w:rPr>
          <w:rFonts w:ascii="Gadugi" w:hAnsi="Gadugi" w:cs="Gadugi"/>
          <w:i w:val="false"/>
          <w:color w:themeColor="text1" w:val="000000"/>
          <w:sz w:val="18"/>
          <w:szCs w:val="18"/>
        </w:rPr>
      </w:pPr>
      <w:r>
        <w:rPr>
          <w:rFonts w:cs="Gadugi" w:ascii="Gadugi" w:hAnsi="Gadugi"/>
          <w:i w:val="false"/>
          <w:iCs w:val="false"/>
          <w:color w:themeColor="text1" w:val="000000"/>
          <w:sz w:val="18"/>
          <w:szCs w:val="18"/>
          <w:lang w:eastAsia="ar-SA"/>
        </w:rPr>
        <w:t>Cadastro Nacional de Empresas Punidas – CNEP, mantido pela Controladoria-Geral da União (</w:t>
      </w:r>
      <w:hyperlink r:id="rId15" w:tooltip="https://www.portaltransparencia.gov.br/sancoes/cnep">
        <w:r>
          <w:rPr>
            <w:rStyle w:val="Style"/>
            <w:rFonts w:cs="Gadugi" w:ascii="Gadugi" w:hAnsi="Gadugi"/>
            <w:i w:val="false"/>
            <w:iCs w:val="false"/>
            <w:color w:themeColor="text1" w:val="000000"/>
            <w:sz w:val="18"/>
            <w:szCs w:val="18"/>
            <w:u w:val="single"/>
            <w:lang w:eastAsia="ar-SA"/>
          </w:rPr>
          <w:t>https://www.portaltransparencia.gov.br/sancoes/cnep</w:t>
        </w:r>
      </w:hyperlink>
      <w:r>
        <w:rPr>
          <w:rFonts w:cs="Gadugi" w:ascii="Gadugi" w:hAnsi="Gadugi"/>
          <w:i w:val="false"/>
          <w:iCs w:val="false"/>
          <w:color w:themeColor="text1" w:val="000000"/>
          <w:sz w:val="18"/>
          <w:szCs w:val="18"/>
          <w:lang w:eastAsia="ar-SA"/>
        </w:rPr>
        <w:t>).</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consulta aos cadastros será realizada em nome da empresa licitante e também de seu sócio majoritário, por força da vedação de que trata o </w:t>
      </w:r>
      <w:hyperlink r:id="rId16" w:tooltip="https://www.planalto.gov.br/ccivil_03/leis/l8429.htm#:~:text=%C3%A0s%20seguintes%20comina%C3%A7%C3%B5es%3A-,Art.,n%C2%BA%2012.120%2C%20de%202009).&quot; l &quot;:~:text=%C3%A0s%20seguintes%20comina%C3%A7%C3%B5es%3A-,Art.,n%C2%BA%2012.120%2C%20de%202009).">
        <w:r>
          <w:rPr>
            <w:rStyle w:val="Style"/>
            <w:rFonts w:cs="Gadugi" w:ascii="Gadugi" w:hAnsi="Gadugi"/>
            <w:i w:val="false"/>
            <w:iCs w:val="false"/>
            <w:color w:themeColor="text1" w:val="000000"/>
            <w:sz w:val="18"/>
            <w:szCs w:val="18"/>
            <w:u w:val="single"/>
          </w:rPr>
          <w:t>artigo 12 da Lei n° 8.429, de 1992</w:t>
        </w:r>
      </w:hyperlink>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Nvel2-Red"/>
        <w:numPr>
          <w:ilvl w:val="3"/>
          <w:numId w:val="2"/>
        </w:numPr>
        <w:spacing w:lineRule="auto" w:line="240" w:before="0" w:after="0"/>
        <w:ind w:firstLine="510" w:left="1020"/>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tentativa de burla será verificada por meio dos vínculos societários, linhas de fornecimento similares, dentre outros.</w:t>
      </w:r>
    </w:p>
    <w:p>
      <w:pPr>
        <w:pStyle w:val="Nvel2-Red"/>
        <w:numPr>
          <w:ilvl w:val="3"/>
          <w:numId w:val="2"/>
        </w:numPr>
        <w:spacing w:lineRule="auto" w:line="240" w:before="0" w:after="0"/>
        <w:ind w:firstLine="510" w:left="102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licitante será convocado para apresentar manifestação e esclarecimentos, assegurados o contraditório e a ampla defesa, antes da adoção de qualquer decisão que possa resultar em sua desclassificação ou inabilitação.</w:t>
      </w:r>
    </w:p>
    <w:p>
      <w:pPr>
        <w:pStyle w:val="Nvel2-Red"/>
        <w:numPr>
          <w:ilvl w:val="3"/>
          <w:numId w:val="2"/>
        </w:numPr>
        <w:spacing w:lineRule="auto" w:line="240" w:before="0" w:after="0"/>
        <w:ind w:firstLine="510" w:left="1020"/>
        <w:rPr>
          <w:rFonts w:ascii="Gadugi" w:hAnsi="Gadugi" w:cs="Gadugi"/>
          <w:i w:val="false"/>
          <w:color w:themeColor="text1" w:val="000000"/>
          <w:sz w:val="18"/>
          <w:szCs w:val="18"/>
        </w:rPr>
      </w:pPr>
      <w:r>
        <w:rPr>
          <w:rFonts w:cs="Gadugi" w:ascii="Gadugi" w:hAnsi="Gadugi"/>
          <w:i w:val="false"/>
          <w:iCs w:val="false"/>
          <w:color w:themeColor="text1" w:val="000000"/>
          <w:sz w:val="18"/>
          <w:szCs w:val="18"/>
        </w:rPr>
        <w:t>Constatada a existência de sanção, o licitante será reputado inabilitado, por falta de condição de participação.</w:t>
      </w:r>
    </w:p>
    <w:p>
      <w:pPr>
        <w:pStyle w:val="Nvel2-Red"/>
        <w:numPr>
          <w:ilvl w:val="3"/>
          <w:numId w:val="2"/>
        </w:numPr>
        <w:tabs>
          <w:tab w:val="clear" w:pos="708"/>
          <w:tab w:val="left" w:pos="1479" w:leader="none"/>
        </w:tabs>
        <w:spacing w:lineRule="auto" w:line="240" w:before="0" w:after="0"/>
        <w:ind w:firstLine="510" w:left="1020"/>
        <w:rPr>
          <w:rFonts w:ascii="Gadugi" w:hAnsi="Gadugi" w:cs="Gadugi"/>
          <w:b/>
          <w:i w:val="false"/>
          <w:color w:themeColor="text1" w:val="000000"/>
          <w:sz w:val="18"/>
          <w:szCs w:val="18"/>
        </w:rPr>
      </w:pPr>
      <w:bookmarkStart w:id="14" w:name="_Hlk135317550"/>
      <w:r>
        <w:rPr>
          <w:rFonts w:cs="Gadugi" w:ascii="Gadugi" w:hAnsi="Gadugi"/>
          <w:i w:val="false"/>
          <w:iCs w:val="false"/>
          <w:color w:themeColor="text1" w:val="000000"/>
          <w:sz w:val="18"/>
          <w:szCs w:val="18"/>
        </w:rPr>
        <w:t>Na hipótese de inversão das fases de habilitação e julgamento, caso atendidas as condições de participação, será iniciado o procedimento de habilitação.</w:t>
      </w:r>
      <w:bookmarkEnd w:id="14"/>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Caso o licitante provisoriamente classificado em primeiro lugar tenha se utilizado de algum tratamento favorecido às ME/EPPs, o pregoeiro verificará se faz jus ao benefício, em conformidade com o item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_Ref117000019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3.3</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deste edital.</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Será desclassificada a proposta vencedora que: </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Contiver vícios insanáveis;</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obedecer às especificações técnicas contidas no Termo de Referência;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Apresentar preços inexequíveis ou permanecerem acima do preço máximo definido para a contratação;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tiverem sua exequibilidade demonstrada, quando exigido pela Administração;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Apresentar desconformidade com quaisquer outras exigências deste Edital ou seus anexos, desde que insanável.</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color w:themeColor="text1" w:val="000000"/>
          <w:sz w:val="18"/>
          <w:szCs w:val="18"/>
        </w:rPr>
        <w:t>Deixar de apresentar, no prazo estabelecido, a proposta readequada, quando solicitada pelo Pregoeiro.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color w:themeColor="text1" w:val="000000"/>
          <w:sz w:val="18"/>
          <w:szCs w:val="18"/>
        </w:rPr>
        <w:t>Deixar de apresentar a marca, fabricante, modelo, versão, descrição detalhada do veículo, catálogos, fichas técnicas, prospectos ou demais documentos técnicos exigidos neste Edital ou no Termo de Referência, quando solicitados para comprovação do atendimento às especificações do objeto.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color w:themeColor="text1" w:val="000000"/>
          <w:sz w:val="18"/>
          <w:szCs w:val="18"/>
        </w:rPr>
        <w:t>Não atender às diligências promovidas pelo Pregoeiro, quando destinadas ao saneamento da proposta ou à comprovação das especificações técnicas do objeto, observado o disposto no art. 64 da Lei Federal nº 14.133/2021.</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No caso de bens e serviços em geral, é indício de inexequibilidade das propostas valores inferiores a 50% (cinquenta por cento) do valor orçado pela Administração.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inexequibilidade, na hipótese de que trata o caput, só será considerada após diligência do pregoeiro, que comprove:</w:t>
      </w:r>
    </w:p>
    <w:p>
      <w:pPr>
        <w:pStyle w:val="Nvel2-Red"/>
        <w:numPr>
          <w:ilvl w:val="3"/>
          <w:numId w:val="2"/>
        </w:numPr>
        <w:spacing w:lineRule="auto" w:line="240" w:before="0" w:after="0"/>
        <w:ind w:hanging="57" w:left="1531"/>
        <w:rPr>
          <w:rFonts w:ascii="Gadugi" w:hAnsi="Gadugi" w:cs="Gadugi"/>
          <w:i w:val="false"/>
          <w:color w:themeColor="text1" w:val="000000"/>
          <w:sz w:val="18"/>
          <w:szCs w:val="18"/>
        </w:rPr>
      </w:pPr>
      <w:r>
        <w:rPr>
          <w:rFonts w:cs="Gadugi" w:ascii="Gadugi" w:hAnsi="Gadugi"/>
          <w:i w:val="false"/>
          <w:iCs w:val="false"/>
          <w:color w:themeColor="text1" w:val="000000"/>
          <w:sz w:val="18"/>
          <w:szCs w:val="18"/>
        </w:rPr>
        <w:t>Que o custo do licitante ultrapassa o valor da proposta; e</w:t>
      </w:r>
    </w:p>
    <w:p>
      <w:pPr>
        <w:pStyle w:val="Nvel2-Red"/>
        <w:numPr>
          <w:ilvl w:val="3"/>
          <w:numId w:val="2"/>
        </w:numPr>
        <w:spacing w:lineRule="auto" w:line="240" w:before="0" w:after="0"/>
        <w:ind w:hanging="0" w:left="1474"/>
        <w:rPr>
          <w:rFonts w:ascii="Gadugi" w:hAnsi="Gadugi" w:cs="Gadugi"/>
          <w:i w:val="false"/>
          <w:color w:themeColor="text1" w:val="000000"/>
          <w:sz w:val="18"/>
          <w:szCs w:val="18"/>
        </w:rPr>
      </w:pPr>
      <w:r>
        <w:rPr>
          <w:rFonts w:cs="Gadugi" w:ascii="Gadugi" w:hAnsi="Gadugi"/>
          <w:i w:val="false"/>
          <w:iCs w:val="false"/>
          <w:color w:themeColor="text1" w:val="000000"/>
          <w:sz w:val="18"/>
          <w:szCs w:val="18"/>
        </w:rPr>
        <w:t>Inexistirem custos de oportunidade capazes de justificar o vulto da oferta.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 houver indícios de inexequibilidade da proposta de preço, ou em caso da necessidade de esclarecimentos complementares, poderão ser efetuadas diligências, inclusive para apresentação de documentos técnicos, esclarecimentos ou comprovação da exequibilidade da proposta, observado o disposto no art. 64 da Lei Federal nº 14.133/2021.</w:t>
      </w:r>
      <w:bookmarkStart w:id="15" w:name="_Toc135469230"/>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lang w:eastAsia="en-US"/>
        </w:rPr>
        <w:t>Para fins de julgamento da proposta e verificação do atendimento às especificações técnicas do objeto, o Pregoeiro poderá solicitar manifestação do setor requisitante, da comissão técnica eventualmente designada ou de profissionais com conhecimento especializado, cujas conclusões subsidiarão a decisão quanto à aceitação ou rejeição da proposta.</w:t>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r>
        <w:rPr>
          <w:rFonts w:cs="Gadugi" w:ascii="Gadugi" w:hAnsi="Gadugi"/>
          <w:b/>
          <w:bCs/>
          <w:i w:val="false"/>
          <w:iCs w:val="false"/>
          <w:color w:themeColor="text1" w:val="000000"/>
          <w:sz w:val="18"/>
          <w:szCs w:val="18"/>
        </w:rPr>
        <w:t>DA FASE DE HABILITAÇÃO</w:t>
      </w:r>
      <w:bookmarkEnd w:id="15"/>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17" w:tooltip="http://www.planalto.gov.br/ccivil_03/_ato2019-2022/2021/lei/L14133.htm#art62&quot; l &quot;art62">
        <w:r>
          <w:rPr>
            <w:rStyle w:val="Style"/>
            <w:rFonts w:cs="Gadugi" w:ascii="Gadugi" w:hAnsi="Gadugi"/>
            <w:i w:val="false"/>
            <w:iCs w:val="false"/>
            <w:color w:themeColor="text1" w:val="000000"/>
            <w:sz w:val="18"/>
            <w:szCs w:val="18"/>
            <w:u w:val="single"/>
          </w:rPr>
          <w:t>arts. 62 a 70 da Lei nº 14.133, de 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Quando permitida a participação de empresas estrangeiras que não funcionem no País, as exigências de habilitação serão atendidas mediante documentos equivalentes, inicialmente apresentados em tradução livre.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consularizações pelos respectivos consulados ou embaixadas.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documentos exigidos para fins de habilitação poderão ser apresentados em formato digital, observado o disposto na Lei Federal nº 14.133/2021 e neste Edital, admitindo-se a apresentação dos originais apenas quando houver dúvida fundada quanto à autenticidade ou quando expressamente exigido por lei.</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Será verificado se o licitante apresentou declaração de que atende aos requisitos de habilitação, e o declarante responderá pela veracidade das informações prestadas, na forma da lei (</w:t>
      </w:r>
      <w:hyperlink r:id="rId18" w:tooltip="http://www.planalto.gov.br/ccivil_03/_ato2019-2022/2021/lei/L14133.htm#art63&quot; l &quot;art63">
        <w:r>
          <w:rPr>
            <w:rStyle w:val="Style"/>
            <w:rFonts w:cs="Gadugi" w:ascii="Gadugi" w:hAnsi="Gadugi"/>
            <w:i w:val="false"/>
            <w:iCs w:val="false"/>
            <w:color w:themeColor="text1" w:val="000000"/>
            <w:sz w:val="18"/>
            <w:szCs w:val="18"/>
            <w:u w:val="single"/>
          </w:rPr>
          <w:t>art. 63, I, da Lei nº 14.133/2021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licitante deverá declarar que a proposta apresentada contempla todos os custos diretos e indiretos necessários ao fornecimento integral do objeto, incluindo tributos, fretes, seguros, emplacamento (quando exigido), despesas acessórias, garantia e demais encargos necessários ao perfeito cumprimento das obrigações contratuais.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Somente haverá a necessidade de comprovação do preenchimento de requisitos mediante apresentação dos documentos de habilitação originais não digitais quando houver dúvida em relação à integridade do documento digital ou quando a lei expressamente o exigir.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não observância do disposto no item anterior poderá ensejar a inabilitação do licitante, conforme o caso.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verificação pelo pregoeiro, em sítios eletrônicos oficiais de órgãos e entidades emissores de certidões constitui meio legal de prova, para fins de habilitação.</w:t>
      </w:r>
    </w:p>
    <w:p>
      <w:pPr>
        <w:pStyle w:val="Nvel2-Red"/>
        <w:numPr>
          <w:ilvl w:val="2"/>
          <w:numId w:val="2"/>
        </w:numPr>
        <w:spacing w:lineRule="auto" w:line="240" w:before="0" w:after="0"/>
        <w:ind w:hanging="432" w:left="999"/>
        <w:rPr>
          <w:rFonts w:ascii="Gadugi" w:hAnsi="Gadugi" w:cs="Gadugi"/>
          <w:b/>
          <w:i w:val="false"/>
          <w:color w:themeColor="text1" w:val="000000"/>
          <w:sz w:val="18"/>
          <w:szCs w:val="18"/>
        </w:rPr>
      </w:pPr>
      <w:bookmarkStart w:id="16" w:name="_Ref114663151"/>
      <w:r>
        <w:rPr>
          <w:rFonts w:cs="Gadugi" w:ascii="Gadugi" w:hAnsi="Gadugi"/>
          <w:i w:val="false"/>
          <w:iCs w:val="false"/>
          <w:color w:themeColor="text1" w:val="000000"/>
          <w:sz w:val="18"/>
          <w:szCs w:val="18"/>
        </w:rPr>
        <w:t>Os documentos exigidos para habilitação serão enviados por meio do sistema, em formato digital, no prazo</w:t>
      </w:r>
      <w:r>
        <w:rPr>
          <w:rFonts w:cs="Gadugi" w:ascii="Gadugi" w:hAnsi="Gadugi"/>
          <w:b/>
          <w:bCs/>
          <w:i w:val="false"/>
          <w:iCs w:val="false"/>
          <w:color w:themeColor="text1" w:val="000000"/>
          <w:sz w:val="18"/>
          <w:szCs w:val="18"/>
        </w:rPr>
        <w:t xml:space="preserve"> de duas horas</w:t>
      </w:r>
      <w:r>
        <w:rPr>
          <w:rFonts w:cs="Gadugi" w:ascii="Gadugi" w:hAnsi="Gadugi"/>
          <w:i w:val="false"/>
          <w:iCs w:val="false"/>
          <w:color w:themeColor="text1" w:val="000000"/>
          <w:sz w:val="18"/>
          <w:szCs w:val="18"/>
        </w:rPr>
        <w:t>, prorrogável por igual período, contado da solicitação do pregoeiro.</w:t>
      </w:r>
      <w:bookmarkEnd w:id="16"/>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verificação da habilitação somente será feita em relação ao licitante vencedor.</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documentos relativos à regularidade fiscal que constem do Termo de Referência somente serão exigidos, em qualquer caso, em momento posterior ao julgamento das propostas, e apenas do licitante mais bem classificado.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Após a entrega dos documentos para habilitação, não será permitida a substituição ou a apresentação de novos documentos, salvo em sede de diligência, observado o disposto no art. 64 da Lei Federal nº 14.133/2021, sendo vedada a inclusão de documento novo destinado à comprovação de fato que deveria existir anteriormente à abertura do certame.</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Complementação de informações acerca dos documentos já apresentados pelos licitantes e desde que necessária para apurar fatos existentes à época da abertura do certame; e</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atualização de documentos cuja validade tenha expirado após a data de recebimento das propostas;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bookmarkStart w:id="17" w:name="_Ref114670319"/>
      <w:r>
        <w:rPr>
          <w:rFonts w:cs="Gadugi" w:ascii="Gadugi" w:hAnsi="Gadugi"/>
          <w:i w:val="false"/>
          <w:iCs w:val="false"/>
          <w:color w:themeColor="text1" w:val="000000"/>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17"/>
    </w:p>
    <w:p>
      <w:pPr>
        <w:pStyle w:val="Nvel2-Red"/>
        <w:numPr>
          <w:ilvl w:val="1"/>
          <w:numId w:val="2"/>
        </w:numPr>
        <w:spacing w:lineRule="auto" w:line="240" w:before="0" w:after="0"/>
        <w:ind w:hanging="432" w:left="999"/>
        <w:rPr>
          <w:rFonts w:ascii="Gadugi" w:hAnsi="Gadugi" w:cs="Gadugi"/>
          <w:i w:val="false"/>
          <w:color w:themeColor="text1" w:val="000000"/>
          <w:sz w:val="18"/>
          <w:szCs w:val="18"/>
        </w:rPr>
      </w:pPr>
      <w:bookmarkStart w:id="18" w:name="_Ref114665528"/>
      <w:r>
        <w:rPr>
          <w:rFonts w:cs="Gadugi" w:ascii="Gadugi" w:hAnsi="Gadugi"/>
          <w:i w:val="false"/>
          <w:iCs w:val="false"/>
          <w:color w:themeColor="text1" w:val="000000"/>
          <w:sz w:val="18"/>
          <w:szCs w:val="18"/>
        </w:rPr>
        <w:t>Na hipótese de o licitante não atender às exigências para habilitação, o pregoeiro examinará a proposta subsequente inclusive quanto à eventual necessidade de instauração de procedimento administrativo para apuração de infração administrativa do licitante anteriormente classificado, quando cabível, observado o disposto na Lei Federal nº 14.133/2021 e na Portaria Municipal nº 293/2026.</w:t>
      </w:r>
      <w:bookmarkEnd w:id="18"/>
    </w:p>
    <w:p>
      <w:pPr>
        <w:pStyle w:val="Nvel2-Red"/>
        <w:numPr>
          <w:ilvl w:val="1"/>
          <w:numId w:val="2"/>
        </w:numPr>
        <w:spacing w:lineRule="auto" w:line="240" w:before="0" w:after="0"/>
        <w:ind w:hanging="432" w:left="999"/>
        <w:rPr>
          <w:rFonts w:ascii="Gadugi" w:hAnsi="Gadugi" w:cs="Gadugi"/>
          <w:i w:val="false"/>
          <w:color w:themeColor="text1" w:val="000000"/>
          <w:sz w:val="18"/>
          <w:szCs w:val="18"/>
        </w:rPr>
      </w:pPr>
      <w:bookmarkStart w:id="19" w:name="_Ref114665515"/>
      <w:r>
        <w:rPr>
          <w:rFonts w:cs="Gadugi" w:ascii="Gadugi" w:hAnsi="Gadugi"/>
          <w:i w:val="false"/>
          <w:iCs w:val="false"/>
          <w:color w:themeColor="text1" w:val="000000"/>
          <w:sz w:val="18"/>
          <w:szCs w:val="18"/>
        </w:rPr>
        <w:t>Somente serão disponibilizados para acesso público os documentos de habilitação do licitante cuja proposta atenda ao edital de licitação, após concluídos os procedimentos de que trata o subitem anterior</w:t>
      </w:r>
      <w:bookmarkEnd w:id="19"/>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comprovação de regularidade fiscal e trabalhista das microempresas e das empresas de pequeno porte somente será exigida para efeito de contratação, e não como condição para participação na licitação.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20" w:name="_Toc135469233"/>
      <w:r>
        <w:rPr>
          <w:rFonts w:cs="Gadugi" w:ascii="Gadugi" w:hAnsi="Gadugi"/>
          <w:b/>
          <w:bCs/>
          <w:i w:val="false"/>
          <w:iCs w:val="false"/>
          <w:color w:themeColor="text1" w:val="000000"/>
          <w:sz w:val="18"/>
          <w:szCs w:val="18"/>
        </w:rPr>
        <w:t>DOS RECURSOS</w:t>
      </w:r>
      <w:bookmarkEnd w:id="20"/>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interposição de recurso referente ao julgamento das propostas, à habilitação ou inabilitação de licitantes, à anulação ou revogação da licitação, observará o disposto no </w:t>
      </w:r>
      <w:hyperlink r:id="rId19" w:tooltip="http://www.planalto.gov.br/ccivil_03/_ato2019-2022/2021/lei/L14133.htm#art165&quot; l &quot;art165">
        <w:r>
          <w:rPr>
            <w:rStyle w:val="Style"/>
            <w:rFonts w:cs="Gadugi" w:ascii="Gadugi" w:hAnsi="Gadugi"/>
            <w:i w:val="false"/>
            <w:iCs w:val="false"/>
            <w:color w:themeColor="text1" w:val="000000"/>
            <w:sz w:val="18"/>
            <w:szCs w:val="18"/>
          </w:rPr>
          <w:t>art. 165 da Lei nº 14.133, de 2021</w:t>
        </w:r>
      </w:hyperlink>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prazo recursal é de 3 (três) dias úteis, contados da data de intimação ou de lavratura da ata.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Quando o recurso apresentado impugnar o julgamento das propostas ou o ato de habilitação ou inabilitação do licitante:</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intenção de recorrer deverá ser manifestada imediatamente, em campo próprio do sistema eletrônico, sob pena de preclusão;</w:t>
      </w:r>
    </w:p>
    <w:p>
      <w:pPr>
        <w:pStyle w:val="Nvel2-Red"/>
        <w:numPr>
          <w:ilvl w:val="2"/>
          <w:numId w:val="2"/>
        </w:numPr>
        <w:spacing w:lineRule="auto" w:line="240" w:before="0" w:after="0"/>
        <w:ind w:hanging="432" w:left="999"/>
        <w:rPr>
          <w:rFonts w:ascii="Gadugi" w:hAnsi="Gadugi" w:cs="Gadugi"/>
          <w:b/>
          <w:i w:val="false"/>
          <w:color w:themeColor="text1" w:val="000000"/>
          <w:sz w:val="18"/>
          <w:szCs w:val="18"/>
        </w:rPr>
      </w:pPr>
      <w:bookmarkStart w:id="21" w:name="_Hlk135315794"/>
      <w:bookmarkStart w:id="22" w:name="_Hlk135318381"/>
      <w:r>
        <w:rPr>
          <w:rFonts w:cs="Gadugi" w:ascii="Gadugi" w:hAnsi="Gadugi"/>
          <w:i w:val="false"/>
          <w:iCs w:val="false"/>
          <w:color w:themeColor="text1" w:val="000000"/>
          <w:sz w:val="18"/>
          <w:szCs w:val="18"/>
        </w:rPr>
        <w:t>o prazo para a manifestação da intenção de recorrer não será inferior a 60 (sessenta) minutos.</w:t>
      </w:r>
      <w:bookmarkEnd w:id="21"/>
      <w:bookmarkEnd w:id="22"/>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prazo para apresentação das razões recursais será iniciado na data de intimação ou de lavratura da ata de habilitação ou inabilitação;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recursos deverão ser encaminhados exclusivamente em campo próprio do sistema.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Os recursos interpostos fora do prazo não serão conhecidos.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 recurso e o pedido de reconsideração terão efeito suspensivo do ato ou da decisão recorrida até que sobrevenha decisão final da autoridade competente.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 acolhimento do recurso invalida tão somente os atos insuscetíveis de aproveitamento. </w:t>
      </w:r>
    </w:p>
    <w:p>
      <w:pPr>
        <w:pStyle w:val="Nvel2-Red"/>
        <w:numPr>
          <w:ilvl w:val="0"/>
          <w:numId w:val="0"/>
        </w:numPr>
        <w:spacing w:lineRule="auto" w:line="240" w:before="0" w:after="0"/>
        <w:ind w:hanging="0" w:left="999"/>
        <w:rPr>
          <w:i w:val="false"/>
          <w:iCs w:val="false"/>
          <w:color w:themeColor="text1" w:val="000000"/>
          <w:sz w:val="18"/>
          <w:szCs w:val="18"/>
        </w:rPr>
      </w:pPr>
      <w:r>
        <w:rPr>
          <w:rFonts w:cs="Gadugi" w:ascii="Gadugi" w:hAnsi="Gadugi"/>
          <w:i w:val="false"/>
          <w:iCs w:val="false"/>
          <w:color w:themeColor="text1" w:val="000000"/>
          <w:sz w:val="18"/>
          <w:szCs w:val="18"/>
        </w:rPr>
        <w:t xml:space="preserve">Os autos do processo permanecerão à disposição dos interessados para consulta, observadas as disposições da Lei nº 12.527/2011 (Lei de Acesso à Informação), da Lei Geral de Proteção de Dados – LGPD e demais normas aplicáveis, podendo ser acessados por meio do Portal da Transparência do Município e do sistema </w:t>
      </w:r>
      <w:r>
        <w:rPr>
          <w:i w:val="false"/>
          <w:iCs w:val="false"/>
          <w:color w:themeColor="text1" w:val="000000"/>
          <w:sz w:val="18"/>
          <w:szCs w:val="18"/>
        </w:rPr>
        <w:t>eletrônico utilizado para a realização da licitação, quando disponível.</w:t>
      </w:r>
    </w:p>
    <w:p>
      <w:pPr>
        <w:pStyle w:val="Nivel2"/>
        <w:numPr>
          <w:ilvl w:val="1"/>
          <w:numId w:val="2"/>
        </w:numPr>
        <w:tabs>
          <w:tab w:val="clear" w:pos="708"/>
          <w:tab w:val="left" w:pos="567" w:leader="none"/>
        </w:tabs>
        <w:spacing w:before="0" w:after="0"/>
        <w:ind w:hanging="0" w:left="567"/>
        <w:rPr>
          <w:sz w:val="18"/>
          <w:szCs w:val="18"/>
        </w:rPr>
      </w:pPr>
      <w:r>
        <w:rPr>
          <w:sz w:val="18"/>
          <w:szCs w:val="18"/>
        </w:rPr>
        <w:t>A mera manifestação da intenção de recorrer não impede o prosseguimento dos atos subsequentes do certame, ressalvados os casos em que a legislação atribua efeito suspensivo ao recurso ou quando a autoridade competente decidir de forma diversa.</w:t>
      </w:r>
    </w:p>
    <w:p>
      <w:pPr>
        <w:pStyle w:val="Nvel2-Red"/>
        <w:numPr>
          <w:ilvl w:val="0"/>
          <w:numId w:val="0"/>
        </w:numPr>
        <w:spacing w:lineRule="auto" w:line="240" w:before="0" w:after="0"/>
        <w:ind w:hanging="0" w:left="999"/>
        <w:rPr>
          <w:rFonts w:ascii="Gadugi" w:hAnsi="Gadugi" w:cs="Gadugi"/>
          <w:b/>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23" w:name="_Toc135469234"/>
      <w:r>
        <w:rPr>
          <w:rFonts w:cs="Gadugi" w:ascii="Gadugi" w:hAnsi="Gadugi"/>
          <w:b/>
          <w:bCs/>
          <w:i w:val="false"/>
          <w:iCs w:val="false"/>
          <w:color w:themeColor="text1" w:val="000000"/>
          <w:sz w:val="18"/>
          <w:szCs w:val="18"/>
        </w:rPr>
        <w:t>DAS INFRAÇÕES ADMINISTRATIVAS E SANÇÕES</w:t>
      </w:r>
      <w:bookmarkEnd w:id="23"/>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Comete infração administrativa, nos termos da lei, o licitante que, com dolo ou culpa: </w:t>
      </w:r>
    </w:p>
    <w:p>
      <w:pPr>
        <w:pStyle w:val="Nvel2-Red"/>
        <w:numPr>
          <w:ilvl w:val="2"/>
          <w:numId w:val="2"/>
        </w:numPr>
        <w:spacing w:lineRule="auto" w:line="240" w:before="0" w:after="0"/>
        <w:ind w:hanging="432" w:left="999"/>
        <w:rPr>
          <w:rFonts w:ascii="Gadugi" w:hAnsi="Gadugi" w:cs="Gadugi"/>
          <w:b/>
          <w:i w:val="false"/>
          <w:color w:themeColor="text1" w:val="000000"/>
          <w:sz w:val="18"/>
          <w:szCs w:val="18"/>
        </w:rPr>
      </w:pPr>
      <w:bookmarkStart w:id="24" w:name="_Hlk114652595"/>
      <w:bookmarkStart w:id="25" w:name="_Ref114668085"/>
      <w:r>
        <w:rPr>
          <w:rFonts w:cs="Gadugi" w:ascii="Gadugi" w:hAnsi="Gadugi"/>
          <w:i w:val="false"/>
          <w:iCs w:val="false"/>
          <w:color w:themeColor="text1" w:val="000000"/>
          <w:sz w:val="18"/>
          <w:szCs w:val="18"/>
        </w:rPr>
        <w:t>Deixar de entregar a documentação exigida para o certame ou não entregar qualquer documento que tenha sido solicitado pelo/a pregoeiro/a durante o certame</w:t>
      </w:r>
      <w:bookmarkEnd w:id="25"/>
      <w:r>
        <w:rPr>
          <w:rFonts w:cs="Gadugi" w:ascii="Gadugi" w:hAnsi="Gadugi"/>
          <w:i w:val="false"/>
          <w:iCs w:val="false"/>
          <w:color w:themeColor="text1" w:val="000000"/>
          <w:sz w:val="18"/>
          <w:szCs w:val="18"/>
        </w:rPr>
        <w:t>, s</w:t>
      </w:r>
      <w:bookmarkStart w:id="26" w:name="_Ref114668108"/>
      <w:r>
        <w:rPr>
          <w:rFonts w:cs="Gadugi" w:ascii="Gadugi" w:hAnsi="Gadugi"/>
          <w:i w:val="false"/>
          <w:iCs w:val="false"/>
          <w:color w:themeColor="text1" w:val="000000"/>
          <w:sz w:val="18"/>
          <w:szCs w:val="18"/>
        </w:rPr>
        <w:t>alvo em decorrência de fato superveniente devidamente justificado, não mantiver a proposta em especial quando:</w:t>
      </w:r>
      <w:bookmarkEnd w:id="26"/>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Não enviar a proposta adequada ao último lance ofertado ou após a negociação; </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Recusar-se a enviar o detalhamento da proposta quando exigível; </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Pedir para ser desclassificado quando encerrada a etapa competitiva; ou </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Deixar de apresentar amostra;</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Apresentar proposta ou amostra em desacordo com as especificações do edital; </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color w:themeColor="text1" w:val="000000"/>
          <w:sz w:val="18"/>
          <w:szCs w:val="18"/>
        </w:rPr>
        <w:t>Deixar de atender, sem justificativa, às diligências promovidas pelo Pregoeiro destinadas à complementação de informações, à comprovação do atendimento às especificações técnicas do objeto ou à demonstração da exequibilidade da proposta, quando solicitadas nos termos deste Edital e da Lei Federal nº 14.133/2021.</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color w:themeColor="text1" w:val="000000"/>
          <w:sz w:val="18"/>
          <w:szCs w:val="18"/>
        </w:rPr>
        <w:t>Deixar de apresentar, no prazo estabelecido, a proposta readequada, os documentos técnicos, catálogos, fichas técnicas ou demais documentos exigidos neste Edital, quando regularmente solicitados pelo Pregoeiro.</w:t>
      </w:r>
    </w:p>
    <w:p>
      <w:pPr>
        <w:pStyle w:val="Nvel2-Red"/>
        <w:numPr>
          <w:ilvl w:val="2"/>
          <w:numId w:val="2"/>
        </w:numPr>
        <w:spacing w:lineRule="auto" w:line="240" w:before="0" w:after="0"/>
        <w:ind w:hanging="432" w:left="999"/>
        <w:rPr>
          <w:rFonts w:ascii="Gadugi" w:hAnsi="Gadugi" w:cs="Gadugi"/>
          <w:b/>
          <w:i w:val="false"/>
          <w:color w:themeColor="text1" w:val="000000"/>
          <w:sz w:val="18"/>
          <w:szCs w:val="18"/>
        </w:rPr>
      </w:pPr>
      <w:bookmarkStart w:id="27" w:name="_Ref114668139"/>
      <w:r>
        <w:rPr>
          <w:rFonts w:cs="Gadugi" w:ascii="Gadugi" w:hAnsi="Gadugi"/>
          <w:i w:val="false"/>
          <w:iCs w:val="false"/>
          <w:color w:themeColor="text1" w:val="000000"/>
          <w:sz w:val="18"/>
          <w:szCs w:val="18"/>
        </w:rPr>
        <w:t>Não celebrar o contrato ou não entregar a documentação exigida para a contratação, quando convocado dentro do prazo de validade de sua proposta;</w:t>
      </w:r>
      <w:bookmarkEnd w:id="27"/>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Recusar-se, sem justificativa, a assinar o contrato ou a ata de registro de preço, ou a aceitar ou retirar o instrumento equivalente no prazo estabelecido pela Administração;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bookmarkStart w:id="28" w:name="_Ref114668249"/>
      <w:r>
        <w:rPr>
          <w:rFonts w:cs="Gadugi" w:ascii="Gadugi" w:hAnsi="Gadugi"/>
          <w:i w:val="false"/>
          <w:iCs w:val="false"/>
          <w:color w:themeColor="text1" w:val="000000"/>
          <w:sz w:val="18"/>
          <w:szCs w:val="18"/>
        </w:rPr>
        <w:t>Apresentar declaração ou documentação falsa exigida para o certame ou prestar declaração falsa durante a licitação</w:t>
      </w:r>
      <w:bookmarkEnd w:id="28"/>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Fraudar a licitação ou praticar qualquer ato destinado a frustrar seu caráter competitivo,</w:t>
      </w:r>
    </w:p>
    <w:p>
      <w:pPr>
        <w:pStyle w:val="Nvel2-Red"/>
        <w:numPr>
          <w:ilvl w:val="2"/>
          <w:numId w:val="2"/>
        </w:numPr>
        <w:spacing w:lineRule="auto" w:line="240" w:before="0" w:after="0"/>
        <w:ind w:hanging="432" w:left="999"/>
        <w:rPr>
          <w:rFonts w:ascii="Gadugi" w:hAnsi="Gadugi" w:cs="Gadugi"/>
          <w:b/>
          <w:i w:val="false"/>
          <w:color w:themeColor="text1" w:val="000000"/>
          <w:sz w:val="18"/>
          <w:szCs w:val="18"/>
        </w:rPr>
      </w:pPr>
      <w:bookmarkStart w:id="29" w:name="_Ref114668247"/>
      <w:r>
        <w:rPr>
          <w:rFonts w:cs="Gadugi" w:ascii="Gadugi" w:hAnsi="Gadugi"/>
          <w:i w:val="false"/>
          <w:iCs w:val="false"/>
          <w:color w:themeColor="text1" w:val="000000"/>
          <w:sz w:val="18"/>
          <w:szCs w:val="18"/>
        </w:rPr>
        <w:t>Comportar-se de modo inidôneo ou cometer fraude de qualquer natureza, em especial quando:</w:t>
      </w:r>
      <w:bookmarkEnd w:id="29"/>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Agir em conluio ou em desconformidade com a lei; </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Induzir deliberadamente a erro no julgamento; </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Apresentar amostra falsificada ou deteriorada; </w:t>
      </w:r>
    </w:p>
    <w:p>
      <w:pPr>
        <w:pStyle w:val="Nvel2-Red"/>
        <w:numPr>
          <w:ilvl w:val="3"/>
          <w:numId w:val="2"/>
        </w:numPr>
        <w:spacing w:lineRule="auto" w:line="240" w:before="0" w:after="0"/>
        <w:ind w:hanging="432" w:left="999"/>
        <w:rPr>
          <w:rFonts w:ascii="Gadugi" w:hAnsi="Gadugi" w:cs="Gadugi"/>
          <w:b/>
          <w:i w:val="false"/>
          <w:color w:themeColor="text1" w:val="000000"/>
          <w:sz w:val="18"/>
          <w:szCs w:val="18"/>
        </w:rPr>
      </w:pPr>
      <w:bookmarkStart w:id="30" w:name="_Ref114668251"/>
      <w:r>
        <w:rPr>
          <w:rFonts w:cs="Gadugi" w:ascii="Gadugi" w:hAnsi="Gadugi"/>
          <w:i w:val="false"/>
          <w:iCs w:val="false"/>
          <w:color w:themeColor="text1" w:val="000000"/>
          <w:sz w:val="18"/>
          <w:szCs w:val="18"/>
        </w:rPr>
        <w:t>Praticar atos ilícitos com vistas a frustrar os objetivos da licitação</w:t>
      </w:r>
      <w:bookmarkEnd w:id="30"/>
    </w:p>
    <w:p>
      <w:pPr>
        <w:pStyle w:val="Nvel2-Red"/>
        <w:numPr>
          <w:ilvl w:val="3"/>
          <w:numId w:val="2"/>
        </w:numPr>
        <w:spacing w:lineRule="auto" w:line="240" w:before="0" w:after="0"/>
        <w:ind w:hanging="432" w:left="999"/>
        <w:rPr>
          <w:rFonts w:ascii="Gadugi" w:hAnsi="Gadugi" w:cs="Gadugi"/>
          <w:b/>
          <w:i w:val="false"/>
          <w:color w:themeColor="text1" w:val="000000"/>
          <w:sz w:val="18"/>
          <w:szCs w:val="18"/>
        </w:rPr>
      </w:pPr>
      <w:bookmarkStart w:id="31" w:name="_Ref114668252"/>
      <w:r>
        <w:rPr>
          <w:rFonts w:cs="Gadugi" w:ascii="Gadugi" w:hAnsi="Gadugi"/>
          <w:i w:val="false"/>
          <w:iCs w:val="false"/>
          <w:color w:themeColor="text1" w:val="000000"/>
          <w:sz w:val="18"/>
          <w:szCs w:val="18"/>
        </w:rPr>
        <w:t xml:space="preserve">Praticar ato lesivo previsto no </w:t>
      </w:r>
      <w:hyperlink r:id="rId20" w:tooltip="https://www.planalto.gov.br/ccivil_03/_ato2011-2014/2013/lei/l12846.htm#art5&quot; l &quot;art5">
        <w:r>
          <w:rPr>
            <w:rStyle w:val="Style"/>
            <w:rFonts w:cs="Gadugi" w:ascii="Gadugi" w:hAnsi="Gadugi"/>
            <w:i w:val="false"/>
            <w:iCs w:val="false"/>
            <w:color w:themeColor="text1" w:val="000000"/>
            <w:sz w:val="18"/>
            <w:szCs w:val="18"/>
          </w:rPr>
          <w:t>art. 5º da Lei n.º 12.846, de 2013</w:t>
        </w:r>
      </w:hyperlink>
      <w:r>
        <w:rPr>
          <w:rFonts w:cs="Gadugi" w:ascii="Gadugi" w:hAnsi="Gadugi"/>
          <w:i w:val="false"/>
          <w:iCs w:val="false"/>
          <w:color w:themeColor="text1" w:val="000000"/>
          <w:sz w:val="18"/>
          <w:szCs w:val="18"/>
        </w:rPr>
        <w:t>.</w:t>
      </w:r>
      <w:bookmarkEnd w:id="24"/>
      <w:bookmarkEnd w:id="31"/>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Com fulcro na </w:t>
      </w:r>
      <w:hyperlink r:id="rId21" w:tooltip="http://www.planalto.gov.br/ccivil_03/_ato2019-2022/2021/lei/L14133.htm">
        <w:r>
          <w:rPr>
            <w:rStyle w:val="Style"/>
            <w:rFonts w:cs="Gadugi" w:ascii="Gadugi" w:hAnsi="Gadugi"/>
            <w:i w:val="false"/>
            <w:iCs w:val="false"/>
            <w:color w:themeColor="text1" w:val="000000"/>
            <w:sz w:val="18"/>
            <w:szCs w:val="18"/>
            <w:u w:val="single"/>
          </w:rPr>
          <w:t>Lei nº 14.133, de 2021</w:t>
        </w:r>
      </w:hyperlink>
      <w:r>
        <w:rPr>
          <w:rFonts w:cs="Gadugi" w:ascii="Gadugi" w:hAnsi="Gadugi"/>
          <w:i w:val="false"/>
          <w:iCs w:val="false"/>
          <w:color w:themeColor="text1" w:val="000000"/>
          <w:sz w:val="18"/>
          <w:szCs w:val="18"/>
        </w:rPr>
        <w:t xml:space="preserve">, a Administração poderá, garantida a prévia defesa, aplicar aos licitantes e/ou adjudicatários as seguintes sanções, sem prejuízo das responsabilidades civil e criminal: </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Advertência;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Multa;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Impedimento de licitar e contratar e</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Declaração de inidoneidade para licitar ou contratar, enquanto perdurarem os motivos determinantes da punição ou até que seja promovida sua reabilitação perante a própria autoridade que aplicou a penalidade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aplicação das sanções serão considerados:</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natureza e a gravidade da infração cometida.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As peculiaridades do caso concreto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As circunstâncias agravantes ou atenuantes</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danos que dela provierem para a Administração Pública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implantação ou o aperfeiçoamento de programa de integridade, conforme normas e orientações dos órgãos de controle.</w:t>
      </w:r>
    </w:p>
    <w:p>
      <w:pPr>
        <w:pStyle w:val="Nvel2-Red"/>
        <w:numPr>
          <w:ilvl w:val="2"/>
          <w:numId w:val="2"/>
        </w:numPr>
        <w:spacing w:lineRule="auto" w:line="240" w:before="0" w:after="0"/>
        <w:ind w:hanging="432" w:left="999"/>
        <w:rPr>
          <w:rFonts w:ascii="Gadugi" w:hAnsi="Gadugi" w:cs="Gadugi"/>
          <w:b/>
          <w:i w:val="false"/>
          <w:color w:themeColor="text1" w:val="000000"/>
          <w:sz w:val="18"/>
          <w:szCs w:val="18"/>
        </w:rPr>
      </w:pPr>
      <w:r>
        <w:rPr>
          <w:rFonts w:cs="Gadugi" w:ascii="Gadugi" w:hAnsi="Gadugi"/>
          <w:i w:val="false"/>
          <w:iCs w:val="false"/>
          <w:color w:themeColor="text1" w:val="000000"/>
          <w:sz w:val="18"/>
          <w:szCs w:val="18"/>
        </w:rPr>
        <w:t xml:space="preserve">A multa será recolhida em percentual de 30% incidente sobre o valor do contrato licitado, </w:t>
      </w:r>
      <w:bookmarkStart w:id="32" w:name="_Hlk113876035"/>
      <w:r>
        <w:rPr>
          <w:rFonts w:cs="Gadugi" w:ascii="Gadugi" w:hAnsi="Gadugi"/>
          <w:b/>
          <w:bCs/>
          <w:i w:val="false"/>
          <w:iCs w:val="false"/>
          <w:color w:themeColor="text1" w:val="000000"/>
          <w:sz w:val="18"/>
          <w:szCs w:val="18"/>
        </w:rPr>
        <w:t>recolhida no prazo máximo de 05 (cinco) dias úteis</w:t>
      </w:r>
      <w:r>
        <w:rPr>
          <w:rFonts w:cs="Gadugi" w:ascii="Gadugi" w:hAnsi="Gadugi"/>
          <w:i w:val="false"/>
          <w:iCs w:val="false"/>
          <w:color w:themeColor="text1" w:val="000000"/>
          <w:sz w:val="18"/>
          <w:szCs w:val="18"/>
        </w:rPr>
        <w:t>, contado da comunicação oficial.</w:t>
      </w:r>
    </w:p>
    <w:p>
      <w:pPr>
        <w:pStyle w:val="Nvel2-Red"/>
        <w:numPr>
          <w:ilvl w:val="2"/>
          <w:numId w:val="2"/>
        </w:numPr>
        <w:spacing w:lineRule="auto" w:line="240" w:before="0" w:after="0"/>
        <w:ind w:hanging="432" w:left="999"/>
        <w:rPr>
          <w:rFonts w:ascii="Gadugi" w:hAnsi="Gadugi" w:cs="Gadugi"/>
          <w:b/>
          <w:i w:val="false"/>
          <w:color w:themeColor="text1" w:val="000000"/>
          <w:sz w:val="18"/>
          <w:szCs w:val="18"/>
        </w:rPr>
      </w:pPr>
      <w:r>
        <w:rPr>
          <w:rFonts w:cs="Gadugi" w:ascii="Gadugi" w:hAnsi="Gadugi"/>
          <w:i w:val="false"/>
          <w:iCs w:val="false"/>
          <w:color w:themeColor="text1" w:val="000000"/>
          <w:sz w:val="18"/>
          <w:szCs w:val="18"/>
        </w:rPr>
        <w:t xml:space="preserve">Para as infrações previstas nos itens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_Ref114668085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9.1.1</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_Ref114668139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9.1.2</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a multa será de 15% do valor do contrato licitado.</w:t>
      </w:r>
      <w:bookmarkEnd w:id="32"/>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Para as infrações previstas nos itens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_Ref114668249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9.1.3</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_Ref114668247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9.1.5</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_Ref114668251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9.1.5.4</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_Ref114668252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9.1.5.5</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a multa será de 30% do valor do contrato licitado.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As sanções de advertência, impedimento de licitar e contratar e declaração de inidoneidade para licitar ou contratar poderão ser aplicadas, cumulativamente ou não, à penalidade de multa.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aplicação da sanção de multa será facultada a defesa do interessado no prazo de 15 (quinze) dias úteis, contado da data de sua intimação.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sanção de impedimento de licitar e contratar será aplicada ao responsável em decorrência das infrações administrativas relacionadas nos itens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_Ref114668085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9.1.1</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_Ref114668139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9.1.2</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Poderá ser aplicada ao responsável a sanção de declaração de inidoneidade para licitar ou contratar, em decorrência da prática das infrações dispostas nos itens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_Ref114668249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9.1.3</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_Ref114668247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9.1.5</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_Ref114668251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9.1.5.4</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_Ref114668252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9.1.5.5</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bem como pelas infrações administrativas previstas nos itens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_Ref114668085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9.1.1</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_Ref114668139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9.1.2</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que justifiquem a imposição de penalidade mais grave que a sanção de impedimento de licitar e contratar, cuja duração observará o prazo previsto no </w:t>
      </w:r>
      <w:hyperlink r:id="rId22" w:tooltip="http://www.planalto.gov.br/ccivil_03/_ato2019-2022/2021/lei/L14133.htm#art156§5&quot; l &quot;art156§5">
        <w:r>
          <w:rPr>
            <w:rStyle w:val="Style"/>
            <w:rFonts w:cs="Gadugi" w:ascii="Gadugi" w:hAnsi="Gadugi"/>
            <w:i w:val="false"/>
            <w:iCs w:val="false"/>
            <w:color w:themeColor="text1" w:val="000000"/>
            <w:sz w:val="18"/>
            <w:szCs w:val="18"/>
          </w:rPr>
          <w:t>art. 156, §5º, da Lei n.º 14.133/2021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recusa injustificada do adjudicatário em assinar o contrato ou a ata de registro de preço, ou em aceitar ou retirar o instrumento equivalente no prazo estabelecido pela Administração, descrita no item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_Ref114668139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9.1.2</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caracterizará o descumprimento total da obrigação assumida e o sujeitará às penalidades e à imediata perda da garantia de proposta em favor do órgão ou entidade promotora da licitação.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apuração das infrações administrativas e a aplicação das sanções previstas neste Edital observarão o procedimento estabelecido na Lei Federal nº 14.133/2021 e na regulamentação municipal aplicável, sendo conduzidas pela Comissão de Sanções e Penalidades instituída pela Portaria Municipal nº 293/2026, assegurados o contraditório e a ampla defesa.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recurso e o pedido de reconsideração terão efeito suspensivo do ato ou da decisão recorrida até que sobrevenha decisão final da autoridade competente.</w:t>
      </w:r>
    </w:p>
    <w:p>
      <w:pPr>
        <w:pStyle w:val="Nvel2-Red"/>
        <w:numPr>
          <w:ilvl w:val="1"/>
          <w:numId w:val="2"/>
        </w:numPr>
        <w:spacing w:lineRule="auto" w:line="240" w:before="0" w:after="0"/>
        <w:ind w:hanging="432" w:left="999"/>
        <w:rPr>
          <w:rFonts w:ascii="Gadugi" w:hAnsi="Gadugi" w:cs="Gadugi"/>
          <w:sz w:val="18"/>
          <w:szCs w:val="18"/>
        </w:rPr>
      </w:pPr>
      <w:r>
        <w:rPr>
          <w:rFonts w:cs="Gadugi" w:ascii="Gadugi" w:hAnsi="Gadugi"/>
          <w:i w:val="false"/>
          <w:iCs w:val="false"/>
          <w:color w:themeColor="text1" w:val="000000"/>
          <w:sz w:val="18"/>
          <w:szCs w:val="18"/>
        </w:rPr>
        <w:t>A aplicação das sanções previstas neste edital não exclui, em hipótese alguma, a obrigação de reparação integral dos danos causados</w:t>
      </w:r>
      <w:r>
        <w:rPr>
          <w:rFonts w:cs="Gadugi" w:ascii="Gadugi" w:hAnsi="Gadugi"/>
          <w:sz w:val="18"/>
          <w:szCs w:val="18"/>
        </w:rPr>
        <w:t>.</w:t>
      </w:r>
    </w:p>
    <w:p>
      <w:pPr>
        <w:pStyle w:val="Nvel2-Red"/>
        <w:numPr>
          <w:ilvl w:val="1"/>
          <w:numId w:val="2"/>
        </w:numPr>
        <w:spacing w:lineRule="auto" w:line="240" w:before="0" w:after="0"/>
        <w:ind w:hanging="432" w:left="999"/>
        <w:rPr>
          <w:rFonts w:ascii="Gadugi" w:hAnsi="Gadugi" w:cs="Gadugi"/>
          <w:i w:val="false"/>
          <w:iCs w:val="false"/>
          <w:color w:val="auto"/>
          <w:sz w:val="18"/>
          <w:szCs w:val="18"/>
        </w:rPr>
      </w:pPr>
      <w:r>
        <w:rPr>
          <w:rFonts w:cs="Gadugi" w:ascii="Gadugi" w:hAnsi="Gadugi"/>
          <w:i w:val="false"/>
          <w:iCs w:val="false"/>
          <w:color w:val="auto"/>
          <w:sz w:val="18"/>
          <w:szCs w:val="18"/>
        </w:rPr>
        <w:t>A aplicação das sanções previstas neste Edital não afasta a possibilidade de rescisão contratual, execução de eventual garantia contratual, cobrança de perdas e danos, comunicação aos órgãos de controle e adoção das demais medidas administrativas e judiciais cabíveis, quando caracterizado prejuízo à Administração.</w:t>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33" w:name="_Toc135469235"/>
      <w:r>
        <w:rPr>
          <w:rFonts w:cs="Gadugi" w:ascii="Gadugi" w:hAnsi="Gadugi"/>
          <w:b/>
          <w:bCs/>
          <w:i w:val="false"/>
          <w:iCs w:val="false"/>
          <w:color w:themeColor="text1" w:val="000000"/>
          <w:sz w:val="18"/>
          <w:szCs w:val="18"/>
        </w:rPr>
        <w:t>DA IMPUGNAÇÃO AO EDITAL E DO PEDIDO DE ESCLARECIMENTO</w:t>
      </w:r>
      <w:bookmarkEnd w:id="33"/>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Qualquer pessoa é parte legítima para impugnar este Edital por irregularidade na aplicação da </w:t>
      </w:r>
      <w:hyperlink r:id="rId23" w:tooltip="http://www.planalto.gov.br/ccivil_03/_ato2019-2022/2021/lei/L14133.htm">
        <w:r>
          <w:rPr>
            <w:rStyle w:val="Style"/>
            <w:rFonts w:cs="Gadugi" w:ascii="Gadugi" w:hAnsi="Gadugi"/>
            <w:i w:val="false"/>
            <w:iCs w:val="false"/>
            <w:color w:themeColor="text1" w:val="000000"/>
            <w:sz w:val="18"/>
            <w:szCs w:val="18"/>
          </w:rPr>
          <w:t>Lei nº 14.133, de 2021</w:t>
        </w:r>
      </w:hyperlink>
      <w:r>
        <w:rPr>
          <w:rFonts w:cs="Gadugi" w:ascii="Gadugi" w:hAnsi="Gadugi"/>
          <w:i w:val="false"/>
          <w:iCs w:val="false"/>
          <w:color w:themeColor="text1" w:val="000000"/>
          <w:sz w:val="18"/>
          <w:szCs w:val="18"/>
        </w:rPr>
        <w:t>, devendo protocolar o pedido até 3 (três) dias úteis antes da data da abertura do certame.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resposta à impugnação ou ao pedido de esclarecimento será divulgado em sítio eletrônico oficial no prazo de até 3 (três) dias úteis, limitado ao último dia útil anterior à data da abertura do certame.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impugnação e o pedido de esclarecimento deverão ser realizados </w:t>
      </w:r>
      <w:r>
        <w:rPr>
          <w:rFonts w:cs="Gadugi" w:ascii="Gadugi" w:hAnsi="Gadugi"/>
          <w:b/>
          <w:bCs/>
          <w:i w:val="false"/>
          <w:iCs w:val="false"/>
          <w:color w:themeColor="text1" w:val="000000"/>
          <w:sz w:val="18"/>
          <w:szCs w:val="18"/>
        </w:rPr>
        <w:t>EXCLUSIVAMENTE</w:t>
      </w:r>
      <w:r>
        <w:rPr>
          <w:rFonts w:cs="Gadugi" w:ascii="Gadugi" w:hAnsi="Gadugi"/>
          <w:i w:val="false"/>
          <w:iCs w:val="false"/>
          <w:color w:themeColor="text1" w:val="000000"/>
          <w:sz w:val="18"/>
          <w:szCs w:val="18"/>
        </w:rPr>
        <w:t xml:space="preserve"> por forma eletrônica, pelos seguintes meios: </w:t>
      </w:r>
      <w:hyperlink r:id="rId24">
        <w:r>
          <w:rPr>
            <w:rStyle w:val="Style"/>
            <w:rFonts w:cs="Gadugi" w:ascii="Gadugi" w:hAnsi="Gadugi"/>
            <w:i w:val="false"/>
            <w:iCs w:val="false"/>
            <w:color w:themeColor="text1" w:val="000000"/>
            <w:sz w:val="18"/>
            <w:szCs w:val="18"/>
            <w:u w:val="single"/>
          </w:rPr>
          <w:t>licita@santabarbaradosul.rs.gov.br</w:t>
        </w:r>
      </w:hyperlink>
      <w:r>
        <w:rPr>
          <w:rFonts w:cs="Gadugi" w:ascii="Gadugi" w:hAnsi="Gadugi"/>
          <w:i w:val="false"/>
          <w:iCs w:val="false"/>
          <w:color w:themeColor="text1" w:val="000000"/>
          <w:sz w:val="18"/>
          <w:szCs w:val="18"/>
        </w:rPr>
        <w:t xml:space="preserve"> ou </w:t>
      </w:r>
      <w:hyperlink r:id="rId25">
        <w:r>
          <w:rPr>
            <w:rStyle w:val="Style"/>
            <w:rFonts w:cs="Gadugi" w:ascii="Gadugi" w:hAnsi="Gadugi"/>
            <w:i w:val="false"/>
            <w:iCs w:val="false"/>
            <w:color w:themeColor="text1" w:val="000000"/>
            <w:sz w:val="18"/>
            <w:szCs w:val="18"/>
            <w:u w:val="single"/>
          </w:rPr>
          <w:t>https://pregaobanrisul.com.br/</w:t>
        </w:r>
      </w:hyperlink>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As impugnações e pedidos de esclarecimentos não suspendem os prazos previstos no certame.</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concessão de efeito suspensivo à impugnação é medida excepcional e deverá ser motivada pelo agente de contratação, nos autos do processo de licitação.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Acolhida a impugnação, será definida e publicada nova data para a realização do certame.</w:t>
      </w:r>
    </w:p>
    <w:p>
      <w:pPr>
        <w:pStyle w:val="Nvel2-Red"/>
        <w:numPr>
          <w:ilvl w:val="0"/>
          <w:numId w:val="0"/>
        </w:numPr>
        <w:spacing w:lineRule="auto" w:line="240" w:before="0" w:after="0"/>
        <w:ind w:hanging="0" w:left="0"/>
        <w:rPr>
          <w:rFonts w:ascii="Gadugi" w:hAnsi="Gadugi" w:cs="Gadugi"/>
          <w:b/>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34" w:name="_Toc135469236"/>
      <w:r>
        <w:rPr>
          <w:rFonts w:cs="Gadugi" w:ascii="Gadugi" w:hAnsi="Gadugi"/>
          <w:b/>
          <w:bCs/>
          <w:i w:val="false"/>
          <w:iCs w:val="false"/>
          <w:color w:themeColor="text1" w:val="000000"/>
          <w:sz w:val="18"/>
          <w:szCs w:val="18"/>
        </w:rPr>
        <w:t>DAS DISPOSIÇÕES GERAIS</w:t>
      </w:r>
      <w:bookmarkEnd w:id="34"/>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Será divulgada ata da sessão pública no sistema eletrônico.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Todas as referências de tempo no Edital, no aviso e durante a sessão pública observarão o horário de Brasília/ DF.</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homologação do resultado desta licitação não gerando ao licitante vencedor direito subjetivo à contratação, permanecendo esta condicionada à conveniência e oportunidade da Administração e à existência de disponibilidade orçamentária, quando exigível.</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contagem dos prazos estabelecidos neste Edital e seus Anexos, excluir-se-á o dia do início e incluir-se-á o do vencimento. Só se iniciam e vencem os prazos em dias de expediente na Administração.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desatendimento de exigências formais não essenciais não importará o afastamento do licitante, desde que seja possível o aproveitamento do ato, observados os princípios da isonomia e do interesse público.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Em caso de divergência entre disposições deste Edital e de seus anexos ou demais peças que compõem o processo, prevalecerão as disposições constantes deste Edital.</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 Edital e seus anexos estarão disponíveis, na íntegra, no Portal Nacional de Contratações Públicas (PNCP), no Portal de Compras utilizado para a realização da licitação e no sítio eletrônico oficial do Município de Santa Bárbara do Sul, no endereço </w:t>
      </w:r>
      <w:hyperlink r:id="rId26" w:tgtFrame="_new">
        <w:r>
          <w:rPr>
            <w:rStyle w:val="Hyperlink"/>
            <w:rFonts w:cs="Gadugi" w:ascii="Gadugi" w:hAnsi="Gadugi"/>
            <w:i w:val="false"/>
            <w:iCs w:val="false"/>
            <w:sz w:val="18"/>
            <w:szCs w:val="18"/>
          </w:rPr>
          <w:t>www.santabarbaradosul.rs.gov.br</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Integram este Edital, para todos os fins e efeitos, os seguintes anexos:</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ANEXO I - Termo de Referência.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Apêndice do Anexo I – Estudo Técnico Preliminar.</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ANEXO II – Modelo Proposta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ANEXO III – Minuta do Contrato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ANEXO IV – Autorização Autoridade Competente</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ANEXO V – Extrato de Aviso de Edital </w:t>
      </w:r>
    </w:p>
    <w:p>
      <w:pPr>
        <w:pStyle w:val="Normal"/>
        <w:rPr>
          <w:rFonts w:ascii="Gadugi" w:hAnsi="Gadugi" w:cs="Gadugi"/>
          <w:color w:val="000000"/>
          <w:sz w:val="18"/>
          <w:szCs w:val="18"/>
        </w:rPr>
      </w:pPr>
      <w:r>
        <w:rPr>
          <w:rFonts w:cs="Gadugi" w:ascii="Gadugi" w:hAnsi="Gadugi"/>
          <w:color w:val="000000"/>
          <w:sz w:val="18"/>
          <w:szCs w:val="18"/>
        </w:rPr>
      </w:r>
    </w:p>
    <w:p>
      <w:pPr>
        <w:pStyle w:val="Normal"/>
        <w:spacing w:lineRule="auto" w:line="360"/>
        <w:jc w:val="right"/>
        <w:rPr>
          <w:rFonts w:ascii="Gadugi" w:hAnsi="Gadugi"/>
          <w:sz w:val="18"/>
          <w:szCs w:val="18"/>
          <w:shd w:fill="FFFFFF" w:val="clear"/>
        </w:rPr>
      </w:pPr>
      <w:r>
        <w:rPr>
          <w:rFonts w:ascii="Gadugi" w:hAnsi="Gadugi"/>
          <w:sz w:val="18"/>
          <w:szCs w:val="18"/>
          <w:shd w:fill="FFFFFF" w:val="clear"/>
        </w:rPr>
      </w:r>
    </w:p>
    <w:p>
      <w:pPr>
        <w:pStyle w:val="Normal"/>
        <w:spacing w:lineRule="auto" w:line="360"/>
        <w:jc w:val="right"/>
        <w:rPr>
          <w:rFonts w:ascii="Gadugi" w:hAnsi="Gadugi"/>
          <w:sz w:val="18"/>
          <w:szCs w:val="18"/>
          <w:shd w:fill="FFFFFF" w:val="clear"/>
        </w:rPr>
      </w:pPr>
      <w:r>
        <w:rPr>
          <w:rFonts w:ascii="Gadugi" w:hAnsi="Gadugi"/>
          <w:sz w:val="18"/>
          <w:szCs w:val="18"/>
          <w:shd w:fill="FFFFFF" w:val="clear"/>
        </w:rPr>
      </w:r>
    </w:p>
    <w:p>
      <w:pPr>
        <w:pStyle w:val="Normal"/>
        <w:spacing w:lineRule="auto" w:line="360"/>
        <w:jc w:val="right"/>
        <w:rPr>
          <w:rFonts w:ascii="Gadugi" w:hAnsi="Gadugi"/>
          <w:sz w:val="18"/>
          <w:szCs w:val="18"/>
        </w:rPr>
      </w:pPr>
      <w:r>
        <w:rPr>
          <w:rFonts w:ascii="Gadugi" w:hAnsi="Gadugi"/>
          <w:sz w:val="18"/>
          <w:szCs w:val="18"/>
          <w:shd w:fill="FFFFFF" w:val="clear"/>
        </w:rPr>
        <w:t>Santa Bárbara do Sul/RS, 20 de julho de 2026.</w:t>
      </w:r>
    </w:p>
    <w:p>
      <w:pPr>
        <w:pStyle w:val="Normal"/>
        <w:jc w:val="center"/>
        <w:rPr>
          <w:rFonts w:ascii="Gadugi" w:hAnsi="Gadugi" w:cs="Gadugi"/>
          <w:color w:val="000000"/>
          <w:sz w:val="18"/>
          <w:szCs w:val="18"/>
        </w:rPr>
      </w:pPr>
      <w:r>
        <w:rPr>
          <w:rFonts w:cs="Gadugi" w:ascii="Gadugi" w:hAnsi="Gadugi"/>
          <w:color w:val="000000"/>
          <w:sz w:val="18"/>
          <w:szCs w:val="18"/>
        </w:rPr>
      </w:r>
    </w:p>
    <w:p>
      <w:pPr>
        <w:pStyle w:val="Normal"/>
        <w:jc w:val="center"/>
        <w:rPr>
          <w:rFonts w:ascii="Gadugi" w:hAnsi="Gadugi" w:cs="Gadugi"/>
          <w:color w:val="000000"/>
          <w:sz w:val="18"/>
          <w:szCs w:val="18"/>
        </w:rPr>
      </w:pPr>
      <w:r>
        <w:rPr>
          <w:rFonts w:cs="Gadugi" w:ascii="Gadugi" w:hAnsi="Gadugi"/>
          <w:color w:val="000000"/>
          <w:sz w:val="18"/>
          <w:szCs w:val="18"/>
        </w:rPr>
      </w:r>
    </w:p>
    <w:p>
      <w:pPr>
        <w:pStyle w:val="Normal"/>
        <w:rPr>
          <w:rFonts w:ascii="Gadugi" w:hAnsi="Gadugi" w:cs="Gadugi"/>
          <w:i/>
          <w:iCs/>
          <w:color w:themeColor="text1" w:val="000000"/>
          <w:sz w:val="18"/>
          <w:szCs w:val="18"/>
        </w:rPr>
      </w:pPr>
      <w:r>
        <w:rPr>
          <w:rFonts w:cs="Gadugi" w:ascii="Gadugi" w:hAnsi="Gadugi"/>
          <w:i/>
          <w:iCs/>
          <w:color w:themeColor="text1" w:val="000000"/>
          <w:sz w:val="18"/>
          <w:szCs w:val="18"/>
        </w:rPr>
      </w:r>
    </w:p>
    <w:p>
      <w:pPr>
        <w:pStyle w:val="Normal"/>
        <w:jc w:val="center"/>
        <w:rPr>
          <w:rFonts w:ascii="Gadugi" w:hAnsi="Gadugi" w:cs="Gadugi"/>
          <w:i/>
          <w:iCs/>
          <w:color w:themeColor="text1" w:val="000000"/>
          <w:sz w:val="18"/>
          <w:szCs w:val="18"/>
        </w:rPr>
      </w:pPr>
      <w:r>
        <w:rPr>
          <w:rFonts w:cs="Gadugi" w:ascii="Gadugi" w:hAnsi="Gadugi"/>
          <w:i/>
          <w:iCs/>
          <w:color w:themeColor="text1" w:val="000000"/>
          <w:sz w:val="18"/>
          <w:szCs w:val="18"/>
        </w:rPr>
      </w:r>
    </w:p>
    <w:p>
      <w:pPr>
        <w:pStyle w:val="Normal"/>
        <w:jc w:val="center"/>
        <w:rPr>
          <w:rFonts w:ascii="Gadugi" w:hAnsi="Gadugi" w:cs="Gadugi"/>
          <w:i/>
          <w:iCs/>
          <w:color w:themeColor="text1" w:val="000000"/>
          <w:sz w:val="18"/>
          <w:szCs w:val="18"/>
        </w:rPr>
      </w:pPr>
      <w:r>
        <w:rPr>
          <w:rFonts w:cs="Gadugi" w:ascii="Gadugi" w:hAnsi="Gadugi"/>
          <w:i/>
          <w:iCs/>
          <w:color w:themeColor="text1" w:val="000000"/>
          <w:sz w:val="18"/>
          <w:szCs w:val="18"/>
        </w:rPr>
        <w:t>Paulo Roberto Dal Castel</w:t>
      </w:r>
    </w:p>
    <w:p>
      <w:pPr>
        <w:pStyle w:val="Normal"/>
        <w:jc w:val="center"/>
        <w:rPr>
          <w:i/>
          <w:iCs/>
        </w:rPr>
      </w:pPr>
      <w:r>
        <w:rPr>
          <w:rFonts w:cs="Gadugi" w:ascii="Gadugi" w:hAnsi="Gadugi"/>
          <w:i/>
          <w:iCs/>
          <w:color w:themeColor="text1" w:val="000000"/>
          <w:sz w:val="18"/>
          <w:szCs w:val="18"/>
        </w:rPr>
        <w:t>Prefeito</w:t>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t>(em exercício)</w:t>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Header"/>
        <w:spacing w:lineRule="auto" w:line="312"/>
        <w:jc w:val="center"/>
        <w:rPr>
          <w:rFonts w:ascii="Gadugi" w:hAnsi="Gadugi" w:cs="Gadugi"/>
          <w:b/>
          <w:bCs/>
          <w:sz w:val="18"/>
          <w:szCs w:val="18"/>
        </w:rPr>
      </w:pPr>
      <w:r>
        <w:rPr>
          <w:rFonts w:cs="Gadugi" w:ascii="Gadugi" w:hAnsi="Gadugi"/>
          <w:b/>
          <w:bCs/>
          <w:sz w:val="18"/>
          <w:szCs w:val="18"/>
        </w:rPr>
        <w:t>ANEXO I</w:t>
      </w:r>
    </w:p>
    <w:p>
      <w:pPr>
        <w:pStyle w:val="Header"/>
        <w:spacing w:lineRule="auto" w:line="312"/>
        <w:jc w:val="center"/>
        <w:rPr>
          <w:rFonts w:ascii="Gadugi" w:hAnsi="Gadugi" w:cs="Gadugi"/>
          <w:sz w:val="18"/>
          <w:szCs w:val="18"/>
        </w:rPr>
      </w:pPr>
      <w:r>
        <w:rPr>
          <w:rFonts w:cs="Gadugi" w:ascii="Gadugi" w:hAnsi="Gadugi"/>
          <w:b/>
          <w:bCs/>
          <w:sz w:val="18"/>
          <w:szCs w:val="18"/>
        </w:rPr>
        <w:t>TERMO DE REFERÊNCIA</w:t>
      </w:r>
    </w:p>
    <w:p>
      <w:pPr>
        <w:pStyle w:val="Normal"/>
        <w:ind w:left="1276" w:right="851"/>
        <w:jc w:val="center"/>
        <w:rPr>
          <w:rFonts w:ascii="Gadugi" w:hAnsi="Gadugi" w:cs="Gadugi"/>
          <w:color w:themeColor="text1" w:val="000000"/>
          <w:sz w:val="20"/>
          <w:szCs w:val="20"/>
        </w:rPr>
      </w:pPr>
      <w:r>
        <w:rPr>
          <w:rFonts w:cs="Gadugi" w:ascii="Gadugi" w:hAnsi="Gadugi"/>
          <w:color w:themeColor="text1" w:val="000000"/>
          <w:sz w:val="20"/>
          <w:szCs w:val="20"/>
        </w:rPr>
        <w:t>Aquisição de veículos automotores novos, zero quilômetro, compreendendo veículos de passeio e caminhonetes tipo pick-up, destinados à ampliação da frota oficial do Município</w:t>
      </w:r>
    </w:p>
    <w:p>
      <w:pPr>
        <w:pStyle w:val="Normal"/>
        <w:spacing w:lineRule="auto" w:line="312"/>
        <w:jc w:val="center"/>
        <w:rPr>
          <w:rFonts w:ascii="Gadugi" w:hAnsi="Gadugi" w:cs="Gadugi"/>
          <w:sz w:val="18"/>
          <w:szCs w:val="18"/>
        </w:rPr>
      </w:pPr>
      <w:r>
        <w:rPr>
          <w:rFonts w:cs="Gadugi" w:ascii="Gadugi" w:hAnsi="Gadugi"/>
          <w:b/>
          <w:bCs/>
          <w:color w:val="000000"/>
          <w:sz w:val="18"/>
          <w:szCs w:val="18"/>
        </w:rPr>
        <w:t>(Processo Administrativo n° 129/2026)</w:t>
      </w:r>
    </w:p>
    <w:p>
      <w:pPr>
        <w:pStyle w:val="Normal"/>
        <w:spacing w:lineRule="auto" w:line="312"/>
        <w:jc w:val="center"/>
        <w:rPr>
          <w:rFonts w:ascii="Gadugi" w:hAnsi="Gadugi" w:cs="Gadugi"/>
          <w:sz w:val="18"/>
          <w:szCs w:val="18"/>
        </w:rPr>
      </w:pPr>
      <w:r>
        <w:rPr>
          <w:rFonts w:cs="Gadugi" w:ascii="Gadugi" w:hAnsi="Gadugi"/>
          <w:sz w:val="18"/>
          <w:szCs w:val="18"/>
        </w:rPr>
      </w:r>
    </w:p>
    <w:p>
      <w:pPr>
        <w:pStyle w:val="Nivel01"/>
        <w:numPr>
          <w:ilvl w:val="0"/>
          <w:numId w:val="0"/>
        </w:numPr>
        <w:spacing w:before="0" w:after="0"/>
        <w:ind w:hanging="0" w:left="0"/>
        <w:rPr>
          <w:color w:val="000000"/>
        </w:rPr>
      </w:pPr>
      <w:r>
        <w:rPr>
          <w:rFonts w:cs="Gadugi" w:ascii="Gadugi" w:hAnsi="Gadugi"/>
          <w:color w:val="000000"/>
          <w:sz w:val="18"/>
          <w:szCs w:val="18"/>
        </w:rPr>
        <w:t>1 - CONDIÇÕES GERAIS DA CONTRATAÇÃO</w:t>
      </w:r>
    </w:p>
    <w:p>
      <w:pPr>
        <w:pStyle w:val="Normal"/>
        <w:ind w:right="851"/>
        <w:jc w:val="both"/>
        <w:rPr>
          <w:rFonts w:ascii="Gadugi" w:hAnsi="Gadugi" w:cs="Gadugi"/>
          <w:color w:themeColor="text1" w:val="000000"/>
          <w:sz w:val="20"/>
          <w:szCs w:val="20"/>
        </w:rPr>
      </w:pPr>
      <w:r>
        <w:rPr>
          <w:rFonts w:cs="Gadugi" w:ascii="Gadugi" w:hAnsi="Gadugi"/>
          <w:sz w:val="18"/>
          <w:szCs w:val="18"/>
        </w:rPr>
        <w:t xml:space="preserve">1.1 – O objeto do presente termo é a </w:t>
      </w:r>
      <w:r>
        <w:rPr>
          <w:rFonts w:cs="Gadugi" w:ascii="Gadugi" w:hAnsi="Gadugi"/>
          <w:b/>
          <w:bCs/>
          <w:color w:themeColor="text1" w:val="000000"/>
          <w:sz w:val="18"/>
          <w:szCs w:val="18"/>
        </w:rPr>
        <w:t>Aquisição de veículos automotores novos, zero quilômetro, compreendendo veículos de passeio e caminhonetes tipo pick-up, destinados à ampliação da frota oficial do Município,</w:t>
      </w:r>
      <w:r>
        <w:rPr>
          <w:rFonts w:cs="Gadugi" w:ascii="Gadugi" w:hAnsi="Gadugi"/>
          <w:sz w:val="18"/>
          <w:szCs w:val="18"/>
        </w:rPr>
        <w:t xml:space="preserve"> nos termos da tabela abaixo, conforme condições e exigências estabelecidas neste instrumento.</w:t>
      </w:r>
    </w:p>
    <w:tbl>
      <w:tblPr>
        <w:tblW w:w="8872" w:type="dxa"/>
        <w:jc w:val="left"/>
        <w:tblInd w:w="75" w:type="dxa"/>
        <w:tblLayout w:type="fixed"/>
        <w:tblCellMar>
          <w:top w:w="0" w:type="dxa"/>
          <w:left w:w="70" w:type="dxa"/>
          <w:bottom w:w="0" w:type="dxa"/>
          <w:right w:w="70" w:type="dxa"/>
        </w:tblCellMar>
        <w:tblLook w:val="04a0" w:firstRow="1" w:noVBand="1" w:lastRow="0" w:firstColumn="1" w:lastColumn="0" w:noHBand="0"/>
      </w:tblPr>
      <w:tblGrid>
        <w:gridCol w:w="487"/>
        <w:gridCol w:w="5875"/>
        <w:gridCol w:w="756"/>
        <w:gridCol w:w="597"/>
        <w:gridCol w:w="1157"/>
      </w:tblGrid>
      <w:tr>
        <w:trPr>
          <w:trHeight w:val="300" w:hRule="atLeast"/>
        </w:trPr>
        <w:tc>
          <w:tcPr>
            <w:tcW w:w="487"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rPr>
                <w:rFonts w:ascii="Calibri" w:hAnsi="Calibri" w:eastAsia="Times New Roman" w:cs="Calibri"/>
                <w:b/>
                <w:bCs/>
                <w:color w:val="000000"/>
                <w:sz w:val="16"/>
                <w:szCs w:val="16"/>
              </w:rPr>
            </w:pPr>
            <w:r>
              <w:rPr>
                <w:rFonts w:cs="Calibri" w:ascii="Calibri" w:hAnsi="Calibri"/>
                <w:b/>
                <w:bCs/>
                <w:color w:val="000000"/>
                <w:sz w:val="16"/>
                <w:szCs w:val="16"/>
              </w:rPr>
              <w:t>Item</w:t>
            </w:r>
          </w:p>
        </w:tc>
        <w:tc>
          <w:tcPr>
            <w:tcW w:w="5875" w:type="dxa"/>
            <w:tcBorders>
              <w:top w:val="single" w:sz="4" w:space="0" w:color="000000"/>
              <w:bottom w:val="single" w:sz="4" w:space="0" w:color="000000"/>
              <w:right w:val="single" w:sz="4" w:space="0" w:color="000000"/>
            </w:tcBorders>
            <w:shd w:color="000000" w:fill="F0FFFF" w:val="clear"/>
            <w:vAlign w:val="bottom"/>
          </w:tcPr>
          <w:p>
            <w:pPr>
              <w:pStyle w:val="Normal"/>
              <w:rPr>
                <w:rFonts w:ascii="Calibri" w:hAnsi="Calibri" w:cs="Calibri"/>
                <w:b/>
                <w:bCs/>
                <w:color w:val="000000"/>
                <w:sz w:val="16"/>
                <w:szCs w:val="16"/>
              </w:rPr>
            </w:pPr>
            <w:r>
              <w:rPr>
                <w:rFonts w:cs="Calibri" w:ascii="Calibri" w:hAnsi="Calibri"/>
                <w:b/>
                <w:bCs/>
                <w:color w:val="000000"/>
                <w:sz w:val="16"/>
                <w:szCs w:val="16"/>
              </w:rPr>
              <w:t>Descrição</w:t>
            </w:r>
          </w:p>
        </w:tc>
        <w:tc>
          <w:tcPr>
            <w:tcW w:w="756" w:type="dxa"/>
            <w:tcBorders>
              <w:top w:val="single" w:sz="4" w:space="0" w:color="000000"/>
              <w:bottom w:val="single" w:sz="4" w:space="0" w:color="000000"/>
              <w:right w:val="single" w:sz="4" w:space="0" w:color="000000"/>
            </w:tcBorders>
            <w:shd w:color="000000" w:fill="F0FFFF" w:val="clear"/>
            <w:vAlign w:val="bottom"/>
          </w:tcPr>
          <w:p>
            <w:pPr>
              <w:pStyle w:val="Normal"/>
              <w:rPr>
                <w:rFonts w:ascii="Calibri" w:hAnsi="Calibri" w:cs="Calibri"/>
                <w:b/>
                <w:bCs/>
                <w:color w:val="000000"/>
                <w:sz w:val="16"/>
                <w:szCs w:val="16"/>
              </w:rPr>
            </w:pPr>
            <w:r>
              <w:rPr>
                <w:rFonts w:cs="Calibri" w:ascii="Calibri" w:hAnsi="Calibri"/>
                <w:b/>
                <w:bCs/>
                <w:color w:val="000000"/>
                <w:sz w:val="16"/>
                <w:szCs w:val="16"/>
              </w:rPr>
              <w:t>Unidade</w:t>
            </w:r>
          </w:p>
        </w:tc>
        <w:tc>
          <w:tcPr>
            <w:tcW w:w="597" w:type="dxa"/>
            <w:tcBorders>
              <w:top w:val="single" w:sz="4" w:space="0" w:color="000000"/>
              <w:bottom w:val="single" w:sz="4" w:space="0" w:color="000000"/>
              <w:right w:val="single" w:sz="4" w:space="0" w:color="000000"/>
            </w:tcBorders>
            <w:shd w:color="000000" w:fill="F0FFFF" w:val="clear"/>
            <w:vAlign w:val="bottom"/>
          </w:tcPr>
          <w:p>
            <w:pPr>
              <w:pStyle w:val="Normal"/>
              <w:jc w:val="right"/>
              <w:rPr>
                <w:rFonts w:ascii="Calibri" w:hAnsi="Calibri" w:cs="Calibri"/>
                <w:b/>
                <w:bCs/>
                <w:color w:val="000000"/>
                <w:sz w:val="16"/>
                <w:szCs w:val="16"/>
              </w:rPr>
            </w:pPr>
            <w:r>
              <w:rPr>
                <w:rFonts w:cs="Calibri" w:ascii="Calibri" w:hAnsi="Calibri"/>
                <w:b/>
                <w:bCs/>
                <w:color w:val="000000"/>
                <w:sz w:val="16"/>
                <w:szCs w:val="16"/>
              </w:rPr>
              <w:t>Quant. Max.</w:t>
            </w:r>
          </w:p>
        </w:tc>
        <w:tc>
          <w:tcPr>
            <w:tcW w:w="1157" w:type="dxa"/>
            <w:tcBorders>
              <w:top w:val="single" w:sz="4" w:space="0" w:color="000000"/>
              <w:bottom w:val="single" w:sz="4" w:space="0" w:color="000000"/>
              <w:right w:val="single" w:sz="4" w:space="0" w:color="000000"/>
            </w:tcBorders>
            <w:shd w:color="000000" w:fill="F0FFFF" w:val="clear"/>
            <w:vAlign w:val="bottom"/>
          </w:tcPr>
          <w:p>
            <w:pPr>
              <w:pStyle w:val="Normal"/>
              <w:jc w:val="right"/>
              <w:rPr>
                <w:rFonts w:ascii="Calibri" w:hAnsi="Calibri" w:cs="Calibri"/>
                <w:b/>
                <w:bCs/>
                <w:color w:val="000000"/>
                <w:sz w:val="16"/>
                <w:szCs w:val="16"/>
              </w:rPr>
            </w:pPr>
            <w:r>
              <w:rPr>
                <w:rFonts w:cs="Calibri" w:ascii="Calibri" w:hAnsi="Calibri"/>
                <w:b/>
                <w:bCs/>
                <w:color w:val="000000"/>
                <w:sz w:val="16"/>
                <w:szCs w:val="16"/>
              </w:rPr>
              <w:t>Preço Unit. Estimado</w:t>
            </w:r>
          </w:p>
        </w:tc>
      </w:tr>
      <w:tr>
        <w:trPr>
          <w:trHeight w:val="300" w:hRule="atLeast"/>
        </w:trPr>
        <w:tc>
          <w:tcPr>
            <w:tcW w:w="487" w:type="dxa"/>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1</w:t>
            </w:r>
          </w:p>
        </w:tc>
        <w:tc>
          <w:tcPr>
            <w:tcW w:w="5875" w:type="dxa"/>
            <w:tcBorders>
              <w:bottom w:val="single" w:sz="4" w:space="0" w:color="000000"/>
              <w:right w:val="single" w:sz="4" w:space="0" w:color="000000"/>
            </w:tcBorders>
            <w:shd w:color="auto" w:fill="auto" w:val="clear"/>
            <w:vAlign w:val="bottom"/>
          </w:tcPr>
          <w:p>
            <w:pPr>
              <w:pStyle w:val="Normal"/>
              <w:rPr>
                <w:rFonts w:ascii="Calibri" w:hAnsi="Calibri" w:cs="Calibri"/>
                <w:b/>
                <w:bCs/>
                <w:color w:val="000000"/>
                <w:sz w:val="16"/>
                <w:szCs w:val="16"/>
              </w:rPr>
            </w:pPr>
            <w:r>
              <w:rPr>
                <w:rFonts w:cs="Calibri" w:ascii="Calibri" w:hAnsi="Calibri"/>
                <w:b/>
                <w:bCs/>
                <w:color w:val="000000"/>
                <w:sz w:val="16"/>
                <w:szCs w:val="16"/>
              </w:rPr>
              <w:t>AQUISIÇÃO DE VEÍCULO</w:t>
            </w:r>
          </w:p>
          <w:p>
            <w:pPr>
              <w:pStyle w:val="Normal"/>
              <w:rPr>
                <w:rFonts w:ascii="Calibri" w:hAnsi="Calibri" w:cs="Calibri"/>
                <w:color w:val="000000"/>
                <w:sz w:val="16"/>
                <w:szCs w:val="16"/>
              </w:rPr>
            </w:pPr>
            <w:r>
              <w:rPr>
                <w:rFonts w:cs="Calibri" w:ascii="Calibri" w:hAnsi="Calibri"/>
                <w:color w:val="000000"/>
                <w:sz w:val="16"/>
                <w:szCs w:val="16"/>
              </w:rPr>
              <w:t>Transmissão: Manual - 84 cv - Total Flex -ANO 2026 -Modelo: 2026 ( MINIMO)</w:t>
              <w:br/>
              <w:t xml:space="preserve"> Airbags dianteiros (2) e laterais para os ocupantes dianteiros (2)</w:t>
              <w:br/>
              <w:t xml:space="preserve"> Alto-Falantes (4)  ESS - Alerta de frenagem de emergência</w:t>
              <w:br/>
              <w:t xml:space="preserve"> Alerta sonoro e visual de não utilização dos cintos de segurança dianteiros e traseiros</w:t>
              <w:br/>
              <w:t xml:space="preserve"> Antena de teto</w:t>
              <w:br/>
              <w:t xml:space="preserve"> Ar-condicionado com filtro de poeira e pólen</w:t>
              <w:br/>
              <w:t xml:space="preserve"> Banco do motorista com ajuste milimétrico de altura</w:t>
              <w:br/>
              <w:t xml:space="preserve"> Banco traseiro com encosto rebatível</w:t>
              <w:br/>
              <w:t xml:space="preserve"> Chave canivete com controle remoto</w:t>
              <w:br/>
              <w:t xml:space="preserve"> Cintos de segurança dianteiros com regulagem de altura (motorista) e pré-tensionador</w:t>
              <w:br/>
              <w:t xml:space="preserve"> Coluna de direção com ajuste de altura e profundidade</w:t>
              <w:br/>
              <w:t xml:space="preserve"> Computador de bordo</w:t>
              <w:br/>
              <w:t xml:space="preserve"> Controle eletrônico de estabilidade (ESC), controle de tração (ASR), bloqueio eletrônico do diferencial (EDS)</w:t>
              <w:br/>
              <w:t xml:space="preserve"> Desembaçador, limpador e lavador do vidro traseiro</w:t>
              <w:br/>
              <w:t xml:space="preserve"> Direção elétrica</w:t>
              <w:br/>
              <w:t xml:space="preserve"> Espelhos retrovisores externos com luzes indicadoras de direção integradas</w:t>
              <w:br/>
              <w:t xml:space="preserve"> Fixação de assento de criança com sistema ISOFIX / Top tether</w:t>
              <w:br/>
              <w:t xml:space="preserve"> Freios ABS com EBD - distribuição eletrônica de frenagem</w:t>
              <w:br/>
              <w:t xml:space="preserve"> HHC (Hill Hold Control) - Assistente para partida em subidas</w:t>
              <w:br/>
              <w:t xml:space="preserve"> Para-choques dianteiro e traseiro na cor do veículo</w:t>
              <w:br/>
              <w:t xml:space="preserve"> Para-sóis (espelho no lado do passageiro)</w:t>
              <w:br/>
              <w:t xml:space="preserve"> Rodas de aço aro 15 com pneus 185/65 R15 e supercalotas</w:t>
              <w:br/>
              <w:t xml:space="preserve"> Sistemas de controle da perda de pressão dos pneus</w:t>
              <w:br/>
              <w:t xml:space="preserve"> Sistema de frenagem automática pós colisão Post Collision Brake</w:t>
              <w:br/>
              <w:t xml:space="preserve"> Sistema de infotainment Media Plus II</w:t>
              <w:br/>
              <w:t xml:space="preserve"> Transmissão manual de 5 velocidades</w:t>
              <w:br/>
              <w:t xml:space="preserve"> Travamento elétrico e remoto das portas, porta-malas e tampa de combustível</w:t>
              <w:br/>
              <w:t xml:space="preserve"> Tomada USB tipo C</w:t>
              <w:br/>
              <w:t xml:space="preserve"> Vidros elétricos dianteiros</w:t>
              <w:br/>
              <w:t xml:space="preserve"> Volante multifuncional</w:t>
            </w:r>
          </w:p>
          <w:p>
            <w:pPr>
              <w:pStyle w:val="Normal"/>
              <w:rPr>
                <w:rFonts w:ascii="Calibri" w:hAnsi="Calibri" w:cs="Calibri"/>
                <w:color w:val="000000"/>
                <w:sz w:val="16"/>
                <w:szCs w:val="16"/>
              </w:rPr>
            </w:pPr>
            <w:r>
              <w:rPr>
                <w:rFonts w:cs="Calibri" w:ascii="Calibri" w:hAnsi="Calibri"/>
                <w:b/>
                <w:bCs/>
                <w:color w:val="000000"/>
                <w:sz w:val="16"/>
                <w:szCs w:val="16"/>
              </w:rPr>
              <w:t>Os veículos a serem adquiridos devem atender as especificações mínimas:</w:t>
            </w:r>
          </w:p>
          <w:p>
            <w:pPr>
              <w:pStyle w:val="Normal"/>
              <w:rPr>
                <w:rFonts w:ascii="Calibri" w:hAnsi="Calibri" w:cs="Calibri"/>
                <w:color w:val="000000"/>
                <w:sz w:val="16"/>
                <w:szCs w:val="16"/>
              </w:rPr>
            </w:pPr>
            <w:r>
              <w:rPr>
                <w:rFonts w:cs="Calibri" w:ascii="Calibri" w:hAnsi="Calibri"/>
                <w:color w:val="000000"/>
                <w:sz w:val="16"/>
                <w:szCs w:val="16"/>
              </w:rPr>
              <w:t>1. Motorização e Desempenho Motor: Mínimo 1.0, Total Flex (etanol/gasolina). Potência mínima: 71 cv (gasolina) / 75 cv (etanol) Torque mínimo: 9,6 kgfm (gasolina) / 10,3 kgfm (etanol). Transmissão: Manual de 5 velocidades. Direção: Assistência elétrica. 2. Dimensões e Capacidades Comprimento total mínimo: 4.070 mm. Distância entre eixos mínima: 2.560 mm. Capacidade do porta-malas: Mínimo 300 litros (método VDA). Tanque de combustível: Mínimo 47 litros. Capacidade de passageiros: 5 ocupantes.</w:t>
            </w:r>
          </w:p>
          <w:p>
            <w:pPr>
              <w:pStyle w:val="Normal"/>
              <w:rPr>
                <w:rFonts w:ascii="Calibri" w:hAnsi="Calibri" w:cs="Calibri"/>
                <w:color w:val="000000"/>
                <w:sz w:val="16"/>
                <w:szCs w:val="16"/>
              </w:rPr>
            </w:pPr>
            <w:r>
              <w:rPr>
                <w:rFonts w:cs="Calibri" w:ascii="Calibri" w:hAnsi="Calibri"/>
                <w:color w:val="000000"/>
                <w:sz w:val="16"/>
                <w:szCs w:val="16"/>
              </w:rPr>
              <w:t>3. Itens de Segurança (Obrigatórios) Mínimo de 04 (quatro) airbags (02 dianteiros e 02 laterais). Controle eletrônico de estabilidade (ESC) e controle de tração (ASR). Bloqueio eletrônico do diferencial. Assistente para partida em subidas (HHC). Sistema de fixação de cadeiras infantis tipo ISOFIX® / Top tether. Freios ABS com distribuição eletrônica de frenagem (EBD). Sistema de monitoramento de pressão dos pneus. Alerta sonoro e visual de não utilização dos cintos de segurança dianteiros e traseiros. Pneu 185/65/R15 4. Conforto e Conveniência Ar-condicionado com filtro de poeira e pólen. Vidros elétricos dianteiros e travamento elétrico e remoto das portas e porta-malas. Volante multifuncional com ajuste de altura e profundidade. Banco do motorista com ajuste milimétrico de altura. Sistema multimídia com tela touchscreen de no mínimo 10" e integração com smartphones (App-Connect ou similar).</w:t>
            </w:r>
          </w:p>
          <w:p>
            <w:pPr>
              <w:pStyle w:val="Normal"/>
              <w:rPr>
                <w:rFonts w:ascii="Calibri" w:hAnsi="Calibri" w:cs="Calibri"/>
                <w:color w:val="000000"/>
                <w:sz w:val="16"/>
                <w:szCs w:val="16"/>
              </w:rPr>
            </w:pPr>
            <w:r>
              <w:rPr>
                <w:rFonts w:cs="Calibri" w:ascii="Calibri" w:hAnsi="Calibri"/>
                <w:color w:val="000000"/>
                <w:sz w:val="16"/>
                <w:szCs w:val="16"/>
              </w:rPr>
              <w:t>5. Acabamento e Cor Pintura: Sólida (Ex: Branco ou Preto) ou Metálica, conforme conveniência da administração. Rodas: Aço aro 15" com calotas integrais.</w:t>
            </w:r>
          </w:p>
        </w:tc>
        <w:tc>
          <w:tcPr>
            <w:tcW w:w="756"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UN</w:t>
            </w:r>
          </w:p>
        </w:tc>
        <w:tc>
          <w:tcPr>
            <w:tcW w:w="597"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3</w:t>
            </w:r>
          </w:p>
        </w:tc>
        <w:tc>
          <w:tcPr>
            <w:tcW w:w="1157"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R$ 92.572,85</w:t>
            </w:r>
          </w:p>
        </w:tc>
      </w:tr>
      <w:tr>
        <w:trPr>
          <w:trHeight w:val="300" w:hRule="atLeast"/>
        </w:trPr>
        <w:tc>
          <w:tcPr>
            <w:tcW w:w="487" w:type="dxa"/>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2</w:t>
            </w:r>
          </w:p>
        </w:tc>
        <w:tc>
          <w:tcPr>
            <w:tcW w:w="5875" w:type="dxa"/>
            <w:tcBorders>
              <w:bottom w:val="single" w:sz="4" w:space="0" w:color="000000"/>
              <w:right w:val="single" w:sz="4" w:space="0" w:color="000000"/>
            </w:tcBorders>
            <w:shd w:color="auto" w:fill="auto" w:val="clear"/>
            <w:vAlign w:val="bottom"/>
          </w:tcPr>
          <w:p>
            <w:pPr>
              <w:pStyle w:val="Normal"/>
              <w:rPr>
                <w:rFonts w:ascii="Calibri" w:hAnsi="Calibri" w:cs="Calibri"/>
                <w:b/>
                <w:bCs/>
                <w:color w:val="000000"/>
                <w:sz w:val="16"/>
                <w:szCs w:val="16"/>
              </w:rPr>
            </w:pPr>
            <w:r>
              <w:rPr>
                <w:rFonts w:cs="Calibri" w:ascii="Calibri" w:hAnsi="Calibri"/>
                <w:b/>
                <w:bCs/>
                <w:color w:val="000000"/>
                <w:sz w:val="16"/>
                <w:szCs w:val="16"/>
              </w:rPr>
              <w:t>VEÍCULO PICK-UP CABINE SIMPLES, 4x4, MOTOR TURBO DIESEL, ANO 2025, MODELO 2026 OU SUPERIOR</w:t>
            </w:r>
          </w:p>
          <w:p>
            <w:pPr>
              <w:pStyle w:val="Normal"/>
              <w:rPr>
                <w:rFonts w:ascii="Calibri" w:hAnsi="Calibri" w:cs="Calibri"/>
                <w:color w:val="000000"/>
                <w:sz w:val="16"/>
                <w:szCs w:val="16"/>
              </w:rPr>
            </w:pPr>
            <w:r>
              <w:rPr>
                <w:rFonts w:cs="Calibri" w:ascii="Calibri" w:hAnsi="Calibri"/>
                <w:color w:val="000000"/>
                <w:sz w:val="16"/>
                <w:szCs w:val="16"/>
              </w:rPr>
              <w:t>Motorização e Transmissão O veículo deverá possuir, no mínimo: motor ciclo Diesel, turboalimentado, com intercooler; potência líquida mínima de 170 cv; torque mínimo de 40 kgfm; transmissão manual de, no mínimo, 06 (seis) velocidades à frente e 01 (uma) à ré; sistema de tração 4x4 com opção de reduzida (4L), acionamento eletrônico ou mecânico; direção elétrica, eletro-hidráulica ou hidráulica;</w:t>
            </w:r>
          </w:p>
          <w:p>
            <w:pPr>
              <w:pStyle w:val="Normal"/>
              <w:rPr>
                <w:rFonts w:ascii="Calibri" w:hAnsi="Calibri" w:cs="Calibri"/>
                <w:color w:val="000000"/>
                <w:sz w:val="16"/>
                <w:szCs w:val="16"/>
              </w:rPr>
            </w:pPr>
            <w:r>
              <w:rPr>
                <w:rFonts w:cs="Calibri" w:ascii="Calibri" w:hAnsi="Calibri"/>
                <w:color w:val="000000"/>
                <w:sz w:val="16"/>
                <w:szCs w:val="16"/>
              </w:rPr>
              <w:t>tanque de combustível com capacidade mínima de 70 litros; atender aos limites de emissões estabelecidos pelo PROCONVE vigente.</w:t>
            </w:r>
          </w:p>
          <w:p>
            <w:pPr>
              <w:pStyle w:val="Normal"/>
              <w:rPr>
                <w:rFonts w:ascii="Calibri" w:hAnsi="Calibri" w:cs="Calibri"/>
                <w:color w:val="000000"/>
                <w:sz w:val="16"/>
                <w:szCs w:val="16"/>
              </w:rPr>
            </w:pPr>
            <w:r>
              <w:rPr>
                <w:rFonts w:cs="Calibri" w:ascii="Calibri" w:hAnsi="Calibri"/>
                <w:color w:val="000000"/>
                <w:sz w:val="16"/>
                <w:szCs w:val="16"/>
              </w:rPr>
              <w:t>Freios e Segurança O veículo deverá possuir, no mínimo: freios a disco nas rodas dianteiras, com sistema antibloqueio (ABS); distribuição eletrônica da força de frenagem (EBD); controle eletrônico de estabilidade (ESC/ESP); controle eletrônico de tração (TCS); assistente de partida em rampa (HSA); mínimo de 06 (seis) airbags; cintos de segurança de três pontos para todos os ocupantes; apoios de cabeça reguláveis; alarme antifurto e imobilizador eletrônico; sistema de monitoramento da pressão dos pneus (TPMS), quando integrante da versão ofertada; todos os equipamentos obrigatórios previstos na legislação de trânsito.</w:t>
            </w:r>
          </w:p>
          <w:p>
            <w:pPr>
              <w:pStyle w:val="Normal"/>
              <w:rPr>
                <w:rFonts w:ascii="Calibri" w:hAnsi="Calibri" w:cs="Calibri"/>
                <w:color w:val="000000"/>
                <w:sz w:val="16"/>
                <w:szCs w:val="16"/>
              </w:rPr>
            </w:pPr>
            <w:r>
              <w:rPr>
                <w:rFonts w:cs="Calibri" w:ascii="Calibri" w:hAnsi="Calibri"/>
                <w:color w:val="000000"/>
                <w:sz w:val="16"/>
                <w:szCs w:val="16"/>
              </w:rPr>
              <w:t>Exterior O veículo deverá possuir: cabine simples; caçamba com capacidade de carga útil mínima de 1.000 kg; protetor de caçamba instalado; ganchos internos para amarração de carga; para-choques resistentes ao uso severo; retrovisores externos com regulagem elétrica ou manual; rodas em aço ou liga leve com aro mínimo de 16 polegadas; pneus novos de uso misto (AT ou equivalente); estepe original; iluminação diurna (DRL), quando integrante da versão; faróis de neblina, quando disponíveis.</w:t>
            </w:r>
          </w:p>
          <w:p>
            <w:pPr>
              <w:pStyle w:val="Normal"/>
              <w:rPr>
                <w:rFonts w:ascii="Calibri" w:hAnsi="Calibri" w:cs="Calibri"/>
                <w:color w:val="000000"/>
                <w:sz w:val="16"/>
                <w:szCs w:val="16"/>
              </w:rPr>
            </w:pPr>
            <w:r>
              <w:rPr>
                <w:rFonts w:cs="Calibri" w:ascii="Calibri" w:hAnsi="Calibri"/>
                <w:color w:val="000000"/>
                <w:sz w:val="16"/>
                <w:szCs w:val="16"/>
              </w:rPr>
              <w:t>Interior e Conforto O veículo deverá possuir: ar-condicionado original de fábrica; direção com regulagem de altura; banco do motorista com regulagem de distância e inclinação; bancos revestidos em tecido ou material de qualidade superior; vidros elétricos; travas elétricas; chave com controle remoto; computador de bordo; tomada auxiliar de 12V; porta-objetos internos.</w:t>
            </w:r>
          </w:p>
          <w:p>
            <w:pPr>
              <w:pStyle w:val="Normal"/>
              <w:rPr>
                <w:rFonts w:ascii="Calibri" w:hAnsi="Calibri" w:cs="Calibri"/>
                <w:color w:val="000000"/>
                <w:sz w:val="16"/>
                <w:szCs w:val="16"/>
              </w:rPr>
            </w:pPr>
            <w:r>
              <w:rPr>
                <w:rFonts w:cs="Calibri" w:ascii="Calibri" w:hAnsi="Calibri"/>
                <w:color w:val="000000"/>
                <w:sz w:val="16"/>
                <w:szCs w:val="16"/>
              </w:rPr>
              <w:t>Multimídia e Conectividade O veículo deverá possuir: sistema multimídia ou sistema de áudio original de fábrica; conectividade Bluetooth; entrada USB; compatibilidade com Android Auto e Apple CarPlay, quando equipado com central multimídia; mínimo de quatro alto-falantes.</w:t>
            </w:r>
          </w:p>
          <w:p>
            <w:pPr>
              <w:pStyle w:val="Normal"/>
              <w:rPr>
                <w:rFonts w:ascii="Calibri" w:hAnsi="Calibri" w:cs="Calibri"/>
                <w:color w:val="000000"/>
                <w:sz w:val="16"/>
                <w:szCs w:val="16"/>
              </w:rPr>
            </w:pPr>
            <w:r>
              <w:rPr>
                <w:rFonts w:cs="Calibri" w:ascii="Calibri" w:hAnsi="Calibri"/>
                <w:color w:val="000000"/>
                <w:sz w:val="16"/>
                <w:szCs w:val="16"/>
              </w:rPr>
              <w:t>Dimensões e Capacidades O veículo deverá possuir: capacidade para 02 ocupantes; carga útil mínima de 1.000 kg; altura livre do solo compatível com utilização em estradas rurais; capacidade de reboque conforme especificação do fabricante; tanque de combustível com capacidade mínima de 70 litros.</w:t>
            </w:r>
          </w:p>
          <w:p>
            <w:pPr>
              <w:pStyle w:val="Normal"/>
              <w:rPr>
                <w:rFonts w:ascii="Calibri" w:hAnsi="Calibri" w:cs="Calibri"/>
                <w:color w:val="000000"/>
                <w:sz w:val="16"/>
                <w:szCs w:val="16"/>
              </w:rPr>
            </w:pPr>
            <w:r>
              <w:rPr>
                <w:rFonts w:cs="Calibri" w:ascii="Calibri" w:hAnsi="Calibri"/>
                <w:color w:val="000000"/>
                <w:sz w:val="16"/>
                <w:szCs w:val="16"/>
              </w:rPr>
            </w:r>
          </w:p>
        </w:tc>
        <w:tc>
          <w:tcPr>
            <w:tcW w:w="756"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UN</w:t>
            </w:r>
          </w:p>
        </w:tc>
        <w:tc>
          <w:tcPr>
            <w:tcW w:w="597"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1</w:t>
            </w:r>
          </w:p>
        </w:tc>
        <w:tc>
          <w:tcPr>
            <w:tcW w:w="1157"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R$ 209.900,00</w:t>
            </w:r>
          </w:p>
        </w:tc>
      </w:tr>
      <w:tr>
        <w:trPr>
          <w:trHeight w:val="300" w:hRule="atLeast"/>
        </w:trPr>
        <w:tc>
          <w:tcPr>
            <w:tcW w:w="487" w:type="dxa"/>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3</w:t>
            </w:r>
          </w:p>
        </w:tc>
        <w:tc>
          <w:tcPr>
            <w:tcW w:w="5875" w:type="dxa"/>
            <w:tcBorders>
              <w:bottom w:val="single" w:sz="4" w:space="0" w:color="000000"/>
              <w:right w:val="single" w:sz="4" w:space="0" w:color="000000"/>
            </w:tcBorders>
            <w:shd w:color="auto" w:fill="auto" w:val="clear"/>
            <w:vAlign w:val="bottom"/>
          </w:tcPr>
          <w:p>
            <w:pPr>
              <w:pStyle w:val="Normal"/>
              <w:rPr>
                <w:rFonts w:ascii="Calibri" w:hAnsi="Calibri" w:cs="Calibri"/>
                <w:b/>
                <w:bCs/>
                <w:color w:val="000000"/>
                <w:sz w:val="16"/>
                <w:szCs w:val="16"/>
              </w:rPr>
            </w:pPr>
            <w:r>
              <w:rPr>
                <w:rFonts w:cs="Calibri" w:ascii="Calibri" w:hAnsi="Calibri"/>
                <w:b/>
                <w:bCs/>
                <w:color w:val="000000"/>
                <w:sz w:val="16"/>
                <w:szCs w:val="16"/>
              </w:rPr>
              <w:t>VEÍCULO PICK UP CABINE DUPLA TURBO DIESEL, 4X4, ANO 2025, MODELO 2026 OU SUPERIOR</w:t>
            </w:r>
          </w:p>
          <w:p>
            <w:pPr>
              <w:pStyle w:val="Normal"/>
              <w:rPr>
                <w:rFonts w:ascii="Calibri" w:hAnsi="Calibri" w:cs="Calibri"/>
                <w:color w:val="000000"/>
                <w:sz w:val="16"/>
                <w:szCs w:val="16"/>
              </w:rPr>
            </w:pPr>
            <w:r>
              <w:rPr>
                <w:rFonts w:cs="Calibri" w:ascii="Calibri" w:hAnsi="Calibri"/>
                <w:color w:val="000000"/>
                <w:sz w:val="16"/>
                <w:szCs w:val="16"/>
              </w:rPr>
              <w:t>Motorização e Transmissão O veículo deverá possuir, no mínimo: motor ciclo Diesel, turboalimentado, com intercooler; potência líquida mínima de 170 cv; torque mínimo de 40 kgfm; transmissão manual de, no mínimo, 06 (seis) velocidades à frente e 01 (uma) à ré; sistema de tração 4x4 com reduzida; direção elétrica, eletro-hidráulica ou hidráulica; tanque de combustível com capacidade mínima de 75 litros; atendimento às normas ambientais vigentes do PROCONVE.</w:t>
            </w:r>
          </w:p>
          <w:p>
            <w:pPr>
              <w:pStyle w:val="Normal"/>
              <w:rPr>
                <w:rFonts w:ascii="Calibri" w:hAnsi="Calibri" w:cs="Calibri"/>
                <w:color w:val="000000"/>
                <w:sz w:val="16"/>
                <w:szCs w:val="16"/>
              </w:rPr>
            </w:pPr>
            <w:r>
              <w:rPr>
                <w:rFonts w:cs="Calibri" w:ascii="Calibri" w:hAnsi="Calibri"/>
                <w:color w:val="000000"/>
                <w:sz w:val="16"/>
                <w:szCs w:val="16"/>
              </w:rPr>
              <w:t>Freios e Segurança O veículo deverá possuir: freios ABS com EBD; controle eletrônico de estabilidade (ESC); controle eletrônico de tração (TCS); assistente de partida em rampa; assistente de descida, quando integrante da versão; mínimo de 06 (seis) airbags; câmera de ré; sensores de estacionamento traseiros; sistema Isofix para fixação de cadeiras infantis; alarme antifurto; imobilizador eletrônico; sistema de monitoramento da pressão dos pneus (quando disponível); todos os equipamentos obrigatórios previstos na legislação de trânsito.</w:t>
            </w:r>
          </w:p>
          <w:p>
            <w:pPr>
              <w:pStyle w:val="Normal"/>
              <w:rPr>
                <w:rFonts w:ascii="Calibri" w:hAnsi="Calibri" w:cs="Calibri"/>
                <w:color w:val="000000"/>
                <w:sz w:val="16"/>
                <w:szCs w:val="16"/>
              </w:rPr>
            </w:pPr>
            <w:r>
              <w:rPr>
                <w:rFonts w:cs="Calibri" w:ascii="Calibri" w:hAnsi="Calibri"/>
                <w:color w:val="000000"/>
                <w:sz w:val="16"/>
                <w:szCs w:val="16"/>
              </w:rPr>
              <w:t>Exterior O veículo deverá possuir: cabine dupla; capacidade para cinco ocupantes; caçamba com carga útil mínima de 1.000 kg; protetor de caçamba; ganchos internos para amarração de carga; rodas em aço ou liga leve com aro mínimo de 17 polegadas; pneus de uso misto; estepe original; retrovisores externos elétricos; faróis de neblina; iluminação diurna (DRL), quando integrante da versão</w:t>
            </w:r>
          </w:p>
          <w:p>
            <w:pPr>
              <w:pStyle w:val="Normal"/>
              <w:rPr>
                <w:rFonts w:ascii="Calibri" w:hAnsi="Calibri" w:cs="Calibri"/>
                <w:color w:val="000000"/>
                <w:sz w:val="16"/>
                <w:szCs w:val="16"/>
              </w:rPr>
            </w:pPr>
            <w:r>
              <w:rPr>
                <w:rFonts w:cs="Calibri" w:ascii="Calibri" w:hAnsi="Calibri"/>
                <w:color w:val="000000"/>
                <w:sz w:val="16"/>
                <w:szCs w:val="16"/>
              </w:rPr>
              <w:t>Interior e Conforto O veículo deverá possuir: ar-condicionado original de fábrica; direção com regulagem de altura e profundidade; banco do motorista com regulagem de altura; bancos revestidos em tecido ou material superior; vidros elétricos nas quatro portas; travas elétricas; computador de bordo; piloto automático; volante multifuncional; chave presencial ou convencional com comando remoto, conforme versão.</w:t>
            </w:r>
          </w:p>
          <w:p>
            <w:pPr>
              <w:pStyle w:val="Normal"/>
              <w:rPr>
                <w:rFonts w:ascii="Calibri" w:hAnsi="Calibri" w:cs="Calibri"/>
                <w:color w:val="000000"/>
                <w:sz w:val="16"/>
                <w:szCs w:val="16"/>
              </w:rPr>
            </w:pPr>
            <w:r>
              <w:rPr>
                <w:rFonts w:cs="Calibri" w:ascii="Calibri" w:hAnsi="Calibri"/>
                <w:color w:val="000000"/>
                <w:sz w:val="16"/>
                <w:szCs w:val="16"/>
              </w:rPr>
              <w:t>Multimídia e Conectividade O veículo deverá possuir: central multimídia original de fábrica; tela sensível ao toque; Bluetooth; entrada USB; compatibilidade com Android Auto e Apple CarPlay; comandos de áudio no volante; mínimo de quatro alto-falantes. Dimensões e Capacidades O veículo deverá possuir: capacidade mínima para 05 ocupantes; carga útil mínima de 1.000 kg; tanque de combustível com capacidade mínima de 75 litros; altura livre do solo compatível com uso em estradas vicinais e áreas rurais; capacidade de reboque conforme especificação do fabricante. Assistência Técnica Para Ambos A contratada deverá assegurar: Rede de assistência técnica autorizada num raio de 100 km do município de Santa Bárbara do Sul; Disponibilidade de peças genuínas e originais durante o período de garantia; Atendimento às solicitações de manutenção preventiva e corretiva conforme o plano de manutenção do fabricante; Fornecimento de manuais do proprietário e de garantia em língua portuguesa; Atendimento às campanhas de recall, quando houver, sem qualquer ônus para a Administração; Suporte técnico durante todo o período de garantia, observando os prazos previstos pelo fabricante para execução dos serviços.</w:t>
            </w:r>
          </w:p>
          <w:p>
            <w:pPr>
              <w:pStyle w:val="Normal"/>
              <w:rPr>
                <w:rFonts w:ascii="Calibri" w:hAnsi="Calibri" w:cs="Calibri"/>
                <w:color w:val="000000"/>
                <w:sz w:val="16"/>
                <w:szCs w:val="16"/>
              </w:rPr>
            </w:pPr>
            <w:r>
              <w:rPr>
                <w:rFonts w:cs="Calibri" w:ascii="Calibri" w:hAnsi="Calibri"/>
                <w:color w:val="000000"/>
                <w:sz w:val="16"/>
                <w:szCs w:val="16"/>
              </w:rPr>
            </w:r>
          </w:p>
        </w:tc>
        <w:tc>
          <w:tcPr>
            <w:tcW w:w="756" w:type="dxa"/>
            <w:tcBorders>
              <w:bottom w:val="single" w:sz="4" w:space="0" w:color="000000"/>
              <w:right w:val="single" w:sz="4" w:space="0" w:color="000000"/>
            </w:tcBorders>
            <w:shd w:color="auto" w:fill="auto" w:val="clear"/>
            <w:vAlign w:val="bottom"/>
          </w:tcPr>
          <w:p>
            <w:pPr>
              <w:pStyle w:val="Normal"/>
              <w:rPr>
                <w:rFonts w:ascii="Calibri" w:hAnsi="Calibri" w:cs="Calibri"/>
                <w:color w:val="000000"/>
                <w:sz w:val="16"/>
                <w:szCs w:val="16"/>
              </w:rPr>
            </w:pPr>
            <w:r>
              <w:rPr>
                <w:rFonts w:cs="Calibri" w:ascii="Calibri" w:hAnsi="Calibri"/>
                <w:color w:val="000000"/>
                <w:sz w:val="16"/>
                <w:szCs w:val="16"/>
              </w:rPr>
              <w:t>UN</w:t>
            </w:r>
          </w:p>
        </w:tc>
        <w:tc>
          <w:tcPr>
            <w:tcW w:w="597"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1</w:t>
            </w:r>
          </w:p>
        </w:tc>
        <w:tc>
          <w:tcPr>
            <w:tcW w:w="1157" w:type="dxa"/>
            <w:tcBorders>
              <w:bottom w:val="single" w:sz="4" w:space="0" w:color="000000"/>
              <w:right w:val="single" w:sz="4" w:space="0" w:color="000000"/>
            </w:tcBorders>
            <w:shd w:color="auto" w:fill="auto" w:val="clear"/>
            <w:vAlign w:val="bottom"/>
          </w:tcPr>
          <w:p>
            <w:pPr>
              <w:pStyle w:val="Normal"/>
              <w:jc w:val="right"/>
              <w:rPr>
                <w:rFonts w:ascii="Calibri" w:hAnsi="Calibri" w:cs="Calibri"/>
                <w:color w:val="000000"/>
                <w:sz w:val="16"/>
                <w:szCs w:val="16"/>
              </w:rPr>
            </w:pPr>
            <w:r>
              <w:rPr>
                <w:rFonts w:cs="Calibri" w:ascii="Calibri" w:hAnsi="Calibri"/>
                <w:color w:val="000000"/>
                <w:sz w:val="16"/>
                <w:szCs w:val="16"/>
              </w:rPr>
              <w:t>R$ 209.900,00</w:t>
            </w:r>
          </w:p>
        </w:tc>
      </w:tr>
    </w:tbl>
    <w:p>
      <w:pPr>
        <w:pStyle w:val="Header"/>
        <w:spacing w:lineRule="auto" w:line="312"/>
        <w:jc w:val="both"/>
        <w:rPr>
          <w:rFonts w:ascii="Gadugi" w:hAnsi="Gadugi" w:cs="Gadugi"/>
          <w:sz w:val="18"/>
          <w:szCs w:val="18"/>
        </w:rPr>
      </w:pPr>
      <w:r>
        <w:rPr>
          <w:rFonts w:cs="Gadugi" w:ascii="Gadugi" w:hAnsi="Gadugi"/>
          <w:sz w:val="18"/>
          <w:szCs w:val="18"/>
        </w:rPr>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1.2 - O objeto desta contratação não se enquadra como sendo de bem de luxo, conforme Decreto Municipal nº 5.452, de 05 de setembro de 2023.</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1.3 - Os bens objeto desta contratação são caracterizados como comuns, nos termos do art. 6º, inciso XIII, da Lei nº 14.133/2021.</w:t>
      </w:r>
    </w:p>
    <w:p>
      <w:pPr>
        <w:pStyle w:val="Nivel2"/>
        <w:numPr>
          <w:ilvl w:val="0"/>
          <w:numId w:val="0"/>
        </w:numPr>
        <w:spacing w:lineRule="auto" w:line="312" w:before="0" w:after="0"/>
        <w:ind w:hanging="0" w:left="0"/>
        <w:rPr>
          <w:rFonts w:ascii="Gadugi" w:hAnsi="Gadugi" w:cs="Gadugi"/>
          <w:b/>
          <w:sz w:val="18"/>
          <w:szCs w:val="18"/>
        </w:rPr>
      </w:pPr>
      <w:r>
        <w:rPr>
          <w:rFonts w:cs="Gadugi" w:ascii="Gadugi" w:hAnsi="Gadugi"/>
          <w:b/>
          <w:sz w:val="18"/>
          <w:szCs w:val="18"/>
        </w:rPr>
        <w:t>2 - PRAZO DE VIGÊNCIA</w:t>
      </w:r>
    </w:p>
    <w:p>
      <w:pPr>
        <w:pStyle w:val="Nvel2-Red"/>
        <w:numPr>
          <w:ilvl w:val="0"/>
          <w:numId w:val="0"/>
        </w:numPr>
        <w:shd w:val="clear" w:color="FFFFFF" w:themeColor="background1" w:fill="FFFFFF" w:themeFill="background1"/>
        <w:spacing w:lineRule="auto" w:line="312" w:before="0" w:after="0"/>
        <w:ind w:hanging="0" w:left="0"/>
        <w:rPr>
          <w:rFonts w:ascii="Gadugi" w:hAnsi="Gadugi" w:cs="Gadugi"/>
          <w:iCs w:val="false"/>
          <w:sz w:val="18"/>
          <w:szCs w:val="18"/>
        </w:rPr>
      </w:pPr>
      <w:r>
        <w:rPr>
          <w:rFonts w:cs="Gadugi" w:ascii="Gadugi" w:hAnsi="Gadugi"/>
          <w:i w:val="false"/>
          <w:iCs w:val="false"/>
          <w:color w:val="auto"/>
          <w:sz w:val="18"/>
          <w:szCs w:val="18"/>
        </w:rPr>
        <w:t xml:space="preserve">2.1 - </w:t>
      </w:r>
      <w:r>
        <w:rPr>
          <w:rFonts w:cs="Gadugi" w:ascii="Gadugi" w:hAnsi="Gadugi"/>
          <w:i w:val="false"/>
          <w:iCs w:val="false"/>
          <w:color w:val="auto"/>
          <w:sz w:val="18"/>
          <w:szCs w:val="18"/>
          <w:highlight w:val="white"/>
        </w:rPr>
        <w:t xml:space="preserve">O prazo de vigência do contrato será de </w:t>
      </w:r>
      <w:r>
        <w:rPr>
          <w:rFonts w:cs="Gadugi" w:ascii="Gadugi" w:hAnsi="Gadugi"/>
          <w:b/>
          <w:bCs/>
          <w:i w:val="false"/>
          <w:iCs w:val="false"/>
          <w:color w:val="auto"/>
          <w:sz w:val="18"/>
          <w:szCs w:val="18"/>
          <w:highlight w:val="white"/>
        </w:rPr>
        <w:t>12 (doze) meses</w:t>
      </w:r>
      <w:r>
        <w:rPr>
          <w:rFonts w:cs="Gadugi" w:ascii="Gadugi" w:hAnsi="Gadugi"/>
          <w:i w:val="false"/>
          <w:iCs w:val="false"/>
          <w:color w:val="auto"/>
          <w:sz w:val="18"/>
          <w:szCs w:val="18"/>
          <w:highlight w:val="white"/>
        </w:rPr>
        <w:t>, contados da data de sua assinatura, período suficiente para o fornecimento, recebimento definitivo, garantia e demais obrigações decorrentes da contratação, observadas as hipóteses de prorrogação excepcional previstas na Lei Federal nº 14.133/2021</w:t>
      </w:r>
    </w:p>
    <w:p>
      <w:pPr>
        <w:pStyle w:val="Nivel01"/>
        <w:numPr>
          <w:ilvl w:val="0"/>
          <w:numId w:val="0"/>
        </w:numPr>
        <w:tabs>
          <w:tab w:val="clear" w:pos="567"/>
          <w:tab w:val="left" w:pos="426" w:leader="none"/>
        </w:tabs>
        <w:spacing w:before="0" w:after="0"/>
        <w:ind w:hanging="0" w:left="0"/>
        <w:rPr>
          <w:color w:val="000000"/>
        </w:rPr>
      </w:pPr>
      <w:r>
        <w:rPr>
          <w:rFonts w:cs="Gadugi" w:ascii="Gadugi" w:hAnsi="Gadugi"/>
          <w:color w:val="000000"/>
          <w:sz w:val="18"/>
          <w:szCs w:val="18"/>
        </w:rPr>
        <w:t>3 - FUNDAMENTAÇÃO E DESCRIÇÃO DA NECESSIDADE DA CONTRATAÇÃO</w:t>
      </w:r>
    </w:p>
    <w:p>
      <w:pPr>
        <w:pStyle w:val="Nivel2"/>
        <w:numPr>
          <w:ilvl w:val="0"/>
          <w:numId w:val="0"/>
        </w:numPr>
        <w:tabs>
          <w:tab w:val="clear" w:pos="708"/>
          <w:tab w:val="left" w:pos="426" w:leader="none"/>
        </w:tabs>
        <w:spacing w:lineRule="auto" w:line="312" w:before="0" w:after="0"/>
        <w:ind w:hanging="0" w:left="0"/>
        <w:rPr>
          <w:rFonts w:ascii="Gadugi" w:hAnsi="Gadugi" w:cs="Gadugi"/>
          <w:sz w:val="18"/>
          <w:szCs w:val="18"/>
        </w:rPr>
      </w:pPr>
      <w:r>
        <w:rPr>
          <w:rFonts w:cs="Gadugi" w:ascii="Gadugi" w:hAnsi="Gadugi"/>
          <w:sz w:val="18"/>
          <w:szCs w:val="18"/>
        </w:rPr>
        <w:t>3.1 - A fundamentação da presente contratação, bem como a definição dos quantitativos, das especificações técnicas e da solução adotada, encontra-se pormenorizada no Estudo Técnico Preliminar – ETP, que integra o presente Termo de Referência para todos os fins. O ETP demonstra a necessidade da aquisição de veículos destinados à renovação e ampliação da frota oficial do Município, visando atender às demandas operacionais das Secretarias Municipais da Saúde e da Agricultura e Meio Ambiente, assegurando maior eficiência, segurança, economicidade e continuidade na prestação dos serviços públicos.</w:t>
      </w:r>
    </w:p>
    <w:p>
      <w:pPr>
        <w:pStyle w:val="Nivel01"/>
        <w:numPr>
          <w:ilvl w:val="0"/>
          <w:numId w:val="0"/>
        </w:numPr>
        <w:spacing w:before="0" w:after="0"/>
        <w:ind w:hanging="0" w:left="0"/>
        <w:rPr>
          <w:color w:val="000000"/>
        </w:rPr>
      </w:pPr>
      <w:r>
        <w:rPr>
          <w:rFonts w:cs="Gadugi" w:ascii="Gadugi" w:hAnsi="Gadugi"/>
          <w:color w:val="000000"/>
          <w:sz w:val="18"/>
          <w:szCs w:val="18"/>
        </w:rPr>
        <w:t>4 - DESCRIÇÃO DA SOLUÇÃO COMO UM TODO CONSIDERADO O CICLO DE VIDA DO OBJETO E ESPECIFICAÇÃO DO PRODUTO</w:t>
      </w:r>
    </w:p>
    <w:p>
      <w:pPr>
        <w:pStyle w:val="Nvel2-Red"/>
        <w:numPr>
          <w:ilvl w:val="1"/>
          <w:numId w:val="4"/>
        </w:numPr>
        <w:spacing w:lineRule="auto" w:line="312"/>
        <w:rPr>
          <w:rFonts w:ascii="Gadugi" w:hAnsi="Gadugi" w:cs="Gadugi"/>
          <w:i w:val="false"/>
          <w:iCs w:val="false"/>
          <w:color w:val="auto"/>
          <w:sz w:val="18"/>
          <w:szCs w:val="18"/>
        </w:rPr>
      </w:pPr>
      <w:r>
        <w:rPr>
          <w:rFonts w:cs="Gadugi" w:ascii="Gadugi" w:hAnsi="Gadugi"/>
          <w:i w:val="false"/>
          <w:iCs w:val="false"/>
          <w:color w:val="auto"/>
          <w:sz w:val="18"/>
          <w:szCs w:val="18"/>
        </w:rPr>
        <w:t xml:space="preserve">- A solução adotada consiste na aquisição de veículos automotores novos, zero quilômetro, destinados à renovação e ampliação da frota oficial do Município, visando atender às necessidades operacionais das Secretarias Municipais da Saúde e da Agricultura e Meio Ambiente. A contratação contempla o fornecimento de veículos com especificações técnicas compatíveis com as atividades desenvolvidas por cada secretaria, observando requisitos de segurança, desempenho, durabilidade, eficiência energética, economicidade, facilidade de manutenção e disponibilidade de assistência técnica. A descrição detalhada da solução, considerada em todo o ciclo de vida do objeto, incluindo as justificativas técnicas, os benefícios esperados, as especificações mínimas, os aspectos de sustentabilidade e as razões que demonstram sua adequação ao interesse público, encontra-se pormenorizada no Estudo Técnico Preliminar – ETP, que integra o presente processo administrativo para todos os fins. </w:t>
      </w:r>
    </w:p>
    <w:p>
      <w:pPr>
        <w:pStyle w:val="Nvel2-Red"/>
        <w:numPr>
          <w:ilvl w:val="0"/>
          <w:numId w:val="0"/>
        </w:numPr>
        <w:spacing w:lineRule="auto" w:line="312" w:before="0" w:after="0"/>
        <w:ind w:hanging="0" w:left="0"/>
        <w:rPr>
          <w:rFonts w:ascii="Gadugi" w:hAnsi="Gadugi" w:cs="Gadugi"/>
          <w:i w:val="false"/>
          <w:iCs w:val="false"/>
          <w:color w:val="auto"/>
          <w:sz w:val="18"/>
          <w:szCs w:val="18"/>
        </w:rPr>
      </w:pPr>
      <w:r>
        <w:rPr>
          <w:rFonts w:cs="Gadugi" w:ascii="Gadugi" w:hAnsi="Gadugi"/>
          <w:i w:val="false"/>
          <w:iCs w:val="false"/>
          <w:color w:val="auto"/>
          <w:sz w:val="18"/>
          <w:szCs w:val="18"/>
        </w:rPr>
      </w:r>
    </w:p>
    <w:p>
      <w:pPr>
        <w:pStyle w:val="Nivel01"/>
        <w:numPr>
          <w:ilvl w:val="0"/>
          <w:numId w:val="0"/>
        </w:numPr>
        <w:spacing w:before="0" w:after="0"/>
        <w:ind w:hanging="0" w:left="0"/>
        <w:rPr>
          <w:color w:val="000000"/>
        </w:rPr>
      </w:pPr>
      <w:r>
        <w:rPr>
          <w:rFonts w:cs="Gadugi" w:ascii="Gadugi" w:hAnsi="Gadugi"/>
          <w:color w:val="000000"/>
          <w:sz w:val="18"/>
          <w:szCs w:val="18"/>
        </w:rPr>
        <w:t>5 - REQUISITOS DA CONTRATAÇÃO</w:t>
      </w:r>
    </w:p>
    <w:p>
      <w:pPr>
        <w:pStyle w:val="Nvel1-SemNum"/>
        <w:spacing w:before="0" w:after="0"/>
        <w:ind w:hanging="0" w:left="360"/>
        <w:rPr>
          <w:rFonts w:ascii="Gadugi" w:hAnsi="Gadugi" w:cs="Gadugi"/>
          <w:b w:val="false"/>
          <w:bCs w:val="false"/>
          <w:color w:val="auto"/>
          <w:sz w:val="18"/>
          <w:szCs w:val="18"/>
        </w:rPr>
      </w:pPr>
      <w:r>
        <w:rPr>
          <w:rFonts w:cs="Gadugi" w:ascii="Gadugi" w:hAnsi="Gadugi"/>
          <w:b w:val="false"/>
          <w:bCs w:val="false"/>
          <w:color w:val="auto"/>
          <w:sz w:val="18"/>
          <w:szCs w:val="18"/>
        </w:rPr>
        <w:t>5.1 A presente contratação compreende o fornecimento de veículos automotores novos (zero quilômetro), destinados à composição da frota oficial do Município de Santa Bárbara do Sul/RS, em conformidade com as especificações técnicas constantes neste Termo de Referência e no Estudo Técnico Preliminar – ETP.</w:t>
      </w:r>
    </w:p>
    <w:p>
      <w:pPr>
        <w:pStyle w:val="Nvel1-SemNum"/>
        <w:spacing w:before="0" w:after="0"/>
        <w:ind w:hanging="0" w:left="360"/>
        <w:rPr>
          <w:rFonts w:ascii="Gadugi" w:hAnsi="Gadugi" w:cs="Gadugi"/>
          <w:b w:val="false"/>
          <w:bCs w:val="false"/>
          <w:color w:val="auto"/>
          <w:sz w:val="18"/>
          <w:szCs w:val="18"/>
        </w:rPr>
      </w:pPr>
      <w:r>
        <w:rPr>
          <w:rFonts w:cs="Gadugi" w:ascii="Gadugi" w:hAnsi="Gadugi"/>
          <w:b w:val="false"/>
          <w:bCs w:val="false"/>
          <w:color w:val="auto"/>
          <w:sz w:val="18"/>
          <w:szCs w:val="18"/>
        </w:rPr>
        <w:t>5.2 Os veículos deverão ser entregues em perfeitas condições de uso e funcionamento, acompanhados de todos os acessórios obrigatórios exigidos pela legislação de trânsito vigente, manual do proprietário em língua portuguesa, certificado de garantia, chave reserva, ferramentas e demais itens fornecidos pelo fabricante.</w:t>
      </w:r>
    </w:p>
    <w:p>
      <w:pPr>
        <w:pStyle w:val="Nvel1-SemNum"/>
        <w:spacing w:before="0" w:after="0"/>
        <w:ind w:hanging="0" w:left="360"/>
        <w:rPr>
          <w:rFonts w:ascii="Gadugi" w:hAnsi="Gadugi" w:cs="Gadugi"/>
          <w:b w:val="false"/>
          <w:bCs w:val="false"/>
          <w:color w:val="auto"/>
          <w:sz w:val="18"/>
          <w:szCs w:val="18"/>
        </w:rPr>
      </w:pPr>
      <w:r>
        <w:rPr>
          <w:rFonts w:cs="Gadugi" w:ascii="Gadugi" w:hAnsi="Gadugi"/>
          <w:b w:val="false"/>
          <w:bCs w:val="false"/>
          <w:color w:val="auto"/>
          <w:sz w:val="18"/>
          <w:szCs w:val="18"/>
        </w:rPr>
        <w:t>5.3 Os veículos deverão atender integralmente às especificações técnicas mínimas estabelecidas neste Termo de Referência, bem como às normas do Código de Trânsito Brasileiro – CTB, às Resoluções do CONTRAN, às normas ambientais vigentes e aos padrões de segurança exigidos pelos órgãos competentes.</w:t>
      </w:r>
    </w:p>
    <w:p>
      <w:pPr>
        <w:pStyle w:val="Nvel1-SemNum"/>
        <w:spacing w:before="0" w:after="0"/>
        <w:ind w:hanging="0" w:left="360"/>
        <w:rPr>
          <w:rFonts w:ascii="Gadugi" w:hAnsi="Gadugi" w:cs="Gadugi"/>
          <w:b w:val="false"/>
          <w:bCs w:val="false"/>
          <w:color w:val="auto"/>
          <w:sz w:val="18"/>
          <w:szCs w:val="18"/>
        </w:rPr>
      </w:pPr>
      <w:r>
        <w:rPr>
          <w:rFonts w:cs="Gadugi" w:ascii="Gadugi" w:hAnsi="Gadugi"/>
          <w:b w:val="false"/>
          <w:bCs w:val="false"/>
          <w:color w:val="auto"/>
          <w:sz w:val="18"/>
          <w:szCs w:val="18"/>
        </w:rPr>
        <w:t>5.4 A contratada deverá assegurar garantia de fábrica, assistência técnica autorizada e disponibilidade de peças de reposição durante o período de garantia, conforme especificações estabelecidas para cada item deste Termo de Referência.</w:t>
      </w:r>
    </w:p>
    <w:p>
      <w:pPr>
        <w:pStyle w:val="Nivel01"/>
        <w:numPr>
          <w:ilvl w:val="0"/>
          <w:numId w:val="0"/>
        </w:numPr>
        <w:spacing w:before="0" w:after="0"/>
        <w:ind w:hanging="0" w:left="284"/>
        <w:rPr>
          <w:rFonts w:ascii="Gadugi" w:hAnsi="Gadugi" w:cs="Gadugi"/>
          <w:b w:val="false"/>
          <w:bCs w:val="false"/>
          <w:color w:val="auto"/>
          <w:sz w:val="18"/>
          <w:szCs w:val="18"/>
        </w:rPr>
      </w:pPr>
      <w:r>
        <w:rPr>
          <w:rFonts w:cs="Gadugi" w:ascii="Gadugi" w:hAnsi="Gadugi"/>
          <w:b w:val="false"/>
          <w:bCs w:val="false"/>
          <w:color w:val="auto"/>
          <w:sz w:val="18"/>
          <w:szCs w:val="18"/>
        </w:rPr>
        <w:t>5.5 - SUBCONTRATAÇÃO</w:t>
      </w:r>
    </w:p>
    <w:p>
      <w:pPr>
        <w:pStyle w:val="Nivel01"/>
        <w:numPr>
          <w:ilvl w:val="0"/>
          <w:numId w:val="0"/>
        </w:numPr>
        <w:spacing w:before="0" w:after="0"/>
        <w:ind w:hanging="0" w:left="709"/>
        <w:rPr>
          <w:rFonts w:ascii="Gadugi" w:hAnsi="Gadugi" w:cs="Gadugi"/>
          <w:b w:val="false"/>
          <w:bCs w:val="false"/>
          <w:color w:val="auto"/>
          <w:sz w:val="18"/>
          <w:szCs w:val="18"/>
        </w:rPr>
      </w:pPr>
      <w:r>
        <w:rPr>
          <w:rFonts w:cs="Gadugi" w:ascii="Gadugi" w:hAnsi="Gadugi"/>
          <w:b w:val="false"/>
          <w:bCs w:val="false"/>
          <w:color w:val="auto"/>
          <w:sz w:val="18"/>
          <w:szCs w:val="18"/>
        </w:rPr>
        <w:t>5.5.1 Não será admitida a subcontratação do objeto contratual, considerando que o fornecimento deverá ser executado diretamente pela empresa contratada, permanecendo esta integralmente responsável pela execução do contrato.</w:t>
      </w:r>
    </w:p>
    <w:p>
      <w:pPr>
        <w:pStyle w:val="Nivel01"/>
        <w:numPr>
          <w:ilvl w:val="0"/>
          <w:numId w:val="0"/>
        </w:numPr>
        <w:spacing w:before="0" w:after="0"/>
        <w:ind w:hanging="0" w:left="284"/>
        <w:rPr>
          <w:rFonts w:ascii="Gadugi" w:hAnsi="Gadugi" w:cs="Gadugi"/>
          <w:b w:val="false"/>
          <w:bCs w:val="false"/>
          <w:color w:val="auto"/>
          <w:sz w:val="18"/>
          <w:szCs w:val="18"/>
        </w:rPr>
      </w:pPr>
      <w:r>
        <w:rPr>
          <w:rFonts w:cs="Gadugi" w:ascii="Gadugi" w:hAnsi="Gadugi"/>
          <w:b w:val="false"/>
          <w:bCs w:val="false"/>
          <w:color w:val="auto"/>
          <w:sz w:val="18"/>
          <w:szCs w:val="18"/>
        </w:rPr>
        <w:t>5.6 - GARANTIA DA CONTRATAÇÃO</w:t>
      </w:r>
    </w:p>
    <w:p>
      <w:pPr>
        <w:pStyle w:val="Nivel01"/>
        <w:numPr>
          <w:ilvl w:val="0"/>
          <w:numId w:val="0"/>
        </w:numPr>
        <w:spacing w:before="0" w:after="0"/>
        <w:ind w:hanging="0" w:left="709"/>
        <w:rPr>
          <w:rFonts w:ascii="Gadugi" w:hAnsi="Gadugi" w:cs="Gadugi"/>
          <w:b w:val="false"/>
          <w:bCs w:val="false"/>
          <w:color w:val="auto"/>
          <w:sz w:val="18"/>
          <w:szCs w:val="18"/>
        </w:rPr>
      </w:pPr>
      <w:r>
        <w:rPr>
          <w:rFonts w:cs="Gadugi" w:ascii="Gadugi" w:hAnsi="Gadugi"/>
          <w:b w:val="false"/>
          <w:bCs w:val="false"/>
          <w:color w:val="auto"/>
          <w:sz w:val="18"/>
          <w:szCs w:val="18"/>
        </w:rPr>
        <w:t>5.6.1 Não será exigida a prestação de garantia da contratação prevista nos artigos 96 e seguintes da Lei Federal nº 14.133/2021, em razão da natureza do objeto e das características da contratação.</w:t>
      </w:r>
    </w:p>
    <w:p>
      <w:pPr>
        <w:pStyle w:val="Nivel01"/>
        <w:numPr>
          <w:ilvl w:val="0"/>
          <w:numId w:val="0"/>
        </w:numPr>
        <w:spacing w:before="0" w:after="0"/>
        <w:ind w:hanging="0" w:left="0"/>
        <w:rPr>
          <w:color w:val="000000"/>
        </w:rPr>
      </w:pPr>
      <w:r>
        <w:rPr>
          <w:rFonts w:cs="Gadugi" w:ascii="Gadugi" w:hAnsi="Gadugi"/>
          <w:color w:val="000000"/>
          <w:sz w:val="18"/>
          <w:szCs w:val="18"/>
        </w:rPr>
        <w:t xml:space="preserve">6 – </w:t>
      </w:r>
      <w:r>
        <w:rPr>
          <w:rFonts w:eastAsia="Calibri" w:cs="Gadugi" w:ascii="Gadugi" w:hAnsi="Gadugi"/>
          <w:color w:val="000000"/>
          <w:sz w:val="18"/>
          <w:szCs w:val="18"/>
        </w:rPr>
        <w:t>MODELO DE EXECUÇÃO DO OBJETO</w:t>
      </w:r>
    </w:p>
    <w:p>
      <w:pPr>
        <w:pStyle w:val="Normal"/>
        <w:widowControl w:val="false"/>
        <w:spacing w:lineRule="auto" w:line="312"/>
        <w:jc w:val="both"/>
        <w:rPr>
          <w:rFonts w:ascii="Gadugi" w:hAnsi="Gadugi" w:eastAsia="Calibri" w:cs="Gadugi"/>
          <w:b/>
          <w:bCs/>
          <w:sz w:val="18"/>
          <w:szCs w:val="18"/>
        </w:rPr>
      </w:pPr>
      <w:r>
        <w:rPr>
          <w:rFonts w:eastAsia="Calibri" w:cs="Gadugi" w:ascii="Gadugi" w:hAnsi="Gadugi"/>
          <w:bCs/>
          <w:sz w:val="18"/>
          <w:szCs w:val="18"/>
        </w:rPr>
        <w:t xml:space="preserve">6.1 - </w:t>
      </w:r>
      <w:r>
        <w:rPr>
          <w:rFonts w:eastAsia="Calibri" w:cs="Gadugi" w:ascii="Gadugi" w:hAnsi="Gadugi"/>
          <w:b/>
          <w:bCs/>
          <w:sz w:val="18"/>
          <w:szCs w:val="18"/>
        </w:rPr>
        <w:t>PRAZO DE ENTREGA</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t>6.1.1 A contratada deverá fornecer os veículos no prazo máximo de 60 (sessenta) dias, contados do recebimento da Nota de Empenho ou da assinatura do contrato, conforme o caso.</w:t>
      </w:r>
    </w:p>
    <w:p>
      <w:pPr>
        <w:pStyle w:val="Normal"/>
        <w:widowControl w:val="false"/>
        <w:spacing w:lineRule="auto" w:line="312"/>
        <w:jc w:val="both"/>
        <w:rPr>
          <w:rFonts w:ascii="Gadugi" w:hAnsi="Gadugi" w:eastAsia="Calibri" w:cs="Gadugi"/>
          <w:bCs/>
          <w:sz w:val="18"/>
          <w:szCs w:val="18"/>
        </w:rPr>
      </w:pPr>
      <w:r>
        <w:rPr>
          <w:rFonts w:eastAsia="Calibri" w:cs="Gadugi" w:ascii="Gadugi" w:hAnsi="Gadugi"/>
          <w:sz w:val="18"/>
          <w:szCs w:val="18"/>
        </w:rPr>
        <w:t>6.1.2</w:t>
      </w:r>
      <w:r>
        <w:rPr>
          <w:rFonts w:eastAsia="Calibri" w:cs="Gadugi" w:ascii="Gadugi" w:hAnsi="Gadugi"/>
          <w:bCs/>
          <w:sz w:val="18"/>
          <w:szCs w:val="18"/>
        </w:rPr>
        <w:t xml:space="preserve"> Caso não seja possível cumprir o prazo estabelecido, a contratada deverá comunicar formalmente à Administração, antes do seu vencimento, apresentando as justificativas devidamente fundamentadas para análise da eventual prorrogação, sem prejuízo da aplicação das penalidades cabíveis, quando for o caso.</w:t>
      </w:r>
    </w:p>
    <w:p>
      <w:pPr>
        <w:pStyle w:val="Normal"/>
        <w:widowControl w:val="false"/>
        <w:spacing w:lineRule="auto" w:line="312"/>
        <w:jc w:val="both"/>
        <w:rPr>
          <w:rFonts w:ascii="Gadugi" w:hAnsi="Gadugi" w:eastAsia="Calibri" w:cs="Gadugi"/>
          <w:b/>
          <w:bCs/>
          <w:sz w:val="18"/>
          <w:szCs w:val="18"/>
        </w:rPr>
      </w:pPr>
      <w:r>
        <w:rPr>
          <w:rFonts w:eastAsia="Calibri" w:cs="Gadugi" w:ascii="Gadugi" w:hAnsi="Gadugi"/>
          <w:sz w:val="18"/>
          <w:szCs w:val="18"/>
        </w:rPr>
        <w:t xml:space="preserve">6.2 - </w:t>
      </w:r>
      <w:r>
        <w:rPr>
          <w:rFonts w:eastAsia="Calibri" w:cs="Gadugi" w:ascii="Gadugi" w:hAnsi="Gadugi"/>
          <w:b/>
          <w:bCs/>
          <w:sz w:val="18"/>
          <w:szCs w:val="18"/>
        </w:rPr>
        <w:t>LOCAL DE ENTREGA</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t>6.2.1 Os veículos deverão ser entregues junto ao Município de Santa Bárbara do Sul/RS, no local indicado pela Administração quando da emissão da Ordem de Fornecimento ou Nota de Empenho, em dias úteis e horário de expediente.</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t>6.2.2 Todas as despesas com transporte, frete, seguro, tributos, descarregamento e demais custos necessários à entrega correrão por conta exclusiva da contratada.</w:t>
      </w:r>
    </w:p>
    <w:p>
      <w:pPr>
        <w:pStyle w:val="Normal"/>
        <w:widowControl w:val="false"/>
        <w:spacing w:lineRule="auto" w:line="312"/>
        <w:jc w:val="both"/>
        <w:rPr>
          <w:rFonts w:ascii="Gadugi" w:hAnsi="Gadugi" w:eastAsia="Calibri" w:cs="Gadugi"/>
          <w:b/>
          <w:bCs/>
          <w:sz w:val="18"/>
          <w:szCs w:val="18"/>
        </w:rPr>
      </w:pPr>
      <w:r>
        <w:rPr>
          <w:rFonts w:eastAsia="Calibri" w:cs="Gadugi" w:ascii="Gadugi" w:hAnsi="Gadugi"/>
          <w:sz w:val="18"/>
          <w:szCs w:val="18"/>
        </w:rPr>
        <w:t xml:space="preserve">6.3 – </w:t>
      </w:r>
      <w:r>
        <w:rPr>
          <w:rFonts w:eastAsia="Calibri" w:cs="Gadugi" w:ascii="Gadugi" w:hAnsi="Gadugi"/>
          <w:b/>
          <w:bCs/>
          <w:sz w:val="18"/>
          <w:szCs w:val="18"/>
        </w:rPr>
        <w:t>CONDIÇÕES DE ENTREGA</w:t>
      </w:r>
    </w:p>
    <w:p>
      <w:pPr>
        <w:pStyle w:val="Normal"/>
        <w:widowControl w:val="false"/>
        <w:spacing w:lineRule="auto" w:line="312"/>
        <w:jc w:val="both"/>
        <w:rPr>
          <w:rFonts w:ascii="Gadugi" w:hAnsi="Gadugi" w:eastAsia="Calibri" w:cs="Gadugi"/>
          <w:sz w:val="18"/>
          <w:szCs w:val="18"/>
        </w:rPr>
      </w:pPr>
      <w:r>
        <w:rPr>
          <w:rFonts w:eastAsia="Calibri" w:cs="Gadugi" w:ascii="Gadugi" w:hAnsi="Gadugi"/>
          <w:b/>
          <w:bCs/>
          <w:sz w:val="18"/>
          <w:szCs w:val="18"/>
        </w:rPr>
        <w:t>6.3.1</w:t>
      </w:r>
      <w:r>
        <w:rPr>
          <w:rFonts w:eastAsia="Calibri" w:cs="Gadugi" w:ascii="Gadugi" w:hAnsi="Gadugi"/>
          <w:sz w:val="18"/>
          <w:szCs w:val="18"/>
        </w:rPr>
        <w:t xml:space="preserve"> Os veículos deverão ser entregues:</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t>I – novos (zero quilômetro);</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t>II – em perfeitas condições de funcionamento;</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t>III – acompanhados da Nota Fiscal, manual do proprietário em língua portuguesa, certificado de garantia, chave reserva e demais acessórios fornecidos pelo fabricante;</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t>IV – com todos os equipamentos obrigatórios exigidos pela legislação de trânsito vigente;</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t>V – licenciados e aptos ao primeiro registro em nome do Município, quando exigido pelas condições da contratação.</w:t>
      </w:r>
    </w:p>
    <w:p>
      <w:pPr>
        <w:pStyle w:val="Normal"/>
        <w:widowControl w:val="false"/>
        <w:spacing w:lineRule="auto" w:line="312"/>
        <w:jc w:val="both"/>
        <w:rPr>
          <w:rFonts w:ascii="Gadugi" w:hAnsi="Gadugi" w:eastAsia="Calibri" w:cs="Gadugi"/>
          <w:b/>
          <w:bCs/>
          <w:sz w:val="18"/>
          <w:szCs w:val="18"/>
        </w:rPr>
      </w:pPr>
      <w:r>
        <w:rPr>
          <w:rFonts w:eastAsia="Calibri" w:cs="Gadugi" w:ascii="Gadugi" w:hAnsi="Gadugi"/>
          <w:b/>
          <w:bCs/>
          <w:sz w:val="18"/>
          <w:szCs w:val="18"/>
        </w:rPr>
        <w:t>6.4 - DO RECEBIMENTO</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t>6.4.1 O recebimento provisório ocorrerá no ato da entrega dos veículos, mediante conferência quantitativa e verificação preliminar de suas condições, sendo lavrado o respectivo termo pelo fiscal do contrato.</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t xml:space="preserve">6.4.2 O recebimento definitivo será realizado após a verificação da conformidade dos veículos com as especificações constantes deste Termo de Referência, da proposta da contratada e do contrato, no prazo máximo de </w:t>
      </w:r>
      <w:r>
        <w:rPr>
          <w:rFonts w:eastAsia="Calibri" w:cs="Gadugi" w:ascii="Gadugi" w:hAnsi="Gadugi"/>
          <w:b/>
          <w:bCs/>
          <w:sz w:val="18"/>
          <w:szCs w:val="18"/>
        </w:rPr>
        <w:t>30 (trinta) dias</w:t>
      </w:r>
      <w:r>
        <w:rPr>
          <w:rFonts w:eastAsia="Calibri" w:cs="Gadugi" w:ascii="Gadugi" w:hAnsi="Gadugi"/>
          <w:sz w:val="18"/>
          <w:szCs w:val="18"/>
        </w:rPr>
        <w:t>, mediante emissão de termo de recebimento definitivo.</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t>6.4.3 Os veículos que apresentarem defeitos, avarias, vícios, divergências nas especificações ou qualquer desconformidade com o objeto contratado serão recusados, devendo ser substituídos pela contratada, sem ônus para a Administração, no prazo fixado pela fiscalização.</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t>6.4.4 O recebimento provisório ou definitivo não exclui a responsabilidade da contratada pela qualidade dos bens fornecidos, nem a responsabilidade decorrente da garantia de fábrica e das demais obrigações previstas na legislação e no contrato.</w:t>
      </w:r>
    </w:p>
    <w:p>
      <w:pPr>
        <w:pStyle w:val="Normal"/>
        <w:widowControl w:val="false"/>
        <w:spacing w:lineRule="auto" w:line="312"/>
        <w:jc w:val="both"/>
        <w:rPr>
          <w:rFonts w:ascii="Gadugi" w:hAnsi="Gadugi" w:eastAsia="Calibri" w:cs="Gadugi"/>
          <w:sz w:val="18"/>
          <w:szCs w:val="18"/>
        </w:rPr>
      </w:pPr>
      <w:r>
        <w:rPr>
          <w:rFonts w:eastAsia="Calibri" w:cs="Gadugi" w:ascii="Gadugi" w:hAnsi="Gadugi"/>
          <w:sz w:val="18"/>
          <w:szCs w:val="18"/>
        </w:rPr>
      </w:r>
    </w:p>
    <w:p>
      <w:pPr>
        <w:pStyle w:val="Normal"/>
        <w:widowControl w:val="false"/>
        <w:spacing w:lineRule="auto" w:line="312"/>
        <w:jc w:val="both"/>
        <w:rPr>
          <w:b/>
          <w:bCs/>
          <w:color w:val="000000"/>
        </w:rPr>
      </w:pPr>
      <w:r>
        <w:rPr>
          <w:rFonts w:cs="Gadugi" w:ascii="Gadugi" w:hAnsi="Gadugi"/>
          <w:b/>
          <w:bCs/>
          <w:color w:val="000000"/>
          <w:sz w:val="18"/>
          <w:szCs w:val="18"/>
        </w:rPr>
        <w:t>7 - OBRIGAÇÕES DO CONTRATANTE (art. 92, incisos X, XI e XIV, da Lei nº 14.133/2021)</w:t>
      </w:r>
    </w:p>
    <w:p>
      <w:pPr>
        <w:pStyle w:val="Nivel01"/>
        <w:numPr>
          <w:ilvl w:val="0"/>
          <w:numId w:val="0"/>
        </w:numPr>
        <w:spacing w:lineRule="auto" w:line="240" w:before="0" w:after="117"/>
        <w:ind w:hanging="0" w:left="0"/>
        <w:rPr>
          <w:rFonts w:ascii="Gadugi" w:hAnsi="Gadugi" w:cs="Gadugi"/>
          <w:b w:val="false"/>
          <w:bCs w:val="false"/>
          <w:color w:val="auto"/>
          <w:sz w:val="18"/>
          <w:szCs w:val="18"/>
        </w:rPr>
      </w:pPr>
      <w:r>
        <w:rPr>
          <w:rFonts w:cs="Gadugi" w:ascii="Gadugi" w:hAnsi="Gadugi"/>
          <w:b w:val="false"/>
          <w:bCs w:val="false"/>
          <w:color w:val="auto"/>
          <w:sz w:val="18"/>
          <w:szCs w:val="18"/>
        </w:rPr>
        <w:t>7.1 São obrigações do Contratante:</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7.1.1 Exigir o cumprimento de todas as obrigações assumidas pela contratada, de acordo com o contrato, este Termo de Referência e seus anexos.</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7.1.2 Receber o objeto no prazo e nas condições estabelecidas neste Termo de Referência.</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7.1.3 Acompanhar, fiscalizar e avaliar a execução do contrato, por meio de servidor designado, comunicando à contratadas quaisquer irregularidades verificadas.</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7.1.4 Notificar a contratada, por escrito, sobre vícios, defeitos ou incorreções constatadas nos veículos fornecidos, para que sejam corrigidos, reparados ou substituídos, sem ônus para a Administração.</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7.1.5 Efetuar o pagamento à contratada, na forma e nos prazos estabelecidos neste Termo de Referência e no contrato, após o recebimento definitivo do objeto e o atesto da Nota Fiscal.</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7.1.6 Aplicar, quando cabíveis, as sanções administrativas previstas na Lei Federal nº 14.133/2021 e no contrato.</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7.1.7 Prestar à contratada as informações e os esclarecimentos necessários ao perfeito cumprimento das obrigações contratuais.</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7.1.8 Rejeitar, no todo ou em parte, os veículos entregues em desacordo com as especificações estabelecidas neste Termo de Referência.</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7.1.9 Solicitar a substituição dos veículos que apresentarem defeitos, vícios ou desconformidades durante o recebimento ou dentro do período de garantia, observado o disposto no contrato e na garantia do fabricante.</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7.1.10 Zelar pelo cumprimento do contrato, praticando todos os atos necessários à boa gestão e fiscalização da contratação.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r>
    </w:p>
    <w:p>
      <w:pPr>
        <w:pStyle w:val="Nivel01"/>
        <w:numPr>
          <w:ilvl w:val="0"/>
          <w:numId w:val="0"/>
        </w:numPr>
        <w:spacing w:before="0" w:after="0"/>
        <w:ind w:hanging="0" w:left="0"/>
        <w:rPr>
          <w:color w:val="000000"/>
        </w:rPr>
      </w:pPr>
      <w:r>
        <w:rPr>
          <w:rFonts w:cs="Gadugi" w:ascii="Gadugi" w:hAnsi="Gadugi"/>
          <w:color w:val="000000"/>
          <w:sz w:val="18"/>
          <w:szCs w:val="18"/>
        </w:rPr>
        <w:t>8 - OBRIGAÇÕES DO CONTRATADO (art. 92, incisos XIV, XVI e XVII, da Lei nº 14.133/2021).</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8.1 Constituem obrigações da Contratada, além das demais previstas na legislação aplicável, neste Termo de Referência, no Edital e no Contrato:</w:t>
      </w:r>
    </w:p>
    <w:p>
      <w:pPr>
        <w:pStyle w:val="Nivel01"/>
        <w:numPr>
          <w:ilvl w:val="0"/>
          <w:numId w:val="0"/>
        </w:numPr>
        <w:spacing w:before="0" w:after="0"/>
        <w:ind w:hanging="0" w:left="567"/>
        <w:rPr>
          <w:rFonts w:ascii="Gadugi" w:hAnsi="Gadugi" w:cs="Gadugi"/>
          <w:b w:val="false"/>
          <w:bCs w:val="false"/>
          <w:color w:val="auto"/>
          <w:sz w:val="18"/>
          <w:szCs w:val="18"/>
        </w:rPr>
      </w:pPr>
      <w:r>
        <w:rPr>
          <w:rFonts w:cs="Gadugi" w:ascii="Gadugi" w:hAnsi="Gadugi"/>
          <w:b w:val="false"/>
          <w:bCs w:val="false"/>
          <w:color w:val="auto"/>
          <w:sz w:val="18"/>
          <w:szCs w:val="18"/>
        </w:rPr>
        <w:t>8.1.1 Fornecer os veículos novos (zero quilômetro), em perfeitas condições de uso e funcionamento, observando integralmente as especificações técnicas estabelecidas neste Termo de Referência e na proposta apresentada.</w:t>
      </w:r>
    </w:p>
    <w:p>
      <w:pPr>
        <w:pStyle w:val="Nivel01"/>
        <w:numPr>
          <w:ilvl w:val="0"/>
          <w:numId w:val="0"/>
        </w:numPr>
        <w:tabs>
          <w:tab w:val="clear" w:pos="567"/>
          <w:tab w:val="left" w:pos="426" w:leader="none"/>
        </w:tabs>
        <w:spacing w:before="0" w:after="0"/>
        <w:ind w:hanging="0" w:left="142"/>
        <w:rPr>
          <w:rFonts w:ascii="Gadugi" w:hAnsi="Gadugi" w:cs="Gadugi"/>
          <w:b w:val="false"/>
          <w:bCs w:val="false"/>
          <w:color w:val="auto"/>
          <w:sz w:val="18"/>
          <w:szCs w:val="18"/>
        </w:rPr>
      </w:pPr>
      <w:r>
        <w:rPr>
          <w:rFonts w:cs="Gadugi" w:ascii="Gadugi" w:hAnsi="Gadugi"/>
          <w:b w:val="false"/>
          <w:bCs w:val="false"/>
          <w:color w:val="auto"/>
          <w:sz w:val="18"/>
          <w:szCs w:val="18"/>
        </w:rPr>
        <w:t>8.1.2 Entregar os veículos no prazo estabelecido, acompanhados da Nota Fiscal, manual do proprietário em língua portuguesa, certificado de garantia, chave reserva e demais acessórios e equipamentos fornecidos pelo fabricante.</w:t>
      </w:r>
    </w:p>
    <w:p>
      <w:pPr>
        <w:pStyle w:val="Nivel01"/>
        <w:numPr>
          <w:ilvl w:val="0"/>
          <w:numId w:val="0"/>
        </w:numPr>
        <w:spacing w:before="0" w:after="0"/>
        <w:ind w:hanging="0" w:left="142"/>
        <w:rPr>
          <w:rFonts w:ascii="Gadugi" w:hAnsi="Gadugi" w:cs="Gadugi"/>
          <w:b w:val="false"/>
          <w:bCs w:val="false"/>
          <w:color w:val="auto"/>
          <w:sz w:val="18"/>
          <w:szCs w:val="18"/>
        </w:rPr>
      </w:pPr>
      <w:r>
        <w:rPr>
          <w:rFonts w:cs="Gadugi" w:ascii="Gadugi" w:hAnsi="Gadugi"/>
          <w:b w:val="false"/>
          <w:bCs w:val="false"/>
          <w:color w:val="auto"/>
          <w:sz w:val="18"/>
          <w:szCs w:val="18"/>
        </w:rPr>
        <w:t>8.1.3 Disponibilizar rede de assistência técnica autorizada e assegurar a garantia de fábrica durante o período estabelecido para cada veículo.</w:t>
      </w:r>
    </w:p>
    <w:p>
      <w:pPr>
        <w:pStyle w:val="Nivel01"/>
        <w:numPr>
          <w:ilvl w:val="0"/>
          <w:numId w:val="0"/>
        </w:numPr>
        <w:spacing w:before="0" w:after="0"/>
        <w:ind w:hanging="0" w:left="142"/>
        <w:rPr>
          <w:rFonts w:ascii="Gadugi" w:hAnsi="Gadugi" w:cs="Gadugi"/>
          <w:b w:val="false"/>
          <w:bCs w:val="false"/>
          <w:color w:val="auto"/>
          <w:sz w:val="18"/>
          <w:szCs w:val="18"/>
        </w:rPr>
      </w:pPr>
      <w:r>
        <w:rPr>
          <w:rFonts w:cs="Gadugi" w:ascii="Gadugi" w:hAnsi="Gadugi"/>
          <w:b w:val="false"/>
          <w:bCs w:val="false"/>
          <w:color w:val="auto"/>
          <w:sz w:val="18"/>
          <w:szCs w:val="18"/>
        </w:rPr>
        <w:t>8.1.4 Comunicar formalmente ao Contratante qualquer fato que possa impedir ou atrasar a entrega dos veículos, apresentando as justificativas pertinentes antes do vencimento do prazo contratual.</w:t>
      </w:r>
    </w:p>
    <w:p>
      <w:pPr>
        <w:pStyle w:val="Nivel01"/>
        <w:numPr>
          <w:ilvl w:val="0"/>
          <w:numId w:val="0"/>
        </w:numPr>
        <w:spacing w:before="0" w:after="0"/>
        <w:ind w:hanging="0" w:left="142"/>
        <w:rPr>
          <w:rFonts w:ascii="Gadugi" w:hAnsi="Gadugi" w:cs="Gadugi"/>
          <w:b w:val="false"/>
          <w:bCs w:val="false"/>
          <w:color w:val="auto"/>
          <w:sz w:val="18"/>
          <w:szCs w:val="18"/>
        </w:rPr>
      </w:pPr>
      <w:r>
        <w:rPr>
          <w:rFonts w:cs="Gadugi" w:ascii="Gadugi" w:hAnsi="Gadugi"/>
          <w:b w:val="false"/>
          <w:bCs w:val="false"/>
          <w:color w:val="auto"/>
          <w:sz w:val="18"/>
          <w:szCs w:val="18"/>
        </w:rPr>
        <w:t>8.1.5 Substituir, reparar ou corrigir, às suas expensas, os veículos que apresentarem defeitos, vícios, avarias ou qualquer desconformidade com as especificações exigidas, no prazo fixado pela fiscalização do contrato.</w:t>
      </w:r>
    </w:p>
    <w:p>
      <w:pPr>
        <w:pStyle w:val="Nivel01"/>
        <w:numPr>
          <w:ilvl w:val="0"/>
          <w:numId w:val="0"/>
        </w:numPr>
        <w:spacing w:before="0" w:after="0"/>
        <w:ind w:hanging="0" w:left="142"/>
        <w:rPr>
          <w:rFonts w:ascii="Gadugi" w:hAnsi="Gadugi" w:cs="Gadugi"/>
          <w:b w:val="false"/>
          <w:bCs w:val="false"/>
          <w:color w:val="auto"/>
          <w:sz w:val="18"/>
          <w:szCs w:val="18"/>
        </w:rPr>
      </w:pPr>
      <w:r>
        <w:rPr>
          <w:rFonts w:cs="Gadugi" w:ascii="Gadugi" w:hAnsi="Gadugi"/>
          <w:b w:val="false"/>
          <w:bCs w:val="false"/>
          <w:color w:val="auto"/>
          <w:sz w:val="18"/>
          <w:szCs w:val="18"/>
        </w:rPr>
        <w:t>8.1.6 Responsabilizar-se integralmente pelos vícios e danos decorrentes do objeto fornecido, nos termos do Código de Defesa do Consumidor e da legislação aplicável.</w:t>
      </w:r>
    </w:p>
    <w:p>
      <w:pPr>
        <w:pStyle w:val="Nivel01"/>
        <w:numPr>
          <w:ilvl w:val="0"/>
          <w:numId w:val="0"/>
        </w:numPr>
        <w:spacing w:before="0" w:after="0"/>
        <w:ind w:hanging="0" w:left="142"/>
        <w:rPr>
          <w:rFonts w:ascii="Gadugi" w:hAnsi="Gadugi" w:cs="Gadugi"/>
          <w:b w:val="false"/>
          <w:bCs w:val="false"/>
          <w:color w:val="auto"/>
          <w:sz w:val="18"/>
          <w:szCs w:val="18"/>
        </w:rPr>
      </w:pPr>
      <w:r>
        <w:rPr>
          <w:rFonts w:cs="Gadugi" w:ascii="Gadugi" w:hAnsi="Gadugi"/>
          <w:b w:val="false"/>
          <w:bCs w:val="false"/>
          <w:color w:val="auto"/>
          <w:sz w:val="18"/>
          <w:szCs w:val="18"/>
        </w:rPr>
        <w:t>8.1.7 Responsabilizar-se por todas as despesas decorrentes do fornecimento, inclusive transporte, frete, seguro, tributos, encargos trabalhistas, previdenciários, fiscais, comerciais e demais custos necessários ao cumprimento integral do contrato.</w:t>
      </w:r>
    </w:p>
    <w:p>
      <w:pPr>
        <w:pStyle w:val="Nivel01"/>
        <w:numPr>
          <w:ilvl w:val="0"/>
          <w:numId w:val="0"/>
        </w:numPr>
        <w:spacing w:before="0" w:after="0"/>
        <w:ind w:hanging="0" w:left="142"/>
        <w:rPr>
          <w:rFonts w:ascii="Gadugi" w:hAnsi="Gadugi" w:cs="Gadugi"/>
          <w:b w:val="false"/>
          <w:bCs w:val="false"/>
          <w:color w:val="auto"/>
          <w:sz w:val="18"/>
          <w:szCs w:val="18"/>
        </w:rPr>
      </w:pPr>
      <w:r>
        <w:rPr>
          <w:rFonts w:cs="Gadugi" w:ascii="Gadugi" w:hAnsi="Gadugi"/>
          <w:b w:val="false"/>
          <w:bCs w:val="false"/>
          <w:color w:val="auto"/>
          <w:sz w:val="18"/>
          <w:szCs w:val="18"/>
        </w:rPr>
        <w:t>8.1.8 Manter, durante toda a execução do contrato, todas as condições de habilitação e qualificação exigidas na licitação.</w:t>
      </w:r>
    </w:p>
    <w:p>
      <w:pPr>
        <w:pStyle w:val="Nivel01"/>
        <w:numPr>
          <w:ilvl w:val="0"/>
          <w:numId w:val="0"/>
        </w:numPr>
        <w:spacing w:before="0" w:after="0"/>
        <w:ind w:hanging="0" w:left="142"/>
        <w:rPr>
          <w:rFonts w:ascii="Gadugi" w:hAnsi="Gadugi" w:cs="Gadugi"/>
          <w:b w:val="false"/>
          <w:bCs w:val="false"/>
          <w:color w:val="auto"/>
          <w:sz w:val="18"/>
          <w:szCs w:val="18"/>
        </w:rPr>
      </w:pPr>
      <w:r>
        <w:rPr>
          <w:rFonts w:cs="Gadugi" w:ascii="Gadugi" w:hAnsi="Gadugi"/>
          <w:b w:val="false"/>
          <w:bCs w:val="false"/>
          <w:color w:val="auto"/>
          <w:sz w:val="18"/>
          <w:szCs w:val="18"/>
        </w:rPr>
        <w:t>8.1.9 Atender às determinações do gestor e do fiscal do contrato, prestando todos os esclarecimentos e informações que lhe forem solicitados.</w:t>
      </w:r>
    </w:p>
    <w:p>
      <w:pPr>
        <w:pStyle w:val="Nivel01"/>
        <w:numPr>
          <w:ilvl w:val="0"/>
          <w:numId w:val="0"/>
        </w:numPr>
        <w:spacing w:before="0" w:after="0"/>
        <w:ind w:hanging="0" w:left="142"/>
        <w:rPr>
          <w:rFonts w:ascii="Gadugi" w:hAnsi="Gadugi" w:cs="Gadugi"/>
          <w:b w:val="false"/>
          <w:bCs w:val="false"/>
          <w:color w:val="auto"/>
          <w:sz w:val="18"/>
          <w:szCs w:val="18"/>
        </w:rPr>
      </w:pPr>
      <w:r>
        <w:rPr>
          <w:rFonts w:cs="Gadugi" w:ascii="Gadugi" w:hAnsi="Gadugi"/>
          <w:b w:val="false"/>
          <w:bCs w:val="false"/>
          <w:color w:val="auto"/>
          <w:sz w:val="18"/>
          <w:szCs w:val="18"/>
        </w:rPr>
        <w:t>8.1.10 Responder pelos danos causados à Administração ou a terceiros em decorrência de culpa ou dolo na execução do contrato, não excluindo ou reduzindo essa responsabilidade a fiscalização exercida pelo Contratante.</w:t>
      </w:r>
    </w:p>
    <w:p>
      <w:pPr>
        <w:pStyle w:val="Nivel01"/>
        <w:numPr>
          <w:ilvl w:val="0"/>
          <w:numId w:val="0"/>
        </w:numPr>
        <w:spacing w:before="0" w:after="0"/>
        <w:ind w:hanging="0" w:left="142"/>
        <w:rPr>
          <w:rFonts w:ascii="Gadugi" w:hAnsi="Gadugi" w:cs="Gadugi"/>
          <w:b w:val="false"/>
          <w:bCs w:val="false"/>
          <w:color w:val="auto"/>
          <w:sz w:val="18"/>
          <w:szCs w:val="18"/>
        </w:rPr>
      </w:pPr>
      <w:r>
        <w:rPr>
          <w:rFonts w:cs="Gadugi" w:ascii="Gadugi" w:hAnsi="Gadugi"/>
          <w:b w:val="false"/>
          <w:bCs w:val="false"/>
          <w:color w:val="auto"/>
          <w:sz w:val="18"/>
          <w:szCs w:val="18"/>
        </w:rPr>
        <w:t>8.1.11 Cumprir a legislação federal, estadual e municipal aplicável ao objeto da contratação, bem como as normas técnicas e ambientais pertinentes.</w:t>
      </w:r>
    </w:p>
    <w:p>
      <w:pPr>
        <w:pStyle w:val="Nivel01"/>
        <w:numPr>
          <w:ilvl w:val="0"/>
          <w:numId w:val="0"/>
        </w:numPr>
        <w:spacing w:before="0" w:after="0"/>
        <w:ind w:hanging="0" w:left="142"/>
        <w:rPr>
          <w:rFonts w:ascii="Gadugi" w:hAnsi="Gadugi" w:cs="Gadugi"/>
          <w:b w:val="false"/>
          <w:bCs w:val="false"/>
          <w:color w:val="auto"/>
          <w:sz w:val="18"/>
          <w:szCs w:val="18"/>
        </w:rPr>
      </w:pPr>
      <w:r>
        <w:rPr>
          <w:rFonts w:cs="Gadugi" w:ascii="Gadugi" w:hAnsi="Gadugi"/>
          <w:b w:val="false"/>
          <w:bCs w:val="false"/>
          <w:color w:val="auto"/>
          <w:sz w:val="18"/>
          <w:szCs w:val="18"/>
        </w:rPr>
        <w:t>8.1.12 Não transferir a terceiros, no todo ou em parte, as obrigações assumidas, ressalvadas as hipóteses expressamente autorizadas no contrato.</w:t>
      </w:r>
    </w:p>
    <w:p>
      <w:pPr>
        <w:pStyle w:val="Nivel01"/>
        <w:numPr>
          <w:ilvl w:val="0"/>
          <w:numId w:val="0"/>
        </w:numPr>
        <w:spacing w:before="0" w:after="0"/>
        <w:ind w:hanging="0" w:left="142"/>
        <w:rPr>
          <w:rFonts w:ascii="Gadugi" w:hAnsi="Gadugi" w:cs="Gadugi"/>
          <w:b w:val="false"/>
          <w:bCs w:val="false"/>
          <w:color w:val="auto"/>
          <w:sz w:val="18"/>
          <w:szCs w:val="18"/>
        </w:rPr>
      </w:pPr>
      <w:r>
        <w:rPr>
          <w:rFonts w:cs="Gadugi" w:ascii="Gadugi" w:hAnsi="Gadugi"/>
          <w:b w:val="false"/>
          <w:bCs w:val="false"/>
          <w:color w:val="auto"/>
          <w:sz w:val="18"/>
          <w:szCs w:val="18"/>
        </w:rPr>
        <w:t>8.1.13 Observar a vedação constitucional ao trabalho infantil, não empregando menores de dezoito anos em trabalho noturno, perigoso ou insalubre, nem menores de dezesseis anos em qualquer trabalho, salvo na condição de aprendiz, a partir de quatorze anos.</w:t>
      </w:r>
    </w:p>
    <w:p>
      <w:pPr>
        <w:pStyle w:val="Nivel01"/>
        <w:numPr>
          <w:ilvl w:val="0"/>
          <w:numId w:val="0"/>
        </w:numPr>
        <w:spacing w:before="0" w:after="0"/>
        <w:ind w:hanging="0" w:left="0"/>
        <w:rPr>
          <w:color w:val="000000"/>
        </w:rPr>
      </w:pPr>
      <w:r>
        <w:rPr>
          <w:rFonts w:cs="Gadugi" w:ascii="Gadugi" w:hAnsi="Gadugi"/>
          <w:color w:val="000000"/>
          <w:sz w:val="18"/>
          <w:szCs w:val="18"/>
        </w:rPr>
        <w:t>9 - MODELO DE GESTÃO E FISCALIZAÇÃO DA ATA DE REGISTRO DE PREÇOS OU CONTRATO</w:t>
      </w:r>
    </w:p>
    <w:p>
      <w:pPr>
        <w:pStyle w:val="Nivel01Titulo"/>
        <w:numPr>
          <w:ilvl w:val="0"/>
          <w:numId w:val="0"/>
        </w:numPr>
        <w:tabs>
          <w:tab w:val="left" w:pos="284" w:leader="none"/>
        </w:tabs>
        <w:spacing w:before="0" w:after="0"/>
        <w:ind w:hanging="0" w:left="0"/>
        <w:rPr>
          <w:rFonts w:ascii="Gadugi" w:hAnsi="Gadugi" w:cs="Gadugi"/>
          <w:b w:val="false"/>
          <w:bCs w:val="false"/>
          <w:color w:val="000000"/>
          <w:sz w:val="18"/>
          <w:szCs w:val="18"/>
        </w:rPr>
      </w:pPr>
      <w:r>
        <w:rPr>
          <w:rFonts w:cs="Gadugi" w:ascii="Gadugi" w:hAnsi="Gadugi"/>
          <w:b w:val="false"/>
          <w:bCs w:val="false"/>
          <w:color w:val="000000"/>
          <w:sz w:val="18"/>
          <w:szCs w:val="18"/>
        </w:rPr>
        <w:t>9.1 A gestão da Ata de Registro de Preços será exercida pelo Setor de Compras do Município, competindo-lhe praticar os atos de gerenciamento da Ata, controlar sua vigência, acompanhar os quantitativos registrados, autorizar as adesões, quando cabíveis, e adotar as demais providências previstas na Lei Federal nº 14.133/2021 e no Decreto Municipal que regulamenta o Sistema de Registro de Preços.</w:t>
      </w:r>
    </w:p>
    <w:p>
      <w:pPr>
        <w:pStyle w:val="Nivel01Titulo"/>
        <w:numPr>
          <w:ilvl w:val="0"/>
          <w:numId w:val="0"/>
        </w:numPr>
        <w:tabs>
          <w:tab w:val="left" w:pos="284" w:leader="none"/>
        </w:tabs>
        <w:spacing w:before="0" w:after="0"/>
        <w:ind w:hanging="0" w:left="0"/>
        <w:rPr>
          <w:rFonts w:ascii="Gadugi" w:hAnsi="Gadugi" w:cs="Gadugi"/>
          <w:b w:val="false"/>
          <w:bCs w:val="false"/>
          <w:color w:val="000000"/>
          <w:sz w:val="18"/>
          <w:szCs w:val="18"/>
        </w:rPr>
      </w:pPr>
      <w:r>
        <w:rPr>
          <w:rFonts w:cs="Gadugi" w:ascii="Gadugi" w:hAnsi="Gadugi"/>
          <w:b w:val="false"/>
          <w:bCs w:val="false"/>
          <w:color w:val="000000"/>
          <w:sz w:val="18"/>
          <w:szCs w:val="18"/>
        </w:rPr>
        <w:t>9.2 Os contratos ou instrumentos equivalentes decorrentes da Ata de Registro de Preços serão geridos pelos Secretários Municipais das respectivas Secretarias requisitantes, competindo-lhes acompanhar a execução contratual e adotar as providências necessárias ao seu regular cumprimento.</w:t>
      </w:r>
    </w:p>
    <w:p>
      <w:pPr>
        <w:pStyle w:val="Nivel01Titulo"/>
        <w:numPr>
          <w:ilvl w:val="0"/>
          <w:numId w:val="0"/>
        </w:numPr>
        <w:tabs>
          <w:tab w:val="left" w:pos="284" w:leader="none"/>
        </w:tabs>
        <w:spacing w:before="0" w:after="0"/>
        <w:ind w:hanging="0" w:left="0"/>
        <w:rPr>
          <w:rFonts w:ascii="Gadugi" w:hAnsi="Gadugi" w:cs="Gadugi"/>
          <w:b w:val="false"/>
          <w:bCs w:val="false"/>
          <w:color w:val="000000"/>
          <w:sz w:val="18"/>
          <w:szCs w:val="18"/>
        </w:rPr>
      </w:pPr>
      <w:r>
        <w:rPr>
          <w:rFonts w:cs="Gadugi" w:ascii="Gadugi" w:hAnsi="Gadugi"/>
          <w:b w:val="false"/>
          <w:bCs w:val="false"/>
          <w:color w:val="000000"/>
          <w:sz w:val="18"/>
          <w:szCs w:val="18"/>
        </w:rPr>
        <w:t>9.3 A fiscalização da execução dos contratos será exercida por servidor designado pela autoridade competente, ao qual caberá:</w:t>
      </w:r>
    </w:p>
    <w:p>
      <w:pPr>
        <w:pStyle w:val="Nivel01Titulo"/>
        <w:numPr>
          <w:ilvl w:val="0"/>
          <w:numId w:val="0"/>
        </w:numPr>
        <w:tabs>
          <w:tab w:val="left" w:pos="284" w:leader="none"/>
        </w:tabs>
        <w:spacing w:before="0" w:after="0"/>
        <w:ind w:hanging="0" w:left="0"/>
        <w:rPr>
          <w:rFonts w:ascii="Gadugi" w:hAnsi="Gadugi" w:cs="Gadugi"/>
          <w:b w:val="false"/>
          <w:bCs w:val="false"/>
          <w:color w:val="000000"/>
          <w:sz w:val="18"/>
          <w:szCs w:val="18"/>
        </w:rPr>
      </w:pPr>
      <w:r>
        <w:rPr>
          <w:rFonts w:cs="Gadugi" w:ascii="Gadugi" w:hAnsi="Gadugi"/>
          <w:b w:val="false"/>
          <w:bCs w:val="false"/>
          <w:color w:val="000000"/>
          <w:sz w:val="18"/>
          <w:szCs w:val="18"/>
        </w:rPr>
        <w:t>I – acompanhar a entrega dos veículos;</w:t>
      </w:r>
    </w:p>
    <w:p>
      <w:pPr>
        <w:pStyle w:val="Nivel01Titulo"/>
        <w:numPr>
          <w:ilvl w:val="0"/>
          <w:numId w:val="0"/>
        </w:numPr>
        <w:tabs>
          <w:tab w:val="left" w:pos="284" w:leader="none"/>
        </w:tabs>
        <w:spacing w:before="0" w:after="0"/>
        <w:ind w:hanging="0" w:left="0"/>
        <w:rPr>
          <w:rFonts w:ascii="Gadugi" w:hAnsi="Gadugi" w:cs="Gadugi"/>
          <w:b w:val="false"/>
          <w:bCs w:val="false"/>
          <w:color w:val="000000"/>
          <w:sz w:val="18"/>
          <w:szCs w:val="18"/>
        </w:rPr>
      </w:pPr>
      <w:r>
        <w:rPr>
          <w:rFonts w:cs="Gadugi" w:ascii="Gadugi" w:hAnsi="Gadugi"/>
          <w:b w:val="false"/>
          <w:bCs w:val="false"/>
          <w:color w:val="000000"/>
          <w:sz w:val="18"/>
          <w:szCs w:val="18"/>
        </w:rPr>
        <w:t>II – verificar o cumprimento das especificações técnicas, dos prazos, da garantia e das demais condições estabelecidas no Edital, neste Termo de Referência, na Ata de Registro de Preços e no instrumento contratual;</w:t>
      </w:r>
    </w:p>
    <w:p>
      <w:pPr>
        <w:pStyle w:val="Nivel01Titulo"/>
        <w:numPr>
          <w:ilvl w:val="0"/>
          <w:numId w:val="0"/>
        </w:numPr>
        <w:tabs>
          <w:tab w:val="left" w:pos="284" w:leader="none"/>
        </w:tabs>
        <w:spacing w:before="0" w:after="0"/>
        <w:ind w:hanging="0" w:left="0"/>
        <w:rPr>
          <w:rFonts w:ascii="Gadugi" w:hAnsi="Gadugi" w:cs="Gadugi"/>
          <w:b w:val="false"/>
          <w:bCs w:val="false"/>
          <w:color w:val="000000"/>
          <w:sz w:val="18"/>
          <w:szCs w:val="18"/>
        </w:rPr>
      </w:pPr>
      <w:r>
        <w:rPr>
          <w:rFonts w:cs="Gadugi" w:ascii="Gadugi" w:hAnsi="Gadugi"/>
          <w:b w:val="false"/>
          <w:bCs w:val="false"/>
          <w:color w:val="000000"/>
          <w:sz w:val="18"/>
          <w:szCs w:val="18"/>
        </w:rPr>
        <w:t>III – registrar em processo administrativo todas as ocorrências relacionadas à execução do contrato;</w:t>
      </w:r>
    </w:p>
    <w:p>
      <w:pPr>
        <w:pStyle w:val="Nivel01Titulo"/>
        <w:numPr>
          <w:ilvl w:val="0"/>
          <w:numId w:val="0"/>
        </w:numPr>
        <w:tabs>
          <w:tab w:val="left" w:pos="284" w:leader="none"/>
        </w:tabs>
        <w:spacing w:before="0" w:after="0"/>
        <w:ind w:hanging="0" w:left="0"/>
        <w:rPr>
          <w:rFonts w:ascii="Gadugi" w:hAnsi="Gadugi" w:cs="Gadugi"/>
          <w:b w:val="false"/>
          <w:bCs w:val="false"/>
          <w:color w:val="000000"/>
          <w:sz w:val="18"/>
          <w:szCs w:val="18"/>
        </w:rPr>
      </w:pPr>
      <w:r>
        <w:rPr>
          <w:rFonts w:cs="Gadugi" w:ascii="Gadugi" w:hAnsi="Gadugi"/>
          <w:b w:val="false"/>
          <w:bCs w:val="false"/>
          <w:color w:val="000000"/>
          <w:sz w:val="18"/>
          <w:szCs w:val="18"/>
        </w:rPr>
        <w:t>IV – comunicar ao gestor do contrato qualquer irregularidade constatada, propondo as medidas necessárias à sua regularização;</w:t>
      </w:r>
    </w:p>
    <w:p>
      <w:pPr>
        <w:pStyle w:val="Nivel01Titulo"/>
        <w:numPr>
          <w:ilvl w:val="0"/>
          <w:numId w:val="0"/>
        </w:numPr>
        <w:tabs>
          <w:tab w:val="left" w:pos="284" w:leader="none"/>
        </w:tabs>
        <w:spacing w:before="0" w:after="0"/>
        <w:ind w:hanging="0" w:left="0"/>
        <w:rPr>
          <w:rFonts w:ascii="Gadugi" w:hAnsi="Gadugi" w:cs="Gadugi"/>
          <w:b w:val="false"/>
          <w:bCs w:val="false"/>
          <w:color w:val="000000"/>
          <w:sz w:val="18"/>
          <w:szCs w:val="18"/>
        </w:rPr>
      </w:pPr>
      <w:r>
        <w:rPr>
          <w:rFonts w:cs="Gadugi" w:ascii="Gadugi" w:hAnsi="Gadugi"/>
          <w:b w:val="false"/>
          <w:bCs w:val="false"/>
          <w:color w:val="000000"/>
          <w:sz w:val="18"/>
          <w:szCs w:val="18"/>
        </w:rPr>
        <w:t>V – atestar o recebimento provisório e definitivo do objeto, quando verificada sua conformidade.</w:t>
      </w:r>
    </w:p>
    <w:p>
      <w:pPr>
        <w:pStyle w:val="Nivel01Titulo"/>
        <w:numPr>
          <w:ilvl w:val="0"/>
          <w:numId w:val="0"/>
        </w:numPr>
        <w:tabs>
          <w:tab w:val="left" w:pos="284" w:leader="none"/>
        </w:tabs>
        <w:spacing w:before="0" w:after="0"/>
        <w:ind w:hanging="0" w:left="0"/>
        <w:rPr>
          <w:rFonts w:ascii="Gadugi" w:hAnsi="Gadugi" w:cs="Gadugi"/>
          <w:b w:val="false"/>
          <w:bCs w:val="false"/>
          <w:color w:val="000000"/>
          <w:sz w:val="18"/>
          <w:szCs w:val="18"/>
        </w:rPr>
      </w:pPr>
      <w:r>
        <w:rPr>
          <w:rFonts w:cs="Gadugi" w:ascii="Gadugi" w:hAnsi="Gadugi"/>
          <w:b w:val="false"/>
          <w:bCs w:val="false"/>
          <w:color w:val="000000"/>
          <w:sz w:val="18"/>
          <w:szCs w:val="18"/>
        </w:rPr>
        <w:t>9.4 O contratado deverá prestar todas as informações e esclarecimentos solicitados pelo gestor e pelo fiscal do contrato, bem como atender às determinações expedidas para a adequada execução do objeto.</w:t>
      </w:r>
    </w:p>
    <w:p>
      <w:pPr>
        <w:pStyle w:val="Nivel01Titulo"/>
        <w:numPr>
          <w:ilvl w:val="0"/>
          <w:numId w:val="0"/>
        </w:numPr>
        <w:tabs>
          <w:tab w:val="left" w:pos="284" w:leader="none"/>
        </w:tabs>
        <w:spacing w:before="0" w:after="0"/>
        <w:ind w:hanging="0" w:left="0"/>
        <w:rPr>
          <w:rFonts w:ascii="Gadugi" w:hAnsi="Gadugi" w:cs="Gadugi"/>
          <w:b w:val="false"/>
          <w:bCs w:val="false"/>
          <w:color w:val="000000"/>
          <w:sz w:val="18"/>
          <w:szCs w:val="18"/>
        </w:rPr>
      </w:pPr>
      <w:r>
        <w:rPr>
          <w:rFonts w:cs="Gadugi" w:ascii="Gadugi" w:hAnsi="Gadugi"/>
          <w:b w:val="false"/>
          <w:bCs w:val="false"/>
          <w:color w:val="000000"/>
          <w:sz w:val="18"/>
          <w:szCs w:val="18"/>
        </w:rPr>
        <w:t>9.5 As comunicações entre a Administração e a contratada serão realizadas preferencialmente por meio eletrônico, sem prejuízo da utilização de outros meios formais que assegurem a comprovação de seu recebimento.</w:t>
      </w:r>
    </w:p>
    <w:p>
      <w:pPr>
        <w:pStyle w:val="Nivel01Titulo"/>
        <w:numPr>
          <w:ilvl w:val="0"/>
          <w:numId w:val="0"/>
        </w:numPr>
        <w:tabs>
          <w:tab w:val="left" w:pos="284" w:leader="none"/>
        </w:tabs>
        <w:spacing w:before="0" w:after="0"/>
        <w:ind w:hanging="0" w:left="0"/>
        <w:rPr>
          <w:rFonts w:ascii="Gadugi" w:hAnsi="Gadugi" w:cs="Gadugi"/>
          <w:b w:val="false"/>
          <w:bCs w:val="false"/>
          <w:color w:val="000000"/>
          <w:sz w:val="18"/>
          <w:szCs w:val="18"/>
        </w:rPr>
      </w:pPr>
      <w:r>
        <w:rPr>
          <w:rFonts w:cs="Gadugi" w:ascii="Gadugi" w:hAnsi="Gadugi"/>
          <w:b w:val="false"/>
          <w:bCs w:val="false"/>
          <w:color w:val="000000"/>
          <w:sz w:val="18"/>
          <w:szCs w:val="18"/>
        </w:rPr>
        <w:t>9.6 O acompanhamento e a fiscalização da execução da Ata de Registro de Preços e dos contratos dela decorrentes não excluem nem reduzem a responsabilidade da contratada pela perfeita execução do objeto, cabendo-lhe responder integralmente por quaisquer irregularidades, vícios ou defeitos constatados.</w:t>
      </w:r>
    </w:p>
    <w:p>
      <w:pPr>
        <w:pStyle w:val="Nivel01Titulo"/>
        <w:numPr>
          <w:ilvl w:val="0"/>
          <w:numId w:val="0"/>
        </w:numPr>
        <w:tabs>
          <w:tab w:val="clear" w:pos="567"/>
          <w:tab w:val="left" w:pos="284" w:leader="none"/>
        </w:tabs>
        <w:spacing w:before="0" w:after="0"/>
        <w:ind w:hanging="0" w:left="0"/>
        <w:rPr>
          <w:rFonts w:ascii="Gadugi" w:hAnsi="Gadugi" w:cs="Gadugi"/>
          <w:color w:val="auto"/>
          <w:sz w:val="18"/>
          <w:szCs w:val="18"/>
        </w:rPr>
      </w:pPr>
      <w:r>
        <w:rPr>
          <w:rFonts w:cs="Gadugi" w:ascii="Gadugi" w:hAnsi="Gadugi"/>
          <w:color w:val="auto"/>
          <w:sz w:val="18"/>
          <w:szCs w:val="18"/>
        </w:rPr>
        <w:t>10 – CRITÉRIOS DE MEDIÇÃO E PAGAMENTO (art. 92, incisos V e VI, da Lei nº 14.133/2021).</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10.1 - FORMA DE PAGAMENTO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10.1.1 O pagamento será realizado mediante ordem bancária, para crédito em conta corrente de titularidade da contratada, em instituição financeira por ela indicada.</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10.1.2 Considera-se como data do pagamento aquela em que for emitida a respectiva ordem bancária.</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10.2 - PRAZO DE PAGAMENTO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10.2.1 O pagamento será efetuado em até 30 (trinta) dias, contados do recebimento definitivo do objeto e da apresentação da Nota Fiscal/Fatura devidamente atestada pelo fiscal do contrato.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10.2.2 Considera-se ocorrido o recebimento da Nota Fiscal/Fatura no momento em que o fiscal do contrato atestar o recebimento definitivo dos veículos.</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10.2.3 Na hipótese de atraso no pagamento por culpa exclusiva da Administração, os valores devidos serão atualizados monetariamente pelo Índice Nacional de Preços ao Consumidor Amplo – IPCA/IBGE, desde a data do vencimento da obrigação até a data do efetivo pagamento.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10.3 - DA NOTA FISCAL</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10.3.1 A Nota Fiscal/Fatura deverá ser emitida em nome da Prefeitura Municipal de Santa Bárbara do Sul/RS e conter, no mínimo: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I – identificação completa da contratada;</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II – número da Ata de Registro de Preços e do contrato ou instrumento equivalente, quando houver;</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III – número da Nota de Empenho;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IV – descrição dos veículos efetivamente fornecidos;</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V – quantitativos, valores unitários e valor total;</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VI – dados bancários para pagamento;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VII – demais informações exigidas pela legislação fiscal vigente.</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10.3.2 Havendo erro na apresentação da Nota Fiscal/Fatura ou qualquer circunstância que impeça a liquidação da despesa, o pagamento ficará suspenso até que a contratada promova a regularização, reiniciando-se a contagem do prazo após o saneamento das pendências, sem qualquer ônus para a Administração.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10.4 - CONDIÇÕES PARA PAGAMENTO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10.4.1 O pagamento ficará condicionado: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I – ao recebimento definitivo do objeto;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II – ao atesto da Nota Fiscal pelo fiscal do contrato;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III – à manutenção das condições de habilitação e qualificação exigidas na licitação, especialmente quanto à regularidade fiscal, trabalhista e previdenciária, quando exigida pela legislação.</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10.4.2 A Administração poderá verificar, a qualquer tempo, a regularidade fiscal e trabalhista da contratada por meio dos sistemas oficiais ou mediante apresentação das certidões pertinentes.</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10.4.3 A contratada optante pelo Simples Nacional fará jus ao tratamento tributário previsto na Lei Complementar nº 123/2006, desde que comprove essa condição quando necessária.</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10.5 - DADOS PARA EMISSÃO DA NOTA FISCAL</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PREFEITURA MUNICIPAL DE SANTA BÁRBARA DO SUL/RS</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CNPJ: 88.496.468/0001-60</w:t>
      </w:r>
    </w:p>
    <w:p>
      <w:pPr>
        <w:pStyle w:val="Nivel01"/>
        <w:numPr>
          <w:ilvl w:val="0"/>
          <w:numId w:val="0"/>
        </w:numPr>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Endereço: Avenida Eduardo de Brito, nº 101, Bairro Cerutti</w:t>
      </w:r>
    </w:p>
    <w:p>
      <w:pPr>
        <w:pStyle w:val="Nivel01"/>
        <w:numPr>
          <w:ilvl w:val="0"/>
          <w:numId w:val="0"/>
        </w:numPr>
        <w:spacing w:before="0" w:after="0"/>
        <w:ind w:hanging="0" w:left="0"/>
        <w:rPr>
          <w:rFonts w:ascii="Gadugi" w:hAnsi="Gadugi" w:cs="Gadugi"/>
          <w:sz w:val="18"/>
          <w:szCs w:val="18"/>
        </w:rPr>
      </w:pPr>
      <w:r>
        <w:rPr>
          <w:rFonts w:cs="Gadugi" w:ascii="Gadugi" w:hAnsi="Gadugi"/>
          <w:b w:val="false"/>
          <w:bCs w:val="false"/>
          <w:color w:val="auto"/>
          <w:sz w:val="18"/>
          <w:szCs w:val="18"/>
        </w:rPr>
        <w:t>CEP: 98.240-000</w:t>
      </w:r>
    </w:p>
    <w:p>
      <w:pPr>
        <w:pStyle w:val="Nivel01"/>
        <w:numPr>
          <w:ilvl w:val="0"/>
          <w:numId w:val="0"/>
        </w:numPr>
        <w:spacing w:before="0" w:after="0"/>
        <w:ind w:hanging="0" w:left="0"/>
        <w:rPr>
          <w:color w:val="000000"/>
        </w:rPr>
      </w:pPr>
      <w:r>
        <w:rPr>
          <w:rFonts w:cs="Gadugi" w:ascii="Gadugi" w:hAnsi="Gadugi"/>
          <w:color w:val="000000"/>
          <w:sz w:val="18"/>
          <w:szCs w:val="18"/>
        </w:rPr>
        <w:t>11 - REAJUSTE (art. 92, inciso V, da Lei nº 14.133/2021).</w:t>
      </w:r>
    </w:p>
    <w:p>
      <w:pPr>
        <w:pStyle w:val="Nivel01"/>
        <w:numPr>
          <w:ilvl w:val="0"/>
          <w:numId w:val="0"/>
        </w:numPr>
        <w:tabs>
          <w:tab w:val="left" w:pos="284" w:leader="none"/>
        </w:tabs>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11.1 Os preços registrados na Ata de Registro de Preços permanecerão fixos e irreajustáveis durante sua vigência, ressalvadas as hipóteses de revisão para restabelecimento do equilíbrio econômico-financeiro, na forma da Lei Federal nº 14.133/2021 e da regulamentação municipal do Sistema de Registro de Preços.</w:t>
      </w:r>
    </w:p>
    <w:p>
      <w:pPr>
        <w:pStyle w:val="Nivel01"/>
        <w:numPr>
          <w:ilvl w:val="0"/>
          <w:numId w:val="0"/>
        </w:numPr>
        <w:tabs>
          <w:tab w:val="left" w:pos="284" w:leader="none"/>
        </w:tabs>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11.2 Na hipótese de contratação decorrente da Ata de Registro de Preços cuja vigência ultrapasse 12 (doze) meses, poderá ser concedido reajuste dos preços contratados, observado o interregno mínimo de 1 (um) ano contado da data do orçamento estimado da contratação, mediante aplicação do Índice Nacional de Preços ao Consumidor Amplo – IPCA/IBGE, ou outro índice oficial que venha a substituí-lo.</w:t>
      </w:r>
    </w:p>
    <w:p>
      <w:pPr>
        <w:pStyle w:val="Nivel01"/>
        <w:numPr>
          <w:ilvl w:val="0"/>
          <w:numId w:val="0"/>
        </w:numPr>
        <w:tabs>
          <w:tab w:val="left" w:pos="284" w:leader="none"/>
        </w:tabs>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11.3 O restabelecimento do equilíbrio econômico-financeiro poderá ser solicitado pela contratada ou promovido pela Administração, quando comprovada a ocorrência de fato superveniente, imprevisível ou previsível de consequências incalculáveis, ou ainda nas demais hipóteses previstas nos arts. 124 a 136 da Lei Federal nº 14.133/2021.</w:t>
      </w:r>
    </w:p>
    <w:p>
      <w:pPr>
        <w:pStyle w:val="Nivel01"/>
        <w:numPr>
          <w:ilvl w:val="0"/>
          <w:numId w:val="0"/>
        </w:numPr>
        <w:tabs>
          <w:tab w:val="left" w:pos="284" w:leader="none"/>
        </w:tabs>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11.4 Eventuais reajustes ou revisões serão formalizados mediante apostilamento ou termo aditivo, conforme a natureza da alteração e a legislação aplicável.</w:t>
      </w:r>
    </w:p>
    <w:p>
      <w:pPr>
        <w:pStyle w:val="Nivel01"/>
        <w:numPr>
          <w:ilvl w:val="0"/>
          <w:numId w:val="0"/>
        </w:numPr>
        <w:tabs>
          <w:tab w:val="left" w:pos="284" w:leader="none"/>
        </w:tabs>
        <w:spacing w:before="0" w:after="0"/>
        <w:ind w:hanging="0" w:left="0"/>
        <w:rPr>
          <w:color w:val="000000"/>
        </w:rPr>
      </w:pPr>
      <w:r>
        <w:rPr>
          <w:rFonts w:cs="Gadugi" w:ascii="Gadugi" w:hAnsi="Gadugi"/>
          <w:color w:val="000000"/>
          <w:sz w:val="18"/>
          <w:szCs w:val="18"/>
        </w:rPr>
        <w:t>12 - INFRAÇÕES E SANÇÕES ADMINISTRATIVAS (art. 92, inciso XIV, da Lei nº 14.133/2021).</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12.1 Comete infração administrativa, nos termos da Lei Federal nº 14.133/2021, a licitante ou a contratada que:</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 – der causa à inexecução parcial do contrato;</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II – der causa à inexecução parcial que cause grave dano à Administração, ao funcionamento dos serviços públicos ou ao interesse coletivo;</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III – der causa à inexecução total do contrato;</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IV – retardar injustificadamente a assinatura da Ata de Registro de Preços, do contrato ou a entrega do objeto;</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V – apresentar documentação falsa ou prestar declaração falsa durante a licitação ou a execução contratual;</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VI – praticar ato fraudulento na licitação ou na execução do contrato;</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VII – comportar-se de modo inidôneo ou cometer fraude de qualquer natureza;</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VIII – praticar ato lesivo previsto no art. 5º da Lei Federal nº 12.846/2013.</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12.2 Pela prática das infrações previstas neste Termo de Referência poderão ser aplicadas, isolada ou cumulativamente, as seguintes sanções, observados o contraditório e a ampla defesa:</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 – advertência;</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II – multa;</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III – impedimento de licitar e contratar com a Administração Pública;</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IV – declaração de inidoneidade para licitar ou contratar com a Administração Pública.</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12.3 A multa será aplicada da seguinte forma:</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 – multa moratória de 0,5% (meio por cento) por dia de atraso injustificado sobre o valor da parcela em atraso, limitada a 20% (vinte por cento);</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II – multa compensatória de até 30% (trinta por cento) sobre o valor da contratação, em caso de inexecução total ou parcial do objeto, conforme a gravidade da infração.</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12.4 O atraso injustificado na entrega dos veículos poderá ensejar, além da multa, a aplicação das demais sanções previstas na Lei Federal nº 14.133/2021, inclusive a extinção do contrato, quando caracterizado o descumprimento das obrigações assumidas.</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12.5 As sanções previstas neste capítulo não excluem a obrigação da contratada de reparar integralmente os danos causados à Administração.</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12.6 Na aplicação das sanções serão observados, entre outros, os seguintes critérios:</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 – natureza e gravidade da infração;</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II – danos causados à Administração;</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III – circunstâncias agravantes ou atenuantes;</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IV – antecedentes da contratada;</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V – eventual adoção de programa de integridade, quando aplicável.</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12.7 A aplicação das penalidades será precedida de processo administrativo, assegurados o contraditório e a ampla defesa, na forma da Lei Federal nº 14.133/2021.</w:t>
      </w:r>
    </w:p>
    <w:p>
      <w:pPr>
        <w:pStyle w:val="Nivel01"/>
        <w:numPr>
          <w:ilvl w:val="0"/>
          <w:numId w:val="0"/>
        </w:numPr>
        <w:spacing w:before="0" w:after="0"/>
        <w:ind w:hanging="0" w:left="0"/>
        <w:rPr>
          <w:b w:val="false"/>
          <w:bCs w:val="false"/>
          <w:color w:val="auto"/>
          <w:sz w:val="18"/>
          <w:szCs w:val="18"/>
        </w:rPr>
      </w:pPr>
      <w:r>
        <w:rPr>
          <w:b w:val="false"/>
          <w:bCs w:val="false"/>
          <w:color w:val="auto"/>
          <w:sz w:val="18"/>
          <w:szCs w:val="18"/>
        </w:rPr>
        <w:t>12.8 O licitante que, injustificadamente, deixar de assinar a Ata de Registro de Preços ou o contrato, quando convocado dentro do prazo de validade de sua proposta, deixar de entregar documentação exigida, apresentar documentação falsa, não mantiver sua proposta, falhar ou fraudar na execução da contratação, comportar-se de modo inidôneo ou cometer fraude fiscal ficará sujeito às sanções previstas na Lei Federal nº 14.133/2021, sem prejuízo da aplicação de multa correspondente a 10% (dez por cento) sobre o valor de sua proposta.</w:t>
      </w:r>
    </w:p>
    <w:p>
      <w:pPr>
        <w:pStyle w:val="Nivel01"/>
        <w:numPr>
          <w:ilvl w:val="0"/>
          <w:numId w:val="0"/>
        </w:numPr>
        <w:spacing w:lineRule="auto" w:line="360" w:before="0" w:after="0"/>
        <w:ind w:hanging="0" w:left="0"/>
        <w:rPr>
          <w:b w:val="false"/>
          <w:bCs w:val="false"/>
          <w:color w:val="auto"/>
          <w:sz w:val="18"/>
          <w:szCs w:val="18"/>
        </w:rPr>
      </w:pPr>
      <w:r>
        <w:rPr>
          <w:b w:val="false"/>
          <w:bCs w:val="false"/>
          <w:color w:val="auto"/>
          <w:sz w:val="18"/>
          <w:szCs w:val="18"/>
        </w:rPr>
        <w:t>12.9 As sanções de impedimento de licitar e contratar e de declaração de inidoneidade serão registradas nos cadastros oficiais competentes, observadas as disposições da Lei Federal nº 14.133/2021.</w:t>
      </w:r>
    </w:p>
    <w:p>
      <w:pPr>
        <w:pStyle w:val="Nivel01"/>
        <w:numPr>
          <w:ilvl w:val="0"/>
          <w:numId w:val="0"/>
        </w:numPr>
        <w:spacing w:lineRule="auto" w:line="360" w:before="0" w:after="0"/>
        <w:ind w:hanging="0" w:left="0"/>
        <w:rPr>
          <w:b w:val="false"/>
          <w:bCs w:val="false"/>
          <w:color w:val="auto"/>
          <w:sz w:val="18"/>
          <w:szCs w:val="18"/>
        </w:rPr>
      </w:pPr>
      <w:r>
        <w:rPr>
          <w:b w:val="false"/>
          <w:bCs w:val="false"/>
          <w:color w:val="auto"/>
          <w:sz w:val="18"/>
          <w:szCs w:val="18"/>
        </w:rPr>
        <w:t>12.13 A apuração das infrações administrativas e a aplicação das sanções previstas neste Termo de Referência observarão o disposto na Lei Federal nº 14.133/2021, na regulamentação municipal vigente e na Portaria Municipal nº 293/2026, ou outra que vier a substituí-la.</w:t>
      </w:r>
    </w:p>
    <w:p>
      <w:pPr>
        <w:pStyle w:val="Nivel01"/>
        <w:numPr>
          <w:ilvl w:val="0"/>
          <w:numId w:val="0"/>
        </w:numPr>
        <w:spacing w:lineRule="auto" w:line="360" w:before="0" w:after="0"/>
        <w:ind w:hanging="0" w:left="0"/>
        <w:rPr>
          <w:b w:val="false"/>
          <w:bCs w:val="false"/>
          <w:color w:val="auto"/>
          <w:sz w:val="18"/>
          <w:szCs w:val="18"/>
        </w:rPr>
      </w:pPr>
      <w:r>
        <w:rPr>
          <w:b w:val="false"/>
          <w:bCs w:val="false"/>
          <w:color w:val="auto"/>
          <w:sz w:val="18"/>
          <w:szCs w:val="18"/>
        </w:rPr>
        <w:t>12.14 Os processos administrativos destinados à apuração de infrações contratuais serão conduzidos pela Comissão de Apuração e Aplicação de Sanções Administrativas designada pela Portaria Municipal nº 293/2026, assegurados o contraditório, a ampla defesa e o devido processo legal.</w:t>
      </w:r>
    </w:p>
    <w:p>
      <w:pPr>
        <w:pStyle w:val="Nivel01"/>
        <w:numPr>
          <w:ilvl w:val="0"/>
          <w:numId w:val="0"/>
        </w:numPr>
        <w:spacing w:lineRule="auto" w:line="360" w:before="0" w:after="0"/>
        <w:ind w:hanging="0" w:left="0"/>
        <w:rPr>
          <w:b w:val="false"/>
          <w:bCs w:val="false"/>
          <w:color w:val="auto"/>
          <w:sz w:val="18"/>
          <w:szCs w:val="18"/>
        </w:rPr>
      </w:pPr>
      <w:r>
        <w:rPr>
          <w:b w:val="false"/>
          <w:bCs w:val="false"/>
          <w:color w:val="auto"/>
          <w:sz w:val="18"/>
          <w:szCs w:val="18"/>
        </w:rPr>
        <w:t>12.15 Compete à Comissão de Apuração e Aplicação de Sanções Administrativas instruir os processos, analisar as provas produzidas, elaborar relatório conclusivo e sugerir à autoridade competente a aplicação das sanções cabíveis, nos termos da legislação vigente.</w:t>
      </w:r>
    </w:p>
    <w:p>
      <w:pPr>
        <w:pStyle w:val="Nivel01"/>
        <w:numPr>
          <w:ilvl w:val="0"/>
          <w:numId w:val="0"/>
        </w:numPr>
        <w:spacing w:lineRule="auto" w:line="360" w:before="0" w:after="0"/>
        <w:ind w:hanging="0" w:left="0"/>
        <w:rPr>
          <w:b w:val="false"/>
          <w:bCs w:val="false"/>
          <w:color w:val="auto"/>
          <w:sz w:val="18"/>
          <w:szCs w:val="18"/>
        </w:rPr>
      </w:pPr>
      <w:r>
        <w:rPr>
          <w:b w:val="false"/>
          <w:bCs w:val="false"/>
          <w:color w:val="auto"/>
          <w:sz w:val="18"/>
          <w:szCs w:val="18"/>
        </w:rPr>
        <w:t>12.16 A decisão quanto à aplicação das sanções administrativas caberá à autoridade competente, observado o procedimento estabelecido na Lei Federal nº 14.133/2021 e na regulamentação municipal.</w:t>
      </w:r>
    </w:p>
    <w:p>
      <w:pPr>
        <w:pStyle w:val="Nivel01"/>
        <w:numPr>
          <w:ilvl w:val="0"/>
          <w:numId w:val="0"/>
        </w:numPr>
        <w:spacing w:before="0" w:after="0"/>
        <w:ind w:hanging="0" w:left="0"/>
        <w:rPr>
          <w:color w:val="000000"/>
        </w:rPr>
      </w:pPr>
      <w:r>
        <w:rPr>
          <w:rFonts w:cs="Gadugi" w:ascii="Gadugi" w:hAnsi="Gadugi"/>
          <w:color w:val="000000"/>
          <w:sz w:val="18"/>
          <w:szCs w:val="18"/>
        </w:rPr>
        <w:t>13 - FORMA E CRITÉRIOS DE SELEÇÃO DO FORNECEDOR</w:t>
      </w:r>
    </w:p>
    <w:p>
      <w:pPr>
        <w:pStyle w:val="Nvel1-SemNum"/>
        <w:spacing w:before="0" w:after="0"/>
        <w:ind w:hanging="0" w:left="0"/>
        <w:rPr>
          <w:rFonts w:ascii="Gadugi" w:hAnsi="Gadugi" w:cs="Gadugi"/>
          <w:color w:val="auto"/>
          <w:sz w:val="18"/>
          <w:szCs w:val="18"/>
          <w:highlight w:val="yellow"/>
        </w:rPr>
      </w:pPr>
      <w:r>
        <w:rPr>
          <w:rFonts w:cs="Gadugi" w:ascii="Gadugi" w:hAnsi="Gadugi"/>
          <w:color w:val="auto"/>
          <w:sz w:val="18"/>
          <w:szCs w:val="18"/>
          <w:lang w:eastAsia="en-US"/>
        </w:rPr>
        <w:t>Forma de seleção e critério de julgamento da proposta</w:t>
      </w:r>
    </w:p>
    <w:p>
      <w:pPr>
        <w:pStyle w:val="Nvel1-SemNum"/>
        <w:spacing w:before="0" w:after="0"/>
        <w:ind w:hanging="0" w:left="360"/>
        <w:rPr>
          <w:rFonts w:ascii="Gadugi" w:hAnsi="Gadugi" w:eastAsia="Arial" w:cs="Gadugi"/>
          <w:b w:val="false"/>
          <w:bCs w:val="false"/>
          <w:color w:val="000000"/>
          <w:sz w:val="18"/>
          <w:szCs w:val="18"/>
        </w:rPr>
      </w:pPr>
      <w:r>
        <w:rPr>
          <w:rFonts w:eastAsia="Arial" w:cs="Gadugi" w:ascii="Gadugi" w:hAnsi="Gadugi"/>
          <w:b w:val="false"/>
          <w:bCs w:val="false"/>
          <w:color w:val="000000"/>
          <w:sz w:val="18"/>
          <w:szCs w:val="18"/>
        </w:rPr>
        <w:t>13.1 - Forma de seleção e critério de julgamento</w:t>
      </w:r>
    </w:p>
    <w:p>
      <w:pPr>
        <w:pStyle w:val="Nvel1-SemNum"/>
        <w:spacing w:before="0" w:after="0"/>
        <w:ind w:hanging="0" w:left="360"/>
        <w:rPr>
          <w:rFonts w:ascii="Gadugi" w:hAnsi="Gadugi" w:eastAsia="Arial" w:cs="Gadugi"/>
          <w:b w:val="false"/>
          <w:bCs w:val="false"/>
          <w:color w:val="000000"/>
          <w:sz w:val="18"/>
          <w:szCs w:val="18"/>
        </w:rPr>
      </w:pPr>
      <w:r>
        <w:rPr>
          <w:rFonts w:eastAsia="Arial" w:cs="Gadugi" w:ascii="Gadugi" w:hAnsi="Gadugi"/>
          <w:b w:val="false"/>
          <w:bCs w:val="false"/>
          <w:color w:val="000000"/>
          <w:sz w:val="18"/>
          <w:szCs w:val="18"/>
        </w:rPr>
        <w:t>13.1.1 O fornecedor será selecionado por meio de procedimento licitatório, na modalidade Pregão, em sua forma Eletrônica, para Registro de Preços, adotando-se como critério de julgamento o menor preço por item, nos termos da Lei Federal nº 14.133/2021.</w:t>
      </w:r>
    </w:p>
    <w:p>
      <w:pPr>
        <w:pStyle w:val="Nvel1-SemNum"/>
        <w:spacing w:before="0" w:after="0"/>
        <w:ind w:hanging="0" w:left="0"/>
        <w:rPr>
          <w:rFonts w:ascii="Gadugi" w:hAnsi="Gadugi" w:cs="Gadugi"/>
          <w:color w:val="auto"/>
          <w:sz w:val="18"/>
          <w:szCs w:val="18"/>
          <w:lang w:eastAsia="en-US"/>
        </w:rPr>
      </w:pPr>
      <w:r>
        <w:rPr>
          <w:rFonts w:cs="Gadugi" w:ascii="Gadugi" w:hAnsi="Gadugi"/>
          <w:color w:val="auto"/>
          <w:sz w:val="18"/>
          <w:szCs w:val="18"/>
          <w:lang w:eastAsia="en-US"/>
        </w:rPr>
        <w:t>14 - Exigências de habilitação</w:t>
      </w:r>
    </w:p>
    <w:p>
      <w:pPr>
        <w:pStyle w:val="Nvel1-SemNum"/>
        <w:spacing w:before="0" w:after="0"/>
        <w:ind w:hanging="0" w:left="0"/>
        <w:rPr>
          <w:rFonts w:ascii="Gadugi" w:hAnsi="Gadugi" w:cs="Gadugi"/>
          <w:b w:val="false"/>
          <w:bCs w:val="false"/>
          <w:color w:val="auto"/>
          <w:sz w:val="18"/>
          <w:szCs w:val="18"/>
        </w:rPr>
      </w:pPr>
      <w:r>
        <w:rPr>
          <w:rFonts w:cs="Gadugi" w:ascii="Gadugi" w:hAnsi="Gadugi"/>
          <w:b w:val="false"/>
          <w:bCs w:val="false"/>
          <w:color w:val="auto"/>
          <w:sz w:val="18"/>
          <w:szCs w:val="18"/>
        </w:rPr>
        <w:t>14.1 Para fins de habilitação, o licitante deverá comprovar os requisitos de habilitação jurídica, fiscal, social, trabalhista, econômico-financeira e técnica, nos termos dos arts. 62 a 70 da Lei Federal nº 14.133/2021.</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14.2 - Para fins de habilitação, deverá o licitante comprovar os seguintes requisitos:</w:t>
      </w:r>
    </w:p>
    <w:p>
      <w:pPr>
        <w:pStyle w:val="Nvel1-SemNum"/>
        <w:spacing w:before="0" w:after="0"/>
        <w:ind w:hanging="0" w:left="0"/>
        <w:rPr>
          <w:rFonts w:ascii="Gadugi" w:hAnsi="Gadugi" w:cs="Gadugi"/>
          <w:color w:val="auto"/>
          <w:sz w:val="18"/>
          <w:szCs w:val="18"/>
        </w:rPr>
      </w:pPr>
      <w:r>
        <w:rPr>
          <w:rFonts w:cs="Gadugi" w:ascii="Gadugi" w:hAnsi="Gadugi"/>
          <w:color w:val="auto"/>
          <w:sz w:val="18"/>
          <w:szCs w:val="18"/>
          <w:lang w:eastAsia="zh-CN" w:bidi="hi-IN"/>
        </w:rPr>
        <w:tab/>
        <w:t>14.2.1 - Habilitação jurídica</w:t>
      </w:r>
    </w:p>
    <w:p>
      <w:pPr>
        <w:pStyle w:val="Nivel2"/>
        <w:numPr>
          <w:ilvl w:val="0"/>
          <w:numId w:val="0"/>
        </w:numPr>
        <w:spacing w:lineRule="auto" w:line="312" w:before="0" w:after="0"/>
        <w:ind w:firstLine="708" w:left="0"/>
        <w:rPr>
          <w:rFonts w:ascii="Gadugi" w:hAnsi="Gadugi" w:cs="Gadugi"/>
          <w:sz w:val="18"/>
          <w:szCs w:val="18"/>
        </w:rPr>
      </w:pPr>
      <w:bookmarkStart w:id="35" w:name="_Ref115800561"/>
      <w:r>
        <w:rPr>
          <w:rFonts w:cs="Gadugi" w:ascii="Gadugi" w:hAnsi="Gadugi"/>
          <w:b/>
          <w:bCs/>
          <w:sz w:val="18"/>
          <w:szCs w:val="18"/>
        </w:rPr>
        <w:t>14.2.1.1 - Pessoa física:</w:t>
      </w:r>
      <w:r>
        <w:rPr>
          <w:rFonts w:cs="Gadugi" w:ascii="Gadugi" w:hAnsi="Gadugi"/>
          <w:sz w:val="18"/>
          <w:szCs w:val="18"/>
        </w:rPr>
        <w:t xml:space="preserve"> cédula de identidade (RG) ou documento equivalente que, por força de lei, tenha validade para fins de identificação em todo o território nacional;</w:t>
      </w:r>
      <w:bookmarkEnd w:id="35"/>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14.2.1.2 - Empresário individual:</w:t>
      </w:r>
      <w:r>
        <w:rPr>
          <w:rFonts w:cs="Gadugi" w:ascii="Gadugi" w:hAnsi="Gadugi"/>
          <w:sz w:val="18"/>
          <w:szCs w:val="18"/>
        </w:rPr>
        <w:t xml:space="preserve"> inscrição no Registro Público de Empresas Mercantis, a cargo da Junta Comercial da respectiva sede; </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14.2.1.3 - Microempreendedor Individual - MEI:</w:t>
      </w:r>
      <w:r>
        <w:rPr>
          <w:rFonts w:cs="Gadugi" w:ascii="Gadugi" w:hAnsi="Gadugi"/>
          <w:sz w:val="18"/>
          <w:szCs w:val="18"/>
        </w:rPr>
        <w:t xml:space="preserve"> Certificado da Condição de Microempreendedor Individual - CCMEI, cuja aceitação ficará condicionada à verificação da autenticidade no sítio </w:t>
      </w:r>
      <w:hyperlink r:id="rId27">
        <w:r>
          <w:rPr>
            <w:rStyle w:val="Style"/>
            <w:rFonts w:cs="Gadugi" w:ascii="Gadugi" w:hAnsi="Gadugi"/>
            <w:color w:themeColor="hyperlink" w:val="0000FF"/>
            <w:sz w:val="18"/>
            <w:szCs w:val="18"/>
            <w:u w:val="single"/>
          </w:rPr>
          <w:t>https://www.gov.br/empresas-e-negocios/pt-br/empreendedor</w:t>
        </w:r>
      </w:hyperlink>
      <w:r>
        <w:rPr>
          <w:rFonts w:cs="Gadugi" w:ascii="Gadugi" w:hAnsi="Gadugi"/>
          <w:sz w:val="18"/>
          <w:szCs w:val="18"/>
        </w:rPr>
        <w:t xml:space="preserve">;  </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14.2.1.4 - Sociedade empresária, sociedade limitada unipessoal – SLU ou sociedade identificada como empresa individual de responsabilidade limitada - EIRELI:</w:t>
      </w:r>
      <w:r>
        <w:rPr>
          <w:rFonts w:cs="Gadugi" w:ascii="Gadugi" w:hAnsi="Gadugi"/>
          <w:sz w:val="18"/>
          <w:szCs w:val="18"/>
        </w:rPr>
        <w:t xml:space="preserve"> inscrição do ato constitutivo, estatuto ou contrato social no Registro Público de Empresas Mercantis, a cargo da Junta Comercial da respectiva sede, acompanhada de documento comprobatório de seus administradores;</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14.2.1.5 - Sociedade empresária estrangeira:</w:t>
      </w:r>
      <w:r>
        <w:rPr>
          <w:rFonts w:cs="Gadugi" w:ascii="Gadugi" w:hAnsi="Gadugi"/>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 xml:space="preserve">14.2.1.6 - Sociedade simples: </w:t>
      </w:r>
      <w:r>
        <w:rPr>
          <w:rFonts w:cs="Gadugi" w:ascii="Gadugi" w:hAnsi="Gadugi"/>
          <w:sz w:val="18"/>
          <w:szCs w:val="18"/>
        </w:rPr>
        <w:t>inscrição do ato constitutivo no Registro Civil de Pessoas Jurídicas do local de sua sede, acompanhada de documento comprobatório de seus administradores;</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14.2.1.7 - Filial, sucursal ou agência de sociedade simples ou empresária:</w:t>
      </w:r>
      <w:r>
        <w:rPr>
          <w:rFonts w:cs="Gadugi" w:ascii="Gadugi" w:hAnsi="Gadugi"/>
          <w:sz w:val="18"/>
          <w:szCs w:val="18"/>
        </w:rPr>
        <w:t xml:space="preserve"> inscrição do ato constitutivo da filial, sucursal ou agência da sociedade simples ou empresária, respectivamente, no Registro Civil das Pessoas Jurídicas ou no Registro Público de Empresas </w:t>
      </w:r>
      <w:bookmarkStart w:id="36" w:name="_Int_ySfCXwr4"/>
      <w:r>
        <w:rPr>
          <w:rFonts w:cs="Gadugi" w:ascii="Gadugi" w:hAnsi="Gadugi"/>
          <w:sz w:val="18"/>
          <w:szCs w:val="18"/>
        </w:rPr>
        <w:t>Mercantis onde</w:t>
      </w:r>
      <w:bookmarkEnd w:id="36"/>
      <w:r>
        <w:rPr>
          <w:rFonts w:cs="Gadugi" w:ascii="Gadugi" w:hAnsi="Gadugi"/>
          <w:sz w:val="18"/>
          <w:szCs w:val="18"/>
        </w:rPr>
        <w:t xml:space="preserve"> opera, com averbação no Registro onde tem sede a matriz.</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14.2.1.8 - Sociedade cooperativa:</w:t>
      </w:r>
      <w:r>
        <w:rPr>
          <w:rFonts w:cs="Gadugi" w:ascii="Gadugi" w:hAnsi="Gadugi"/>
          <w:sz w:val="18"/>
          <w:szCs w:val="1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vel1-SemNum"/>
        <w:spacing w:before="0" w:after="0"/>
        <w:ind w:hanging="0" w:left="0"/>
        <w:rPr>
          <w:rFonts w:ascii="Gadugi" w:hAnsi="Gadugi" w:cs="Gadugi"/>
          <w:color w:val="auto"/>
          <w:sz w:val="18"/>
          <w:szCs w:val="18"/>
        </w:rPr>
      </w:pPr>
      <w:r>
        <w:rPr>
          <w:rFonts w:cs="Gadugi" w:ascii="Gadugi" w:hAnsi="Gadugi"/>
          <w:color w:val="auto"/>
          <w:sz w:val="18"/>
          <w:szCs w:val="18"/>
          <w:lang w:eastAsia="zh-CN" w:bidi="hi-IN"/>
        </w:rPr>
        <w:t>14.2.2 - Habilitação fiscal, social e trabalhista</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14.2.2.1 - Prova de inscrição no Cadastro Nacional de Pessoas Jurídicas ou no Cadastro de Pessoas Físicas, conforme o caso;</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14.2.2.3 - Prova de regularidade com o Fundo de Garantia do Tempo de Serviço (FGTS);</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sz w:val="18"/>
          <w:szCs w:val="18"/>
        </w:rPr>
        <w:t>14.2.2.4 -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sz w:val="18"/>
          <w:szCs w:val="18"/>
        </w:rPr>
        <w:t>14.2.2.5 - Prova de inscrição no cadastro de contribuintes</w:t>
      </w:r>
      <w:r>
        <w:rPr>
          <w:rFonts w:cs="Gadugi" w:ascii="Gadugi" w:hAnsi="Gadugi"/>
          <w:i/>
          <w:sz w:val="18"/>
          <w:szCs w:val="18"/>
        </w:rPr>
        <w:t xml:space="preserve"> ESTADUAL</w:t>
      </w:r>
      <w:r>
        <w:rPr>
          <w:rFonts w:cs="Gadugi" w:ascii="Gadugi" w:hAnsi="Gadugi"/>
          <w:sz w:val="18"/>
          <w:szCs w:val="18"/>
        </w:rPr>
        <w:t xml:space="preserve"> relativo ao domicílio ou sede do fornecedor, pertinente ao seu ramo de atividade e compatível com o objeto contratual; </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14.2.2.6 - Prova de regularidade com a Fazenda</w:t>
      </w:r>
      <w:r>
        <w:rPr>
          <w:rFonts w:cs="Gadugi" w:ascii="Gadugi" w:hAnsi="Gadugi"/>
          <w:color w:val="auto"/>
          <w:sz w:val="18"/>
          <w:szCs w:val="18"/>
        </w:rPr>
        <w:t xml:space="preserve"> </w:t>
      </w:r>
      <w:r>
        <w:rPr>
          <w:rFonts w:cs="Gadugi" w:ascii="Gadugi" w:hAnsi="Gadugi"/>
          <w:i/>
          <w:iCs/>
          <w:color w:val="auto"/>
          <w:sz w:val="18"/>
          <w:szCs w:val="18"/>
        </w:rPr>
        <w:t xml:space="preserve">MUNICIPAL </w:t>
      </w:r>
      <w:r>
        <w:rPr>
          <w:rFonts w:cs="Gadugi" w:ascii="Gadugi" w:hAnsi="Gadugi"/>
          <w:sz w:val="18"/>
          <w:szCs w:val="18"/>
        </w:rPr>
        <w:t>do domicílio ou sede do fornecedor, relativa à atividade em cujo exercício contrata ou concorre;</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 xml:space="preserve">14.2.2.7 - Caso o fornecedor seja considerado isento dos tributos </w:t>
      </w:r>
      <w:r>
        <w:rPr>
          <w:rFonts w:cs="Gadugi" w:ascii="Gadugi" w:hAnsi="Gadugi"/>
          <w:i/>
          <w:iCs/>
          <w:color w:val="auto"/>
          <w:sz w:val="18"/>
          <w:szCs w:val="18"/>
        </w:rPr>
        <w:t xml:space="preserve">ESTADUAL OU MUNICIPAL </w:t>
      </w:r>
      <w:r>
        <w:rPr>
          <w:rFonts w:cs="Gadugi" w:ascii="Gadugi" w:hAnsi="Gadugi"/>
          <w:sz w:val="18"/>
          <w:szCs w:val="18"/>
        </w:rPr>
        <w:t>relacionados ao objeto contratual, deverá comprovar tal condição mediante a apresentação de declaração da Fazenda respectiva do seu domicílio ou sede, ou outra equivalente, na forma da lei.</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14.2.2.8 - 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1-SemNum"/>
        <w:spacing w:before="0" w:after="0"/>
        <w:ind w:hanging="0" w:left="0"/>
        <w:rPr>
          <w:rFonts w:ascii="Gadugi" w:hAnsi="Gadugi" w:cs="Gadugi"/>
          <w:color w:val="auto"/>
          <w:sz w:val="18"/>
          <w:szCs w:val="18"/>
        </w:rPr>
      </w:pPr>
      <w:r>
        <w:rPr>
          <w:rFonts w:cs="Gadugi" w:ascii="Gadugi" w:hAnsi="Gadugi"/>
          <w:color w:val="auto"/>
          <w:sz w:val="18"/>
          <w:szCs w:val="18"/>
          <w:lang w:eastAsia="zh-CN" w:bidi="hi-IN"/>
        </w:rPr>
        <w:t>14.2.3 - Qualificação Econômico-Financeira</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14.2.3.1 Certidão negativa de falência expedida pelo distribuidor da sede da pessoa jurídica ou, quando se tratar de pessoa física admitida na licitação, certidão negativa de insolvência civil, expedida pelo distribuidor competente, observado o disposto no art. 69 da Lei Federal nº 14.133/2021.</w:t>
      </w:r>
    </w:p>
    <w:p>
      <w:pPr>
        <w:pStyle w:val="Nivel2"/>
        <w:numPr>
          <w:ilvl w:val="0"/>
          <w:numId w:val="0"/>
        </w:numPr>
        <w:spacing w:lineRule="auto" w:line="312" w:before="0" w:after="0"/>
        <w:ind w:hanging="0" w:left="0"/>
        <w:rPr>
          <w:b/>
          <w:bCs/>
        </w:rPr>
      </w:pPr>
      <w:r>
        <w:rPr>
          <w:rFonts w:cs="Gadugi" w:ascii="Gadugi" w:hAnsi="Gadugi"/>
          <w:b/>
          <w:bCs/>
          <w:color w:val="auto"/>
          <w:sz w:val="18"/>
          <w:szCs w:val="18"/>
          <w:lang w:eastAsia="zh-CN" w:bidi="hi-IN"/>
        </w:rPr>
        <w:t>14.2.4 - Qualificação Técnica</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color w:val="auto"/>
          <w:sz w:val="18"/>
          <w:szCs w:val="18"/>
        </w:rPr>
        <w:t xml:space="preserve">14.2.4.1. </w:t>
      </w:r>
      <w:r>
        <w:rPr>
          <w:rFonts w:cs="Gadugi" w:ascii="Gadugi" w:hAnsi="Gadugi"/>
          <w:sz w:val="18"/>
          <w:szCs w:val="18"/>
        </w:rPr>
        <w:t>Considerando a natureza comum do objeto, consistente no fornecimento de veículos automotores novos, não será exigida comprovação de qualificação técnica, nos termos do art. 67 da Lei Federal nº 14.133/2021, por não se mostrar necessária à adequada execução do objeto e visando à ampliação da competitividade do certame.</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r>
    </w:p>
    <w:p>
      <w:pPr>
        <w:pStyle w:val="Nivel2"/>
        <w:numPr>
          <w:ilvl w:val="0"/>
          <w:numId w:val="0"/>
        </w:numPr>
        <w:spacing w:lineRule="auto" w:line="312" w:before="0" w:after="0"/>
        <w:ind w:hanging="0" w:left="0"/>
        <w:rPr/>
      </w:pPr>
      <w:r>
        <w:rPr>
          <w:rFonts w:cs="Gadugi" w:ascii="Gadugi" w:hAnsi="Gadugi"/>
          <w:b/>
          <w:bCs/>
          <w:sz w:val="18"/>
          <w:szCs w:val="18"/>
        </w:rPr>
        <w:t>15 - ESTIMATIVAS DO VALOR DA CONTRATAÇÃO</w:t>
      </w:r>
    </w:p>
    <w:p>
      <w:pPr>
        <w:pStyle w:val="Nivel01"/>
        <w:numPr>
          <w:ilvl w:val="0"/>
          <w:numId w:val="0"/>
        </w:numPr>
        <w:spacing w:lineRule="auto" w:line="240" w:before="0" w:after="174"/>
        <w:ind w:hanging="0" w:left="0"/>
        <w:rPr>
          <w:color w:val="000000"/>
        </w:rPr>
      </w:pPr>
      <w:r>
        <w:rPr>
          <w:rFonts w:cs="Gadugi" w:ascii="Gadugi" w:hAnsi="Gadugi"/>
          <w:b w:val="false"/>
          <w:bCs w:val="false"/>
          <w:color w:val="000000"/>
          <w:sz w:val="18"/>
          <w:szCs w:val="18"/>
        </w:rPr>
        <w:t>15.1 - O custo estimado total da contratação é de R$ 697.518,55.</w:t>
      </w:r>
    </w:p>
    <w:p>
      <w:pPr>
        <w:pStyle w:val="Nivel1"/>
        <w:tabs>
          <w:tab w:val="clear" w:pos="708"/>
          <w:tab w:val="left" w:pos="284" w:leader="none"/>
          <w:tab w:val="left" w:pos="426" w:leader="none"/>
          <w:tab w:val="left" w:pos="567" w:leader="none"/>
          <w:tab w:val="left" w:pos="851" w:leader="none"/>
        </w:tabs>
        <w:spacing w:lineRule="auto" w:line="312" w:before="0" w:after="0"/>
        <w:ind w:hanging="0" w:left="0"/>
        <w:rPr>
          <w:rFonts w:ascii="Gadugi" w:hAnsi="Gadugi" w:cs="Gadugi"/>
          <w:color w:val="auto"/>
          <w:sz w:val="18"/>
          <w:szCs w:val="18"/>
        </w:rPr>
      </w:pPr>
      <w:r>
        <w:rPr>
          <w:rFonts w:cs="Gadugi" w:ascii="Gadugi" w:hAnsi="Gadugi"/>
          <w:color w:val="auto"/>
          <w:sz w:val="18"/>
          <w:szCs w:val="18"/>
        </w:rPr>
        <w:t xml:space="preserve">16 - DOTAÇÃO ORÇAMENTÁRIA </w:t>
      </w:r>
    </w:p>
    <w:p>
      <w:pPr>
        <w:pStyle w:val="Normal"/>
        <w:tabs>
          <w:tab w:val="clear" w:pos="708"/>
          <w:tab w:val="left" w:pos="426" w:leader="none"/>
        </w:tabs>
        <w:spacing w:lineRule="auto" w:line="312"/>
        <w:jc w:val="both"/>
        <w:rPr>
          <w:rFonts w:ascii="Gadugi" w:hAnsi="Gadugi" w:eastAsia="Calibri" w:cs="Gadugi"/>
          <w:sz w:val="18"/>
          <w:szCs w:val="18"/>
          <w:lang w:eastAsia="en-US"/>
        </w:rPr>
      </w:pPr>
      <w:r>
        <w:rPr>
          <w:rFonts w:cs="Gadugi" w:ascii="Gadugi" w:hAnsi="Gadugi"/>
          <w:sz w:val="18"/>
          <w:szCs w:val="18"/>
        </w:rPr>
        <w:t xml:space="preserve">16.1 - </w:t>
      </w:r>
      <w:r>
        <w:rPr>
          <w:rFonts w:eastAsia="Calibri" w:cs="Gadugi" w:ascii="Gadugi" w:hAnsi="Gadugi"/>
          <w:sz w:val="18"/>
          <w:szCs w:val="18"/>
          <w:lang w:eastAsia="en-US"/>
        </w:rPr>
        <w:t xml:space="preserve">Por se tratar de procedimento realizado por meio do </w:t>
      </w:r>
      <w:r>
        <w:rPr>
          <w:rFonts w:eastAsia="Calibri" w:cs="Gadugi" w:ascii="Gadugi" w:hAnsi="Gadugi"/>
          <w:b/>
          <w:bCs/>
          <w:sz w:val="18"/>
          <w:szCs w:val="18"/>
          <w:lang w:eastAsia="en-US"/>
        </w:rPr>
        <w:t>Sistema de Registro de Preços</w:t>
      </w:r>
      <w:r>
        <w:rPr>
          <w:rFonts w:eastAsia="Calibri" w:cs="Gadugi" w:ascii="Gadugi" w:hAnsi="Gadugi"/>
          <w:sz w:val="18"/>
          <w:szCs w:val="18"/>
          <w:lang w:eastAsia="en-US"/>
        </w:rPr>
        <w:t>, a indicação da dotação orçamentária fica dispensada nesta fase, nos termos da Lei Federal nº 14.133/2021.</w:t>
      </w:r>
    </w:p>
    <w:p>
      <w:pPr>
        <w:pStyle w:val="Normal"/>
        <w:tabs>
          <w:tab w:val="clear" w:pos="708"/>
          <w:tab w:val="left" w:pos="426" w:leader="none"/>
        </w:tabs>
        <w:spacing w:lineRule="auto" w:line="312"/>
        <w:jc w:val="both"/>
        <w:rPr>
          <w:rFonts w:ascii="Gadugi" w:hAnsi="Gadugi" w:eastAsia="Calibri" w:cs="Gadugi"/>
          <w:sz w:val="18"/>
          <w:szCs w:val="18"/>
          <w:lang w:eastAsia="en-US"/>
        </w:rPr>
      </w:pPr>
      <w:r>
        <w:rPr>
          <w:rFonts w:eastAsia="Calibri" w:cs="Gadugi" w:ascii="Gadugi" w:hAnsi="Gadugi"/>
          <w:sz w:val="18"/>
          <w:szCs w:val="18"/>
          <w:lang w:eastAsia="en-US"/>
        </w:rPr>
        <w:t>16.2 - As despesas decorrentes das contratações oriundas da Ata de Registro de Preços correrão à conta das dotações orçamentárias próprias de cada órgão ou entidade participante, consignadas nos respectivos orçamentos vigentes à época da contratação, sendo indicadas previamente à emissão da Nota de Empenho ou à formalização do instrumento contratual, quando for o caso.</w:t>
      </w:r>
    </w:p>
    <w:p>
      <w:pPr>
        <w:pStyle w:val="Normal"/>
        <w:tabs>
          <w:tab w:val="clear" w:pos="708"/>
          <w:tab w:val="left" w:pos="284" w:leader="none"/>
          <w:tab w:val="left" w:pos="426" w:leader="none"/>
          <w:tab w:val="left" w:pos="567" w:leader="none"/>
          <w:tab w:val="left" w:pos="851" w:leader="none"/>
        </w:tabs>
        <w:spacing w:lineRule="auto" w:line="312"/>
        <w:jc w:val="right"/>
        <w:rPr>
          <w:rFonts w:ascii="Gadugi" w:hAnsi="Gadugi"/>
          <w:iCs/>
          <w:sz w:val="18"/>
          <w:szCs w:val="18"/>
        </w:rPr>
      </w:pPr>
      <w:r>
        <w:rPr>
          <w:rFonts w:ascii="Gadugi" w:hAnsi="Gadugi"/>
          <w:iCs/>
          <w:sz w:val="18"/>
          <w:szCs w:val="18"/>
        </w:rPr>
      </w:r>
    </w:p>
    <w:p>
      <w:pPr>
        <w:pStyle w:val="Normal"/>
        <w:tabs>
          <w:tab w:val="clear" w:pos="708"/>
          <w:tab w:val="left" w:pos="284" w:leader="none"/>
          <w:tab w:val="left" w:pos="426" w:leader="none"/>
          <w:tab w:val="left" w:pos="567" w:leader="none"/>
          <w:tab w:val="left" w:pos="851" w:leader="none"/>
        </w:tabs>
        <w:spacing w:lineRule="auto" w:line="312"/>
        <w:jc w:val="right"/>
        <w:rPr>
          <w:rFonts w:ascii="Gadugi" w:hAnsi="Gadugi"/>
          <w:iCs/>
          <w:sz w:val="18"/>
          <w:szCs w:val="18"/>
        </w:rPr>
      </w:pPr>
      <w:r>
        <w:rPr>
          <w:rFonts w:ascii="Gadugi" w:hAnsi="Gadugi"/>
          <w:iCs/>
          <w:sz w:val="18"/>
          <w:szCs w:val="18"/>
        </w:rPr>
      </w:r>
    </w:p>
    <w:p>
      <w:pPr>
        <w:pStyle w:val="Normal"/>
        <w:tabs>
          <w:tab w:val="clear" w:pos="708"/>
          <w:tab w:val="left" w:pos="284" w:leader="none"/>
          <w:tab w:val="left" w:pos="426" w:leader="none"/>
          <w:tab w:val="left" w:pos="567" w:leader="none"/>
          <w:tab w:val="left" w:pos="851" w:leader="none"/>
        </w:tabs>
        <w:spacing w:lineRule="auto" w:line="312"/>
        <w:jc w:val="right"/>
        <w:rPr>
          <w:rFonts w:ascii="Gadugi" w:hAnsi="Gadugi"/>
          <w:iCs/>
          <w:sz w:val="18"/>
          <w:szCs w:val="18"/>
        </w:rPr>
      </w:pPr>
      <w:r>
        <w:rPr>
          <w:rFonts w:ascii="Gadugi" w:hAnsi="Gadugi"/>
          <w:iCs/>
          <w:sz w:val="18"/>
          <w:szCs w:val="18"/>
        </w:rPr>
      </w:r>
    </w:p>
    <w:p>
      <w:pPr>
        <w:pStyle w:val="Normal"/>
        <w:tabs>
          <w:tab w:val="clear" w:pos="708"/>
          <w:tab w:val="left" w:pos="284" w:leader="none"/>
          <w:tab w:val="left" w:pos="426" w:leader="none"/>
          <w:tab w:val="left" w:pos="567" w:leader="none"/>
          <w:tab w:val="left" w:pos="851" w:leader="none"/>
        </w:tabs>
        <w:spacing w:lineRule="auto" w:line="312"/>
        <w:jc w:val="right"/>
        <w:rPr>
          <w:rFonts w:ascii="Gadugi" w:hAnsi="Gadugi"/>
          <w:sz w:val="18"/>
          <w:szCs w:val="18"/>
        </w:rPr>
      </w:pPr>
      <w:r>
        <w:rPr>
          <w:rFonts w:ascii="Gadugi" w:hAnsi="Gadugi"/>
          <w:iCs/>
          <w:sz w:val="18"/>
          <w:szCs w:val="18"/>
        </w:rPr>
        <w:t>Santa Bárbara do Sul/RS, 20 de julho de 2026.</w:t>
      </w:r>
    </w:p>
    <w:p>
      <w:pPr>
        <w:pStyle w:val="Normal"/>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t>ANEXO II</w:t>
      </w:r>
    </w:p>
    <w:p>
      <w:pPr>
        <w:pStyle w:val="Normal"/>
        <w:jc w:val="center"/>
        <w:rPr>
          <w:rFonts w:ascii="Gadugi" w:hAnsi="Gadugi" w:cs="Gadugi"/>
          <w:sz w:val="18"/>
          <w:szCs w:val="18"/>
        </w:rPr>
      </w:pPr>
      <w:r>
        <w:rPr>
          <w:rFonts w:cs="Gadugi" w:ascii="Gadugi" w:hAnsi="Gadugi"/>
          <w:b/>
          <w:sz w:val="18"/>
          <w:szCs w:val="18"/>
        </w:rPr>
        <w:t>PROPOSTA FINANCEIRA</w:t>
      </w:r>
    </w:p>
    <w:tbl>
      <w:tblPr>
        <w:tblW w:w="9921" w:type="dxa"/>
        <w:jc w:val="left"/>
        <w:tblInd w:w="70" w:type="dxa"/>
        <w:tblLayout w:type="fixed"/>
        <w:tblCellMar>
          <w:top w:w="0" w:type="dxa"/>
          <w:left w:w="70" w:type="dxa"/>
          <w:bottom w:w="0" w:type="dxa"/>
          <w:right w:w="70" w:type="dxa"/>
        </w:tblCellMar>
        <w:tblLook w:val="04a0" w:firstRow="1" w:noVBand="1" w:lastRow="0" w:firstColumn="1" w:lastColumn="0" w:noHBand="0"/>
      </w:tblPr>
      <w:tblGrid>
        <w:gridCol w:w="4062"/>
        <w:gridCol w:w="2970"/>
        <w:gridCol w:w="2889"/>
      </w:tblGrid>
      <w:tr>
        <w:trPr/>
        <w:tc>
          <w:tcPr>
            <w:tcW w:w="9921"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6"/>
                <w:szCs w:val="16"/>
              </w:rPr>
            </w:pPr>
            <w:r>
              <w:rPr>
                <w:rFonts w:cs="Gadugi" w:ascii="Gadugi" w:hAnsi="Gadugi"/>
                <w:b/>
                <w:sz w:val="16"/>
                <w:szCs w:val="16"/>
              </w:rPr>
              <w:t>Fornecedor:</w:t>
            </w:r>
          </w:p>
        </w:tc>
      </w:tr>
      <w:tr>
        <w:trPr/>
        <w:tc>
          <w:tcPr>
            <w:tcW w:w="9921"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6"/>
                <w:szCs w:val="16"/>
              </w:rPr>
            </w:pPr>
            <w:r>
              <w:rPr>
                <w:rFonts w:cs="Gadugi" w:ascii="Gadugi" w:hAnsi="Gadugi"/>
                <w:b/>
                <w:sz w:val="16"/>
                <w:szCs w:val="16"/>
              </w:rPr>
              <w:t>Endereço:</w:t>
            </w:r>
          </w:p>
        </w:tc>
      </w:tr>
      <w:tr>
        <w:trPr/>
        <w:tc>
          <w:tcPr>
            <w:tcW w:w="7032"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6"/>
                <w:szCs w:val="16"/>
              </w:rPr>
            </w:pPr>
            <w:r>
              <w:rPr>
                <w:rFonts w:cs="Gadugi" w:ascii="Gadugi" w:hAnsi="Gadugi"/>
                <w:b/>
                <w:sz w:val="16"/>
                <w:szCs w:val="16"/>
              </w:rPr>
              <w:t>Cidade:</w:t>
            </w:r>
          </w:p>
        </w:tc>
        <w:tc>
          <w:tcPr>
            <w:tcW w:w="2889"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6"/>
                <w:szCs w:val="16"/>
              </w:rPr>
            </w:pPr>
            <w:r>
              <w:rPr>
                <w:rFonts w:cs="Gadugi" w:ascii="Gadugi" w:hAnsi="Gadugi"/>
                <w:b/>
                <w:sz w:val="16"/>
                <w:szCs w:val="16"/>
              </w:rPr>
              <w:t>Estado:</w:t>
            </w:r>
          </w:p>
        </w:tc>
      </w:tr>
      <w:tr>
        <w:trPr/>
        <w:tc>
          <w:tcPr>
            <w:tcW w:w="4062"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6"/>
                <w:szCs w:val="16"/>
              </w:rPr>
            </w:pPr>
            <w:r>
              <w:rPr>
                <w:rFonts w:cs="Gadugi" w:ascii="Gadugi" w:hAnsi="Gadugi"/>
                <w:b/>
                <w:sz w:val="16"/>
                <w:szCs w:val="16"/>
              </w:rPr>
              <w:t>CNPJ:</w:t>
            </w:r>
          </w:p>
        </w:tc>
        <w:tc>
          <w:tcPr>
            <w:tcW w:w="585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6"/>
                <w:szCs w:val="16"/>
              </w:rPr>
            </w:pPr>
            <w:r>
              <w:rPr>
                <w:rFonts w:cs="Gadugi" w:ascii="Gadugi" w:hAnsi="Gadugi"/>
                <w:b/>
                <w:sz w:val="16"/>
                <w:szCs w:val="16"/>
              </w:rPr>
              <w:t>Inscrição Estadual:</w:t>
            </w:r>
          </w:p>
        </w:tc>
      </w:tr>
      <w:tr>
        <w:trPr/>
        <w:tc>
          <w:tcPr>
            <w:tcW w:w="4062"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6"/>
                <w:szCs w:val="16"/>
              </w:rPr>
            </w:pPr>
            <w:r>
              <w:rPr>
                <w:rFonts w:cs="Gadugi" w:ascii="Gadugi" w:hAnsi="Gadugi"/>
                <w:b/>
                <w:sz w:val="16"/>
                <w:szCs w:val="16"/>
              </w:rPr>
              <w:t>Banco:</w:t>
            </w:r>
          </w:p>
        </w:tc>
        <w:tc>
          <w:tcPr>
            <w:tcW w:w="585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6"/>
                <w:szCs w:val="16"/>
              </w:rPr>
            </w:pPr>
            <w:r>
              <w:rPr>
                <w:rFonts w:cs="Gadugi" w:ascii="Gadugi" w:hAnsi="Gadugi"/>
                <w:b/>
                <w:sz w:val="16"/>
                <w:szCs w:val="16"/>
              </w:rPr>
              <w:t>Agência:</w:t>
            </w:r>
          </w:p>
        </w:tc>
      </w:tr>
      <w:tr>
        <w:trPr/>
        <w:tc>
          <w:tcPr>
            <w:tcW w:w="9921"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6"/>
                <w:szCs w:val="16"/>
              </w:rPr>
            </w:pPr>
            <w:r>
              <w:rPr>
                <w:rFonts w:cs="Gadugi" w:ascii="Gadugi" w:hAnsi="Gadugi"/>
                <w:b/>
                <w:sz w:val="16"/>
                <w:szCs w:val="16"/>
              </w:rPr>
              <w:t>C.C:</w:t>
            </w:r>
          </w:p>
        </w:tc>
      </w:tr>
    </w:tbl>
    <w:p>
      <w:pPr>
        <w:pStyle w:val="Normal"/>
        <w:tabs>
          <w:tab w:val="clear" w:pos="708"/>
          <w:tab w:val="left" w:pos="792" w:leader="none"/>
        </w:tabs>
        <w:jc w:val="both"/>
        <w:rPr>
          <w:rFonts w:ascii="Gadugi" w:hAnsi="Gadugi" w:cs="Gadugi"/>
          <w:sz w:val="18"/>
          <w:szCs w:val="18"/>
        </w:rPr>
      </w:pPr>
      <w:r>
        <w:rPr>
          <w:rFonts w:cs="Gadugi" w:ascii="Gadugi" w:hAnsi="Gadugi"/>
          <w:sz w:val="18"/>
          <w:szCs w:val="18"/>
        </w:rPr>
      </w:r>
    </w:p>
    <w:tbl>
      <w:tblPr>
        <w:tblW w:w="9923" w:type="dxa"/>
        <w:jc w:val="left"/>
        <w:tblInd w:w="70" w:type="dxa"/>
        <w:tblLayout w:type="fixed"/>
        <w:tblCellMar>
          <w:top w:w="0" w:type="dxa"/>
          <w:left w:w="70" w:type="dxa"/>
          <w:bottom w:w="0" w:type="dxa"/>
          <w:right w:w="70" w:type="dxa"/>
        </w:tblCellMar>
        <w:tblLook w:val="04a0" w:firstRow="1" w:noVBand="1" w:lastRow="0" w:firstColumn="1" w:lastColumn="0" w:noHBand="0"/>
      </w:tblPr>
      <w:tblGrid>
        <w:gridCol w:w="488"/>
        <w:gridCol w:w="5873"/>
        <w:gridCol w:w="585"/>
        <w:gridCol w:w="1134"/>
        <w:gridCol w:w="1843"/>
      </w:tblGrid>
      <w:tr>
        <w:trPr>
          <w:trHeight w:val="525" w:hRule="atLeast"/>
        </w:trPr>
        <w:tc>
          <w:tcPr>
            <w:tcW w:w="9923" w:type="dxa"/>
            <w:gridSpan w:val="5"/>
            <w:tcBorders>
              <w:top w:val="single" w:sz="6" w:space="0" w:color="000000"/>
              <w:left w:val="single" w:sz="6" w:space="0" w:color="000000"/>
              <w:bottom w:val="single" w:sz="6" w:space="0" w:color="000000"/>
              <w:right w:val="single" w:sz="6" w:space="0" w:color="000000"/>
            </w:tcBorders>
          </w:tcPr>
          <w:p>
            <w:pPr>
              <w:pStyle w:val="Nivel2"/>
              <w:numPr>
                <w:ilvl w:val="0"/>
                <w:numId w:val="0"/>
              </w:numPr>
              <w:spacing w:before="0" w:after="0"/>
              <w:ind w:hanging="0" w:left="0"/>
              <w:jc w:val="center"/>
              <w:rPr>
                <w:rFonts w:ascii="Gadugi" w:hAnsi="Gadugi" w:cs="Gadugi"/>
                <w:b/>
                <w:bCs/>
                <w:i/>
                <w:iCs/>
                <w:color w:themeColor="text1" w:val="000000"/>
                <w:sz w:val="16"/>
                <w:szCs w:val="16"/>
              </w:rPr>
            </w:pPr>
            <w:r>
              <w:rPr>
                <w:rFonts w:cs="Gadugi" w:ascii="Gadugi" w:hAnsi="Gadugi"/>
                <w:b/>
                <w:bCs/>
                <w:i/>
                <w:iCs/>
                <w:color w:themeColor="text1" w:val="000000"/>
                <w:sz w:val="16"/>
                <w:szCs w:val="16"/>
              </w:rPr>
              <w:t>Aquisição de veículos automotores novos, zero quilômetro, compreendendo veículos de passeio e caminhonetes tipo pick-up, destinados à ampliação da frota oficial do Município</w:t>
            </w:r>
          </w:p>
        </w:tc>
      </w:tr>
      <w:tr>
        <w:trPr>
          <w:trHeight w:val="286" w:hRule="atLeast"/>
        </w:trPr>
        <w:tc>
          <w:tcPr>
            <w:tcW w:w="488"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rPr>
                <w:rFonts w:ascii="Arial" w:hAnsi="Arial" w:eastAsia="Times New Roman" w:cs="Arial"/>
                <w:b/>
                <w:bCs/>
                <w:color w:val="000000"/>
                <w:sz w:val="16"/>
                <w:szCs w:val="16"/>
              </w:rPr>
            </w:pPr>
            <w:r>
              <w:rPr>
                <w:rFonts w:cs="Arial" w:ascii="Arial" w:hAnsi="Arial"/>
                <w:b/>
                <w:bCs/>
                <w:color w:val="000000"/>
                <w:sz w:val="16"/>
                <w:szCs w:val="16"/>
              </w:rPr>
              <w:t>Item</w:t>
            </w:r>
          </w:p>
        </w:tc>
        <w:tc>
          <w:tcPr>
            <w:tcW w:w="5873" w:type="dxa"/>
            <w:tcBorders>
              <w:top w:val="single" w:sz="4" w:space="0" w:color="000000"/>
              <w:bottom w:val="single" w:sz="4" w:space="0" w:color="000000"/>
              <w:right w:val="single" w:sz="4" w:space="0" w:color="000000"/>
            </w:tcBorders>
            <w:shd w:color="000000" w:fill="F0FFFF" w:val="clear"/>
            <w:vAlign w:val="bottom"/>
          </w:tcPr>
          <w:p>
            <w:pPr>
              <w:pStyle w:val="Normal"/>
              <w:rPr>
                <w:rFonts w:ascii="Arial" w:hAnsi="Arial" w:cs="Arial"/>
                <w:b/>
                <w:bCs/>
                <w:color w:val="000000"/>
                <w:sz w:val="16"/>
                <w:szCs w:val="16"/>
              </w:rPr>
            </w:pPr>
            <w:r>
              <w:rPr>
                <w:rFonts w:cs="Arial" w:ascii="Arial" w:hAnsi="Arial"/>
                <w:b/>
                <w:bCs/>
                <w:color w:val="000000"/>
                <w:sz w:val="16"/>
                <w:szCs w:val="16"/>
              </w:rPr>
              <w:t>Descrição</w:t>
            </w:r>
          </w:p>
        </w:tc>
        <w:tc>
          <w:tcPr>
            <w:tcW w:w="585" w:type="dxa"/>
            <w:tcBorders>
              <w:top w:val="single" w:sz="4" w:space="0" w:color="000000"/>
              <w:bottom w:val="single" w:sz="4" w:space="0" w:color="000000"/>
              <w:right w:val="single" w:sz="4" w:space="0" w:color="000000"/>
            </w:tcBorders>
            <w:shd w:color="000000" w:fill="F0FFFF" w:val="clear"/>
            <w:vAlign w:val="bottom"/>
          </w:tcPr>
          <w:p>
            <w:pPr>
              <w:pStyle w:val="Normal"/>
              <w:rPr>
                <w:rFonts w:ascii="Arial" w:hAnsi="Arial" w:cs="Arial"/>
                <w:b/>
                <w:bCs/>
                <w:color w:val="000000"/>
                <w:sz w:val="16"/>
                <w:szCs w:val="16"/>
              </w:rPr>
            </w:pPr>
            <w:r>
              <w:rPr>
                <w:rFonts w:cs="Arial" w:ascii="Arial" w:hAnsi="Arial"/>
                <w:b/>
                <w:bCs/>
                <w:color w:val="000000"/>
                <w:sz w:val="16"/>
                <w:szCs w:val="16"/>
              </w:rPr>
              <w:t>Unid</w:t>
            </w:r>
          </w:p>
        </w:tc>
        <w:tc>
          <w:tcPr>
            <w:tcW w:w="1134" w:type="dxa"/>
            <w:tcBorders>
              <w:top w:val="single" w:sz="4" w:space="0" w:color="000000"/>
              <w:bottom w:val="single" w:sz="4" w:space="0" w:color="000000"/>
              <w:right w:val="single" w:sz="4" w:space="0" w:color="000000"/>
            </w:tcBorders>
            <w:shd w:color="000000" w:fill="F0FFFF" w:val="clear"/>
            <w:vAlign w:val="bottom"/>
          </w:tcPr>
          <w:p>
            <w:pPr>
              <w:pStyle w:val="Normal"/>
              <w:jc w:val="right"/>
              <w:rPr>
                <w:rFonts w:ascii="Arial" w:hAnsi="Arial" w:cs="Arial"/>
                <w:b/>
                <w:bCs/>
                <w:color w:val="000000"/>
                <w:sz w:val="16"/>
                <w:szCs w:val="16"/>
              </w:rPr>
            </w:pPr>
            <w:r>
              <w:rPr>
                <w:rFonts w:cs="Arial" w:ascii="Arial" w:hAnsi="Arial"/>
                <w:b/>
                <w:bCs/>
                <w:color w:val="000000"/>
                <w:sz w:val="16"/>
                <w:szCs w:val="16"/>
              </w:rPr>
              <w:t>Quant. Max.</w:t>
            </w:r>
          </w:p>
        </w:tc>
        <w:tc>
          <w:tcPr>
            <w:tcW w:w="1843" w:type="dxa"/>
            <w:tcBorders>
              <w:top w:val="single" w:sz="4" w:space="0" w:color="000000"/>
              <w:bottom w:val="single" w:sz="4" w:space="0" w:color="000000"/>
              <w:right w:val="single" w:sz="4" w:space="0" w:color="000000"/>
            </w:tcBorders>
            <w:shd w:color="000000" w:fill="F0FFFF" w:val="clear"/>
            <w:vAlign w:val="bottom"/>
          </w:tcPr>
          <w:p>
            <w:pPr>
              <w:pStyle w:val="Normal"/>
              <w:jc w:val="right"/>
              <w:rPr>
                <w:rFonts w:ascii="Arial" w:hAnsi="Arial" w:cs="Arial"/>
                <w:b/>
                <w:bCs/>
                <w:color w:val="000000"/>
                <w:sz w:val="16"/>
                <w:szCs w:val="16"/>
              </w:rPr>
            </w:pPr>
            <w:r>
              <w:rPr>
                <w:rFonts w:cs="Arial" w:ascii="Arial" w:hAnsi="Arial"/>
                <w:b/>
                <w:bCs/>
                <w:color w:val="000000"/>
                <w:sz w:val="16"/>
                <w:szCs w:val="16"/>
              </w:rPr>
              <w:t>Preço Unit. Estimado</w:t>
            </w:r>
          </w:p>
        </w:tc>
      </w:tr>
      <w:tr>
        <w:trPr>
          <w:trHeight w:val="300" w:hRule="atLeast"/>
        </w:trPr>
        <w:tc>
          <w:tcPr>
            <w:tcW w:w="488" w:type="dxa"/>
            <w:tcBorders>
              <w:left w:val="single" w:sz="4" w:space="0" w:color="000000"/>
              <w:bottom w:val="single" w:sz="4" w:space="0" w:color="000000"/>
              <w:right w:val="single" w:sz="4" w:space="0" w:color="000000"/>
            </w:tcBorders>
            <w:shd w:color="auto" w:fill="auto" w:val="clear"/>
            <w:vAlign w:val="bottom"/>
          </w:tcPr>
          <w:p>
            <w:pPr>
              <w:pStyle w:val="Normal"/>
              <w:rPr>
                <w:rFonts w:ascii="Arial" w:hAnsi="Arial" w:cs="Arial"/>
                <w:color w:val="000000"/>
                <w:sz w:val="16"/>
                <w:szCs w:val="16"/>
              </w:rPr>
            </w:pPr>
            <w:r>
              <w:rPr>
                <w:rFonts w:cs="Arial" w:ascii="Arial" w:hAnsi="Arial"/>
                <w:color w:val="000000"/>
                <w:sz w:val="16"/>
                <w:szCs w:val="16"/>
              </w:rPr>
              <w:t>1</w:t>
            </w:r>
          </w:p>
        </w:tc>
        <w:tc>
          <w:tcPr>
            <w:tcW w:w="5873" w:type="dxa"/>
            <w:tcBorders>
              <w:bottom w:val="single" w:sz="4" w:space="0" w:color="000000"/>
              <w:right w:val="single" w:sz="4" w:space="0" w:color="000000"/>
            </w:tcBorders>
            <w:shd w:color="auto" w:fill="auto" w:val="clear"/>
            <w:vAlign w:val="bottom"/>
          </w:tcPr>
          <w:p>
            <w:pPr>
              <w:pStyle w:val="Normal"/>
              <w:rPr>
                <w:rFonts w:ascii="Arial" w:hAnsi="Arial" w:cs="Arial"/>
                <w:b/>
                <w:bCs/>
                <w:color w:val="000000"/>
                <w:sz w:val="16"/>
                <w:szCs w:val="16"/>
              </w:rPr>
            </w:pPr>
            <w:r>
              <w:rPr>
                <w:rFonts w:cs="Arial" w:ascii="Arial" w:hAnsi="Arial"/>
                <w:b/>
                <w:bCs/>
                <w:color w:val="000000"/>
                <w:sz w:val="16"/>
                <w:szCs w:val="16"/>
              </w:rPr>
              <w:t>AQUISIÇÃO DE VEÍCULO</w:t>
            </w:r>
          </w:p>
          <w:p>
            <w:pPr>
              <w:pStyle w:val="Normal"/>
              <w:rPr>
                <w:rFonts w:ascii="Arial" w:hAnsi="Arial" w:cs="Arial"/>
                <w:color w:val="000000"/>
                <w:sz w:val="16"/>
                <w:szCs w:val="16"/>
              </w:rPr>
            </w:pPr>
            <w:r>
              <w:rPr>
                <w:rFonts w:cs="Arial" w:ascii="Arial" w:hAnsi="Arial"/>
                <w:color w:val="000000"/>
                <w:sz w:val="16"/>
                <w:szCs w:val="16"/>
              </w:rPr>
              <w:t>Transmissão: Manual - 84 cv - Total Flex -ANO 2026 -Modelo: 2026 ( MINIMO)</w:t>
              <w:br/>
              <w:t xml:space="preserve"> Airbags dianteiros (2) e laterais para os ocupantes dianteiros (2)</w:t>
              <w:br/>
              <w:t xml:space="preserve"> Alto-Falantes (4)  ESS - Alerta de frenagem de emergência</w:t>
              <w:br/>
              <w:t xml:space="preserve"> Alerta sonoro e visual de não utilização dos cintos de segurança dianteiros e traseiros</w:t>
              <w:br/>
              <w:t xml:space="preserve"> Antena de teto</w:t>
              <w:br/>
              <w:t xml:space="preserve"> Ar-condicionado com filtro de poeira e pólen</w:t>
              <w:br/>
              <w:t xml:space="preserve"> Banco do motorista com ajuste milimétrico de altura</w:t>
              <w:br/>
              <w:t xml:space="preserve"> Banco traseiro com encosto rebatível</w:t>
              <w:br/>
              <w:t xml:space="preserve"> Chave canivete com controle remoto</w:t>
              <w:br/>
              <w:t xml:space="preserve"> Cintos de segurança dianteiros com regulagem de altura (motorista) e pré-tensionador</w:t>
              <w:br/>
              <w:t xml:space="preserve"> Coluna de direção com ajuste de altura e profundidade</w:t>
              <w:br/>
              <w:t xml:space="preserve"> Computador de bordo</w:t>
              <w:br/>
              <w:t xml:space="preserve"> Controle eletrônico de estabilidade (ESC), controle de tração (ASR), bloqueio eletrônico do diferencial (EDS)</w:t>
              <w:br/>
              <w:t xml:space="preserve"> Desembaçador, limpador e lavador do vidro traseiro</w:t>
              <w:br/>
              <w:t xml:space="preserve"> Direção elétrica</w:t>
              <w:br/>
              <w:t xml:space="preserve"> Espelhos retrovisores externos com luzes indicadoras de direção integradas</w:t>
              <w:br/>
              <w:t xml:space="preserve"> Fixação de assento de criança com sistema ISOFIX / Top tether</w:t>
              <w:br/>
              <w:t xml:space="preserve"> Freios ABS com EBD - distribuição eletrônica de frenagem</w:t>
              <w:br/>
              <w:t xml:space="preserve"> HHC (Hill Hold Control) - Assistente para partida em subidas</w:t>
              <w:br/>
              <w:t xml:space="preserve"> Para-choques dianteiro e traseiro na cor do veículo</w:t>
              <w:br/>
              <w:t xml:space="preserve"> Para-sóis (espelho no lado do passageiro)</w:t>
              <w:br/>
              <w:t xml:space="preserve"> Rodas de aço aro 15 com pneus 185/65 R15 e supercalotas</w:t>
              <w:br/>
              <w:t xml:space="preserve"> Sistemas de controle da perda de pressão dos pneus</w:t>
              <w:br/>
              <w:t xml:space="preserve"> Sistema de frenagem automática pós colisão Post Collision Brake</w:t>
              <w:br/>
              <w:t xml:space="preserve"> Sistema de infotainment Media Plus II</w:t>
              <w:br/>
              <w:t xml:space="preserve"> Transmissão manual de 5 velocidades</w:t>
              <w:br/>
              <w:t xml:space="preserve"> Travamento elétrico e remoto das portas, porta-malas e tampa de combustível</w:t>
              <w:br/>
              <w:t xml:space="preserve"> Tomada USB tipo C</w:t>
              <w:br/>
              <w:t xml:space="preserve"> Vidros elétricos dianteiros</w:t>
              <w:br/>
              <w:t xml:space="preserve"> Volante multifuncional</w:t>
            </w:r>
          </w:p>
          <w:p>
            <w:pPr>
              <w:pStyle w:val="Normal"/>
              <w:rPr>
                <w:rFonts w:ascii="Arial" w:hAnsi="Arial" w:cs="Arial"/>
                <w:color w:val="000000"/>
                <w:sz w:val="16"/>
                <w:szCs w:val="16"/>
              </w:rPr>
            </w:pPr>
            <w:r>
              <w:rPr>
                <w:rFonts w:cs="Arial" w:ascii="Arial" w:hAnsi="Arial"/>
                <w:b/>
                <w:bCs/>
                <w:color w:val="000000"/>
                <w:sz w:val="16"/>
                <w:szCs w:val="16"/>
              </w:rPr>
              <w:t>Os veículos a serem adquiridos devem atender as especificações mínimas:</w:t>
            </w:r>
          </w:p>
          <w:p>
            <w:pPr>
              <w:pStyle w:val="Normal"/>
              <w:rPr>
                <w:rFonts w:ascii="Arial" w:hAnsi="Arial" w:cs="Arial"/>
                <w:color w:val="000000"/>
                <w:sz w:val="16"/>
                <w:szCs w:val="16"/>
              </w:rPr>
            </w:pPr>
            <w:r>
              <w:rPr>
                <w:rFonts w:cs="Arial" w:ascii="Arial" w:hAnsi="Arial"/>
                <w:color w:val="000000"/>
                <w:sz w:val="16"/>
                <w:szCs w:val="16"/>
              </w:rPr>
              <w:t>1. Motorização e Desempenho Motor: Mínimo 1.0, Total Flex (etanol/gasolina). Potência mínima: 71 cv (gasolina) / 75 cv (etanol) Torque mínimo: 9,6 kgfm (gasolina) / 10,3 kgfm (etanol). Transmissão: Manual de 5 velocidades. Direção: Assistência elétrica. 2. Dimensões e Capacidades Comprimento total mínimo: 4.070 mm. Distância entre eixos mínima: 2.560 mm. Capacidade do porta-malas: Mínimo 300 litros (método VDA). Tanque de combustível: Mínimo 47 litros. Capacidade de passageiros: 5 ocupantes.</w:t>
            </w:r>
          </w:p>
          <w:p>
            <w:pPr>
              <w:pStyle w:val="Normal"/>
              <w:rPr>
                <w:rFonts w:ascii="Arial" w:hAnsi="Arial" w:cs="Arial"/>
                <w:color w:val="000000"/>
                <w:sz w:val="16"/>
                <w:szCs w:val="16"/>
              </w:rPr>
            </w:pPr>
            <w:r>
              <w:rPr>
                <w:rFonts w:cs="Arial" w:ascii="Arial" w:hAnsi="Arial"/>
                <w:color w:val="000000"/>
                <w:sz w:val="16"/>
                <w:szCs w:val="16"/>
              </w:rPr>
              <w:t>3. Itens de Segurança (Obrigatórios) Mínimo de 04 (quatro) airbags (02 dianteiros e 02 laterais). Controle eletrônico de estabilidade (ESC) e controle de tração (ASR). Bloqueio eletrônico do diferencial. Assistente para partida em subidas (HHC). Sistema de fixação de cadeiras infantis tipo ISOFIX® / Top tether. Freios ABS com distribuição eletrônica de frenagem (EBD). Sistema de monitoramento de pressão dos pneus. Alerta sonoro e visual de não utilização dos cintos de segurança dianteiros e traseiros. Pneu 185/65/R15 4. Conforto e Conveniência Ar-condicionado com filtro de poeira e pólen. Vidros elétricos dianteiros e travamento elétrico e remoto das portas e porta-malas. Volante multifuncional com ajuste de altura e profundidade. Banco do motorista com ajuste milimétrico de altura. Sistema multimídia com tela touchscreen de no mínimo 10" e integração com smartphones (App-Connect ou similar).</w:t>
            </w:r>
          </w:p>
          <w:p>
            <w:pPr>
              <w:pStyle w:val="Normal"/>
              <w:rPr>
                <w:rFonts w:ascii="Arial" w:hAnsi="Arial" w:cs="Arial"/>
                <w:color w:val="000000"/>
                <w:sz w:val="16"/>
                <w:szCs w:val="16"/>
              </w:rPr>
            </w:pPr>
            <w:r>
              <w:rPr>
                <w:rFonts w:cs="Arial" w:ascii="Arial" w:hAnsi="Arial"/>
                <w:color w:val="000000"/>
                <w:sz w:val="16"/>
                <w:szCs w:val="16"/>
              </w:rPr>
              <w:t>5. Acabamento e Cor Pintura: Sólida (Ex: Branco ou Preto) ou Metálica, conforme conveniência da administração. Rodas: Aço aro 15" com calotas integrais.</w:t>
            </w:r>
          </w:p>
        </w:tc>
        <w:tc>
          <w:tcPr>
            <w:tcW w:w="585" w:type="dxa"/>
            <w:tcBorders>
              <w:bottom w:val="single" w:sz="4" w:space="0" w:color="000000"/>
              <w:right w:val="single" w:sz="4" w:space="0" w:color="000000"/>
            </w:tcBorders>
            <w:shd w:color="auto" w:fill="auto" w:val="clear"/>
            <w:vAlign w:val="bottom"/>
          </w:tcPr>
          <w:p>
            <w:pPr>
              <w:pStyle w:val="Normal"/>
              <w:rPr>
                <w:rFonts w:ascii="Arial" w:hAnsi="Arial" w:cs="Arial"/>
                <w:color w:val="000000"/>
                <w:sz w:val="16"/>
                <w:szCs w:val="16"/>
              </w:rPr>
            </w:pPr>
            <w:r>
              <w:rPr>
                <w:rFonts w:cs="Arial" w:ascii="Arial" w:hAnsi="Arial"/>
                <w:color w:val="000000"/>
                <w:sz w:val="16"/>
                <w:szCs w:val="16"/>
              </w:rPr>
              <w:t>UN</w:t>
            </w:r>
          </w:p>
        </w:tc>
        <w:tc>
          <w:tcPr>
            <w:tcW w:w="1134" w:type="dxa"/>
            <w:tcBorders>
              <w:bottom w:val="single" w:sz="4" w:space="0" w:color="000000"/>
              <w:right w:val="single" w:sz="4" w:space="0" w:color="000000"/>
            </w:tcBorders>
            <w:shd w:color="auto" w:fill="auto" w:val="clear"/>
            <w:vAlign w:val="bottom"/>
          </w:tcPr>
          <w:p>
            <w:pPr>
              <w:pStyle w:val="Normal"/>
              <w:jc w:val="right"/>
              <w:rPr>
                <w:rFonts w:ascii="Arial" w:hAnsi="Arial" w:cs="Arial"/>
                <w:color w:val="000000"/>
                <w:sz w:val="16"/>
                <w:szCs w:val="16"/>
              </w:rPr>
            </w:pPr>
            <w:r>
              <w:rPr>
                <w:rFonts w:cs="Arial" w:ascii="Arial" w:hAnsi="Arial"/>
                <w:color w:val="000000"/>
                <w:sz w:val="16"/>
                <w:szCs w:val="16"/>
              </w:rPr>
              <w:t>3</w:t>
            </w:r>
          </w:p>
        </w:tc>
        <w:tc>
          <w:tcPr>
            <w:tcW w:w="1843" w:type="dxa"/>
            <w:tcBorders>
              <w:bottom w:val="single" w:sz="4" w:space="0" w:color="000000"/>
              <w:right w:val="single" w:sz="4" w:space="0" w:color="000000"/>
            </w:tcBorders>
            <w:shd w:color="auto" w:fill="auto" w:val="clear"/>
            <w:vAlign w:val="bottom"/>
          </w:tcPr>
          <w:p>
            <w:pPr>
              <w:pStyle w:val="Normal"/>
              <w:jc w:val="right"/>
              <w:rPr>
                <w:rFonts w:ascii="Arial" w:hAnsi="Arial" w:cs="Arial"/>
                <w:color w:val="000000"/>
                <w:sz w:val="16"/>
                <w:szCs w:val="16"/>
              </w:rPr>
            </w:pPr>
            <w:r>
              <w:rPr>
                <w:rFonts w:cs="Arial" w:ascii="Arial" w:hAnsi="Arial"/>
                <w:color w:val="000000"/>
                <w:sz w:val="16"/>
                <w:szCs w:val="16"/>
              </w:rPr>
            </w:r>
          </w:p>
        </w:tc>
      </w:tr>
      <w:tr>
        <w:trPr>
          <w:trHeight w:val="300" w:hRule="atLeast"/>
        </w:trPr>
        <w:tc>
          <w:tcPr>
            <w:tcW w:w="488" w:type="dxa"/>
            <w:tcBorders>
              <w:left w:val="single" w:sz="4" w:space="0" w:color="000000"/>
              <w:bottom w:val="single" w:sz="4" w:space="0" w:color="000000"/>
              <w:right w:val="single" w:sz="4" w:space="0" w:color="000000"/>
            </w:tcBorders>
            <w:shd w:color="auto" w:fill="auto" w:val="clear"/>
            <w:vAlign w:val="bottom"/>
          </w:tcPr>
          <w:p>
            <w:pPr>
              <w:pStyle w:val="Normal"/>
              <w:rPr>
                <w:rFonts w:ascii="Arial" w:hAnsi="Arial" w:cs="Arial"/>
                <w:color w:val="000000"/>
                <w:sz w:val="16"/>
                <w:szCs w:val="16"/>
              </w:rPr>
            </w:pPr>
            <w:r>
              <w:rPr>
                <w:rFonts w:cs="Arial" w:ascii="Arial" w:hAnsi="Arial"/>
                <w:color w:val="000000"/>
                <w:sz w:val="16"/>
                <w:szCs w:val="16"/>
              </w:rPr>
              <w:t>2</w:t>
            </w:r>
          </w:p>
        </w:tc>
        <w:tc>
          <w:tcPr>
            <w:tcW w:w="5873" w:type="dxa"/>
            <w:tcBorders>
              <w:bottom w:val="single" w:sz="4" w:space="0" w:color="000000"/>
              <w:right w:val="single" w:sz="4" w:space="0" w:color="000000"/>
            </w:tcBorders>
            <w:shd w:color="auto" w:fill="auto" w:val="clear"/>
            <w:vAlign w:val="bottom"/>
          </w:tcPr>
          <w:p>
            <w:pPr>
              <w:pStyle w:val="Normal"/>
              <w:rPr>
                <w:rFonts w:ascii="Arial" w:hAnsi="Arial" w:cs="Arial"/>
                <w:b/>
                <w:bCs/>
                <w:color w:val="000000"/>
                <w:sz w:val="16"/>
                <w:szCs w:val="16"/>
              </w:rPr>
            </w:pPr>
            <w:r>
              <w:rPr>
                <w:rFonts w:cs="Arial" w:ascii="Arial" w:hAnsi="Arial"/>
                <w:b/>
                <w:bCs/>
                <w:color w:val="000000"/>
                <w:sz w:val="16"/>
                <w:szCs w:val="16"/>
              </w:rPr>
              <w:t>VEÍCULO PICK-UP CABINE SIMPLES, 4x4, MOTOR TURBO DIESEL, ANO 2025, MODELO 2026 OU SUPERIOR</w:t>
            </w:r>
          </w:p>
          <w:p>
            <w:pPr>
              <w:pStyle w:val="Normal"/>
              <w:rPr>
                <w:rFonts w:ascii="Arial" w:hAnsi="Arial" w:cs="Arial"/>
                <w:color w:val="000000"/>
                <w:sz w:val="16"/>
                <w:szCs w:val="16"/>
              </w:rPr>
            </w:pPr>
            <w:r>
              <w:rPr>
                <w:rFonts w:cs="Arial" w:ascii="Arial" w:hAnsi="Arial"/>
                <w:color w:val="000000"/>
                <w:sz w:val="16"/>
                <w:szCs w:val="16"/>
              </w:rPr>
              <w:t>Motorização e Transmissão O veículo deverá possuir, no mínimo: motor ciclo Diesel, turboalimentado, com intercooler; potência líquida mínima de 170 cv; torque mínimo de 40 kgfm; transmissão manual de, no mínimo, 06 (seis) velocidades à frente e 01 (uma) à ré; sistema de tração 4x4 com opção de reduzida (4L), acionamento eletrônico ou mecânico; direção elétrica, eletro-hidráulica ou hidráulica;</w:t>
            </w:r>
          </w:p>
          <w:p>
            <w:pPr>
              <w:pStyle w:val="Normal"/>
              <w:rPr>
                <w:rFonts w:ascii="Arial" w:hAnsi="Arial" w:cs="Arial"/>
                <w:color w:val="000000"/>
                <w:sz w:val="16"/>
                <w:szCs w:val="16"/>
              </w:rPr>
            </w:pPr>
            <w:r>
              <w:rPr>
                <w:rFonts w:cs="Arial" w:ascii="Arial" w:hAnsi="Arial"/>
                <w:color w:val="000000"/>
                <w:sz w:val="16"/>
                <w:szCs w:val="16"/>
              </w:rPr>
              <w:t>tanque de combustível com capacidade mínima de 70 litros; atender aos limites de emissões estabelecidos pelo PROCONVE vigente.</w:t>
            </w:r>
          </w:p>
          <w:p>
            <w:pPr>
              <w:pStyle w:val="Normal"/>
              <w:rPr>
                <w:rFonts w:ascii="Arial" w:hAnsi="Arial" w:cs="Arial"/>
                <w:color w:val="000000"/>
                <w:sz w:val="16"/>
                <w:szCs w:val="16"/>
              </w:rPr>
            </w:pPr>
            <w:r>
              <w:rPr>
                <w:rFonts w:cs="Arial" w:ascii="Arial" w:hAnsi="Arial"/>
                <w:color w:val="000000"/>
                <w:sz w:val="16"/>
                <w:szCs w:val="16"/>
              </w:rPr>
              <w:t>Freios e Segurança O veículo deverá possuir, no mínimo: freios a disco nas rodas dianteiras, com sistema antibloqueio (ABS); distribuição eletrônica da força de frenagem (EBD); controle eletrônico de estabilidade (ESC/ESP); controle eletrônico de tração (TCS); assistente de partida em rampa (HSA); mínimo de 06 (seis) airbags; cintos de segurança de três pontos para todos os ocupantes; apoios de cabeça reguláveis; alarme antifurto e imobilizador eletrônico; sistema de monitoramento da pressão dos pneus (TPMS), quando integrante da versão ofertada; todos os equipamentos obrigatórios previstos na legislação de trânsito.</w:t>
            </w:r>
          </w:p>
          <w:p>
            <w:pPr>
              <w:pStyle w:val="Normal"/>
              <w:rPr>
                <w:rFonts w:ascii="Arial" w:hAnsi="Arial" w:cs="Arial"/>
                <w:color w:val="000000"/>
                <w:sz w:val="16"/>
                <w:szCs w:val="16"/>
              </w:rPr>
            </w:pPr>
            <w:r>
              <w:rPr>
                <w:rFonts w:cs="Arial" w:ascii="Arial" w:hAnsi="Arial"/>
                <w:color w:val="000000"/>
                <w:sz w:val="16"/>
                <w:szCs w:val="16"/>
              </w:rPr>
              <w:t>Exterior O veículo deverá possuir: cabine simples; caçamba com capacidade de carga útil mínima de 1.000 kg; protetor de caçamba instalado; ganchos internos para amarração de carga; para-choques resistentes ao uso severo; retrovisores externos com regulagem elétrica ou manual; rodas em aço ou liga leve com aro mínimo de 16 polegadas; pneus novos de uso misto (AT ou equivalente); estepe original; iluminação diurna (DRL), quando integrante da versão; faróis de neblina, quando disponíveis.</w:t>
            </w:r>
          </w:p>
          <w:p>
            <w:pPr>
              <w:pStyle w:val="Normal"/>
              <w:rPr>
                <w:rFonts w:ascii="Arial" w:hAnsi="Arial" w:cs="Arial"/>
                <w:color w:val="000000"/>
                <w:sz w:val="16"/>
                <w:szCs w:val="16"/>
              </w:rPr>
            </w:pPr>
            <w:r>
              <w:rPr>
                <w:rFonts w:cs="Arial" w:ascii="Arial" w:hAnsi="Arial"/>
                <w:color w:val="000000"/>
                <w:sz w:val="16"/>
                <w:szCs w:val="16"/>
              </w:rPr>
              <w:t>Interior e Conforto O veículo deverá possuir: ar-condicionado original de fábrica; direção com regulagem de altura; banco do motorista com regulagem de distância e inclinação; bancos revestidos em tecido ou material de qualidade superior; vidros elétricos; travas elétricas; chave com controle remoto; computador de bordo; tomada auxiliar de 12V; porta-objetos internos.</w:t>
            </w:r>
          </w:p>
          <w:p>
            <w:pPr>
              <w:pStyle w:val="Normal"/>
              <w:rPr>
                <w:rFonts w:ascii="Arial" w:hAnsi="Arial" w:cs="Arial"/>
                <w:color w:val="000000"/>
                <w:sz w:val="16"/>
                <w:szCs w:val="16"/>
              </w:rPr>
            </w:pPr>
            <w:r>
              <w:rPr>
                <w:rFonts w:cs="Arial" w:ascii="Arial" w:hAnsi="Arial"/>
                <w:color w:val="000000"/>
                <w:sz w:val="16"/>
                <w:szCs w:val="16"/>
              </w:rPr>
              <w:t>Multimídia e Conectividade O veículo deverá possuir: sistema multimídia ou sistema de áudio original de fábrica; conectividade Bluetooth; entrada USB; compatibilidade com Android Auto e Apple CarPlay, quando equipado com central multimídia; mínimo de quatro alto-falantes.</w:t>
            </w:r>
          </w:p>
          <w:p>
            <w:pPr>
              <w:pStyle w:val="Normal"/>
              <w:rPr>
                <w:rFonts w:ascii="Arial" w:hAnsi="Arial" w:cs="Arial"/>
                <w:color w:val="000000"/>
                <w:sz w:val="16"/>
                <w:szCs w:val="16"/>
              </w:rPr>
            </w:pPr>
            <w:r>
              <w:rPr>
                <w:rFonts w:cs="Arial" w:ascii="Arial" w:hAnsi="Arial"/>
                <w:color w:val="000000"/>
                <w:sz w:val="16"/>
                <w:szCs w:val="16"/>
              </w:rPr>
              <w:t>Dimensões e Capacidades O veículo deverá possuir: capacidade para 02 ocupantes; carga útil mínima de 1.000 kg; altura livre do solo compatível com utilização em estradas rurais; capacidade de reboque conforme especificação do fabricante; tanque de combustível com capacidade mínima de 70 litros.</w:t>
            </w:r>
          </w:p>
          <w:p>
            <w:pPr>
              <w:pStyle w:val="Normal"/>
              <w:rPr>
                <w:rFonts w:ascii="Arial" w:hAnsi="Arial" w:cs="Arial"/>
                <w:color w:val="000000"/>
                <w:sz w:val="16"/>
                <w:szCs w:val="16"/>
              </w:rPr>
            </w:pPr>
            <w:r>
              <w:rPr>
                <w:rFonts w:cs="Arial" w:ascii="Arial" w:hAnsi="Arial"/>
                <w:color w:val="000000"/>
                <w:sz w:val="16"/>
                <w:szCs w:val="16"/>
              </w:rPr>
            </w:r>
          </w:p>
        </w:tc>
        <w:tc>
          <w:tcPr>
            <w:tcW w:w="585" w:type="dxa"/>
            <w:tcBorders>
              <w:bottom w:val="single" w:sz="4" w:space="0" w:color="000000"/>
              <w:right w:val="single" w:sz="4" w:space="0" w:color="000000"/>
            </w:tcBorders>
            <w:shd w:color="auto" w:fill="auto" w:val="clear"/>
            <w:vAlign w:val="bottom"/>
          </w:tcPr>
          <w:p>
            <w:pPr>
              <w:pStyle w:val="Normal"/>
              <w:rPr>
                <w:rFonts w:ascii="Arial" w:hAnsi="Arial" w:cs="Arial"/>
                <w:color w:val="000000"/>
                <w:sz w:val="16"/>
                <w:szCs w:val="16"/>
              </w:rPr>
            </w:pPr>
            <w:r>
              <w:rPr>
                <w:rFonts w:cs="Arial" w:ascii="Arial" w:hAnsi="Arial"/>
                <w:color w:val="000000"/>
                <w:sz w:val="16"/>
                <w:szCs w:val="16"/>
              </w:rPr>
              <w:t>UN</w:t>
            </w:r>
          </w:p>
        </w:tc>
        <w:tc>
          <w:tcPr>
            <w:tcW w:w="1134" w:type="dxa"/>
            <w:tcBorders>
              <w:bottom w:val="single" w:sz="4" w:space="0" w:color="000000"/>
              <w:right w:val="single" w:sz="4" w:space="0" w:color="000000"/>
            </w:tcBorders>
            <w:shd w:color="auto" w:fill="auto" w:val="clear"/>
            <w:vAlign w:val="bottom"/>
          </w:tcPr>
          <w:p>
            <w:pPr>
              <w:pStyle w:val="Normal"/>
              <w:jc w:val="right"/>
              <w:rPr>
                <w:rFonts w:ascii="Arial" w:hAnsi="Arial" w:cs="Arial"/>
                <w:color w:val="000000"/>
                <w:sz w:val="16"/>
                <w:szCs w:val="16"/>
              </w:rPr>
            </w:pPr>
            <w:r>
              <w:rPr>
                <w:rFonts w:cs="Arial" w:ascii="Arial" w:hAnsi="Arial"/>
                <w:color w:val="000000"/>
                <w:sz w:val="16"/>
                <w:szCs w:val="16"/>
              </w:rPr>
              <w:t>1</w:t>
            </w:r>
          </w:p>
        </w:tc>
        <w:tc>
          <w:tcPr>
            <w:tcW w:w="1843" w:type="dxa"/>
            <w:tcBorders>
              <w:bottom w:val="single" w:sz="4" w:space="0" w:color="000000"/>
              <w:right w:val="single" w:sz="4" w:space="0" w:color="000000"/>
            </w:tcBorders>
            <w:shd w:color="auto" w:fill="auto" w:val="clear"/>
            <w:vAlign w:val="bottom"/>
          </w:tcPr>
          <w:p>
            <w:pPr>
              <w:pStyle w:val="Normal"/>
              <w:jc w:val="right"/>
              <w:rPr>
                <w:rFonts w:ascii="Arial" w:hAnsi="Arial" w:cs="Arial"/>
                <w:color w:val="000000"/>
                <w:sz w:val="16"/>
                <w:szCs w:val="16"/>
              </w:rPr>
            </w:pPr>
            <w:r>
              <w:rPr>
                <w:rFonts w:cs="Arial" w:ascii="Arial" w:hAnsi="Arial"/>
                <w:color w:val="000000"/>
                <w:sz w:val="16"/>
                <w:szCs w:val="16"/>
              </w:rPr>
            </w:r>
          </w:p>
        </w:tc>
      </w:tr>
      <w:tr>
        <w:trPr>
          <w:trHeight w:val="5255" w:hRule="atLeast"/>
        </w:trPr>
        <w:tc>
          <w:tcPr>
            <w:tcW w:w="488" w:type="dxa"/>
            <w:tcBorders>
              <w:left w:val="single" w:sz="4" w:space="0" w:color="000000"/>
              <w:bottom w:val="single" w:sz="4" w:space="0" w:color="000000"/>
              <w:right w:val="single" w:sz="4" w:space="0" w:color="000000"/>
            </w:tcBorders>
            <w:shd w:color="auto" w:fill="auto" w:val="clear"/>
            <w:vAlign w:val="bottom"/>
          </w:tcPr>
          <w:p>
            <w:pPr>
              <w:pStyle w:val="Normal"/>
              <w:rPr>
                <w:rFonts w:ascii="Arial" w:hAnsi="Arial" w:cs="Arial"/>
                <w:color w:val="000000"/>
                <w:sz w:val="16"/>
                <w:szCs w:val="16"/>
              </w:rPr>
            </w:pPr>
            <w:r>
              <w:rPr>
                <w:rFonts w:cs="Arial" w:ascii="Arial" w:hAnsi="Arial"/>
                <w:color w:val="000000"/>
                <w:sz w:val="16"/>
                <w:szCs w:val="16"/>
              </w:rPr>
              <w:t>3</w:t>
            </w:r>
          </w:p>
        </w:tc>
        <w:tc>
          <w:tcPr>
            <w:tcW w:w="5873" w:type="dxa"/>
            <w:tcBorders>
              <w:bottom w:val="single" w:sz="4" w:space="0" w:color="000000"/>
              <w:right w:val="single" w:sz="4" w:space="0" w:color="000000"/>
            </w:tcBorders>
            <w:shd w:color="auto" w:fill="auto" w:val="clear"/>
            <w:vAlign w:val="bottom"/>
          </w:tcPr>
          <w:p>
            <w:pPr>
              <w:pStyle w:val="Normal"/>
              <w:rPr>
                <w:rFonts w:ascii="Arial" w:hAnsi="Arial" w:cs="Arial"/>
                <w:b/>
                <w:bCs/>
                <w:color w:val="000000"/>
                <w:sz w:val="16"/>
                <w:szCs w:val="16"/>
              </w:rPr>
            </w:pPr>
            <w:r>
              <w:rPr>
                <w:rFonts w:cs="Arial" w:ascii="Arial" w:hAnsi="Arial"/>
                <w:b/>
                <w:bCs/>
                <w:color w:val="000000"/>
                <w:sz w:val="16"/>
                <w:szCs w:val="16"/>
              </w:rPr>
              <w:t>VEÍCULO PICK UP CABINE DUPLA TURBO DIESEL, 4X4, ANO 2025, MODELO 2026 OU SUPERIOR</w:t>
            </w:r>
          </w:p>
          <w:p>
            <w:pPr>
              <w:pStyle w:val="Normal"/>
              <w:rPr>
                <w:rFonts w:ascii="Arial" w:hAnsi="Arial" w:cs="Arial"/>
                <w:color w:val="000000"/>
                <w:sz w:val="16"/>
                <w:szCs w:val="16"/>
              </w:rPr>
            </w:pPr>
            <w:r>
              <w:rPr>
                <w:rFonts w:cs="Arial" w:ascii="Arial" w:hAnsi="Arial"/>
                <w:color w:val="000000"/>
                <w:sz w:val="16"/>
                <w:szCs w:val="16"/>
              </w:rPr>
              <w:t>Motorização e Transmissão O veículo deverá possuir, no mínimo: motor ciclo Diesel, turboalimentado, com intercooler; potência líquida mínima de 170 cv; torque mínimo de 40 kgfm; transmissão manual de, no mínimo, 06 (seis) velocidades à frente e 01 (uma) à ré; sistema de tração 4x4 com reduzida; direção elétrica, eletro-hidráulica ou hidráulica; tanque de combustível com capacidade mínima de 75 litros; atendimento às normas ambientais vigentes do PROCONVE.</w:t>
            </w:r>
          </w:p>
          <w:p>
            <w:pPr>
              <w:pStyle w:val="Normal"/>
              <w:rPr>
                <w:rFonts w:ascii="Arial" w:hAnsi="Arial" w:cs="Arial"/>
                <w:color w:val="000000"/>
                <w:sz w:val="16"/>
                <w:szCs w:val="16"/>
              </w:rPr>
            </w:pPr>
            <w:r>
              <w:rPr>
                <w:rFonts w:cs="Arial" w:ascii="Arial" w:hAnsi="Arial"/>
                <w:color w:val="000000"/>
                <w:sz w:val="16"/>
                <w:szCs w:val="16"/>
              </w:rPr>
              <w:t>Freios e Segurança O veículo deverá possuir: freios ABS com EBD; controle eletrônico de estabilidade (ESC); controle eletrônico de tração (TCS); assistente de partida em rampa; assistente de descida, quando integrante da versão; mínimo de 06 (seis) airbags; câmera de ré; sensores de estacionamento traseiros; sistema Isofix para fixação de cadeiras infantis; alarme antifurto; imobilizador eletrônico; sistema de monitoramento da pressão dos pneus (quando disponível); todos os equipamentos obrigatórios previstos na legislação de trânsito.</w:t>
            </w:r>
          </w:p>
          <w:p>
            <w:pPr>
              <w:pStyle w:val="Normal"/>
              <w:rPr>
                <w:rFonts w:ascii="Arial" w:hAnsi="Arial" w:cs="Arial"/>
                <w:color w:val="000000"/>
                <w:sz w:val="16"/>
                <w:szCs w:val="16"/>
              </w:rPr>
            </w:pPr>
            <w:r>
              <w:rPr>
                <w:rFonts w:cs="Arial" w:ascii="Arial" w:hAnsi="Arial"/>
                <w:color w:val="000000"/>
                <w:sz w:val="16"/>
                <w:szCs w:val="16"/>
              </w:rPr>
              <w:t>Exterior O veículo deverá possuir: cabine dupla; capacidade para cinco ocupantes; caçamba com carga útil mínima de 1.000 kg; protetor de caçamba; ganchos internos para amarração de carga; rodas em aço ou liga leve com aro mínimo de 17 polegadas; pneus de uso misto; estepe original; retrovisores externos elétricos; faróis de neblina; iluminação diurna (DRL), quando integrante da versão</w:t>
            </w:r>
          </w:p>
          <w:p>
            <w:pPr>
              <w:pStyle w:val="Normal"/>
              <w:rPr>
                <w:rFonts w:ascii="Arial" w:hAnsi="Arial" w:cs="Arial"/>
                <w:color w:val="000000"/>
                <w:sz w:val="16"/>
                <w:szCs w:val="16"/>
              </w:rPr>
            </w:pPr>
            <w:r>
              <w:rPr>
                <w:rFonts w:cs="Arial" w:ascii="Arial" w:hAnsi="Arial"/>
                <w:color w:val="000000"/>
                <w:sz w:val="16"/>
                <w:szCs w:val="16"/>
              </w:rPr>
              <w:t>Interior e Conforto O veículo deverá possuir: ar-condicionado original de fábrica; direção com regulagem de altura e profundidade; banco do motorista com regulagem de altura; bancos revestidos em tecido ou material superior; vidros elétricos nas quatro portas; travas elétricas; computador de bordo; piloto automático; volante multifuncional; chave presencial ou convencional com comando remoto, conforme versão.</w:t>
            </w:r>
          </w:p>
          <w:p>
            <w:pPr>
              <w:pStyle w:val="Normal"/>
              <w:rPr>
                <w:rFonts w:ascii="Arial" w:hAnsi="Arial" w:cs="Arial"/>
                <w:color w:val="000000"/>
                <w:sz w:val="16"/>
                <w:szCs w:val="16"/>
              </w:rPr>
            </w:pPr>
            <w:r>
              <w:rPr>
                <w:rFonts w:cs="Arial" w:ascii="Arial" w:hAnsi="Arial"/>
                <w:color w:val="000000"/>
                <w:sz w:val="16"/>
                <w:szCs w:val="16"/>
              </w:rPr>
              <w:t>Multimídia e Conectividade O veículo deverá possuir: central multimídia original de fábrica; tela sensível ao toque; Bluetooth; entrada USB; compatibilidade com Android Auto e Apple CarPlay; comandos de áudio no volante; mínimo de quatro alto-falantes. Dimensões e Capacidades O veículo deverá possuir: capacidade mínima para 05 ocupantes; carga útil mínima de 1.000 kg; tanque de combustível com capacidade mínima de 75 litros; altura livre do solo compatível com uso em estradas vicinais e áreas rurais; capacidade de reboque conforme especificação do fabricante. Assistência Técnica Para Ambos A contratada deverá assegurar: Rede de assistência técnica autorizada num raio de 100 km do município de Santa Bárbara do Sul; Disponibilidade de peças genuínas e originais durante o período de garantia; Atendimento às solicitações de manutenção preventiva e corretiva conforme o plano de manutenção do fabricante; Fornecimento de manuais do proprietário e de garantia em língua portuguesa; Atendimento às campanhas de recall, quando houver, sem qualquer ônus para a Administração; Suporte técnico durante todo o período de garantia, observando os prazos previstos pelo fabricante para execução dos serviços.</w:t>
            </w:r>
          </w:p>
          <w:p>
            <w:pPr>
              <w:pStyle w:val="Normal"/>
              <w:rPr>
                <w:rFonts w:ascii="Arial" w:hAnsi="Arial" w:cs="Arial"/>
                <w:color w:val="000000"/>
                <w:sz w:val="16"/>
                <w:szCs w:val="16"/>
              </w:rPr>
            </w:pPr>
            <w:r>
              <w:rPr>
                <w:rFonts w:cs="Arial" w:ascii="Arial" w:hAnsi="Arial"/>
                <w:color w:val="000000"/>
                <w:sz w:val="16"/>
                <w:szCs w:val="16"/>
              </w:rPr>
            </w:r>
          </w:p>
        </w:tc>
        <w:tc>
          <w:tcPr>
            <w:tcW w:w="585" w:type="dxa"/>
            <w:tcBorders>
              <w:bottom w:val="single" w:sz="4" w:space="0" w:color="000000"/>
              <w:right w:val="single" w:sz="4" w:space="0" w:color="000000"/>
            </w:tcBorders>
            <w:shd w:color="auto" w:fill="auto" w:val="clear"/>
            <w:vAlign w:val="bottom"/>
          </w:tcPr>
          <w:p>
            <w:pPr>
              <w:pStyle w:val="Normal"/>
              <w:rPr>
                <w:rFonts w:ascii="Arial" w:hAnsi="Arial" w:cs="Arial"/>
                <w:color w:val="000000"/>
                <w:sz w:val="16"/>
                <w:szCs w:val="16"/>
              </w:rPr>
            </w:pPr>
            <w:r>
              <w:rPr>
                <w:rFonts w:cs="Arial" w:ascii="Arial" w:hAnsi="Arial"/>
                <w:color w:val="000000"/>
                <w:sz w:val="16"/>
                <w:szCs w:val="16"/>
              </w:rPr>
              <w:t>UN</w:t>
            </w:r>
          </w:p>
        </w:tc>
        <w:tc>
          <w:tcPr>
            <w:tcW w:w="1134" w:type="dxa"/>
            <w:tcBorders>
              <w:bottom w:val="single" w:sz="4" w:space="0" w:color="000000"/>
              <w:right w:val="single" w:sz="4" w:space="0" w:color="000000"/>
            </w:tcBorders>
            <w:shd w:color="auto" w:fill="auto" w:val="clear"/>
            <w:vAlign w:val="bottom"/>
          </w:tcPr>
          <w:p>
            <w:pPr>
              <w:pStyle w:val="Normal"/>
              <w:jc w:val="right"/>
              <w:rPr>
                <w:rFonts w:ascii="Arial" w:hAnsi="Arial" w:cs="Arial"/>
                <w:color w:val="000000"/>
                <w:sz w:val="16"/>
                <w:szCs w:val="16"/>
              </w:rPr>
            </w:pPr>
            <w:r>
              <w:rPr>
                <w:rFonts w:cs="Arial" w:ascii="Arial" w:hAnsi="Arial"/>
                <w:color w:val="000000"/>
                <w:sz w:val="16"/>
                <w:szCs w:val="16"/>
              </w:rPr>
              <w:t>1</w:t>
            </w:r>
          </w:p>
        </w:tc>
        <w:tc>
          <w:tcPr>
            <w:tcW w:w="1843" w:type="dxa"/>
            <w:tcBorders>
              <w:bottom w:val="single" w:sz="4" w:space="0" w:color="000000"/>
              <w:right w:val="single" w:sz="4" w:space="0" w:color="000000"/>
            </w:tcBorders>
            <w:shd w:color="auto" w:fill="auto" w:val="clear"/>
            <w:vAlign w:val="bottom"/>
          </w:tcPr>
          <w:p>
            <w:pPr>
              <w:pStyle w:val="Normal"/>
              <w:jc w:val="right"/>
              <w:rPr>
                <w:rFonts w:ascii="Arial" w:hAnsi="Arial" w:cs="Arial"/>
                <w:color w:val="000000"/>
                <w:sz w:val="16"/>
                <w:szCs w:val="16"/>
              </w:rPr>
            </w:pPr>
            <w:r>
              <w:rPr>
                <w:rFonts w:cs="Arial" w:ascii="Arial" w:hAnsi="Arial"/>
                <w:color w:val="000000"/>
                <w:sz w:val="16"/>
                <w:szCs w:val="16"/>
              </w:rPr>
            </w:r>
          </w:p>
        </w:tc>
      </w:tr>
      <w:tr>
        <w:trPr>
          <w:trHeight w:val="321" w:hRule="atLeast"/>
        </w:trPr>
        <w:tc>
          <w:tcPr>
            <w:tcW w:w="8080"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uppressAutoHyphens w:val="false"/>
              <w:jc w:val="center"/>
              <w:rPr>
                <w:rFonts w:ascii="Arial" w:hAnsi="Arial" w:eastAsia="Times New Roman" w:cs="Arial"/>
                <w:color w:val="000000"/>
                <w:sz w:val="16"/>
                <w:szCs w:val="16"/>
              </w:rPr>
            </w:pPr>
            <w:r>
              <w:rPr>
                <w:rFonts w:eastAsia="Times New Roman" w:cs="Arial" w:ascii="Arial" w:hAnsi="Arial"/>
                <w:color w:val="000000"/>
                <w:sz w:val="16"/>
                <w:szCs w:val="16"/>
              </w:rPr>
              <w:t>TOTAL</w:t>
            </w:r>
          </w:p>
        </w:tc>
        <w:tc>
          <w:tcPr>
            <w:tcW w:w="1843"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jc w:val="right"/>
              <w:rPr>
                <w:rFonts w:ascii="Arial" w:hAnsi="Arial" w:eastAsia="Times New Roman" w:cs="Arial"/>
                <w:color w:val="000000"/>
                <w:sz w:val="16"/>
                <w:szCs w:val="16"/>
              </w:rPr>
            </w:pPr>
            <w:r>
              <w:rPr>
                <w:rFonts w:eastAsia="Times New Roman" w:cs="Arial" w:ascii="Arial" w:hAnsi="Arial"/>
                <w:color w:val="000000"/>
                <w:sz w:val="16"/>
                <w:szCs w:val="16"/>
              </w:rPr>
            </w:r>
          </w:p>
        </w:tc>
      </w:tr>
    </w:tbl>
    <w:p>
      <w:pPr>
        <w:pStyle w:val="Normal"/>
        <w:spacing w:lineRule="auto" w:line="312"/>
        <w:jc w:val="both"/>
        <w:rPr>
          <w:rFonts w:ascii="Gadugi" w:hAnsi="Gadugi" w:cs="Gadugi"/>
          <w:sz w:val="18"/>
          <w:szCs w:val="18"/>
        </w:rPr>
      </w:pPr>
      <w:r>
        <w:rPr>
          <w:rFonts w:cs="Gadugi" w:ascii="Gadugi" w:hAnsi="Gadugi"/>
          <w:sz w:val="18"/>
          <w:szCs w:val="18"/>
        </w:rPr>
      </w:r>
    </w:p>
    <w:p>
      <w:pPr>
        <w:pStyle w:val="Normal"/>
        <w:spacing w:lineRule="auto" w:line="312"/>
        <w:jc w:val="both"/>
        <w:rPr>
          <w:rFonts w:ascii="Gadugi" w:hAnsi="Gadugi" w:cs="Gadugi"/>
          <w:sz w:val="18"/>
          <w:szCs w:val="18"/>
        </w:rPr>
      </w:pPr>
      <w:r>
        <w:rPr>
          <w:rFonts w:cs="Gadugi" w:ascii="Gadugi" w:hAnsi="Gadugi"/>
          <w:sz w:val="18"/>
          <w:szCs w:val="18"/>
        </w:rPr>
      </w:r>
    </w:p>
    <w:p>
      <w:pPr>
        <w:pStyle w:val="Header"/>
        <w:spacing w:lineRule="auto" w:line="312"/>
        <w:jc w:val="both"/>
        <w:rPr>
          <w:rFonts w:ascii="Gadugi" w:hAnsi="Gadugi" w:cs="Gadugi"/>
          <w:sz w:val="18"/>
          <w:szCs w:val="18"/>
        </w:rPr>
      </w:pPr>
      <w:r>
        <w:rPr>
          <w:rFonts w:cs="Gadugi" w:ascii="Gadugi" w:hAnsi="Gadugi"/>
          <w:sz w:val="18"/>
          <w:szCs w:val="18"/>
        </w:rPr>
      </w:r>
    </w:p>
    <w:tbl>
      <w:tblPr>
        <w:tblW w:w="9645" w:type="dxa"/>
        <w:jc w:val="left"/>
        <w:tblInd w:w="71" w:type="dxa"/>
        <w:tblLayout w:type="fixed"/>
        <w:tblCellMar>
          <w:top w:w="0" w:type="dxa"/>
          <w:left w:w="71" w:type="dxa"/>
          <w:bottom w:w="0" w:type="dxa"/>
          <w:right w:w="71" w:type="dxa"/>
        </w:tblCellMar>
        <w:tblLook w:val="04a0" w:firstRow="1" w:noVBand="1" w:lastRow="0" w:firstColumn="1" w:lastColumn="0" w:noHBand="0"/>
      </w:tblPr>
      <w:tblGrid>
        <w:gridCol w:w="4960"/>
        <w:gridCol w:w="572"/>
        <w:gridCol w:w="4113"/>
      </w:tblGrid>
      <w:tr>
        <w:trPr>
          <w:trHeight w:val="2271" w:hRule="atLeast"/>
        </w:trPr>
        <w:tc>
          <w:tcPr>
            <w:tcW w:w="4960" w:type="dxa"/>
            <w:tcBorders/>
          </w:tcPr>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shd w:fill="FFFFFF" w:val="clear"/>
              </w:rPr>
              <w:t>Validade da proposta: (mínimo 60 dias):______</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rPr>
              <w:t>Data: ______ / ____________ de 2026.</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rPr>
              <w:t>________________________________________</w:t>
            </w:r>
          </w:p>
          <w:p>
            <w:pPr>
              <w:pStyle w:val="Normal"/>
              <w:widowControl w:val="false"/>
              <w:jc w:val="both"/>
              <w:rPr>
                <w:rFonts w:ascii="Gadugi" w:hAnsi="Gadugi" w:cs="Gadugi"/>
                <w:bCs/>
                <w:sz w:val="18"/>
                <w:szCs w:val="18"/>
              </w:rPr>
            </w:pPr>
            <w:r>
              <w:rPr>
                <w:rFonts w:cs="Gadugi" w:ascii="Gadugi" w:hAnsi="Gadugi"/>
                <w:b/>
                <w:sz w:val="18"/>
                <w:szCs w:val="18"/>
              </w:rPr>
              <w:t>Assinatura e Identificação do Proponente Legal</w:t>
            </w:r>
          </w:p>
        </w:tc>
        <w:tc>
          <w:tcPr>
            <w:tcW w:w="572" w:type="dxa"/>
            <w:tcBorders/>
          </w:tcPr>
          <w:p>
            <w:pPr>
              <w:pStyle w:val="Normal"/>
              <w:widowControl w:val="false"/>
              <w:jc w:val="both"/>
              <w:rPr>
                <w:rFonts w:ascii="Gadugi" w:hAnsi="Gadugi" w:cs="Gadugi"/>
                <w:sz w:val="18"/>
                <w:szCs w:val="18"/>
              </w:rPr>
            </w:pPr>
            <w:r>
              <w:rPr>
                <w:rFonts w:cs="Gadugi" w:ascii="Gadugi" w:hAnsi="Gadugi"/>
                <w:sz w:val="18"/>
                <w:szCs w:val="18"/>
              </w:rPr>
            </w:r>
          </w:p>
        </w:tc>
        <w:tc>
          <w:tcPr>
            <w:tcW w:w="4113"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sz w:val="18"/>
                <w:szCs w:val="18"/>
              </w:rPr>
            </w:pPr>
            <w:r>
              <w:rPr>
                <w:rFonts w:cs="Gadugi" w:ascii="Gadugi" w:hAnsi="Gadugi"/>
                <w:b/>
                <w:sz w:val="18"/>
                <w:szCs w:val="18"/>
              </w:rPr>
              <w:t>Carimbo do CNPJ</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tc>
      </w:tr>
    </w:tbl>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b/>
          <w:bCs/>
          <w:sz w:val="18"/>
          <w:szCs w:val="18"/>
        </w:rPr>
        <w:t>ANEXO IV</w:t>
      </w:r>
    </w:p>
    <w:p>
      <w:pPr>
        <w:pStyle w:val="Normal"/>
        <w:jc w:val="center"/>
        <w:rPr>
          <w:rFonts w:ascii="Gadugi" w:hAnsi="Gadugi" w:cs="Gadugi"/>
          <w:sz w:val="18"/>
          <w:szCs w:val="18"/>
        </w:rPr>
      </w:pPr>
      <w:r>
        <w:rPr>
          <w:rFonts w:eastAsia="Arial" w:cs="Gadugi" w:ascii="Gadugi" w:hAnsi="Gadugi"/>
          <w:b/>
          <w:color w:val="000000"/>
          <w:sz w:val="18"/>
          <w:szCs w:val="18"/>
        </w:rPr>
        <w:t>AUTORIZAÇÃO</w:t>
      </w:r>
    </w:p>
    <w:p>
      <w:pPr>
        <w:pStyle w:val="Normal"/>
        <w:jc w:val="center"/>
        <w:rPr>
          <w:rFonts w:ascii="Gadugi" w:hAnsi="Gadugi" w:cs="Gadugi"/>
          <w:sz w:val="18"/>
          <w:szCs w:val="18"/>
        </w:rPr>
      </w:pPr>
      <w:r>
        <w:rPr>
          <w:rFonts w:cs="Gadugi" w:ascii="Gadugi" w:hAnsi="Gadugi"/>
          <w:sz w:val="18"/>
          <w:szCs w:val="18"/>
        </w:rPr>
      </w:r>
    </w:p>
    <w:p>
      <w:pPr>
        <w:pStyle w:val="Normal"/>
        <w:spacing w:lineRule="auto" w:line="480"/>
        <w:jc w:val="both"/>
        <w:rPr>
          <w:rFonts w:ascii="Gadugi" w:hAnsi="Gadugi" w:cs="Gadugi"/>
          <w:b/>
          <w:bCs/>
          <w:i/>
          <w:iCs/>
          <w:color w:themeColor="text1" w:val="000000"/>
          <w:sz w:val="20"/>
          <w:szCs w:val="20"/>
        </w:rPr>
      </w:pPr>
      <w:r>
        <w:rPr>
          <w:rFonts w:eastAsia="Arial" w:cs="Gadugi" w:ascii="Gadugi" w:hAnsi="Gadugi"/>
          <w:color w:val="000000"/>
          <w:sz w:val="18"/>
          <w:szCs w:val="18"/>
        </w:rPr>
        <w:t xml:space="preserve">Considerando o Pedido de Compras anexos ao processo </w:t>
      </w:r>
      <w:r>
        <w:rPr>
          <w:rFonts w:eastAsia="Arial" w:cs="Gadugi" w:ascii="Gadugi" w:hAnsi="Gadugi"/>
          <w:b/>
          <w:color w:val="000000"/>
          <w:sz w:val="18"/>
          <w:szCs w:val="18"/>
        </w:rPr>
        <w:t xml:space="preserve">AUTORIZO </w:t>
      </w:r>
      <w:r>
        <w:rPr>
          <w:rFonts w:eastAsia="Arial" w:cs="Gadugi" w:ascii="Gadugi" w:hAnsi="Gadugi"/>
          <w:color w:val="000000"/>
          <w:sz w:val="18"/>
          <w:szCs w:val="18"/>
        </w:rPr>
        <w:t xml:space="preserve">a Equipe de Licitações através de pregoeiro (a) instituída pela </w:t>
      </w:r>
      <w:r>
        <w:rPr>
          <w:rFonts w:eastAsia="Arial" w:cs="Gadugi" w:ascii="Gadugi" w:hAnsi="Gadugi"/>
          <w:b/>
          <w:color w:val="000000"/>
          <w:sz w:val="18"/>
          <w:szCs w:val="18"/>
        </w:rPr>
        <w:t>Portaria n°355/2025</w:t>
      </w:r>
      <w:r>
        <w:rPr>
          <w:rFonts w:eastAsia="Arial" w:cs="Gadugi" w:ascii="Gadugi" w:hAnsi="Gadugi"/>
          <w:color w:val="000000"/>
          <w:sz w:val="18"/>
          <w:szCs w:val="18"/>
        </w:rPr>
        <w:t xml:space="preserve">, e em consonância ao disposto na </w:t>
      </w:r>
      <w:r>
        <w:rPr>
          <w:rFonts w:eastAsia="Arial" w:cs="Gadugi" w:ascii="Gadugi" w:hAnsi="Gadugi"/>
          <w:b/>
          <w:color w:val="000000"/>
          <w:sz w:val="18"/>
          <w:szCs w:val="18"/>
        </w:rPr>
        <w:t>Lei Federal nº 14.133</w:t>
      </w:r>
      <w:r>
        <w:rPr>
          <w:rFonts w:eastAsia="Arial" w:cs="Gadugi" w:ascii="Gadugi" w:hAnsi="Gadugi"/>
          <w:color w:val="000000"/>
          <w:sz w:val="18"/>
          <w:szCs w:val="18"/>
        </w:rPr>
        <w:t>, de 01 de abril de 2021, com suas posteriores alterações, a abrir processo licitatório próprio para</w:t>
      </w:r>
      <w:r>
        <w:rPr>
          <w:rFonts w:cs="Gadugi" w:ascii="Gadugi" w:hAnsi="Gadugi"/>
          <w:i/>
          <w:iCs/>
          <w:color w:val="000000"/>
          <w:sz w:val="18"/>
          <w:szCs w:val="18"/>
        </w:rPr>
        <w:t xml:space="preserve"> </w:t>
      </w:r>
      <w:r>
        <w:rPr>
          <w:rFonts w:cs="Gadugi" w:ascii="Gadugi" w:hAnsi="Gadugi"/>
          <w:b/>
          <w:bCs/>
          <w:i/>
          <w:iCs/>
          <w:color w:themeColor="text1" w:val="000000"/>
          <w:sz w:val="20"/>
          <w:szCs w:val="20"/>
        </w:rPr>
        <w:t>Aquisição de veículos automotores novos, zero quilômetro, compreendendo veículos de passeio e caminhonetes tipo pick-up, destinados à ampliação da frota oficial do Município,</w:t>
      </w:r>
      <w:r>
        <w:rPr>
          <w:rFonts w:eastAsia="Arial" w:cs="Gadugi" w:ascii="Gadugi" w:hAnsi="Gadugi"/>
          <w:color w:val="000000"/>
          <w:sz w:val="18"/>
          <w:szCs w:val="18"/>
        </w:rPr>
        <w:t xml:space="preserve"> </w:t>
      </w:r>
      <w:r>
        <w:rPr>
          <w:rFonts w:eastAsia="Arial" w:cs="Gadugi" w:ascii="Gadugi" w:hAnsi="Gadugi"/>
          <w:color w:val="000000"/>
          <w:sz w:val="18"/>
          <w:szCs w:val="18"/>
          <w:shd w:fill="FFFFFF" w:val="clear"/>
        </w:rPr>
        <w:t>conforme pesquisa de preços efetuados pelo Setor de compras, c</w:t>
      </w:r>
      <w:r>
        <w:rPr>
          <w:rFonts w:eastAsia="Arial" w:cs="Gadugi" w:ascii="Gadugi" w:hAnsi="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pPr>
        <w:pStyle w:val="Normal"/>
        <w:spacing w:lineRule="auto" w:line="480" w:before="200" w:after="200"/>
        <w:ind w:firstLine="2835"/>
        <w:jc w:val="both"/>
        <w:rPr>
          <w:rFonts w:ascii="Gadugi" w:hAnsi="Gadugi" w:cs="Gadugi"/>
          <w:sz w:val="18"/>
          <w:szCs w:val="18"/>
        </w:rPr>
      </w:pPr>
      <w:r>
        <w:rPr>
          <w:rFonts w:cs="Gadugi" w:ascii="Gadugi" w:hAnsi="Gadugi"/>
          <w:sz w:val="18"/>
          <w:szCs w:val="18"/>
        </w:rPr>
      </w:r>
    </w:p>
    <w:p>
      <w:pPr>
        <w:pStyle w:val="Normal"/>
        <w:spacing w:lineRule="auto" w:line="360"/>
        <w:jc w:val="right"/>
        <w:rPr>
          <w:rFonts w:ascii="Gadugi" w:hAnsi="Gadugi"/>
          <w:sz w:val="18"/>
          <w:szCs w:val="18"/>
        </w:rPr>
      </w:pPr>
      <w:r>
        <w:rPr>
          <w:rFonts w:ascii="Gadugi" w:hAnsi="Gadugi"/>
          <w:sz w:val="18"/>
          <w:szCs w:val="18"/>
          <w:shd w:fill="FFFFFF" w:val="clear"/>
        </w:rPr>
        <w:t>Santa Bárbara do Sul/RS, 20 de julho de 2026.</w:t>
      </w:r>
    </w:p>
    <w:p>
      <w:pPr>
        <w:pStyle w:val="Normal"/>
        <w:spacing w:before="200" w:after="200"/>
        <w:jc w:val="both"/>
        <w:rPr>
          <w:rFonts w:ascii="Gadugi" w:hAnsi="Gadugi" w:cs="Gadugi"/>
          <w:sz w:val="18"/>
          <w:szCs w:val="18"/>
        </w:rPr>
      </w:pPr>
      <w:r>
        <w:rPr>
          <w:rFonts w:cs="Gadugi" w:ascii="Gadugi" w:hAnsi="Gadugi"/>
          <w:sz w:val="18"/>
          <w:szCs w:val="18"/>
        </w:rPr>
      </w:r>
    </w:p>
    <w:p>
      <w:pPr>
        <w:pStyle w:val="Normal"/>
        <w:spacing w:before="200" w:after="200"/>
        <w:jc w:val="both"/>
        <w:rPr>
          <w:rFonts w:ascii="Gadugi" w:hAnsi="Gadugi" w:cs="Gadugi"/>
          <w:sz w:val="18"/>
          <w:szCs w:val="18"/>
        </w:rPr>
      </w:pPr>
      <w:r>
        <w:rPr>
          <w:rFonts w:cs="Gadugi" w:ascii="Gadugi" w:hAnsi="Gadugi"/>
          <w:sz w:val="18"/>
          <w:szCs w:val="18"/>
        </w:rPr>
        <w:br/>
      </w:r>
    </w:p>
    <w:p>
      <w:pPr>
        <w:pStyle w:val="Normal"/>
        <w:jc w:val="center"/>
        <w:rPr>
          <w:rFonts w:ascii="Gadugi" w:hAnsi="Gadugi" w:cs="Gadugi"/>
          <w:i/>
          <w:iCs/>
          <w:color w:themeColor="text1" w:val="000000"/>
          <w:sz w:val="18"/>
          <w:szCs w:val="18"/>
        </w:rPr>
      </w:pPr>
      <w:r>
        <w:rPr>
          <w:rFonts w:cs="Gadugi" w:ascii="Gadugi" w:hAnsi="Gadugi"/>
          <w:i/>
          <w:iCs/>
          <w:color w:themeColor="text1" w:val="000000"/>
          <w:sz w:val="18"/>
          <w:szCs w:val="18"/>
        </w:rPr>
        <w:t>Paulo Roberto Dal Castel</w:t>
      </w:r>
    </w:p>
    <w:p>
      <w:pPr>
        <w:pStyle w:val="Normal"/>
        <w:jc w:val="center"/>
        <w:rPr>
          <w:i/>
          <w:iCs/>
        </w:rPr>
      </w:pPr>
      <w:r>
        <w:rPr>
          <w:rFonts w:cs="Gadugi" w:ascii="Gadugi" w:hAnsi="Gadugi"/>
          <w:i/>
          <w:iCs/>
          <w:color w:themeColor="text1" w:val="000000"/>
          <w:sz w:val="18"/>
          <w:szCs w:val="18"/>
        </w:rPr>
        <w:t>Prefeito</w:t>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t>(em exercício)</w:t>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widowControl w:val="false"/>
        <w:spacing w:lineRule="auto" w:line="360"/>
        <w:ind w:right="-30"/>
        <w:jc w:val="center"/>
        <w:rPr>
          <w:rFonts w:ascii="Gadugi" w:hAnsi="Gadugi" w:cs="Gadugi"/>
          <w:b/>
          <w:bCs/>
          <w:color w:val="000000"/>
          <w:sz w:val="18"/>
          <w:szCs w:val="18"/>
        </w:rPr>
      </w:pPr>
      <w:r>
        <w:rPr>
          <w:rFonts w:cs="Gadugi" w:ascii="Gadugi" w:hAnsi="Gadugi"/>
          <w:b/>
          <w:bCs/>
          <w:color w:val="000000"/>
          <w:sz w:val="18"/>
          <w:szCs w:val="18"/>
        </w:rPr>
      </w:r>
    </w:p>
    <w:p>
      <w:pPr>
        <w:pStyle w:val="Normal"/>
        <w:widowControl w:val="false"/>
        <w:spacing w:lineRule="auto" w:line="360"/>
        <w:ind w:right="-30"/>
        <w:jc w:val="center"/>
        <w:rPr>
          <w:rFonts w:ascii="Gadugi" w:hAnsi="Gadugi" w:cs="Gadugi"/>
          <w:b/>
          <w:bCs/>
          <w:sz w:val="18"/>
          <w:szCs w:val="18"/>
        </w:rPr>
      </w:pPr>
      <w:r>
        <w:rPr>
          <w:rFonts w:cs="Gadugi" w:ascii="Gadugi" w:hAnsi="Gadugi"/>
          <w:b/>
          <w:bCs/>
          <w:color w:val="000000"/>
          <w:sz w:val="18"/>
          <w:szCs w:val="18"/>
        </w:rPr>
        <w:t>ANEXO V</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b/>
          <w:bCs/>
          <w:sz w:val="18"/>
          <w:szCs w:val="18"/>
        </w:rPr>
        <w:t>ESTADO DO RIO GRANDE DO SUL</w:t>
      </w:r>
    </w:p>
    <w:p>
      <w:pPr>
        <w:pStyle w:val="Normal"/>
        <w:spacing w:lineRule="auto" w:line="360"/>
        <w:jc w:val="center"/>
        <w:rPr>
          <w:rFonts w:ascii="Gadugi" w:hAnsi="Gadugi" w:cs="Gadugi"/>
          <w:sz w:val="18"/>
          <w:szCs w:val="18"/>
        </w:rPr>
      </w:pPr>
      <w:r>
        <w:rPr>
          <w:rFonts w:cs="Gadugi" w:ascii="Gadugi" w:hAnsi="Gadugi"/>
          <w:b/>
          <w:bCs/>
          <w:sz w:val="18"/>
          <w:szCs w:val="18"/>
        </w:rPr>
        <w:t>PREFEITURA MUNICIPAL DE SANTA BÁRBARA DO SUL</w:t>
      </w:r>
    </w:p>
    <w:p>
      <w:pPr>
        <w:pStyle w:val="Normal"/>
        <w:spacing w:lineRule="auto" w:line="360"/>
        <w:jc w:val="center"/>
        <w:rPr>
          <w:rFonts w:ascii="Gadugi" w:hAnsi="Gadugi" w:cs="Gadugi"/>
          <w:sz w:val="18"/>
          <w:szCs w:val="18"/>
        </w:rPr>
      </w:pPr>
      <w:r>
        <w:rPr>
          <w:rFonts w:cs="Gadugi" w:ascii="Gadugi" w:hAnsi="Gadugi"/>
          <w:b/>
          <w:bCs/>
          <w:sz w:val="18"/>
          <w:szCs w:val="18"/>
        </w:rPr>
        <w:t>AVISO DE LICITAÇÃO</w:t>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sz w:val="18"/>
          <w:szCs w:val="18"/>
        </w:rPr>
      </w:pPr>
      <w:r>
        <w:rPr>
          <w:rFonts w:cs="Gadugi" w:ascii="Gadugi" w:hAnsi="Gadugi"/>
          <w:sz w:val="18"/>
          <w:szCs w:val="18"/>
        </w:rPr>
        <w:t xml:space="preserve">Torno público abertura do </w:t>
      </w:r>
      <w:r>
        <w:rPr>
          <w:rFonts w:cs="Gadugi" w:ascii="Gadugi" w:hAnsi="Gadugi"/>
          <w:b/>
          <w:bCs/>
          <w:sz w:val="18"/>
          <w:szCs w:val="18"/>
        </w:rPr>
        <w:t>Processo Licitatório n° 129/2026</w:t>
      </w:r>
      <w:r>
        <w:rPr>
          <w:rFonts w:cs="Gadugi" w:ascii="Gadugi" w:hAnsi="Gadugi"/>
          <w:sz w:val="18"/>
          <w:szCs w:val="18"/>
        </w:rPr>
        <w:t xml:space="preserve">, na modalidade </w:t>
      </w:r>
      <w:r>
        <w:rPr>
          <w:rFonts w:cs="Gadugi" w:ascii="Gadugi" w:hAnsi="Gadugi"/>
          <w:b/>
          <w:bCs/>
          <w:sz w:val="18"/>
          <w:szCs w:val="18"/>
        </w:rPr>
        <w:t>PREGÃO ELETRÔNICO Nº 41/2026</w:t>
      </w:r>
      <w:r>
        <w:rPr>
          <w:rFonts w:cs="Gadugi" w:ascii="Gadugi" w:hAnsi="Gadugi"/>
          <w:sz w:val="18"/>
          <w:szCs w:val="18"/>
        </w:rPr>
        <w:t xml:space="preserve">, Aquisição de veículos automotores novos, zero quilômetro, compreendendo veículos de passeio e caminhonetes tipo pick-up, destinados à ampliação da frota oficial do Município. Início das </w:t>
      </w:r>
      <w:r>
        <w:rPr>
          <w:rFonts w:cs="Gadugi" w:ascii="Gadugi" w:hAnsi="Gadugi"/>
          <w:b/>
          <w:bCs/>
          <w:sz w:val="18"/>
          <w:szCs w:val="18"/>
        </w:rPr>
        <w:t>Propostas: 08h do dia 24/07/2026 até às 08h do dia 07/08/2026. Início da sessão Pública: às 08hs01 do dia 07/08/2026</w:t>
      </w:r>
      <w:r>
        <w:rPr>
          <w:rFonts w:cs="Gadugi" w:ascii="Gadugi" w:hAnsi="Gadugi"/>
          <w:sz w:val="18"/>
          <w:szCs w:val="18"/>
        </w:rPr>
        <w:t xml:space="preserve">, todos via portal </w:t>
      </w:r>
      <w:hyperlink r:id="rId28">
        <w:bookmarkStart w:id="37" w:name="http%25253A%25252F%25252Fwww.cidadecompr"/>
        <w:r>
          <w:rPr>
            <w:rStyle w:val="Hyperlink"/>
            <w:rFonts w:cs="Gadugi" w:ascii="Gadugi" w:hAnsi="Gadugi"/>
            <w:sz w:val="18"/>
            <w:szCs w:val="18"/>
          </w:rPr>
          <w:t>www.pregaobanrisul.com.br</w:t>
        </w:r>
      </w:hyperlink>
      <w:bookmarkEnd w:id="37"/>
      <w:r>
        <w:rPr>
          <w:rFonts w:cs="Gadugi" w:ascii="Gadugi" w:hAnsi="Gadugi"/>
          <w:sz w:val="18"/>
          <w:szCs w:val="18"/>
        </w:rPr>
        <w:t xml:space="preserve">, no horário de Brasília – DF. O Edital e informações complementares encontram-se a disposição dos interessados, junto à Comissão de Licitações, sito a Av. Eduardo de Brito, 101, Fone: 0xx 55 92000-7948, no horário de expediente e nos Sites: </w:t>
      </w:r>
      <w:hyperlink r:id="rId29">
        <w:bookmarkStart w:id="38" w:name="http%25253A%25252F%25252Fwww.pregaobanri"/>
        <w:r>
          <w:rPr>
            <w:rStyle w:val="Hyperlink"/>
            <w:rFonts w:cs="Gadugi" w:ascii="Gadugi" w:hAnsi="Gadugi"/>
            <w:sz w:val="18"/>
            <w:szCs w:val="18"/>
          </w:rPr>
          <w:t>www.pregaobanrisul.com.br</w:t>
        </w:r>
      </w:hyperlink>
      <w:bookmarkEnd w:id="38"/>
      <w:r>
        <w:rPr>
          <w:rFonts w:cs="Gadugi" w:ascii="Gadugi" w:hAnsi="Gadugi"/>
          <w:sz w:val="18"/>
          <w:szCs w:val="18"/>
        </w:rPr>
        <w:t xml:space="preserve"> </w:t>
      </w:r>
      <w:r>
        <w:rPr>
          <w:rFonts w:cs="Gadugi" w:ascii="Gadugi" w:hAnsi="Gadugi"/>
          <w:sz w:val="18"/>
          <w:szCs w:val="18"/>
          <w:u w:val="single"/>
        </w:rPr>
        <w:t xml:space="preserve">e </w:t>
      </w:r>
      <w:hyperlink r:id="rId30">
        <w:bookmarkStart w:id="39" w:name="http%25253A%25252F%25252Fwww.santabarbar"/>
        <w:r>
          <w:rPr>
            <w:rStyle w:val="Hyperlink"/>
            <w:rFonts w:cs="Gadugi" w:ascii="Gadugi" w:hAnsi="Gadugi"/>
            <w:sz w:val="18"/>
            <w:szCs w:val="18"/>
          </w:rPr>
          <w:t>www.santabarbaradosul.rs.gov.br</w:t>
        </w:r>
      </w:hyperlink>
      <w:bookmarkEnd w:id="39"/>
      <w:r>
        <w:rPr>
          <w:rFonts w:cs="Gadugi" w:ascii="Gadugi" w:hAnsi="Gadugi"/>
          <w:sz w:val="18"/>
          <w:szCs w:val="18"/>
          <w:u w:val="single"/>
        </w:rPr>
        <w:t>.</w:t>
      </w:r>
    </w:p>
    <w:p>
      <w:pPr>
        <w:pStyle w:val="Normal"/>
        <w:spacing w:lineRule="auto" w:line="360"/>
        <w:jc w:val="both"/>
        <w:rPr>
          <w:rFonts w:ascii="Gadugi" w:hAnsi="Gadugi" w:cs="Gadugi"/>
          <w:sz w:val="18"/>
          <w:szCs w:val="18"/>
        </w:rPr>
      </w:pPr>
      <w:r>
        <w:rPr>
          <w:rFonts w:cs="Gadugi" w:ascii="Gadugi" w:hAnsi="Gadugi"/>
          <w:i/>
          <w:iCs/>
          <w:sz w:val="18"/>
          <w:szCs w:val="18"/>
        </w:rPr>
        <w:t>Emitido por Vivian Lima Vargas - Pregoeira</w:t>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t>Santa Bárbara do Sul/RS, 23 de julho de 2026.</w:t>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jc w:val="center"/>
        <w:rPr>
          <w:rFonts w:ascii="Gadugi" w:hAnsi="Gadugi" w:cs="Gadugi"/>
          <w:i/>
          <w:iCs/>
          <w:color w:themeColor="text1" w:val="000000"/>
          <w:sz w:val="18"/>
          <w:szCs w:val="18"/>
        </w:rPr>
      </w:pPr>
      <w:r>
        <w:rPr>
          <w:rFonts w:cs="Gadugi" w:ascii="Gadugi" w:hAnsi="Gadugi"/>
          <w:i/>
          <w:iCs/>
          <w:color w:themeColor="text1" w:val="000000"/>
          <w:sz w:val="18"/>
          <w:szCs w:val="18"/>
        </w:rPr>
        <w:t>Paulo Roberto Dal Castel</w:t>
      </w:r>
    </w:p>
    <w:p>
      <w:pPr>
        <w:pStyle w:val="Normal"/>
        <w:jc w:val="center"/>
        <w:rPr>
          <w:i/>
          <w:iCs/>
        </w:rPr>
      </w:pPr>
      <w:r>
        <w:rPr>
          <w:rFonts w:cs="Gadugi" w:ascii="Gadugi" w:hAnsi="Gadugi"/>
          <w:i/>
          <w:iCs/>
          <w:color w:themeColor="text1" w:val="000000"/>
          <w:sz w:val="18"/>
          <w:szCs w:val="18"/>
        </w:rPr>
        <w:t>Prefeito</w:t>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t>(em exercício)</w:t>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12" w:before="288" w:after="288"/>
        <w:ind w:firstLine="567"/>
        <w:jc w:val="center"/>
        <w:rPr>
          <w:rFonts w:ascii="Gadugi" w:hAnsi="Gadugi" w:cs="Gadugi"/>
          <w:sz w:val="18"/>
          <w:szCs w:val="18"/>
        </w:rPr>
      </w:pPr>
      <w:r>
        <w:rPr>
          <w:rFonts w:cs="Gadugi" w:ascii="Gadugi" w:hAnsi="Gadugi"/>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sectPr>
      <w:headerReference w:type="even" r:id="rId31"/>
      <w:headerReference w:type="default" r:id="rId32"/>
      <w:headerReference w:type="first" r:id="rId33"/>
      <w:footerReference w:type="even" r:id="rId34"/>
      <w:footerReference w:type="default" r:id="rId35"/>
      <w:footerReference w:type="first" r:id="rId36"/>
      <w:type w:val="nextPage"/>
      <w:pgSz w:w="11906" w:h="16838"/>
      <w:pgMar w:left="1134" w:right="1134" w:gutter="0" w:header="0" w:top="1506" w:footer="0" w:bottom="962"/>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swiss"/>
    <w:pitch w:val="variable"/>
  </w:font>
  <w:font w:name="Liberation Sans">
    <w:altName w:val="Arial"/>
    <w:charset w:val="00"/>
    <w:family w:val="swiss"/>
    <w:pitch w:val="variable"/>
  </w:font>
  <w:font w:name="Arial MT">
    <w:charset w:val="00"/>
    <w:family w:val="swiss"/>
    <w:pitch w:val="variable"/>
  </w:font>
  <w:font w:name="Gadugi">
    <w:charset w:val="00"/>
    <w:family w:val="swiss"/>
    <w:pitch w:val="variable"/>
  </w:font>
  <w:font w:name="Calibri">
    <w:charset w:val="00"/>
    <w:family w:val="swiss"/>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rFonts w:ascii="Arial" w:hAnsi="Arial" w:cs="Arial"/>
        <w:sz w:val="14"/>
        <w:szCs w:val="14"/>
      </w:rPr>
    </w:pPr>
    <w:r>
      <w:rPr>
        <w:rFonts w:cs="Arial" w:ascii="Arial" w:hAnsi="Arial"/>
        <w:sz w:val="14"/>
        <w:szCs w:val="14"/>
      </w:rPr>
      <w:drawing>
        <wp:anchor distT="0" distB="0" distL="0" distR="114300" simplePos="0" relativeHeight="54" behindDoc="0" locked="0" layoutInCell="0" allowOverlap="1">
          <wp:simplePos x="0" y="0"/>
          <wp:positionH relativeFrom="margin">
            <wp:posOffset>285750</wp:posOffset>
          </wp:positionH>
          <wp:positionV relativeFrom="paragraph">
            <wp:posOffset>-688975</wp:posOffset>
          </wp:positionV>
          <wp:extent cx="5400040" cy="619760"/>
          <wp:effectExtent l="0" t="0" r="0" b="0"/>
          <wp:wrapTight wrapText="bothSides">
            <wp:wrapPolygon edited="0">
              <wp:start x="-1" y="0"/>
              <wp:lineTo x="-1" y="21243"/>
              <wp:lineTo x="21485" y="21243"/>
              <wp:lineTo x="21485" y="0"/>
              <wp:lineTo x="-1" y="0"/>
            </wp:wrapPolygon>
          </wp:wrapTight>
          <wp:docPr id="6"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4"/>
                  <pic:cNvPicPr>
                    <a:picLocks noChangeAspect="1" noChangeArrowheads="1"/>
                  </pic:cNvPicPr>
                </pic:nvPicPr>
                <pic:blipFill>
                  <a:blip r:embed="rId1"/>
                  <a:srcRect l="0" t="23255" r="0" b="16450"/>
                  <a:stretch>
                    <a:fillRect/>
                  </a:stretch>
                </pic:blipFill>
                <pic:spPr bwMode="auto">
                  <a:xfrm>
                    <a:off x="0" y="0"/>
                    <a:ext cx="5400040" cy="619760"/>
                  </a:xfrm>
                  <a:prstGeom prst="rect">
                    <a:avLst/>
                  </a:prstGeom>
                  <a:noFill/>
                </pic:spPr>
              </pic:pic>
            </a:graphicData>
          </a:graphic>
        </wp:anchor>
      </w:drawing>
    </w:r>
    <w:bookmarkStart w:id="40" w:name="_Hlk135299703"/>
    <w:bookmarkEnd w:id="40"/>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p>
    <w:pPr>
      <w:pStyle w:val="Footer"/>
      <w:rPr/>
    </w:pPr>
    <w:r>
      <w:rPr/>
    </w:r>
  </w:p>
  <w:p>
    <w:pPr>
      <w:pStyle w:val="Footer"/>
      <w:rPr/>
    </w:pPr>
    <w:r>
      <w:rPr/>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distT="0" distB="0" distL="114300" distR="114300" simplePos="0" relativeHeight="28" behindDoc="1" locked="0" layoutInCell="0" allowOverlap="1">
          <wp:simplePos x="0" y="0"/>
          <wp:positionH relativeFrom="margin">
            <wp:posOffset>2084705</wp:posOffset>
          </wp:positionH>
          <wp:positionV relativeFrom="margin">
            <wp:posOffset>-889635</wp:posOffset>
          </wp:positionV>
          <wp:extent cx="1941195" cy="916305"/>
          <wp:effectExtent l="0" t="0" r="0" b="0"/>
          <wp:wrapSquare wrapText="bothSides"/>
          <wp:docPr id="3" name="Gráfic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áfico 7"/>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1941195" cy="916305"/>
                  </a:xfrm>
                  <a:prstGeom prst="rect">
                    <a:avLst/>
                  </a:prstGeom>
                  <a:noFill/>
                </pic:spPr>
              </pic:pic>
            </a:graphicData>
          </a:graphic>
        </wp:anchor>
      </w:drawing>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Cambria" w:hAnsi="Cambria" w:cs="Cambria"/>
        <w:sz w:val="18"/>
        <w:szCs w:val="18"/>
      </w:rPr>
    </w:pPr>
    <w:r>
      <w:rPr>
        <w:rFonts w:cs="Cambria" w:ascii="Cambria" w:hAnsi="Cambria"/>
        <w:sz w:val="18"/>
        <w:szCs w:val="18"/>
      </w:rPr>
    </w:r>
  </w:p>
  <w:p>
    <w:pPr>
      <w:pStyle w:val="Header"/>
      <w:jc w:val="right"/>
      <w:rPr>
        <w:rFonts w:ascii="Cambria" w:hAnsi="Cambria" w:cs="Cambria"/>
        <w:sz w:val="18"/>
        <w:szCs w:val="18"/>
      </w:rPr>
    </w:pPr>
    <w:r>
      <w:rPr>
        <w:rFonts w:cs="Cambria" w:ascii="Cambria" w:hAnsi="Cambria"/>
        <w:sz w:val="18"/>
        <w:szCs w:val="18"/>
      </w:rPr>
    </w:r>
  </w:p>
  <w:p>
    <w:pPr>
      <w:pStyle w:val="Header"/>
      <w:jc w:val="right"/>
      <w:rPr>
        <w:rFonts w:ascii="Cambria" w:hAnsi="Cambria" w:cs="Cambria"/>
        <w:sz w:val="18"/>
        <w:szCs w:val="18"/>
      </w:rPr>
    </w:pPr>
    <w:r>
      <w:rPr>
        <w:rFonts w:cs="Cambria" w:ascii="Cambria" w:hAnsi="Cambria"/>
        <w:sz w:val="18"/>
        <w:szCs w:val="18"/>
      </w:rPr>
      <w:t>PREGÃO ELETRÔNICO Nº 41/2026</w:t>
    </w:r>
  </w:p>
  <w:p>
    <w:pPr>
      <w:pStyle w:val="Header"/>
      <w:jc w:val="right"/>
      <w:rPr>
        <w:rFonts w:ascii="Cambria" w:hAnsi="Cambria" w:cs="Cambria"/>
        <w:sz w:val="18"/>
        <w:szCs w:val="18"/>
      </w:rPr>
    </w:pPr>
    <w:r>
      <w:rPr>
        <w:rFonts w:cs="Cambria" w:ascii="Cambria" w:hAnsi="Cambria"/>
        <w:sz w:val="18"/>
        <w:szCs w:val="18"/>
      </w:rPr>
      <w:t>PROCESSO LICITATÓRIO 129/2026</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distT="0" distB="0" distL="114300" distR="114300" simplePos="0" relativeHeight="2" behindDoc="1" locked="0" layoutInCell="0" allowOverlap="1">
          <wp:simplePos x="0" y="0"/>
          <wp:positionH relativeFrom="margin">
            <wp:posOffset>2124075</wp:posOffset>
          </wp:positionH>
          <wp:positionV relativeFrom="margin">
            <wp:posOffset>-838200</wp:posOffset>
          </wp:positionV>
          <wp:extent cx="2348230" cy="1108710"/>
          <wp:effectExtent l="0" t="0" r="0" b="0"/>
          <wp:wrapSquare wrapText="bothSides"/>
          <wp:docPr id="4"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2348230" cy="1108710"/>
                  </a:xfrm>
                  <a:prstGeom prst="rect">
                    <a:avLst/>
                  </a:prstGeom>
                  <a:noFill/>
                </pic:spPr>
              </pic:pic>
            </a:graphicData>
          </a:graphic>
        </wp:anchor>
      </w:drawing>
    </w:r>
  </w:p>
  <w:p>
    <w:pPr>
      <w:pStyle w:val="Normal"/>
      <w:rPr/>
    </w:pPr>
    <w:r>
      <w:rPr/>
      <w:drawing>
        <wp:anchor distT="0" distB="0" distL="0" distR="114300" simplePos="0" relativeHeight="55" behindDoc="0" locked="0" layoutInCell="0" allowOverlap="1">
          <wp:simplePos x="0" y="0"/>
          <wp:positionH relativeFrom="column">
            <wp:posOffset>369570</wp:posOffset>
          </wp:positionH>
          <wp:positionV relativeFrom="paragraph">
            <wp:posOffset>9498330</wp:posOffset>
          </wp:positionV>
          <wp:extent cx="5400040" cy="1027430"/>
          <wp:effectExtent l="0" t="0" r="0" b="0"/>
          <wp:wrapTight wrapText="bothSides">
            <wp:wrapPolygon edited="0">
              <wp:start x="-1" y="0"/>
              <wp:lineTo x="-1" y="21228"/>
              <wp:lineTo x="21475" y="21228"/>
              <wp:lineTo x="21475" y="0"/>
              <wp:lineTo x="-1" y="0"/>
            </wp:wrapPolygon>
          </wp:wrapTight>
          <wp:docPr id="5" name="Figura4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Copia 1"/>
                  <pic:cNvPicPr>
                    <a:picLocks noChangeAspect="1" noChangeArrowheads="1"/>
                  </pic:cNvPicPr>
                </pic:nvPicPr>
                <pic:blipFill>
                  <a:blip r:embed="rId3"/>
                  <a:stretch>
                    <a:fillRect/>
                  </a:stretch>
                </pic:blipFill>
                <pic:spPr bwMode="auto">
                  <a:xfrm>
                    <a:off x="0" y="0"/>
                    <a:ext cx="5400040" cy="102743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2">
    <w:lvl w:ilvl="0">
      <w:start w:val="1"/>
      <w:numFmt w:val="decimal"/>
      <w:isLgl/>
      <w:lvlText w:val="%1."/>
      <w:lvlJc w:val="left"/>
      <w:pPr>
        <w:tabs>
          <w:tab w:val="num" w:pos="0"/>
        </w:tabs>
        <w:ind w:left="7731" w:hanging="360"/>
      </w:pPr>
      <w:rPr>
        <w:b/>
        <w:color w:val="000000"/>
      </w:rPr>
    </w:lvl>
    <w:lvl w:ilvl="1">
      <w:start w:val="1"/>
      <w:numFmt w:val="decimal"/>
      <w:isLgl/>
      <w:lvlText w:val="%1.%2."/>
      <w:lvlJc w:val="left"/>
      <w:pPr>
        <w:tabs>
          <w:tab w:val="num" w:pos="0"/>
        </w:tabs>
        <w:ind w:left="999" w:hanging="432"/>
      </w:pPr>
      <w:rPr>
        <w:rFonts w:ascii="Cambria" w:hAnsi="Cambria" w:eastAsia="Cambria" w:cs="Cambria"/>
        <w:b w:val="false"/>
        <w:i w:val="false"/>
        <w:strike w:val="false"/>
        <w:dstrike w:val="false"/>
        <w:color w:val="auto"/>
        <w:sz w:val="18"/>
        <w:szCs w:val="20"/>
        <w:u w:val="none"/>
      </w:rPr>
    </w:lvl>
    <w:lvl w:ilvl="2">
      <w:start w:val="1"/>
      <w:numFmt w:val="decimal"/>
      <w:isLgl/>
      <w:lvlText w:val="%1.%2.%3."/>
      <w:lvlJc w:val="left"/>
      <w:pPr>
        <w:tabs>
          <w:tab w:val="num" w:pos="0"/>
        </w:tabs>
        <w:ind w:left="1638" w:hanging="504"/>
      </w:pPr>
      <w:rPr>
        <w:rFonts w:ascii="Cambria" w:hAnsi="Cambria" w:eastAsia="Cambria" w:cs="Cambria"/>
        <w:b w:val="false"/>
        <w:i w:val="false"/>
        <w:strike w:val="false"/>
        <w:dstrike w:val="false"/>
        <w:color w:val="auto"/>
        <w:sz w:val="18"/>
        <w:szCs w:val="20"/>
      </w:rPr>
    </w:lvl>
    <w:lvl w:ilvl="3">
      <w:start w:val="1"/>
      <w:numFmt w:val="decimal"/>
      <w:isLgl/>
      <w:lvlText w:val="%1.%2.%3.%4."/>
      <w:lvlJc w:val="left"/>
      <w:pPr>
        <w:tabs>
          <w:tab w:val="num" w:pos="0"/>
        </w:tabs>
        <w:ind w:left="648" w:hanging="648"/>
      </w:pPr>
      <w:rPr>
        <w:rFonts w:ascii="Cambria" w:hAnsi="Cambria" w:eastAsia="Cambria" w:cs="Cambria"/>
        <w:b w:val="false"/>
        <w:sz w:val="18"/>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3">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isLgl/>
      <w:lvlText w:val="%1.%2.%3."/>
      <w:lvlJc w:val="left"/>
      <w:pPr>
        <w:tabs>
          <w:tab w:val="num" w:pos="0"/>
        </w:tabs>
        <w:ind w:left="1497" w:hanging="504"/>
      </w:pPr>
      <w:rPr/>
    </w:lvl>
    <w:lvl w:ilvl="3">
      <w:start w:val="1"/>
      <w:numFmt w:val="decimal"/>
      <w:isLgl/>
      <w:lvlText w:val="%1.%2.%3.%4."/>
      <w:lvlJc w:val="left"/>
      <w:pPr>
        <w:tabs>
          <w:tab w:val="num" w:pos="0"/>
        </w:tabs>
        <w:ind w:left="1728"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4">
    <w:lvl w:ilvl="0">
      <w:start w:val="4"/>
      <w:numFmt w:val="decimal"/>
      <w:lvlText w:val="%1"/>
      <w:lvlJc w:val="left"/>
      <w:pPr>
        <w:tabs>
          <w:tab w:val="num" w:pos="0"/>
        </w:tabs>
        <w:ind w:left="360" w:hanging="360"/>
      </w:pPr>
      <w:rPr>
        <w:i w:val="false"/>
        <w:color w:val="auto"/>
      </w:rPr>
    </w:lvl>
    <w:lvl w:ilvl="1">
      <w:start w:val="1"/>
      <w:numFmt w:val="decimal"/>
      <w:lvlText w:val="%1.%2"/>
      <w:lvlJc w:val="left"/>
      <w:pPr>
        <w:tabs>
          <w:tab w:val="num" w:pos="0"/>
        </w:tabs>
        <w:ind w:left="360" w:hanging="360"/>
      </w:pPr>
      <w:rPr>
        <w:i w:val="false"/>
        <w:color w:val="auto"/>
      </w:rPr>
    </w:lvl>
    <w:lvl w:ilvl="2">
      <w:start w:val="1"/>
      <w:numFmt w:val="decimal"/>
      <w:lvlText w:val="%1.%2.%3"/>
      <w:lvlJc w:val="left"/>
      <w:pPr>
        <w:tabs>
          <w:tab w:val="num" w:pos="0"/>
        </w:tabs>
        <w:ind w:left="720" w:hanging="720"/>
      </w:pPr>
      <w:rPr>
        <w:i w:val="false"/>
        <w:color w:val="auto"/>
      </w:rPr>
    </w:lvl>
    <w:lvl w:ilvl="3">
      <w:start w:val="1"/>
      <w:numFmt w:val="decimal"/>
      <w:lvlText w:val="%1.%2.%3.%4"/>
      <w:lvlJc w:val="left"/>
      <w:pPr>
        <w:tabs>
          <w:tab w:val="num" w:pos="0"/>
        </w:tabs>
        <w:ind w:left="720" w:hanging="720"/>
      </w:pPr>
      <w:rPr>
        <w:i w:val="false"/>
        <w:color w:val="auto"/>
      </w:rPr>
    </w:lvl>
    <w:lvl w:ilvl="4">
      <w:start w:val="1"/>
      <w:numFmt w:val="decimal"/>
      <w:lvlText w:val="%1.%2.%3.%4.%5"/>
      <w:lvlJc w:val="left"/>
      <w:pPr>
        <w:tabs>
          <w:tab w:val="num" w:pos="0"/>
        </w:tabs>
        <w:ind w:left="720" w:hanging="720"/>
      </w:pPr>
      <w:rPr>
        <w:i w:val="false"/>
        <w:color w:val="auto"/>
      </w:rPr>
    </w:lvl>
    <w:lvl w:ilvl="5">
      <w:start w:val="1"/>
      <w:numFmt w:val="decimal"/>
      <w:lvlText w:val="%1.%2.%3.%4.%5.%6"/>
      <w:lvlJc w:val="left"/>
      <w:pPr>
        <w:tabs>
          <w:tab w:val="num" w:pos="0"/>
        </w:tabs>
        <w:ind w:left="1080" w:hanging="1080"/>
      </w:pPr>
      <w:rPr>
        <w:i w:val="false"/>
        <w:color w:val="auto"/>
      </w:rPr>
    </w:lvl>
    <w:lvl w:ilvl="6">
      <w:start w:val="1"/>
      <w:numFmt w:val="decimal"/>
      <w:lvlText w:val="%1.%2.%3.%4.%5.%6.%7"/>
      <w:lvlJc w:val="left"/>
      <w:pPr>
        <w:tabs>
          <w:tab w:val="num" w:pos="0"/>
        </w:tabs>
        <w:ind w:left="1080" w:hanging="1080"/>
      </w:pPr>
      <w:rPr>
        <w:i w:val="false"/>
        <w:color w:val="auto"/>
      </w:rPr>
    </w:lvl>
    <w:lvl w:ilvl="7">
      <w:start w:val="1"/>
      <w:numFmt w:val="decimal"/>
      <w:lvlText w:val="%1.%2.%3.%4.%5.%6.%7.%8"/>
      <w:lvlJc w:val="left"/>
      <w:pPr>
        <w:tabs>
          <w:tab w:val="num" w:pos="0"/>
        </w:tabs>
        <w:ind w:left="1440" w:hanging="1440"/>
      </w:pPr>
      <w:rPr>
        <w:i w:val="false"/>
        <w:color w:val="auto"/>
      </w:rPr>
    </w:lvl>
    <w:lvl w:ilvl="8">
      <w:start w:val="1"/>
      <w:numFmt w:val="decimal"/>
      <w:lvlText w:val="%1.%2.%3.%4.%5.%6.%7.%8.%9"/>
      <w:lvlJc w:val="left"/>
      <w:pPr>
        <w:tabs>
          <w:tab w:val="num" w:pos="0"/>
        </w:tabs>
        <w:ind w:left="1440" w:hanging="1440"/>
      </w:pPr>
      <w:rPr>
        <w:i w:val="false"/>
        <w:color w:val="auto"/>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80"/>
  <w:mirrorMargins/>
  <w:defaultTabStop w:val="708"/>
  <w:autoHyphenation w:val="true"/>
  <w:hyphenationZone w:val="0"/>
  <w:compat>
    <w:doNotBreakWrappedTables/>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Ecofont_Spranq_eco_Sans" w:hAnsi="Ecofont_Spranq_eco_Sans" w:eastAsia="Arial" w:cs="Tahoma" w:eastAsiaTheme="minorEastAsia"/>
      <w:color w:val="auto"/>
      <w:kern w:val="0"/>
      <w:sz w:val="24"/>
      <w:szCs w:val="24"/>
      <w:lang w:eastAsia="pt-BR" w:val="pt-BR" w:bidi="ar-SA"/>
    </w:rPr>
  </w:style>
  <w:style w:type="paragraph" w:styleId="Heading1">
    <w:name w:val="heading 1"/>
    <w:basedOn w:val="Normal"/>
    <w:qFormat/>
    <w:pPr>
      <w:keepNext w:val="true"/>
      <w:keepLines/>
      <w:spacing w:before="480" w:after="0"/>
      <w:outlineLvl w:val="0"/>
    </w:pPr>
    <w:rPr>
      <w:rFonts w:ascii="Calibri" w:hAnsi="Calibri" w:eastAsia="Arial" w:cs="Arial" w:asciiTheme="majorHAnsi" w:cstheme="majorBidi" w:eastAsiaTheme="majorEastAsia" w:hAnsiTheme="majorHAnsi"/>
      <w:b/>
      <w:bCs/>
      <w:color w:themeColor="accent1" w:themeShade="bf" w:val="365F91"/>
      <w:sz w:val="28"/>
      <w:szCs w:val="28"/>
    </w:rPr>
  </w:style>
  <w:style w:type="paragraph" w:styleId="Heading2">
    <w:name w:val="heading 2"/>
    <w:basedOn w:val="Normal"/>
    <w:qFormat/>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uiPriority w:val="9"/>
    <w:semiHidden/>
    <w:unhideWhenUsed/>
    <w:qFormat/>
    <w:pPr>
      <w:keepNext w:val="true"/>
      <w:keepLines/>
      <w:spacing w:lineRule="auto" w:line="259" w:before="40" w:after="0"/>
      <w:outlineLvl w:val="2"/>
    </w:pPr>
    <w:rPr>
      <w:rFonts w:ascii="Calibri" w:hAnsi="Calibri" w:eastAsia="Arial" w:cs="Arial" w:asciiTheme="majorHAnsi" w:cstheme="majorBidi" w:eastAsiaTheme="majorEastAsia" w:hAnsiTheme="majorHAnsi"/>
      <w:color w:themeColor="accent1" w:themeShade="80" w:val="244061"/>
      <w:lang w:eastAsia="en-US"/>
    </w:rPr>
  </w:style>
  <w:style w:type="paragraph" w:styleId="Heading4">
    <w:name w:val="heading 4"/>
    <w:basedOn w:val="Normal"/>
    <w:semiHidden/>
    <w:unhideWhenUsed/>
    <w:qFormat/>
    <w:pPr>
      <w:keepNext w:val="true"/>
      <w:keepLines/>
      <w:spacing w:before="40" w:after="0"/>
      <w:outlineLvl w:val="3"/>
    </w:pPr>
    <w:rPr>
      <w:rFonts w:ascii="Calibri" w:hAnsi="Calibri" w:eastAsia="Arial" w:cs="Arial" w:asciiTheme="majorHAnsi" w:cstheme="majorBidi" w:eastAsiaTheme="majorEastAsia" w:hAnsiTheme="majorHAnsi"/>
      <w:i/>
      <w:iCs/>
      <w:color w:themeColor="accent1" w:themeShade="bf" w:val="365F91"/>
    </w:rPr>
  </w:style>
  <w:style w:type="paragraph" w:styleId="Heading5">
    <w:name w:val="heading 5"/>
    <w:basedOn w:val="Normal"/>
    <w:uiPriority w:val="9"/>
    <w:unhideWhenUsed/>
    <w:qFormat/>
    <w:pPr>
      <w:keepNext w:val="true"/>
      <w:keepLines/>
      <w:spacing w:before="320" w:after="200"/>
      <w:outlineLvl w:val="4"/>
    </w:pPr>
    <w:rPr>
      <w:rFonts w:ascii="Arial" w:hAnsi="Arial" w:eastAsia="Arial" w:cs="Arial"/>
      <w:b/>
      <w:bCs/>
    </w:rPr>
  </w:style>
  <w:style w:type="paragraph" w:styleId="Heading6">
    <w:name w:val="heading 6"/>
    <w:basedOn w:val="Normal"/>
    <w:uiPriority w:val="9"/>
    <w:semiHidden/>
    <w:unhideWhenUsed/>
    <w:qFormat/>
    <w:pPr>
      <w:keepNext w:val="true"/>
      <w:keepLines/>
      <w:spacing w:lineRule="auto" w:line="259" w:before="40" w:after="0"/>
      <w:outlineLvl w:val="5"/>
    </w:pPr>
    <w:rPr>
      <w:rFonts w:ascii="Calibri" w:hAnsi="Calibri" w:eastAsia="Arial" w:cs="Arial" w:asciiTheme="majorHAnsi" w:cstheme="majorBidi" w:eastAsiaTheme="majorEastAsia" w:hAnsiTheme="majorHAnsi"/>
      <w:color w:themeColor="accent1" w:themeShade="80" w:val="244061"/>
      <w:sz w:val="22"/>
      <w:szCs w:val="22"/>
      <w:lang w:eastAsia="en-US"/>
    </w:rPr>
  </w:style>
  <w:style w:type="paragraph" w:styleId="Heading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Heading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Heading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semiHidden/>
    <w:unhideWhenUsed/>
    <w:qFormat/>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Caracteresdenotadefimuser" w:customStyle="1">
    <w:name w:val="Caracteres de nota de fim (user)"/>
    <w:uiPriority w:val="99"/>
    <w:semiHidden/>
    <w:unhideWhenUsed/>
    <w:qFormat/>
    <w:rPr>
      <w:vertAlign w:val="superscript"/>
    </w:rPr>
  </w:style>
  <w:style w:type="character" w:styleId="Caracteresdenotadefim" w:customStyle="1">
    <w:name w:val="Caracteres de nota de fim"/>
    <w:qFormat/>
    <w:rPr>
      <w:vertAlign w:val="superscript"/>
    </w:rPr>
  </w:style>
  <w:style w:type="character" w:styleId="EndnoteReference">
    <w:name w:val="endnote reference"/>
    <w:rPr>
      <w:vertAlign w:val="superscript"/>
    </w:rPr>
  </w:style>
  <w:style w:type="character" w:styleId="Strong">
    <w:name w:val="Strong"/>
    <w:basedOn w:val="DefaultParagraphFont"/>
    <w:uiPriority w:val="22"/>
    <w:qFormat/>
    <w:rPr>
      <w:b/>
      <w:bCs/>
    </w:rPr>
  </w:style>
  <w:style w:type="character" w:styleId="CommentReference">
    <w:name w:val="annotation reference"/>
    <w:basedOn w:val="DefaultParagraphFont"/>
    <w:unhideWhenUsed/>
    <w:qFormat/>
    <w:rPr>
      <w:sz w:val="16"/>
      <w:szCs w:val="16"/>
    </w:rPr>
  </w:style>
  <w:style w:type="character" w:styleId="FollowedHyperlink">
    <w:name w:val="FollowedHyperlink"/>
    <w:basedOn w:val="DefaultParagraphFont"/>
    <w:semiHidden/>
    <w:unhideWhenUsed/>
    <w:qFormat/>
    <w:rPr>
      <w:color w:themeColor="followedHyperlink" w:val="800080"/>
      <w:u w:val="single"/>
    </w:rPr>
  </w:style>
  <w:style w:type="character" w:styleId="Emphasis">
    <w:name w:val="Emphasis"/>
    <w:basedOn w:val="DefaultParagraphFont"/>
    <w:qFormat/>
    <w:rPr>
      <w:i/>
      <w:iCs/>
    </w:rPr>
  </w:style>
  <w:style w:type="character" w:styleId="Caracteresdenotaderodapuser" w:customStyle="1">
    <w:name w:val="Caracteres de nota de rodapé (user)"/>
    <w:uiPriority w:val="99"/>
    <w:unhideWhenUsed/>
    <w:qFormat/>
    <w:rPr>
      <w:vertAlign w:val="superscript"/>
    </w:rPr>
  </w:style>
  <w:style w:type="character" w:styleId="Caracteresdenotaderodap" w:customStyle="1">
    <w:name w:val="Caracteres de nota de rodapé"/>
    <w:qFormat/>
    <w:rPr>
      <w:vertAlign w:val="superscript"/>
    </w:rPr>
  </w:style>
  <w:style w:type="character" w:styleId="FootnoteReference">
    <w:name w:val="footnote reference"/>
    <w:rPr>
      <w:vertAlign w:val="superscript"/>
    </w:rPr>
  </w:style>
  <w:style w:type="character" w:styleId="Hyperlink1" w:customStyle="1">
    <w:name w:val="Hyperlink1"/>
    <w:basedOn w:val="DefaultParagraphFont"/>
    <w:uiPriority w:val="99"/>
    <w:unhideWhenUsed/>
    <w:qFormat/>
    <w:rPr>
      <w:color w:themeColor="hyperlink" w:val="0000FF"/>
      <w:u w:val="single"/>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Ttulo5Char" w:customStyle="1">
    <w:name w:val="Título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Ttulo7Char" w:customStyle="1">
    <w:name w:val="Título 7 Char"/>
    <w:basedOn w:val="DefaultParagraphFont"/>
    <w:uiPriority w:val="9"/>
    <w:qFormat/>
    <w:rPr>
      <w:rFonts w:ascii="Arial" w:hAnsi="Arial" w:eastAsia="Arial" w:cs="Arial"/>
      <w:b/>
      <w:bCs/>
      <w:i/>
      <w:iCs/>
      <w:sz w:val="22"/>
      <w:szCs w:val="22"/>
    </w:rPr>
  </w:style>
  <w:style w:type="character" w:styleId="Ttulo8Char" w:customStyle="1">
    <w:name w:val="Título 8 Char"/>
    <w:basedOn w:val="DefaultParagraphFont"/>
    <w:uiPriority w:val="9"/>
    <w:qFormat/>
    <w:rPr>
      <w:rFonts w:ascii="Arial" w:hAnsi="Arial" w:eastAsia="Arial" w:cs="Arial"/>
      <w:i/>
      <w:iCs/>
      <w:sz w:val="22"/>
      <w:szCs w:val="22"/>
    </w:rPr>
  </w:style>
  <w:style w:type="character" w:styleId="Ttulo9Char" w:customStyle="1">
    <w:name w:val="Título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CitaoIntensaChar" w:customStyle="1">
    <w:name w:val="Citação Intensa Char"/>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fimChar" w:customStyle="1">
    <w:name w:val="Texto de nota de fim Char"/>
    <w:uiPriority w:val="99"/>
    <w:qFormat/>
    <w:rPr>
      <w:sz w:val="20"/>
    </w:rPr>
  </w:style>
  <w:style w:type="character" w:styleId="TextodebaloChar" w:customStyle="1">
    <w:name w:val="Texto de balão Char"/>
    <w:uiPriority w:val="99"/>
    <w:qFormat/>
    <w:rPr>
      <w:rFonts w:ascii="Tahoma" w:hAnsi="Tahoma" w:cs="Tahoma"/>
      <w:sz w:val="16"/>
      <w:szCs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szCs w:val="24"/>
      <w:u w:val="none"/>
    </w:rPr>
  </w:style>
  <w:style w:type="character" w:styleId="apple-style-span" w:customStyle="1">
    <w:name w:val="apple-style-span"/>
    <w:basedOn w:val="DefaultParagraphFont"/>
    <w:qFormat/>
    <w:rPr/>
  </w:style>
  <w:style w:type="character" w:styleId="CitaoChar" w:customStyle="1">
    <w:name w:val="Citação Char"/>
    <w:qFormat/>
    <w:rPr>
      <w:rFonts w:ascii="Arial" w:hAnsi="Arial" w:eastAsia="Calibri" w:cs="Tahoma"/>
      <w:i/>
      <w:iCs/>
      <w:color w:val="000000"/>
      <w:szCs w:val="24"/>
      <w:shd w:fill="FFFFCC" w:val="clear"/>
    </w:rPr>
  </w:style>
  <w:style w:type="character" w:styleId="NotaexplicativaChar" w:customStyle="1">
    <w:name w:val="Nota explicativa Char"/>
    <w:basedOn w:val="CitaoChar"/>
    <w:qFormat/>
    <w:rPr>
      <w:rFonts w:ascii="Arial" w:hAnsi="Arial" w:eastAsia="Calibri" w:cs="Tahoma"/>
      <w:i/>
      <w:iCs/>
      <w:color w:val="000000"/>
      <w:szCs w:val="24"/>
      <w:shd w:fill="FFFFCC" w:val="clear"/>
    </w:rPr>
  </w:style>
  <w:style w:type="character" w:styleId="CabealhoChar" w:customStyle="1">
    <w:name w:val="Cabeçalho Char"/>
    <w:qFormat/>
    <w:rPr>
      <w:rFonts w:ascii="Ecofont_Spranq_eco_Sans" w:hAnsi="Ecofont_Spranq_eco_Sans" w:cs="Tahoma"/>
      <w:sz w:val="24"/>
      <w:szCs w:val="24"/>
    </w:rPr>
  </w:style>
  <w:style w:type="character" w:styleId="RodapChar" w:customStyle="1">
    <w:name w:val="Rodapé Char"/>
    <w:uiPriority w:val="99"/>
    <w:qFormat/>
    <w:rPr>
      <w:rFonts w:ascii="Ecofont_Spranq_eco_Sans" w:hAnsi="Ecofont_Spranq_eco_Sans" w:cs="Tahoma"/>
      <w:sz w:val="24"/>
      <w:szCs w:val="24"/>
    </w:rPr>
  </w:style>
  <w:style w:type="character" w:styleId="TextodecomentrioChar" w:customStyle="1">
    <w:name w:val="Texto de comentário Char"/>
    <w:basedOn w:val="DefaultParagraphFont"/>
    <w:uiPriority w:val="99"/>
    <w:qFormat/>
    <w:rPr>
      <w:rFonts w:ascii="Ecofont_Spranq_eco_Sans" w:hAnsi="Ecofont_Spranq_eco_Sans" w:cs="Tahoma"/>
      <w:lang w:eastAsia="pt-BR"/>
    </w:rPr>
  </w:style>
  <w:style w:type="character" w:styleId="AssuntodocomentrioChar" w:customStyle="1">
    <w:name w:val="Assunto do comentário Char"/>
    <w:basedOn w:val="TextodecomentrioChar"/>
    <w:semiHidden/>
    <w:qFormat/>
    <w:rPr>
      <w:rFonts w:ascii="Ecofont_Spranq_eco_Sans" w:hAnsi="Ecofont_Spranq_eco_Sans" w:cs="Tahoma"/>
      <w:b/>
      <w:bCs/>
      <w:lang w:eastAsia="pt-BR"/>
    </w:rPr>
  </w:style>
  <w:style w:type="character" w:styleId="Ttulo4Char" w:customStyle="1">
    <w:name w:val="Título 4 Char"/>
    <w:basedOn w:val="DefaultParagraphFont"/>
    <w:qFormat/>
    <w:rPr>
      <w:rFonts w:ascii="Calibri" w:hAnsi="Calibri" w:eastAsia="Arial" w:cs="Arial"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Pr>
      <w:rFonts w:ascii="Calibri" w:hAnsi="Calibri" w:eastAsia="Arial" w:cs="Arial" w:asciiTheme="majorHAnsi" w:cstheme="majorBidi" w:eastAsiaTheme="majorEastAsia" w:hAnsiTheme="majorHAnsi"/>
      <w:color w:themeColor="text2" w:themeShade="bf" w:val="17365D"/>
      <w:spacing w:val="5"/>
      <w:sz w:val="52"/>
      <w:szCs w:val="52"/>
      <w:lang w:eastAsia="pt-BR"/>
    </w:rPr>
  </w:style>
  <w:style w:type="character" w:styleId="Nivel01Char" w:customStyle="1">
    <w:name w:val="Nivel 01 Char"/>
    <w:basedOn w:val="TtuloChar"/>
    <w:qFormat/>
    <w:rPr>
      <w:rFonts w:ascii="Arial" w:hAnsi="Arial" w:eastAsia="Arial" w:cs="Arial" w:eastAsiaTheme="majorEastAsia"/>
      <w:b/>
      <w:bCs/>
      <w:color w:themeColor="text2" w:themeShade="bf" w:val="17365D"/>
      <w:spacing w:val="5"/>
      <w:sz w:val="52"/>
      <w:szCs w:val="52"/>
      <w:lang w:eastAsia="pt-BR"/>
    </w:rPr>
  </w:style>
  <w:style w:type="character" w:styleId="Ttulo1Char" w:customStyle="1">
    <w:name w:val="Título 1 Char"/>
    <w:basedOn w:val="DefaultParagraphFont"/>
    <w:qFormat/>
    <w:rPr>
      <w:rFonts w:ascii="Calibri" w:hAnsi="Calibri" w:eastAsia="Arial" w:cs="Arial"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qFormat/>
    <w:rPr>
      <w:rFonts w:ascii="Arial" w:hAnsi="Arial" w:eastAsia="Arial" w:cs="Arial" w:cstheme="majorBidi" w:eastAsiaTheme="majorEastAsia"/>
      <w:b/>
      <w:bCs/>
      <w:color w:themeColor="text1" w:val="000000"/>
      <w:spacing w:val="5"/>
      <w:sz w:val="52"/>
      <w:szCs w:val="52"/>
      <w:lang w:eastAsia="pt-BR"/>
    </w:rPr>
  </w:style>
  <w:style w:type="character" w:styleId="QuoteChar" w:customStyle="1">
    <w:name w:val="Quote Char"/>
    <w:basedOn w:val="DefaultParagraphFont"/>
    <w:qFormat/>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rFonts w:eastAsia="Times New Roman"/>
      <w:sz w:val="24"/>
      <w:szCs w:val="24"/>
      <w:lang w:eastAsia="pt-BR"/>
    </w:rPr>
  </w:style>
  <w:style w:type="character" w:styleId="Nivel1Char" w:customStyle="1">
    <w:name w:val="Nivel1 Char"/>
    <w:basedOn w:val="Ttulo1Char"/>
    <w:qFormat/>
    <w:rPr>
      <w:rFonts w:ascii="Arial" w:hAnsi="Arial" w:eastAsia="Arial" w:cs="Arial" w:eastAsiaTheme="majorEastAsia"/>
      <w:b/>
      <w:bCs w:val="false"/>
      <w:color w:themeColor="accent1" w:themeShade="bf" w:val="365F91"/>
      <w:sz w:val="28"/>
      <w:szCs w:val="28"/>
      <w:lang w:eastAsia="pt-BR"/>
    </w:rPr>
  </w:style>
  <w:style w:type="character" w:styleId="Nivel4Char" w:customStyle="1">
    <w:name w:val="Nivel 4 Char"/>
    <w:basedOn w:val="DefaultParagraphFont"/>
    <w:qFormat/>
    <w:rPr>
      <w:rFonts w:ascii="Arial" w:hAnsi="Arial" w:cs="Arial"/>
      <w:lang w:eastAsia="pt-BR"/>
    </w:rPr>
  </w:style>
  <w:style w:type="character" w:styleId="cp0020corpodespachochar1" w:customStyle="1">
    <w:name w:val="cp_0020corpodespacho__char1"/>
    <w:qFormat/>
    <w:rPr>
      <w:rFonts w:ascii="Times New Roman" w:hAnsi="Times New Roman" w:cs="Times New Roman"/>
      <w:sz w:val="26"/>
      <w:szCs w:val="26"/>
      <w:u w:val="none"/>
    </w:rPr>
  </w:style>
  <w:style w:type="character" w:styleId="em0020ementachar1" w:customStyle="1">
    <w:name w:val="em_0020ementa__char1"/>
    <w:qFormat/>
    <w:rPr>
      <w:rFonts w:ascii="Times New Roman" w:hAnsi="Times New Roman" w:cs="Times New Roman"/>
      <w:sz w:val="28"/>
      <w:szCs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uiPriority w:val="29"/>
    <w:qFormat/>
    <w:rPr>
      <w:rFonts w:ascii="Arial" w:hAnsi="Arial" w:eastAsia="Calibri"/>
      <w:i/>
      <w:iCs/>
      <w:color w:val="000000"/>
      <w:szCs w:val="24"/>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MenoPendente2" w:customStyle="1">
    <w:name w:val="Menção Pendente2"/>
    <w:basedOn w:val="DefaultParagraphFont"/>
    <w:uiPriority w:val="99"/>
    <w:semiHidden/>
    <w:unhideWhenUsed/>
    <w:qFormat/>
    <w:rPr>
      <w:color w:val="605E5C"/>
      <w:shd w:fill="E1DFDD" w:val="clear"/>
    </w:rPr>
  </w:style>
  <w:style w:type="character" w:styleId="Nivel2Char" w:customStyle="1">
    <w:name w:val="Nivel 2 Char"/>
    <w:basedOn w:val="DefaultParagraphFont"/>
    <w:qFormat/>
    <w:rPr>
      <w:rFonts w:ascii="Arial" w:hAnsi="Arial" w:cs="Arial"/>
      <w:color w:val="000000"/>
      <w:lang w:eastAsia="pt-BR"/>
    </w:rPr>
  </w:style>
  <w:style w:type="character" w:styleId="Nvel2OpcionalChar" w:customStyle="1">
    <w:name w:val="Nível 2 Opcional Char"/>
    <w:basedOn w:val="DefaultParagraphFont"/>
    <w:qFormat/>
    <w:rPr>
      <w:rFonts w:ascii="Arial" w:hAnsi="Arial" w:eastAsia="Times New Roman" w:cs="Arial"/>
      <w:i/>
      <w:color w:val="FF0000"/>
      <w:lang w:eastAsia="pt-BR"/>
    </w:rPr>
  </w:style>
  <w:style w:type="character" w:styleId="Nvel3OpcionalChar" w:customStyle="1">
    <w:name w:val="Nível 3 Opcional Char"/>
    <w:basedOn w:val="DefaultParagraphFont"/>
    <w:qFormat/>
    <w:rPr>
      <w:rFonts w:ascii="Arial" w:hAnsi="Arial" w:eastAsia="Times New Roman" w:cs="Arial"/>
      <w:i/>
      <w:iCs/>
      <w:color w:val="FF0000"/>
      <w:lang w:eastAsia="pt-BR"/>
    </w:rPr>
  </w:style>
  <w:style w:type="character" w:styleId="PlaceholderText">
    <w:name w:val="Placeholder Text"/>
    <w:basedOn w:val="DefaultParagraphFont"/>
    <w:uiPriority w:val="67"/>
    <w:semiHidden/>
    <w:qFormat/>
    <w:rPr>
      <w:color w:val="808080"/>
    </w:rPr>
  </w:style>
  <w:style w:type="character" w:styleId="PargrafodaListaChar" w:customStyle="1">
    <w:name w:val="Parágrafo da Lista Char"/>
    <w:basedOn w:val="DefaultParagraphFont"/>
    <w:uiPriority w:val="34"/>
    <w:qFormat/>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4"/>
      <w:szCs w:val="24"/>
    </w:rPr>
  </w:style>
  <w:style w:type="character" w:styleId="Ttulo6Char" w:customStyle="1">
    <w:name w:val="Título 6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2"/>
      <w:szCs w:val="22"/>
    </w:rPr>
  </w:style>
  <w:style w:type="character" w:styleId="markedcontent" w:customStyle="1">
    <w:name w:val="markedcontent"/>
    <w:basedOn w:val="DefaultParagraphFont"/>
    <w:qFormat/>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MenoPendente4" w:customStyle="1">
    <w:name w:val="Menção Pendente4"/>
    <w:basedOn w:val="DefaultParagraphFont"/>
    <w:uiPriority w:val="99"/>
    <w:semiHidden/>
    <w:unhideWhenUsed/>
    <w:qFormat/>
    <w:rPr>
      <w:color w:val="605E5C"/>
      <w:shd w:fill="E1DFDD" w:val="clear"/>
    </w:rPr>
  </w:style>
  <w:style w:type="character" w:styleId="ouChar" w:customStyle="1">
    <w:name w:val="ou Char"/>
    <w:basedOn w:val="PargrafodaListaChar"/>
    <w:qFormat/>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qFormat/>
    <w:rPr>
      <w:rFonts w:ascii="Arial" w:hAnsi="Arial" w:cs="Arial"/>
      <w:i/>
      <w:iCs/>
      <w:color w:val="FF0000"/>
      <w:lang w:eastAsia="pt-BR"/>
    </w:rPr>
  </w:style>
  <w:style w:type="character" w:styleId="Nivel3Char" w:customStyle="1">
    <w:name w:val="Nivel 3 Char"/>
    <w:basedOn w:val="DefaultParagraphFont"/>
    <w:qFormat/>
    <w:rPr>
      <w:rFonts w:ascii="Arial" w:hAnsi="Arial" w:cs="Arial"/>
      <w:color w:val="000000"/>
      <w:lang w:eastAsia="pt-BR"/>
    </w:rPr>
  </w:style>
  <w:style w:type="character" w:styleId="Nvel3-RChar" w:customStyle="1">
    <w:name w:val="Nível 3-R Char"/>
    <w:basedOn w:val="Nivel3Char"/>
    <w:qFormat/>
    <w:rPr>
      <w:rFonts w:ascii="Arial" w:hAnsi="Arial" w:cs="Arial"/>
      <w:i/>
      <w:iCs/>
      <w:color w:val="FF0000"/>
      <w:lang w:eastAsia="pt-BR"/>
    </w:rPr>
  </w:style>
  <w:style w:type="character" w:styleId="Nvel4-RChar" w:customStyle="1">
    <w:name w:val="Nível 4-R Char"/>
    <w:basedOn w:val="Nivel4Char"/>
    <w:qFormat/>
    <w:rPr>
      <w:rFonts w:ascii="Arial" w:hAnsi="Arial" w:cs="Arial"/>
      <w:i/>
      <w:iCs/>
      <w:color w:val="FF0000"/>
      <w:lang w:eastAsia="pt-BR"/>
    </w:rPr>
  </w:style>
  <w:style w:type="character" w:styleId="Nvel1-SemNumChar" w:customStyle="1">
    <w:name w:val="Nível 1-Sem Num Char"/>
    <w:basedOn w:val="Nivel01Char"/>
    <w:qFormat/>
    <w:rPr>
      <w:rFonts w:ascii="Arial" w:hAnsi="Arial" w:eastAsia="Arial" w:cs="Arial" w:eastAsiaTheme="majorEastAsia"/>
      <w:b/>
      <w:bCs/>
      <w:color w:themeColor="text2" w:themeShade="bf" w:val="17365D"/>
      <w:spacing w:val="5"/>
      <w:sz w:val="52"/>
      <w:szCs w:val="52"/>
      <w:lang w:eastAsia="pt-BR"/>
    </w:rPr>
  </w:style>
  <w:style w:type="character" w:styleId="PrembuloChar" w:customStyle="1">
    <w:name w:val="Preâmbulo Char"/>
    <w:basedOn w:val="DefaultParagraphFont"/>
    <w:qFormat/>
    <w:rPr>
      <w:rFonts w:ascii="Arial" w:hAnsi="Arial" w:eastAsia="Arial" w:cs="Arial"/>
      <w:bCs/>
      <w:lang w:eastAsia="pt-BR"/>
    </w:rPr>
  </w:style>
  <w:style w:type="character" w:styleId="MenoPendente5" w:customStyle="1">
    <w:name w:val="Menção Pendente5"/>
    <w:basedOn w:val="DefaultParagraphFont"/>
    <w:uiPriority w:val="99"/>
    <w:semiHidden/>
    <w:unhideWhenUsed/>
    <w:qFormat/>
    <w:rPr>
      <w:color w:val="605E5C"/>
      <w:shd w:fill="E1DFDD" w:val="clear"/>
    </w:rPr>
  </w:style>
  <w:style w:type="character" w:styleId="citao2Char" w:customStyle="1">
    <w:name w:val="citação 2 Char"/>
    <w:basedOn w:val="CitaoChar"/>
    <w:qFormat/>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Pr>
      <w:color w:val="605E5C"/>
      <w:shd w:fill="E1DFDD" w:val="clear"/>
    </w:rPr>
  </w:style>
  <w:style w:type="character" w:styleId="Mentionnonrsolue1" w:customStyle="1">
    <w:name w:val="Mention non résolue1"/>
    <w:basedOn w:val="DefaultParagraphFont"/>
    <w:uiPriority w:val="99"/>
    <w:semiHidden/>
    <w:unhideWhenUsed/>
    <w:qFormat/>
    <w:rPr>
      <w:color w:val="605E5C"/>
      <w:shd w:fill="E1DFDD" w:val="clear"/>
    </w:rPr>
  </w:style>
  <w:style w:type="character" w:styleId="Hiperlink" w:customStyle="1">
    <w:name w:val="Hiperlink"/>
    <w:qFormat/>
    <w:rPr>
      <w:color w:val="0000FF"/>
      <w:u w:val="single"/>
    </w:rPr>
  </w:style>
  <w:style w:type="character" w:styleId="Hyperlink">
    <w:name w:val="Hyperlink"/>
    <w:rPr>
      <w:color w:val="000080"/>
      <w:u w:val="single"/>
    </w:rPr>
  </w:style>
  <w:style w:type="character" w:styleId="UnresolvedMention">
    <w:name w:val="Unresolved Mention"/>
    <w:basedOn w:val="DefaultParagraphFont"/>
    <w:uiPriority w:val="99"/>
    <w:semiHidden/>
    <w:unhideWhenUsed/>
    <w:qFormat/>
    <w:rsid w:val="00d06014"/>
    <w:rPr>
      <w:color w:val="605E5C"/>
      <w:shd w:fill="E1DFDD" w:val="clear"/>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nhideWhenUsed/>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uiPriority w:val="35"/>
    <w:semiHidden/>
    <w:unhideWhenUsed/>
    <w:qFormat/>
    <w:pPr>
      <w:spacing w:lineRule="auto" w:line="276"/>
    </w:pPr>
    <w:rPr>
      <w:b/>
      <w:bCs/>
      <w:color w:themeColor="accent1" w:val="4F81BD"/>
      <w:sz w:val="18"/>
      <w:szCs w:val="18"/>
    </w:rPr>
  </w:style>
  <w:style w:type="paragraph" w:styleId="ndice" w:customStyle="1">
    <w:name w:val="Índice"/>
    <w:basedOn w:val="Normal"/>
    <w:qFormat/>
    <w:pPr>
      <w:suppressLineNumbers/>
    </w:pPr>
    <w:rPr>
      <w:rFonts w:cs="Lucida Sans"/>
    </w:rPr>
  </w:style>
  <w:style w:type="paragraph" w:styleId="Title">
    <w:name w:val="Title"/>
    <w:basedOn w:val="Normal"/>
    <w:next w:val="BodyText"/>
    <w:qFormat/>
    <w:pPr>
      <w:pBdr>
        <w:bottom w:val="single" w:sz="8" w:space="4" w:color="4F81BD" w:themeColor="accent1"/>
      </w:pBdr>
      <w:spacing w:before="0" w:after="300"/>
      <w:contextualSpacing/>
    </w:pPr>
    <w:rPr>
      <w:rFonts w:ascii="Calibri" w:hAnsi="Calibri" w:eastAsia="Arial" w:cs="Arial" w:asciiTheme="majorHAnsi" w:cstheme="majorBidi" w:eastAsiaTheme="majorEastAsia" w:hAnsiTheme="majorHAnsi"/>
      <w:color w:themeColor="text2" w:themeShade="bf" w:val="17365D"/>
      <w:spacing w:val="5"/>
      <w:sz w:val="52"/>
      <w:szCs w:val="52"/>
    </w:rPr>
  </w:style>
  <w:style w:type="paragraph" w:styleId="ndiceuser" w:customStyle="1">
    <w:name w:val="Índice (user)"/>
    <w:basedOn w:val="Normal"/>
    <w:qFormat/>
    <w:pPr>
      <w:suppressLineNumbers/>
    </w:pPr>
    <w:rPr>
      <w:rFonts w:cs="Lucida Sans"/>
    </w:rPr>
  </w:style>
  <w:style w:type="paragraph" w:styleId="Ttulo1" w:customStyle="1">
    <w:name w:val="Título1"/>
    <w:basedOn w:val="Normal"/>
    <w:next w:val="BodyText"/>
    <w:qFormat/>
    <w:pPr>
      <w:keepNext w:val="true"/>
      <w:spacing w:before="240" w:after="120"/>
    </w:pPr>
    <w:rPr>
      <w:rFonts w:ascii="Liberation Sans" w:hAnsi="Liberation Sans" w:eastAsia="Microsoft YaHei" w:cs="Lucida Sans"/>
      <w:sz w:val="28"/>
      <w:szCs w:val="28"/>
    </w:rPr>
  </w:style>
  <w:style w:type="paragraph" w:styleId="IndexHeading">
    <w:name w:val="index heading"/>
    <w:basedOn w:val="Title"/>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SimSun" w:cs="Times New Roman"/>
      <w:color w:val="auto"/>
      <w:kern w:val="0"/>
      <w:sz w:val="20"/>
      <w:szCs w:val="20"/>
      <w:lang w:val="pt-BR" w:eastAsia="ja-JP" w:bidi="ar-SA"/>
    </w:rPr>
  </w:style>
  <w:style w:type="paragraph" w:styleId="TOC2">
    <w:name w:val="toc 2"/>
    <w:basedOn w:val="Normal"/>
    <w:uiPriority w:val="39"/>
    <w:unhideWhenUsed/>
    <w:qFormat/>
    <w:pPr>
      <w:spacing w:before="0" w:after="57"/>
      <w:ind w:left="283"/>
    </w:pPr>
    <w:rPr/>
  </w:style>
  <w:style w:type="paragraph" w:styleId="TOC9">
    <w:name w:val="toc 9"/>
    <w:basedOn w:val="Normal"/>
    <w:uiPriority w:val="39"/>
    <w:unhideWhenUsed/>
    <w:qFormat/>
    <w:pPr>
      <w:spacing w:before="0" w:after="57"/>
      <w:ind w:left="2268"/>
    </w:pPr>
    <w:rPr/>
  </w:style>
  <w:style w:type="paragraph" w:styleId="TOC6">
    <w:name w:val="toc 6"/>
    <w:basedOn w:val="Normal"/>
    <w:uiPriority w:val="39"/>
    <w:unhideWhenUsed/>
    <w:pPr>
      <w:spacing w:before="0" w:after="57"/>
      <w:ind w:left="1417"/>
    </w:pPr>
    <w:rPr/>
  </w:style>
  <w:style w:type="paragraph" w:styleId="CommentText">
    <w:name w:val="annotation text"/>
    <w:basedOn w:val="Normal"/>
    <w:uiPriority w:val="99"/>
    <w:unhideWhenUsed/>
    <w:qFormat/>
    <w:pPr/>
    <w:rPr>
      <w:sz w:val="20"/>
      <w:szCs w:val="20"/>
    </w:rPr>
  </w:style>
  <w:style w:type="paragraph" w:styleId="TOC5">
    <w:name w:val="toc 5"/>
    <w:basedOn w:val="Normal"/>
    <w:uiPriority w:val="39"/>
    <w:unhideWhenUsed/>
    <w:pPr>
      <w:spacing w:before="0" w:after="57"/>
      <w:ind w:left="1134"/>
    </w:pPr>
    <w:rPr/>
  </w:style>
  <w:style w:type="paragraph" w:styleId="TableofFigures">
    <w:name w:val="table of figures"/>
    <w:basedOn w:val="Normal"/>
    <w:uiPriority w:val="99"/>
    <w:unhideWhenUsed/>
    <w:pPr/>
    <w:rPr/>
  </w:style>
  <w:style w:type="paragraph" w:styleId="ListBullet5">
    <w:name w:val="List Bullet 5"/>
    <w:basedOn w:val="Normal"/>
    <w:pPr>
      <w:numPr>
        <w:ilvl w:val="0"/>
        <w:numId w:val="1"/>
      </w:numPr>
      <w:spacing w:before="0" w:after="0"/>
      <w:contextualSpacing/>
    </w:pPr>
    <w:rPr/>
  </w:style>
  <w:style w:type="paragraph" w:styleId="EndnoteText">
    <w:name w:val="endnote text"/>
    <w:basedOn w:val="Normal"/>
    <w:uiPriority w:val="99"/>
    <w:semiHidden/>
    <w:unhideWhenUsed/>
    <w:qFormat/>
    <w:pPr/>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OC4">
    <w:name w:val="toc 4"/>
    <w:basedOn w:val="Normal"/>
    <w:uiPriority w:val="39"/>
    <w:unhideWhenUsed/>
    <w:pPr>
      <w:spacing w:before="0" w:after="57"/>
      <w:ind w:left="850"/>
    </w:pPr>
    <w:rPr/>
  </w:style>
  <w:style w:type="paragraph" w:styleId="TOC8">
    <w:name w:val="toc 8"/>
    <w:basedOn w:val="Normal"/>
    <w:uiPriority w:val="39"/>
    <w:unhideWhenUsed/>
    <w:qFormat/>
    <w:pPr>
      <w:spacing w:before="0" w:after="57"/>
      <w:ind w:left="1984"/>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qFormat/>
    <w:pPr>
      <w:tabs>
        <w:tab w:val="clear" w:pos="708"/>
        <w:tab w:val="center" w:pos="4252" w:leader="none"/>
        <w:tab w:val="right" w:pos="8504" w:leader="none"/>
      </w:tabs>
    </w:pPr>
    <w:rPr/>
  </w:style>
  <w:style w:type="paragraph" w:styleId="annotationsubject">
    <w:name w:val="annotation subject"/>
    <w:basedOn w:val="CommentText"/>
    <w:semiHidden/>
    <w:unhideWhenUsed/>
    <w:qFormat/>
    <w:pPr/>
    <w:rPr>
      <w:b/>
      <w:bCs/>
    </w:rPr>
  </w:style>
  <w:style w:type="paragraph" w:styleId="Footer">
    <w:name w:val="footer"/>
    <w:basedOn w:val="Normal"/>
    <w:uiPriority w:val="99"/>
    <w:qFormat/>
    <w:pPr>
      <w:tabs>
        <w:tab w:val="clear" w:pos="708"/>
        <w:tab w:val="center" w:pos="4252" w:leader="none"/>
        <w:tab w:val="right" w:pos="8504" w:leader="none"/>
      </w:tabs>
    </w:pPr>
    <w:rPr/>
  </w:style>
  <w:style w:type="paragraph" w:styleId="TOC7">
    <w:name w:val="toc 7"/>
    <w:basedOn w:val="Normal"/>
    <w:uiPriority w:val="39"/>
    <w:unhideWhenUsed/>
    <w:qFormat/>
    <w:pPr>
      <w:spacing w:before="0" w:after="57"/>
      <w:ind w:left="1701"/>
    </w:pPr>
    <w:rPr/>
  </w:style>
  <w:style w:type="paragraph" w:styleId="TOC3">
    <w:name w:val="toc 3"/>
    <w:basedOn w:val="Normal"/>
    <w:uiPriority w:val="39"/>
    <w:unhideWhenUsed/>
    <w:qFormat/>
    <w:pPr>
      <w:spacing w:before="0" w:after="57"/>
      <w:ind w:left="567"/>
    </w:pPr>
    <w:rPr/>
  </w:style>
  <w:style w:type="paragraph" w:styleId="BalloonText">
    <w:name w:val="Balloon Text"/>
    <w:basedOn w:val="Normal"/>
    <w:uiPriority w:val="99"/>
    <w:qFormat/>
    <w:pPr/>
    <w:rPr>
      <w:rFonts w:ascii="Tahoma" w:hAnsi="Tahoma"/>
      <w:sz w:val="16"/>
      <w:szCs w:val="16"/>
    </w:rPr>
  </w:style>
  <w:style w:type="paragraph" w:styleId="Subtitle">
    <w:name w:val="Subtitle"/>
    <w:basedOn w:val="Normal"/>
    <w:uiPriority w:val="11"/>
    <w:qFormat/>
    <w:pPr>
      <w:spacing w:before="200" w:after="200"/>
    </w:pPr>
    <w:rPr/>
  </w:style>
  <w:style w:type="paragraph" w:styleId="FootnoteText">
    <w:name w:val="footnote text"/>
    <w:basedOn w:val="Normal"/>
    <w:uiPriority w:val="99"/>
    <w:semiHidden/>
    <w:unhideWhenUsed/>
    <w:qFormat/>
    <w:pPr>
      <w:spacing w:before="0" w:after="40"/>
    </w:pPr>
    <w:rPr>
      <w:sz w:val="18"/>
    </w:rPr>
  </w:style>
  <w:style w:type="paragraph" w:styleId="TOC1">
    <w:name w:val="toc 1"/>
    <w:basedOn w:val="Normal"/>
    <w:uiPriority w:val="39"/>
    <w:unhideWhenUsed/>
    <w:qFormat/>
    <w:pPr>
      <w:tabs>
        <w:tab w:val="clear" w:pos="708"/>
        <w:tab w:val="left" w:pos="426" w:leader="none"/>
        <w:tab w:val="right" w:pos="9628" w:leader="dot"/>
      </w:tabs>
      <w:spacing w:before="0" w:after="100"/>
    </w:pPr>
    <w:rPr>
      <w:rFonts w:ascii="Arial" w:hAnsi="Arial" w:eastAsia="Times New Roman"/>
      <w:sz w:val="20"/>
    </w:rPr>
  </w:style>
  <w:style w:type="paragraph" w:styleId="NoSpacing">
    <w:name w:val="No Spacing"/>
    <w:uiPriority w:val="1"/>
    <w:qFormat/>
    <w:pPr>
      <w:widowControl/>
      <w:suppressAutoHyphens w:val="true"/>
      <w:bidi w:val="0"/>
      <w:spacing w:before="0" w:after="0"/>
      <w:jc w:val="left"/>
    </w:pPr>
    <w:rPr>
      <w:rFonts w:eastAsia="Arial" w:eastAsiaTheme="minorEastAsia" w:ascii="Times New Roman" w:hAnsi="Times New Roman" w:cs="Times New Roman"/>
      <w:color w:val="auto"/>
      <w:kern w:val="0"/>
      <w:sz w:val="20"/>
      <w:szCs w:val="20"/>
      <w:lang w:val="pt-BR" w:eastAsia="ja-JP" w:bidi="ar-SA"/>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ListParagraph">
    <w:name w:val="List Paragraph"/>
    <w:basedOn w:val="Normal"/>
    <w:uiPriority w:val="1"/>
    <w:qFormat/>
    <w:pPr>
      <w:spacing w:before="0" w:after="0"/>
      <w:ind w:left="720"/>
      <w:contextualSpacing/>
    </w:pPr>
    <w:rPr/>
  </w:style>
  <w:style w:type="paragraph" w:styleId="Nvel2" w:customStyle="1">
    <w:name w:val="Nível 2"/>
    <w:basedOn w:val="Normal"/>
    <w:qFormat/>
    <w:pPr>
      <w:spacing w:before="0" w:after="120"/>
      <w:jc w:val="both"/>
    </w:pPr>
    <w:rPr>
      <w:rFonts w:ascii="Arial" w:hAnsi="Arial" w:cs="Times New Roman"/>
      <w:b/>
      <w:szCs w:val="20"/>
    </w:rPr>
  </w:style>
  <w:style w:type="paragraph" w:styleId="Quote">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Notaexplicativa" w:customStyle="1">
    <w:name w:val="Nota explicativa"/>
    <w:basedOn w:val="Quote"/>
    <w:qFormat/>
    <w:pPr/>
    <w:rPr>
      <w:szCs w:val="20"/>
    </w:rPr>
  </w:style>
  <w:style w:type="paragraph" w:styleId="Nivel01" w:customStyle="1">
    <w:name w:val="Nivel 01"/>
    <w:basedOn w:val="Heading1"/>
    <w:qFormat/>
    <w:pPr>
      <w:numPr>
        <w:ilvl w:val="0"/>
        <w:numId w:val="2"/>
      </w:numPr>
      <w:tabs>
        <w:tab w:val="clear" w:pos="708"/>
        <w:tab w:val="left" w:pos="567" w:leader="none"/>
      </w:tabs>
      <w:spacing w:lineRule="auto" w:line="312" w:before="288" w:after="288"/>
      <w:ind w:left="360"/>
      <w:jc w:val="both"/>
    </w:pPr>
    <w:rPr>
      <w:rFonts w:ascii="Arial" w:hAnsi="Arial" w:cs="Arial"/>
      <w:sz w:val="20"/>
      <w:szCs w:val="20"/>
    </w:rPr>
  </w:style>
  <w:style w:type="paragraph" w:styleId="Nivel01Titulo" w:customStyle="1">
    <w:name w:val="Nivel_01_Titulo"/>
    <w:basedOn w:val="Nivel01"/>
    <w:qFormat/>
    <w:pPr>
      <w:jc w:val="left"/>
    </w:pPr>
    <w:rPr>
      <w:rFonts w:cs="Arial" w:cstheme="majorBidi"/>
      <w:color w:themeColor="text1" w:val="000000"/>
      <w:spacing w:val="5"/>
      <w:sz w:val="52"/>
      <w:szCs w:val="52"/>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eastAsia="zh-CN" w:bidi="hi-IN" w:val="pt-BR"/>
    </w:rPr>
  </w:style>
  <w:style w:type="paragraph" w:styleId="Citao1" w:customStyle="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pPr>
      <w:spacing w:beforeAutospacing="1" w:afterAutospacing="1"/>
    </w:pPr>
    <w:rPr>
      <w:rFonts w:ascii="Times New Roman" w:hAnsi="Times New Roman" w:eastAsia="Times New Roman" w:cs="Times New Roman"/>
    </w:rPr>
  </w:style>
  <w:style w:type="paragraph" w:styleId="Nivel1" w:customStyle="1">
    <w:name w:val="Nivel1"/>
    <w:basedOn w:val="Heading1"/>
    <w:qFormat/>
    <w:pPr>
      <w:spacing w:lineRule="auto" w:line="276"/>
      <w:ind w:hanging="357" w:left="357"/>
      <w:jc w:val="both"/>
    </w:pPr>
    <w:rPr>
      <w:rFonts w:ascii="Arial" w:hAnsi="Arial" w:cs="Arial"/>
      <w:bCs w:val="false"/>
    </w:rPr>
  </w:style>
  <w:style w:type="paragraph" w:styleId="PargrafodaLista1" w:customStyle="1">
    <w:name w:val="Parágrafo da Lista1"/>
    <w:basedOn w:val="Normal"/>
    <w:qFormat/>
    <w:pPr>
      <w:ind w:left="720"/>
    </w:pPr>
    <w:rPr>
      <w:rFonts w:eastAsia="Times New Roman" w:cs="Ecofont_Spranq_eco_Sans"/>
    </w:rPr>
  </w:style>
  <w:style w:type="paragraph" w:styleId="Nivel2" w:customStyle="1">
    <w:name w:val="Nivel 2"/>
    <w:basedOn w:val="Normal"/>
    <w:qFormat/>
    <w:pPr>
      <w:numPr>
        <w:ilvl w:val="1"/>
        <w:numId w:val="2"/>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qFormat/>
    <w:pPr>
      <w:numPr>
        <w:ilvl w:val="0"/>
        <w:numId w:val="0"/>
      </w:numPr>
      <w:ind w:hanging="360" w:left="360"/>
    </w:pPr>
    <w:rPr>
      <w:b/>
    </w:rPr>
  </w:style>
  <w:style w:type="paragraph" w:styleId="Nivel3" w:customStyle="1">
    <w:name w:val="Nivel 3"/>
    <w:basedOn w:val="Normal"/>
    <w:qFormat/>
    <w:pPr>
      <w:numPr>
        <w:ilvl w:val="2"/>
        <w:numId w:val="2"/>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qFormat/>
    <w:pPr>
      <w:ind w:left="567"/>
    </w:pPr>
    <w:rPr>
      <w:color w:val="auto"/>
    </w:rPr>
  </w:style>
  <w:style w:type="paragraph" w:styleId="Nivel5" w:customStyle="1">
    <w:name w:val="Nivel 5"/>
    <w:basedOn w:val="Nivel4"/>
    <w:qFormat/>
    <w:pPr>
      <w:ind w:left="851"/>
    </w:pPr>
    <w:rPr/>
  </w:style>
  <w:style w:type="paragraph" w:styleId="textbody" w:customStyle="1">
    <w:name w:val="textbody"/>
    <w:basedOn w:val="Normal"/>
    <w:qFormat/>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pPr>
      <w:ind w:left="4160"/>
      <w:jc w:val="both"/>
    </w:pPr>
    <w:rPr>
      <w:rFonts w:ascii="Times New Roman" w:hAnsi="Times New Roman" w:eastAsia="Times New Roman" w:cs="Times New Roman"/>
      <w:sz w:val="28"/>
      <w:szCs w:val="28"/>
    </w:rPr>
  </w:style>
  <w:style w:type="paragraph" w:styleId="Reviso1" w:customStyle="1">
    <w:name w:val="Revisão1"/>
    <w:uiPriority w:val="99"/>
    <w:semiHidden/>
    <w:qFormat/>
    <w:pPr>
      <w:widowControl/>
      <w:suppressAutoHyphens w:val="true"/>
      <w:bidi w:val="0"/>
      <w:spacing w:before="0" w:after="0"/>
      <w:jc w:val="left"/>
    </w:pPr>
    <w:rPr>
      <w:rFonts w:ascii="Ecofont_Spranq_eco_Sans" w:hAnsi="Ecofont_Spranq_eco_Sans" w:eastAsia="Times New Roman" w:cs="Tahoma"/>
      <w:color w:val="auto"/>
      <w:kern w:val="0"/>
      <w:sz w:val="24"/>
      <w:szCs w:val="24"/>
      <w:lang w:eastAsia="pt-BR" w:val="pt-BR" w:bidi="ar-SA"/>
    </w:rPr>
  </w:style>
  <w:style w:type="paragraph" w:styleId="texto1" w:customStyle="1">
    <w:name w:val="texto1"/>
    <w:basedOn w:val="Normal"/>
    <w:qFormat/>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pPr>
      <w:ind w:firstLine="1134"/>
      <w:jc w:val="both"/>
    </w:pPr>
    <w:rPr>
      <w:rFonts w:ascii="Times New Roman" w:hAnsi="Times New Roman" w:eastAsia="Times New Roman" w:cs="Times New Roman"/>
      <w:szCs w:val="22"/>
      <w:lang w:eastAsia="en-US"/>
    </w:rPr>
  </w:style>
  <w:style w:type="paragraph" w:styleId="Normal1" w:customStyle="1">
    <w:name w:val="Normal_1"/>
    <w:qFormat/>
    <w:pPr>
      <w:widowControl/>
      <w:suppressAutoHyphens w:val="true"/>
      <w:bidi w:val="0"/>
      <w:spacing w:before="0" w:after="0"/>
      <w:jc w:val="left"/>
    </w:pPr>
    <w:rPr>
      <w:rFonts w:eastAsia="Times New Roman" w:ascii="Times New Roman" w:hAnsi="Times New Roman" w:cs="Times New Roman"/>
      <w:color w:val="auto"/>
      <w:kern w:val="0"/>
      <w:sz w:val="24"/>
      <w:szCs w:val="22"/>
      <w:lang w:eastAsia="en-US" w:val="pt-BR" w:bidi="ar-SA"/>
    </w:rPr>
  </w:style>
  <w:style w:type="paragraph" w:styleId="tcu-ac-item9-1linha" w:customStyle="1">
    <w:name w:val="tcu_-__ac_-_item_9_-_1ª_linha"/>
    <w:basedOn w:val="Normal"/>
    <w:qFormat/>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pPr>
      <w:spacing w:beforeAutospacing="1" w:afterAutospacing="1"/>
    </w:pPr>
    <w:rPr>
      <w:rFonts w:ascii="Times New Roman" w:hAnsi="Times New Roman" w:eastAsia="Times New Roman" w:cs="Times New Roman"/>
    </w:rPr>
  </w:style>
  <w:style w:type="paragraph" w:styleId="Nvel2Opcional" w:customStyle="1">
    <w:name w:val="Nível 2 Opcional"/>
    <w:basedOn w:val="Nivel2"/>
    <w:qFormat/>
    <w:pPr>
      <w:numPr>
        <w:ilvl w:val="0"/>
        <w:numId w:val="0"/>
      </w:numPr>
      <w:ind w:hanging="432" w:left="432"/>
    </w:pPr>
    <w:rPr>
      <w:rFonts w:eastAsia="Times New Roman"/>
      <w:i/>
      <w:color w:val="FF0000"/>
    </w:rPr>
  </w:style>
  <w:style w:type="paragraph" w:styleId="Nvel3Opcional" w:customStyle="1">
    <w:name w:val="Nível 3 Opcional"/>
    <w:basedOn w:val="Nivel3"/>
    <w:qFormat/>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pPr>
      <w:spacing w:beforeAutospacing="1" w:afterAutospacing="1"/>
    </w:pPr>
    <w:rPr>
      <w:rFonts w:ascii="Times New Roman" w:hAnsi="Times New Roman" w:eastAsia="Times New Roman" w:cs="Times New Roman"/>
    </w:rPr>
  </w:style>
  <w:style w:type="paragraph" w:styleId="itemnivel2" w:customStyle="1">
    <w:name w:val="item_nivel2"/>
    <w:basedOn w:val="Normal"/>
    <w:qFormat/>
    <w:pPr>
      <w:spacing w:beforeAutospacing="1" w:afterAutospacing="1"/>
    </w:pPr>
    <w:rPr>
      <w:rFonts w:ascii="Times New Roman" w:hAnsi="Times New Roman" w:eastAsia="Times New Roman" w:cs="Times New Roman"/>
    </w:rPr>
  </w:style>
  <w:style w:type="paragraph" w:styleId="itemnivel1" w:customStyle="1">
    <w:name w:val="item_nivel1"/>
    <w:basedOn w:val="Normal"/>
    <w:qFormat/>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pPr>
      <w:spacing w:beforeAutospacing="1" w:afterAutospacing="1"/>
    </w:pPr>
    <w:rPr>
      <w:rFonts w:ascii="Times New Roman" w:hAnsi="Times New Roman" w:eastAsia="Times New Roman" w:cs="Times New Roman"/>
    </w:rPr>
  </w:style>
  <w:style w:type="paragraph" w:styleId="Standard" w:customStyle="1">
    <w:name w:val="Standard"/>
    <w:qFormat/>
    <w:pPr>
      <w:widowControl/>
      <w:suppressAutoHyphens w:val="true"/>
      <w:bidi w:val="0"/>
      <w:spacing w:before="0" w:after="0"/>
      <w:jc w:val="left"/>
    </w:pPr>
    <w:rPr>
      <w:rFonts w:ascii="Liberation Serif" w:hAnsi="Liberation Serif" w:eastAsia="NSimSun" w:cs="Lucida Sans"/>
      <w:color w:val="auto"/>
      <w:kern w:val="0"/>
      <w:sz w:val="24"/>
      <w:szCs w:val="24"/>
      <w:lang w:eastAsia="zh-CN" w:bidi="hi-IN" w:val="pt-BR"/>
    </w:rPr>
  </w:style>
  <w:style w:type="paragraph" w:styleId="Textbody1" w:customStyle="1">
    <w:name w:val="Text body"/>
    <w:basedOn w:val="Standard"/>
    <w:qFormat/>
    <w:pPr>
      <w:spacing w:lineRule="auto" w:line="276" w:before="0" w:after="140"/>
    </w:pPr>
    <w:rPr/>
  </w:style>
  <w:style w:type="paragraph" w:styleId="ou" w:customStyle="1">
    <w:name w:val="ou"/>
    <w:basedOn w:val="ListParagraph"/>
    <w:qFormat/>
    <w:pPr>
      <w:spacing w:lineRule="auto" w:line="259" w:before="60" w:after="60"/>
      <w:ind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pPr>
      <w:spacing w:beforeAutospacing="1" w:afterAutospacing="1"/>
    </w:pPr>
    <w:rPr>
      <w:rFonts w:ascii="Times New Roman" w:hAnsi="Times New Roman" w:eastAsia="Times New Roman" w:cs="Times New Roman"/>
    </w:rPr>
  </w:style>
  <w:style w:type="paragraph" w:styleId="Nvel2-Red" w:customStyle="1">
    <w:name w:val="Nível 2 -Red"/>
    <w:basedOn w:val="Nivel2"/>
    <w:qFormat/>
    <w:pPr/>
    <w:rPr>
      <w:i/>
      <w:iCs/>
      <w:color w:val="FF0000"/>
    </w:rPr>
  </w:style>
  <w:style w:type="paragraph" w:styleId="Nvel3-R" w:customStyle="1">
    <w:name w:val="Nível 3-R"/>
    <w:basedOn w:val="Nivel3"/>
    <w:qFormat/>
    <w:pPr/>
    <w:rPr>
      <w:i/>
      <w:iCs/>
      <w:color w:val="FF0000"/>
    </w:rPr>
  </w:style>
  <w:style w:type="paragraph" w:styleId="Nvel4-R" w:customStyle="1">
    <w:name w:val="Nível 4-R"/>
    <w:basedOn w:val="Nivel4"/>
    <w:qFormat/>
    <w:pPr/>
    <w:rPr>
      <w:i/>
      <w:iCs/>
      <w:color w:val="FF0000"/>
    </w:rPr>
  </w:style>
  <w:style w:type="paragraph" w:styleId="Nvel1-SemNum" w:customStyle="1">
    <w:name w:val="Nível 1-Sem Num"/>
    <w:basedOn w:val="Nivel01"/>
    <w:qFormat/>
    <w:pPr>
      <w:numPr>
        <w:ilvl w:val="0"/>
        <w:numId w:val="0"/>
      </w:numPr>
      <w:ind w:left="360"/>
      <w:outlineLvl w:val="1"/>
    </w:pPr>
    <w:rPr/>
  </w:style>
  <w:style w:type="paragraph" w:styleId="citao2" w:customStyle="1">
    <w:name w:val="citação 2"/>
    <w:basedOn w:val="Quote"/>
    <w:qFormat/>
    <w:pPr/>
    <w:rPr>
      <w:szCs w:val="20"/>
    </w:rPr>
  </w:style>
  <w:style w:type="paragraph" w:styleId="Prembulo" w:customStyle="1">
    <w:name w:val="Preâmbulo"/>
    <w:basedOn w:val="Normal"/>
    <w:qFormat/>
    <w:pPr>
      <w:spacing w:lineRule="auto" w:line="360" w:before="480" w:after="120"/>
      <w:ind w:left="4253" w:right="-17"/>
      <w:jc w:val="both"/>
    </w:pPr>
    <w:rPr>
      <w:rFonts w:ascii="Arial" w:hAnsi="Arial" w:eastAsia="Arial" w:cs="Arial"/>
      <w:bCs/>
      <w:sz w:val="20"/>
      <w:szCs w:val="20"/>
    </w:rPr>
  </w:style>
  <w:style w:type="paragraph" w:styleId="CabealhodoSumrio1" w:customStyle="1">
    <w:name w:val="Cabeçalho do Sumário1"/>
    <w:basedOn w:val="Heading1"/>
    <w:uiPriority w:val="39"/>
    <w:unhideWhenUsed/>
    <w:qFormat/>
    <w:pPr>
      <w:spacing w:lineRule="auto" w:line="259" w:before="240" w:after="0"/>
      <w:outlineLvl w:val="9"/>
    </w:pPr>
    <w:rPr>
      <w:b w:val="false"/>
      <w:bCs w:val="false"/>
      <w:sz w:val="32"/>
      <w:szCs w:val="32"/>
    </w:rPr>
  </w:style>
  <w:style w:type="paragraph" w:styleId="Nvel1-SemNumPreto" w:customStyle="1">
    <w:name w:val="Nível 1-Sem Num Preto"/>
    <w:qFormat/>
    <w:pPr>
      <w:keepNext w:val="true"/>
      <w:keepLines/>
      <w:widowControl/>
      <w:tabs>
        <w:tab w:val="clear" w:pos="708"/>
        <w:tab w:val="left" w:pos="567" w:leader="none"/>
      </w:tabs>
      <w:suppressAutoHyphens w:val="true"/>
      <w:bidi w:val="0"/>
      <w:spacing w:lineRule="auto" w:line="276" w:before="240" w:after="120"/>
      <w:jc w:val="both"/>
      <w:outlineLvl w:val="1"/>
    </w:pPr>
    <w:rPr>
      <w:rFonts w:ascii="Arial" w:hAnsi="Arial" w:eastAsia="Arial" w:cs="Arial"/>
      <w:b/>
      <w:bCs/>
      <w:color w:val="auto"/>
      <w:kern w:val="0"/>
      <w:sz w:val="20"/>
      <w:szCs w:val="20"/>
      <w:lang w:eastAsia="zh-CN" w:bidi="hi-IN" w:val="pt-BR"/>
    </w:rPr>
  </w:style>
  <w:style w:type="paragraph" w:styleId="Nvel3" w:customStyle="1">
    <w:name w:val="Nível 3"/>
    <w:qFormat/>
    <w:pPr>
      <w:widowControl/>
      <w:numPr>
        <w:ilvl w:val="2"/>
        <w:numId w:val="3"/>
      </w:numPr>
      <w:suppressAutoHyphens w:val="true"/>
      <w:bidi w:val="0"/>
      <w:spacing w:lineRule="auto" w:line="276" w:before="120" w:after="120"/>
      <w:ind w:hanging="0" w:left="284"/>
      <w:jc w:val="both"/>
    </w:pPr>
    <w:rPr>
      <w:rFonts w:ascii="Arial" w:hAnsi="Arial" w:eastAsia="Times New Roman" w:cs="Arial"/>
      <w:color w:val="auto"/>
      <w:kern w:val="0"/>
      <w:sz w:val="20"/>
      <w:szCs w:val="20"/>
      <w:lang w:eastAsia="pt-BR" w:val="pt-BR" w:bidi="ar-SA"/>
    </w:rPr>
  </w:style>
  <w:style w:type="paragraph" w:styleId="Nvel4" w:customStyle="1">
    <w:name w:val="Nível 4"/>
    <w:basedOn w:val="Nvel3"/>
    <w:qFormat/>
    <w:pPr>
      <w:ind w:left="567"/>
    </w:pPr>
    <w:rPr/>
  </w:style>
  <w:style w:type="paragraph" w:styleId="N11" w:customStyle="1">
    <w:name w:val="N 1.1"/>
    <w:qFormat/>
    <w:pPr>
      <w:widowControl/>
      <w:suppressAutoHyphens w:val="true"/>
      <w:bidi w:val="0"/>
      <w:spacing w:before="240" w:after="240"/>
      <w:jc w:val="both"/>
    </w:pPr>
    <w:rPr>
      <w:rFonts w:ascii="Arial" w:hAnsi="Arial" w:eastAsia="Calibri" w:cs="Times New Roman"/>
      <w:color w:val="auto"/>
      <w:kern w:val="0"/>
      <w:sz w:val="24"/>
      <w:szCs w:val="22"/>
      <w:lang w:eastAsia="en-US" w:val="pt-BR" w:bidi="ar-SA"/>
    </w:rPr>
  </w:style>
  <w:style w:type="paragraph" w:styleId="Contedodatabelauser" w:customStyle="1">
    <w:name w:val="Conteúdo da tabela (user)"/>
    <w:basedOn w:val="Normal"/>
    <w:qFormat/>
    <w:pPr>
      <w:widowControl w:val="false"/>
      <w:suppressLineNumbers/>
    </w:pPr>
    <w:rPr/>
  </w:style>
  <w:style w:type="paragraph" w:styleId="Ttulodetabelauser" w:customStyle="1">
    <w:name w:val="Título de tabela (user)"/>
    <w:basedOn w:val="Contedodatabelauser"/>
    <w:qFormat/>
    <w:pPr>
      <w:jc w:val="center"/>
    </w:pPr>
    <w:rPr>
      <w:b/>
      <w:bCs/>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Contedodoquadrouser" w:customStyle="1">
    <w:name w:val="Conteúdo do quadro (user)"/>
    <w:basedOn w:val="Normal"/>
    <w:qFormat/>
    <w:pPr/>
    <w:rPr/>
  </w:style>
  <w:style w:type="paragraph" w:styleId="TableParagraph" w:customStyle="1">
    <w:name w:val="Table Paragraph"/>
    <w:basedOn w:val="Normal"/>
    <w:qFormat/>
    <w:pPr>
      <w:spacing w:lineRule="exact" w:line="250"/>
      <w:ind w:left="107"/>
      <w:jc w:val="center"/>
    </w:pPr>
    <w:rPr>
      <w:rFonts w:ascii="Arial MT" w:hAnsi="Arial MT" w:eastAsia="Arial MT" w:cs="Arial MT"/>
      <w:lang w:val="pt-PT" w:eastAsia="en-US"/>
    </w:rPr>
  </w:style>
  <w:style w:type="paragraph" w:styleId="pdq2pgselectionanchorcontainer" w:customStyle="1">
    <w:name w:val="pdq2pg_selectionanchorcontainer"/>
    <w:basedOn w:val="Normal"/>
    <w:qFormat/>
    <w:rsid w:val="00a83eca"/>
    <w:pPr>
      <w:suppressAutoHyphens w:val="false"/>
      <w:spacing w:beforeAutospacing="1" w:afterAutospacing="1"/>
    </w:pPr>
    <w:rPr>
      <w:rFonts w:ascii="Times New Roman" w:hAnsi="Times New Roman" w:eastAsia="Times New Roman" w:cs="Times New Roman"/>
    </w:rPr>
  </w:style>
  <w:style w:type="numbering" w:styleId="Semlista" w:default="1">
    <w:name w:val="Sem lista"/>
    <w:uiPriority w:val="99"/>
    <w:semiHidden/>
    <w:unhideWhenUsed/>
    <w:qFormat/>
  </w:style>
  <w:style w:type="numbering" w:styleId="Semlista1" w:customStyle="1">
    <w:name w:val="Sem lista1"/>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2315d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
    <w:name w:val="TableGrid"/>
    <w:rsid w:val="00470b03"/>
    <w:rPr>
      <w:rFonts w:asciiTheme="minorHAnsi" w:hAnsiTheme="minorHAnsi" w:eastAsiaTheme="minorEastAsia" w:cstheme="minorBidi"/>
      <w:sz w:val="24"/>
      <w:szCs w:val="24"/>
      <w:lang w:eastAsia="pt-BR"/>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regaobanrisul.com.br/" TargetMode="External"/><Relationship Id="rId3" Type="http://schemas.openxmlformats.org/officeDocument/2006/relationships/hyperlink" Target="http://www.planalto.gov.br/ccivil_03/_ato2019-2022/2021/lei/L14133.htm" TargetMode="External"/><Relationship Id="rId4" Type="http://schemas.openxmlformats.org/officeDocument/2006/relationships/hyperlink" Target="https://pregaobanrisul.com.br/" TargetMode="External"/><Relationship Id="rId5" Type="http://schemas.openxmlformats.org/officeDocument/2006/relationships/hyperlink" Target="https://www.planalto.gov.br/ccivil_03/constituicao/constituicaocompilado.htm" TargetMode="External"/><Relationship Id="rId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_ato2007-2010/2009/lei/l12187.htm" TargetMode="External"/><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eis" TargetMode="External"/><Relationship Id="rId15" Type="http://schemas.openxmlformats.org/officeDocument/2006/relationships/hyperlink" Target="https://www.portaltransparencia.gov.br/sancoes/cnep" TargetMode="External"/><Relationship Id="rId16" Type="http://schemas.openxmlformats.org/officeDocument/2006/relationships/hyperlink" Target="https://www.planalto.gov.br/ccivil_03/leis/l8429.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mailto:licita@santabarbaradosul.rs.gov.br" TargetMode="External"/><Relationship Id="rId25" Type="http://schemas.openxmlformats.org/officeDocument/2006/relationships/hyperlink" Target="https://pregaobanrisul.com.br/" TargetMode="External"/><Relationship Id="rId26" Type="http://schemas.openxmlformats.org/officeDocument/2006/relationships/hyperlink" Target="http://www.santabarbaradosul.rs.gov.br/" TargetMode="External"/><Relationship Id="rId27" Type="http://schemas.openxmlformats.org/officeDocument/2006/relationships/hyperlink" Target="https://www.gov.br/empresas-e-negocios/pt-br/empreendedor" TargetMode="External"/><Relationship Id="rId28" Type="http://schemas.openxmlformats.org/officeDocument/2006/relationships/hyperlink" Target="http://www.cidadecompras.com.br/" TargetMode="External"/><Relationship Id="rId29" Type="http://schemas.openxmlformats.org/officeDocument/2006/relationships/hyperlink" Target="http://www.pregaobanrisul.com.br/" TargetMode="External"/><Relationship Id="rId30" Type="http://schemas.openxmlformats.org/officeDocument/2006/relationships/hyperlink" Target="http://www.santabarbaradosul.rs.gov.br/" TargetMode="External"/><Relationship Id="rId31" Type="http://schemas.openxmlformats.org/officeDocument/2006/relationships/header" Target="header1.xml"/><Relationship Id="rId32" Type="http://schemas.openxmlformats.org/officeDocument/2006/relationships/header" Target="header2.xml"/><Relationship Id="rId33" Type="http://schemas.openxmlformats.org/officeDocument/2006/relationships/header" Target="header3.xml"/><Relationship Id="rId34" Type="http://schemas.openxmlformats.org/officeDocument/2006/relationships/footer" Target="footer1.xml"/><Relationship Id="rId35" Type="http://schemas.openxmlformats.org/officeDocument/2006/relationships/footer" Target="footer2.xml"/><Relationship Id="rId36" Type="http://schemas.openxmlformats.org/officeDocument/2006/relationships/footer" Target="footer3.xml"/><Relationship Id="rId37" Type="http://schemas.openxmlformats.org/officeDocument/2006/relationships/numbering" Target="numbering.xml"/><Relationship Id="rId38" Type="http://schemas.openxmlformats.org/officeDocument/2006/relationships/fontTable" Target="fontTable.xml"/><Relationship Id="rId39" Type="http://schemas.openxmlformats.org/officeDocument/2006/relationships/settings" Target="settings.xml"/><Relationship Id="rId40" Type="http://schemas.openxmlformats.org/officeDocument/2006/relationships/theme" Target="theme/theme1.xml"/><Relationship Id="rId41" Type="http://schemas.openxmlformats.org/officeDocument/2006/relationships/customXml" Target="../customXml/item1.xml"/><Relationship Id="rId42" Type="http://schemas.openxmlformats.org/officeDocument/2006/relationships/customXml" Target="../customXml/item2.xml"/><Relationship Id="rId43" Type="http://schemas.openxmlformats.org/officeDocument/2006/relationships/customXml" Target="../customXml/item3.xml"/><Relationship Id="rId44"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sv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svg"/><Relationship Id="rId3" Type="http://schemas.openxmlformats.org/officeDocument/2006/relationships/image" Target="media/image3.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Arial" pitchFamily="0" charset="1"/>
        <a:cs typeface="Arial" pitchFamily="0" charset="1"/>
      </a:majorFont>
      <a:minorFont>
        <a:latin typeface="Cambria"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0" t="0" r="0" b="0"/>
          </a:path>
          <a:tileRect l="0" t="0" r="0" b="0"/>
        </a:gradFill>
        <a:gradFill>
          <a:gsLst>
            <a:gs pos="0">
              <a:schemeClr val="phClr">
                <a:tint val="80000"/>
              </a:schemeClr>
            </a:gs>
            <a:gs pos="100000">
              <a:schemeClr val="phClr">
                <a:shade val="30000"/>
              </a:schemeClr>
            </a:gs>
          </a:gsLst>
          <a:path path="circle">
            <a:fillToRect l="0" t="0" r="0" b="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829</TotalTime>
  <Application>LibreOffice/26.2.4.2$Windows_X86_64 LibreOffice_project/0229ac93fcf0d7cbc6376066c6f35021cef002dc</Application>
  <AppVersion>15.0000</AppVersion>
  <Pages>27</Pages>
  <Words>14024</Words>
  <Characters>81733</Characters>
  <CharactersWithSpaces>95128</CharactersWithSpaces>
  <Paragraphs>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2024-02-15T20:07:00Z</dcterms:created>
  <dc:creator>karin</dc:creator>
  <dc:description/>
  <dc:language>pt-BR</dc:language>
  <cp:lastModifiedBy/>
  <cp:lastPrinted>2026-07-23T08:50:17Z</cp:lastPrinted>
  <dcterms:modified xsi:type="dcterms:W3CDTF">2026-07-23T08:50:21Z</dcterms:modified>
  <cp:revision>98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