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2.svg" ContentType="image/svg"/>
  <Override PartName="/word/media/image3.png" ContentType="image/png"/>
  <Override PartName="/word/media/image4.png" ContentType="image/png"/>
  <Override PartName="/word/media/image5.svg" ContentType="image/svg"/>
  <Override PartName="/word/media/image6.png" ContentType="image/png"/>
  <Override PartName="/word/media/image7.svg" ContentType="image/svg"/>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footer6.xml.rels" ContentType="application/vnd.openxmlformats-package.relationships+xml"/>
  <Override PartName="/word/_rels/header6.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mc:AlternateContent>
          <mc:Choice Requires="wps">
            <w:drawing>
              <wp:anchor behindDoc="0" distT="19050" distB="20955" distL="19050" distR="28575" simplePos="0" locked="0" layoutInCell="1" allowOverlap="1" relativeHeight="26" wp14:anchorId="68C74987">
                <wp:simplePos x="0" y="0"/>
                <wp:positionH relativeFrom="column">
                  <wp:posOffset>382270</wp:posOffset>
                </wp:positionH>
                <wp:positionV relativeFrom="paragraph">
                  <wp:posOffset>17780</wp:posOffset>
                </wp:positionV>
                <wp:extent cx="5705475" cy="3865880"/>
                <wp:effectExtent l="19685" t="19050" r="18415" b="19050"/>
                <wp:wrapNone/>
                <wp:docPr id="1" name="Quadro1"/>
                <a:graphic xmlns:a="http://schemas.openxmlformats.org/drawingml/2006/main">
                  <a:graphicData uri="http://schemas.microsoft.com/office/word/2010/wordprocessingShape">
                    <wps:wsp>
                      <wps:cNvSpPr/>
                      <wps:spPr>
                        <a:xfrm>
                          <a:off x="0" y="0"/>
                          <a:ext cx="5705640" cy="3866040"/>
                        </a:xfrm>
                        <a:prstGeom prst="rect">
                          <a:avLst/>
                        </a:prstGeom>
                        <a:solidFill>
                          <a:srgbClr val="ffffff"/>
                        </a:solidFill>
                        <a:ln w="38100">
                          <a:solidFill>
                            <a:srgbClr val="0070c0"/>
                          </a:solidFill>
                          <a:round/>
                        </a:ln>
                      </wps:spPr>
                      <wps:style>
                        <a:lnRef idx="0"/>
                        <a:fillRef idx="0"/>
                        <a:effectRef idx="0"/>
                        <a:fontRef idx="minor"/>
                      </wps:style>
                      <wps:txbx>
                        <w:txbxContent>
                          <w:p>
                            <w:pPr>
                              <w:pStyle w:val="Contedodoquadro"/>
                              <w:jc w:val="center"/>
                              <w:rPr>
                                <w:rFonts w:ascii="Arial" w:hAnsi="Arial" w:cs="Arial"/>
                                <w:b/>
                                <w:bCs/>
                                <w:sz w:val="18"/>
                                <w:szCs w:val="18"/>
                              </w:rPr>
                            </w:pPr>
                            <w:r>
                              <w:rPr>
                                <w:rFonts w:cs="Arial" w:ascii="Arial" w:hAnsi="Arial"/>
                                <w:b/>
                                <w:bCs/>
                                <w:sz w:val="18"/>
                                <w:szCs w:val="18"/>
                              </w:rPr>
                            </w:r>
                          </w:p>
                          <w:p>
                            <w:pPr>
                              <w:pStyle w:val="Contedodoquadro"/>
                              <w:jc w:val="center"/>
                              <w:rPr>
                                <w:rFonts w:ascii="Arial" w:hAnsi="Arial" w:cs="Arial"/>
                                <w:b/>
                                <w:bCs/>
                                <w:sz w:val="18"/>
                                <w:szCs w:val="18"/>
                              </w:rPr>
                            </w:pPr>
                            <w:r>
                              <w:rPr>
                                <w:rFonts w:cs="Arial" w:ascii="Arial" w:hAnsi="Arial"/>
                                <w:b/>
                                <w:bCs/>
                                <w:sz w:val="18"/>
                                <w:szCs w:val="18"/>
                              </w:rPr>
                              <w:t>CREDENCIAMENTO</w:t>
                            </w:r>
                          </w:p>
                          <w:p>
                            <w:pPr>
                              <w:pStyle w:val="Contedodoquadro"/>
                              <w:jc w:val="center"/>
                              <w:rPr>
                                <w:rFonts w:ascii="Arial" w:hAnsi="Arial" w:cs="Arial"/>
                                <w:sz w:val="18"/>
                                <w:szCs w:val="18"/>
                              </w:rPr>
                            </w:pPr>
                            <w:r>
                              <w:rPr>
                                <w:rFonts w:cs="Arial" w:ascii="Arial" w:hAnsi="Arial"/>
                                <w:sz w:val="18"/>
                                <w:szCs w:val="18"/>
                              </w:rPr>
                              <w:t>03/2026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INEXIGIBILIDADE DE CHAMAMENTO PÚBLICO</w:t>
                            </w:r>
                          </w:p>
                          <w:p>
                            <w:pPr>
                              <w:pStyle w:val="Contedodoquadro"/>
                              <w:jc w:val="center"/>
                              <w:rPr>
                                <w:rFonts w:ascii="Arial" w:hAnsi="Arial" w:cs="Arial"/>
                                <w:sz w:val="18"/>
                                <w:szCs w:val="18"/>
                              </w:rPr>
                            </w:pPr>
                            <w:r>
                              <w:rPr>
                                <w:rFonts w:cs="Arial" w:ascii="Arial" w:hAnsi="Arial"/>
                                <w:sz w:val="18"/>
                                <w:szCs w:val="18"/>
                              </w:rPr>
                              <w:t>07/2026</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PROCESSO ADMINISTRATIVO</w:t>
                            </w:r>
                          </w:p>
                          <w:p>
                            <w:pPr>
                              <w:pStyle w:val="Contedodoquadro"/>
                              <w:jc w:val="center"/>
                              <w:rPr>
                                <w:rFonts w:ascii="Arial" w:hAnsi="Arial" w:cs="Arial"/>
                                <w:sz w:val="18"/>
                                <w:szCs w:val="18"/>
                              </w:rPr>
                            </w:pPr>
                            <w:r>
                              <w:rPr>
                                <w:rFonts w:cs="Arial" w:ascii="Arial" w:hAnsi="Arial"/>
                                <w:sz w:val="18"/>
                                <w:szCs w:val="18"/>
                              </w:rPr>
                              <w:t>13/2026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OBJETO</w:t>
                            </w:r>
                          </w:p>
                          <w:p>
                            <w:pPr>
                              <w:pStyle w:val="Contedodoquadro"/>
                              <w:jc w:val="center"/>
                              <w:rPr>
                                <w:rFonts w:ascii="Arial" w:hAnsi="Arial" w:cs="Arial"/>
                                <w:sz w:val="18"/>
                                <w:szCs w:val="18"/>
                              </w:rPr>
                            </w:pPr>
                            <w:r>
                              <w:rPr>
                                <w:rFonts w:cs="Arial" w:ascii="Arial" w:hAnsi="Arial"/>
                                <w:sz w:val="18"/>
                                <w:szCs w:val="18"/>
                              </w:rPr>
                              <w:t xml:space="preserve">CONTRATAÇÃO DE SERVIÇOS DE ARBITRAGEM PARA REALIZAÇÃO DOS </w:t>
                            </w:r>
                          </w:p>
                          <w:p>
                            <w:pPr>
                              <w:pStyle w:val="Contedodoquadro"/>
                              <w:jc w:val="center"/>
                              <w:rPr>
                                <w:rFonts w:ascii="Arial" w:hAnsi="Arial" w:cs="Arial"/>
                                <w:sz w:val="18"/>
                                <w:szCs w:val="18"/>
                              </w:rPr>
                            </w:pPr>
                            <w:r>
                              <w:rPr>
                                <w:rFonts w:cs="Arial" w:ascii="Arial" w:hAnsi="Arial"/>
                                <w:sz w:val="18"/>
                                <w:szCs w:val="18"/>
                              </w:rPr>
                              <w:t>EVENTOS ESPORTIVOS DO ANO DE 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VALOR TOTAL DA CONTRATAÇÃO</w:t>
                            </w:r>
                          </w:p>
                          <w:p>
                            <w:pPr>
                              <w:pStyle w:val="Contedodoquadro"/>
                              <w:jc w:val="center"/>
                              <w:rPr>
                                <w:rFonts w:ascii="Arial" w:hAnsi="Arial" w:cs="Arial"/>
                                <w:sz w:val="18"/>
                                <w:szCs w:val="18"/>
                              </w:rPr>
                            </w:pPr>
                            <w:r>
                              <w:rPr>
                                <w:rFonts w:cs="Arial" w:ascii="Arial" w:hAnsi="Arial"/>
                                <w:sz w:val="18"/>
                                <w:szCs w:val="18"/>
                              </w:rPr>
                              <w:t>R$ 251.329,50</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sz w:val="18"/>
                                <w:szCs w:val="18"/>
                              </w:rPr>
                            </w:pPr>
                            <w:r>
                              <w:rPr>
                                <w:rFonts w:cs="Arial" w:ascii="Arial" w:hAnsi="Arial"/>
                                <w:b/>
                                <w:bCs/>
                                <w:sz w:val="18"/>
                                <w:szCs w:val="18"/>
                              </w:rPr>
                              <w:t>DATA DE INÍCIO</w:t>
                            </w:r>
                          </w:p>
                          <w:p>
                            <w:pPr>
                              <w:pStyle w:val="Contedodoquadro"/>
                              <w:jc w:val="center"/>
                              <w:rPr>
                                <w:rFonts w:ascii="Arial" w:hAnsi="Arial" w:cs="Arial"/>
                                <w:sz w:val="18"/>
                                <w:szCs w:val="18"/>
                              </w:rPr>
                            </w:pPr>
                            <w:r>
                              <w:rPr>
                                <w:rFonts w:cs="Arial" w:ascii="Arial" w:hAnsi="Arial"/>
                                <w:sz w:val="18"/>
                                <w:szCs w:val="18"/>
                              </w:rPr>
                              <w:t>Dia 28/01/2026 às 8:00h (horário de Brasília)</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PERÍODO DE CREDENCIAMENTO</w:t>
                            </w:r>
                          </w:p>
                          <w:p>
                            <w:pPr>
                              <w:pStyle w:val="Contedodoquadro"/>
                              <w:jc w:val="center"/>
                              <w:rPr>
                                <w:rFonts w:ascii="Arial" w:hAnsi="Arial" w:cs="Arial"/>
                                <w:sz w:val="18"/>
                                <w:szCs w:val="18"/>
                              </w:rPr>
                            </w:pPr>
                            <w:r>
                              <w:rPr>
                                <w:rFonts w:cs="Arial" w:ascii="Arial" w:hAnsi="Arial"/>
                                <w:sz w:val="18"/>
                                <w:szCs w:val="18"/>
                              </w:rPr>
                              <w:t xml:space="preserve">DE 28/01/2026 A </w:t>
                            </w:r>
                          </w:p>
                          <w:p>
                            <w:pPr>
                              <w:pStyle w:val="Contedodoquadro"/>
                              <w:jc w:val="center"/>
                              <w:rPr>
                                <w:rFonts w:ascii="Arial" w:hAnsi="Arial" w:cs="Arial"/>
                                <w:sz w:val="18"/>
                                <w:szCs w:val="18"/>
                              </w:rPr>
                            </w:pPr>
                            <w:r>
                              <w:rPr>
                                <w:rFonts w:cs="Arial" w:ascii="Arial" w:hAnsi="Arial"/>
                                <w:sz w:val="18"/>
                                <w:szCs w:val="18"/>
                              </w:rPr>
                              <w:t>28/01/2027</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AGENTE DE CONTRATAÇÃO</w:t>
                            </w:r>
                          </w:p>
                          <w:p>
                            <w:pPr>
                              <w:pStyle w:val="Contedodoquadro"/>
                              <w:jc w:val="center"/>
                              <w:rPr>
                                <w:rFonts w:ascii="Arial" w:hAnsi="Arial" w:cs="Arial"/>
                                <w:sz w:val="18"/>
                                <w:szCs w:val="18"/>
                              </w:rPr>
                            </w:pPr>
                            <w:r>
                              <w:rPr>
                                <w:rFonts w:cs="Arial" w:ascii="Arial" w:hAnsi="Arial"/>
                                <w:sz w:val="18"/>
                                <w:szCs w:val="18"/>
                              </w:rPr>
                              <w:t>Carolina da Costa Vianna</w:t>
                            </w:r>
                          </w:p>
                        </w:txbxContent>
                      </wps:txbx>
                      <wps:bodyPr anchor="t">
                        <a:noAutofit/>
                      </wps:bodyPr>
                    </wps:wsp>
                  </a:graphicData>
                </a:graphic>
              </wp:anchor>
            </w:drawing>
          </mc:Choice>
          <mc:Fallback>
            <w:pict>
              <v:rect id="shape_0" ID="Quadro1" path="m0,0l-2147483645,0l-2147483645,-2147483646l0,-2147483646xe" fillcolor="white" stroked="t" o:allowincell="f" style="position:absolute;margin-left:30.1pt;margin-top:1.4pt;width:449.2pt;height:304.35pt;mso-wrap-style:square;v-text-anchor:top" wp14:anchorId="68C74987">
                <v:fill o:detectmouseclick="t" type="solid" color2="black"/>
                <v:stroke color="#0070c0" weight="38160" joinstyle="round" endcap="flat"/>
                <v:textbox>
                  <w:txbxContent>
                    <w:p>
                      <w:pPr>
                        <w:pStyle w:val="Contedodoquadro"/>
                        <w:jc w:val="center"/>
                        <w:rPr>
                          <w:rFonts w:ascii="Arial" w:hAnsi="Arial" w:cs="Arial"/>
                          <w:b/>
                          <w:bCs/>
                          <w:sz w:val="18"/>
                          <w:szCs w:val="18"/>
                        </w:rPr>
                      </w:pPr>
                      <w:r>
                        <w:rPr>
                          <w:rFonts w:cs="Arial" w:ascii="Arial" w:hAnsi="Arial"/>
                          <w:b/>
                          <w:bCs/>
                          <w:sz w:val="18"/>
                          <w:szCs w:val="18"/>
                        </w:rPr>
                      </w:r>
                    </w:p>
                    <w:p>
                      <w:pPr>
                        <w:pStyle w:val="Contedodoquadro"/>
                        <w:jc w:val="center"/>
                        <w:rPr>
                          <w:rFonts w:ascii="Arial" w:hAnsi="Arial" w:cs="Arial"/>
                          <w:b/>
                          <w:bCs/>
                          <w:sz w:val="18"/>
                          <w:szCs w:val="18"/>
                        </w:rPr>
                      </w:pPr>
                      <w:r>
                        <w:rPr>
                          <w:rFonts w:cs="Arial" w:ascii="Arial" w:hAnsi="Arial"/>
                          <w:b/>
                          <w:bCs/>
                          <w:sz w:val="18"/>
                          <w:szCs w:val="18"/>
                        </w:rPr>
                        <w:t>CREDENCIAMENTO</w:t>
                      </w:r>
                    </w:p>
                    <w:p>
                      <w:pPr>
                        <w:pStyle w:val="Contedodoquadro"/>
                        <w:jc w:val="center"/>
                        <w:rPr>
                          <w:rFonts w:ascii="Arial" w:hAnsi="Arial" w:cs="Arial"/>
                          <w:sz w:val="18"/>
                          <w:szCs w:val="18"/>
                        </w:rPr>
                      </w:pPr>
                      <w:r>
                        <w:rPr>
                          <w:rFonts w:cs="Arial" w:ascii="Arial" w:hAnsi="Arial"/>
                          <w:sz w:val="18"/>
                          <w:szCs w:val="18"/>
                        </w:rPr>
                        <w:t>03/2026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INEXIGIBILIDADE DE CHAMAMENTO PÚBLICO</w:t>
                      </w:r>
                    </w:p>
                    <w:p>
                      <w:pPr>
                        <w:pStyle w:val="Contedodoquadro"/>
                        <w:jc w:val="center"/>
                        <w:rPr>
                          <w:rFonts w:ascii="Arial" w:hAnsi="Arial" w:cs="Arial"/>
                          <w:sz w:val="18"/>
                          <w:szCs w:val="18"/>
                        </w:rPr>
                      </w:pPr>
                      <w:r>
                        <w:rPr>
                          <w:rFonts w:cs="Arial" w:ascii="Arial" w:hAnsi="Arial"/>
                          <w:sz w:val="18"/>
                          <w:szCs w:val="18"/>
                        </w:rPr>
                        <w:t>07/2026</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PROCESSO ADMINISTRATIVO</w:t>
                      </w:r>
                    </w:p>
                    <w:p>
                      <w:pPr>
                        <w:pStyle w:val="Contedodoquadro"/>
                        <w:jc w:val="center"/>
                        <w:rPr>
                          <w:rFonts w:ascii="Arial" w:hAnsi="Arial" w:cs="Arial"/>
                          <w:sz w:val="18"/>
                          <w:szCs w:val="18"/>
                        </w:rPr>
                      </w:pPr>
                      <w:r>
                        <w:rPr>
                          <w:rFonts w:cs="Arial" w:ascii="Arial" w:hAnsi="Arial"/>
                          <w:sz w:val="18"/>
                          <w:szCs w:val="18"/>
                        </w:rPr>
                        <w:t>13/2026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OBJETO</w:t>
                      </w:r>
                    </w:p>
                    <w:p>
                      <w:pPr>
                        <w:pStyle w:val="Contedodoquadro"/>
                        <w:jc w:val="center"/>
                        <w:rPr>
                          <w:rFonts w:ascii="Arial" w:hAnsi="Arial" w:cs="Arial"/>
                          <w:sz w:val="18"/>
                          <w:szCs w:val="18"/>
                        </w:rPr>
                      </w:pPr>
                      <w:r>
                        <w:rPr>
                          <w:rFonts w:cs="Arial" w:ascii="Arial" w:hAnsi="Arial"/>
                          <w:sz w:val="18"/>
                          <w:szCs w:val="18"/>
                        </w:rPr>
                        <w:t xml:space="preserve">CONTRATAÇÃO DE SERVIÇOS DE ARBITRAGEM PARA REALIZAÇÃO DOS </w:t>
                      </w:r>
                    </w:p>
                    <w:p>
                      <w:pPr>
                        <w:pStyle w:val="Contedodoquadro"/>
                        <w:jc w:val="center"/>
                        <w:rPr>
                          <w:rFonts w:ascii="Arial" w:hAnsi="Arial" w:cs="Arial"/>
                          <w:sz w:val="18"/>
                          <w:szCs w:val="18"/>
                        </w:rPr>
                      </w:pPr>
                      <w:r>
                        <w:rPr>
                          <w:rFonts w:cs="Arial" w:ascii="Arial" w:hAnsi="Arial"/>
                          <w:sz w:val="18"/>
                          <w:szCs w:val="18"/>
                        </w:rPr>
                        <w:t>EVENTOS ESPORTIVOS DO ANO DE 2026.</w:t>
                      </w:r>
                    </w:p>
                    <w:p>
                      <w:pPr>
                        <w:pStyle w:val="Contedodoquadro"/>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VALOR TOTAL DA CONTRATAÇÃO</w:t>
                      </w:r>
                    </w:p>
                    <w:p>
                      <w:pPr>
                        <w:pStyle w:val="Contedodoquadro"/>
                        <w:jc w:val="center"/>
                        <w:rPr>
                          <w:rFonts w:ascii="Arial" w:hAnsi="Arial" w:cs="Arial"/>
                          <w:sz w:val="18"/>
                          <w:szCs w:val="18"/>
                        </w:rPr>
                      </w:pPr>
                      <w:r>
                        <w:rPr>
                          <w:rFonts w:cs="Arial" w:ascii="Arial" w:hAnsi="Arial"/>
                          <w:sz w:val="18"/>
                          <w:szCs w:val="18"/>
                        </w:rPr>
                        <w:t>R$ 251.329,50</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sz w:val="18"/>
                          <w:szCs w:val="18"/>
                        </w:rPr>
                      </w:pPr>
                      <w:r>
                        <w:rPr>
                          <w:rFonts w:cs="Arial" w:ascii="Arial" w:hAnsi="Arial"/>
                          <w:b/>
                          <w:bCs/>
                          <w:sz w:val="18"/>
                          <w:szCs w:val="18"/>
                        </w:rPr>
                        <w:t>DATA DE INÍCIO</w:t>
                      </w:r>
                    </w:p>
                    <w:p>
                      <w:pPr>
                        <w:pStyle w:val="Contedodoquadro"/>
                        <w:jc w:val="center"/>
                        <w:rPr>
                          <w:rFonts w:ascii="Arial" w:hAnsi="Arial" w:cs="Arial"/>
                          <w:sz w:val="18"/>
                          <w:szCs w:val="18"/>
                        </w:rPr>
                      </w:pPr>
                      <w:r>
                        <w:rPr>
                          <w:rFonts w:cs="Arial" w:ascii="Arial" w:hAnsi="Arial"/>
                          <w:sz w:val="18"/>
                          <w:szCs w:val="18"/>
                        </w:rPr>
                        <w:t>Dia 28/01/2026 às 8:00h (horário de Brasília)</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PERÍODO DE CREDENCIAMENTO</w:t>
                      </w:r>
                    </w:p>
                    <w:p>
                      <w:pPr>
                        <w:pStyle w:val="Contedodoquadro"/>
                        <w:jc w:val="center"/>
                        <w:rPr>
                          <w:rFonts w:ascii="Arial" w:hAnsi="Arial" w:cs="Arial"/>
                          <w:sz w:val="18"/>
                          <w:szCs w:val="18"/>
                        </w:rPr>
                      </w:pPr>
                      <w:r>
                        <w:rPr>
                          <w:rFonts w:cs="Arial" w:ascii="Arial" w:hAnsi="Arial"/>
                          <w:sz w:val="18"/>
                          <w:szCs w:val="18"/>
                        </w:rPr>
                        <w:t xml:space="preserve">DE 28/01/2026 A </w:t>
                      </w:r>
                    </w:p>
                    <w:p>
                      <w:pPr>
                        <w:pStyle w:val="Contedodoquadro"/>
                        <w:jc w:val="center"/>
                        <w:rPr>
                          <w:rFonts w:ascii="Arial" w:hAnsi="Arial" w:cs="Arial"/>
                          <w:sz w:val="18"/>
                          <w:szCs w:val="18"/>
                        </w:rPr>
                      </w:pPr>
                      <w:r>
                        <w:rPr>
                          <w:rFonts w:cs="Arial" w:ascii="Arial" w:hAnsi="Arial"/>
                          <w:sz w:val="18"/>
                          <w:szCs w:val="18"/>
                        </w:rPr>
                        <w:t>28/01/2027</w:t>
                      </w:r>
                    </w:p>
                    <w:p>
                      <w:pPr>
                        <w:pStyle w:val="Contedodoquadro"/>
                        <w:jc w:val="center"/>
                        <w:rPr>
                          <w:rFonts w:ascii="Arial" w:hAnsi="Arial" w:cs="Arial"/>
                          <w:sz w:val="18"/>
                          <w:szCs w:val="18"/>
                        </w:rPr>
                      </w:pPr>
                      <w:r>
                        <w:rPr>
                          <w:rFonts w:cs="Arial" w:ascii="Arial" w:hAnsi="Arial"/>
                          <w:sz w:val="18"/>
                          <w:szCs w:val="18"/>
                        </w:rPr>
                      </w:r>
                    </w:p>
                    <w:p>
                      <w:pPr>
                        <w:pStyle w:val="Contedodoquadro"/>
                        <w:jc w:val="center"/>
                        <w:rPr>
                          <w:rFonts w:ascii="Arial" w:hAnsi="Arial" w:cs="Arial"/>
                          <w:b/>
                          <w:bCs/>
                          <w:sz w:val="18"/>
                          <w:szCs w:val="18"/>
                        </w:rPr>
                      </w:pPr>
                      <w:r>
                        <w:rPr>
                          <w:rFonts w:cs="Arial" w:ascii="Arial" w:hAnsi="Arial"/>
                          <w:b/>
                          <w:bCs/>
                          <w:sz w:val="18"/>
                          <w:szCs w:val="18"/>
                        </w:rPr>
                        <w:t>AGENTE DE CONTRATAÇÃO</w:t>
                      </w:r>
                    </w:p>
                    <w:p>
                      <w:pPr>
                        <w:pStyle w:val="Contedodoquadro"/>
                        <w:jc w:val="center"/>
                        <w:rPr>
                          <w:rFonts w:ascii="Arial" w:hAnsi="Arial" w:cs="Arial"/>
                          <w:sz w:val="18"/>
                          <w:szCs w:val="18"/>
                        </w:rPr>
                      </w:pPr>
                      <w:r>
                        <w:rPr>
                          <w:rFonts w:cs="Arial" w:ascii="Arial" w:hAnsi="Arial"/>
                          <w:sz w:val="18"/>
                          <w:szCs w:val="18"/>
                        </w:rPr>
                        <w:t>Carolina da Costa Vianna</w:t>
                      </w:r>
                    </w:p>
                  </w:txbxContent>
                </v:textbox>
                <w10:wrap type="none"/>
              </v:rect>
            </w:pict>
          </mc:Fallback>
        </mc:AlternateContent>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ind w:firstLine="567"/>
        <w:jc w:val="center"/>
        <w:rPr>
          <w:rFonts w:ascii="Arial" w:hAnsi="Arial" w:cs="Arial"/>
          <w:b/>
          <w:bCs/>
          <w:color w:val="000000"/>
          <w:sz w:val="18"/>
          <w:szCs w:val="18"/>
        </w:rPr>
      </w:pPr>
      <w:r>
        <w:rPr>
          <w:rFonts w:cs="Arial" w:ascii="Arial" w:hAnsi="Arial"/>
          <w:b/>
          <w:bCs/>
          <w:color w:val="000000"/>
          <w:sz w:val="18"/>
          <w:szCs w:val="18"/>
        </w:rPr>
      </w:r>
    </w:p>
    <w:p>
      <w:pPr>
        <w:pStyle w:val="Normal"/>
        <w:spacing w:before="288" w:after="288"/>
        <w:rPr>
          <w:rFonts w:ascii="Arial" w:hAnsi="Arial" w:cs="Arial"/>
          <w:b/>
          <w:bCs/>
          <w:color w:val="000000"/>
          <w:sz w:val="18"/>
          <w:szCs w:val="18"/>
        </w:rPr>
      </w:pPr>
      <w:r>
        <w:rPr>
          <w:rFonts w:cs="Arial" w:ascii="Arial" w:hAnsi="Arial"/>
          <w:b/>
          <w:bCs/>
          <w:color w:val="000000"/>
          <w:sz w:val="18"/>
          <w:szCs w:val="18"/>
        </w:rPr>
      </w:r>
    </w:p>
    <w:p>
      <w:pPr>
        <w:pStyle w:val="Normal"/>
        <w:ind w:firstLine="567"/>
        <w:jc w:val="center"/>
        <w:rPr>
          <w:rFonts w:ascii="Arial" w:hAnsi="Arial" w:cs="Arial"/>
          <w:b/>
          <w:color w:val="000000"/>
          <w:sz w:val="18"/>
          <w:szCs w:val="18"/>
        </w:rPr>
      </w:pPr>
      <w:r>
        <w:rPr>
          <w:rFonts w:cs="Arial" w:ascii="Arial" w:hAnsi="Arial"/>
          <w:b/>
          <w:color w:val="000000"/>
          <w:sz w:val="18"/>
          <w:szCs w:val="18"/>
        </w:rPr>
      </w:r>
    </w:p>
    <w:p>
      <w:pPr>
        <w:pStyle w:val="Normal"/>
        <w:ind w:firstLine="567"/>
        <w:jc w:val="center"/>
        <w:rPr>
          <w:rFonts w:ascii="Arial" w:hAnsi="Arial" w:cs="Arial"/>
          <w:sz w:val="18"/>
          <w:szCs w:val="18"/>
        </w:rPr>
      </w:pPr>
      <w:r>
        <w:rPr>
          <w:rFonts w:cs="Arial" w:ascii="Arial" w:hAnsi="Arial"/>
          <w:b/>
          <w:color w:val="000000"/>
          <w:sz w:val="18"/>
          <w:szCs w:val="18"/>
        </w:rPr>
        <w:t>PREFEITURA DE SANTA BÁRBARA DO SUL/RS</w:t>
      </w:r>
    </w:p>
    <w:p>
      <w:pPr>
        <w:pStyle w:val="Normal"/>
        <w:ind w:firstLine="567"/>
        <w:jc w:val="center"/>
        <w:rPr>
          <w:rFonts w:ascii="Arial" w:hAnsi="Arial" w:cs="Arial"/>
          <w:b/>
          <w:color w:val="000000"/>
          <w:sz w:val="18"/>
          <w:szCs w:val="18"/>
        </w:rPr>
      </w:pPr>
      <w:r>
        <w:rPr>
          <w:rFonts w:cs="Arial" w:ascii="Arial" w:hAnsi="Arial"/>
          <w:b/>
          <w:color w:val="000000"/>
          <w:sz w:val="18"/>
          <w:szCs w:val="18"/>
        </w:rPr>
        <w:t>INEXIGIBILIDADE Nº 07/2026</w:t>
      </w:r>
    </w:p>
    <w:p>
      <w:pPr>
        <w:pStyle w:val="Normal"/>
        <w:ind w:firstLine="567"/>
        <w:jc w:val="center"/>
        <w:rPr>
          <w:rFonts w:ascii="Arial" w:hAnsi="Arial" w:cs="Arial"/>
          <w:b/>
          <w:color w:val="000000"/>
          <w:sz w:val="18"/>
          <w:szCs w:val="18"/>
        </w:rPr>
      </w:pPr>
      <w:r>
        <w:rPr>
          <w:rFonts w:cs="Arial" w:ascii="Arial" w:hAnsi="Arial"/>
          <w:b/>
          <w:color w:val="000000"/>
          <w:sz w:val="18"/>
          <w:szCs w:val="18"/>
        </w:rPr>
        <w:t>CREDENCIAMENTO Nº 03/2026</w:t>
      </w:r>
    </w:p>
    <w:p>
      <w:pPr>
        <w:pStyle w:val="Nivel2"/>
        <w:numPr>
          <w:ilvl w:val="0"/>
          <w:numId w:val="0"/>
        </w:numPr>
        <w:spacing w:lineRule="auto" w:line="240"/>
        <w:ind w:firstLine="1134" w:left="0"/>
        <w:rPr>
          <w:sz w:val="18"/>
          <w:szCs w:val="18"/>
        </w:rPr>
      </w:pPr>
      <w:r>
        <w:rPr>
          <w:sz w:val="18"/>
          <w:szCs w:val="18"/>
        </w:rPr>
        <w:t xml:space="preserve">Torna-se público que a Prefeitura de Santa Bárbara do Sul/RS, por meio do Setor de Licitações, sediado na Avenida Eduardo de Brito, 101, Bairro Cerutti, na cidade de Santa Bárbara do Sul/RS, a realização do </w:t>
      </w:r>
      <w:r>
        <w:rPr>
          <w:rFonts w:eastAsia="SimSun"/>
          <w:sz w:val="18"/>
          <w:szCs w:val="18"/>
        </w:rPr>
        <w:t>CREDENCIAMENTO de empresas para SERVIÇOS DE ARBITRAGEM para as Secretarias Municipais e Departamentos da Prefeitura de Santa Bárbara do Sul, pelo período inicial de 12 (doze) meses.</w:t>
      </w:r>
    </w:p>
    <w:p>
      <w:pPr>
        <w:pStyle w:val="Nivel01"/>
        <w:numPr>
          <w:ilvl w:val="0"/>
          <w:numId w:val="2"/>
        </w:numPr>
        <w:shd w:val="clear" w:color="FFFFFF" w:themeColor="background1" w:fill="FFFFFF" w:themeFill="background1"/>
        <w:spacing w:lineRule="auto" w:line="240"/>
        <w:rPr>
          <w:sz w:val="18"/>
          <w:szCs w:val="18"/>
        </w:rPr>
      </w:pPr>
      <w:bookmarkStart w:id="0" w:name="_Toc135469223"/>
      <w:r>
        <w:rPr>
          <w:sz w:val="18"/>
          <w:szCs w:val="18"/>
          <w:lang w:eastAsia="en-US"/>
        </w:rPr>
        <w:t>DO OBJETO</w:t>
      </w:r>
      <w:bookmarkEnd w:id="0"/>
      <w:r>
        <w:rPr>
          <w:sz w:val="18"/>
          <w:szCs w:val="18"/>
          <w:lang w:eastAsia="en-US"/>
        </w:rPr>
        <w:t xml:space="preserve"> </w:t>
      </w:r>
    </w:p>
    <w:p>
      <w:pPr>
        <w:pStyle w:val="Nvel2-Red"/>
        <w:numPr>
          <w:ilvl w:val="1"/>
          <w:numId w:val="2"/>
        </w:numPr>
        <w:spacing w:lineRule="auto" w:line="240"/>
        <w:ind w:hanging="0" w:left="0"/>
        <w:rPr>
          <w:sz w:val="18"/>
          <w:szCs w:val="18"/>
        </w:rPr>
      </w:pPr>
      <w:r>
        <w:rPr>
          <w:rFonts w:eastAsia="SimSun"/>
          <w:i w:val="false"/>
          <w:iCs w:val="false"/>
          <w:color w:val="auto"/>
          <w:sz w:val="18"/>
          <w:szCs w:val="18"/>
        </w:rPr>
        <w:t xml:space="preserve">Constitui objeto do presente instrumento o CREDENCIAMENTO de empresas para </w:t>
      </w:r>
      <w:r>
        <w:rPr>
          <w:rFonts w:eastAsia="SimSun"/>
          <w:i w:val="false"/>
          <w:iCs w:val="false"/>
          <w:color w:themeColor="dark1" w:val="000000"/>
          <w:sz w:val="18"/>
          <w:szCs w:val="18"/>
        </w:rPr>
        <w:t>SERVIÇOS DE ARBITRAGEM</w:t>
      </w:r>
      <w:r>
        <w:rPr>
          <w:rFonts w:eastAsia="SimSun"/>
          <w:color w:themeColor="dark1" w:val="000000"/>
          <w:sz w:val="18"/>
          <w:szCs w:val="18"/>
        </w:rPr>
        <w:t xml:space="preserve"> </w:t>
      </w:r>
      <w:r>
        <w:rPr>
          <w:rFonts w:eastAsia="SimSun"/>
          <w:i w:val="false"/>
          <w:iCs w:val="false"/>
          <w:color w:val="auto"/>
          <w:sz w:val="18"/>
          <w:szCs w:val="18"/>
        </w:rPr>
        <w:t>para as Secretarias Municipais e Departamentos da Prefeitura de Santa Bárbara do Sul/RS.</w:t>
      </w:r>
    </w:p>
    <w:p>
      <w:pPr>
        <w:pStyle w:val="Nivel01"/>
        <w:numPr>
          <w:ilvl w:val="0"/>
          <w:numId w:val="2"/>
        </w:numPr>
        <w:shd w:val="clear" w:color="FFFFFF" w:themeColor="background1" w:fill="FFFFFF" w:themeFill="background1"/>
        <w:spacing w:lineRule="auto" w:line="240"/>
        <w:rPr>
          <w:sz w:val="18"/>
          <w:szCs w:val="18"/>
        </w:rPr>
      </w:pPr>
      <w:r>
        <w:rPr>
          <w:sz w:val="18"/>
          <w:szCs w:val="18"/>
        </w:rPr>
        <w:t>DA JUSTIFICATIVA DO CREDENCIAMENTO</w:t>
      </w:r>
    </w:p>
    <w:p>
      <w:pPr>
        <w:pStyle w:val="Nivel2"/>
        <w:numPr>
          <w:ilvl w:val="1"/>
          <w:numId w:val="2"/>
        </w:numPr>
        <w:spacing w:lineRule="auto" w:line="240"/>
        <w:ind w:hanging="0" w:left="0"/>
        <w:rPr>
          <w:sz w:val="18"/>
          <w:szCs w:val="18"/>
        </w:rPr>
      </w:pPr>
      <w:r>
        <w:rPr>
          <w:rFonts w:eastAsia="SimSun"/>
          <w:sz w:val="18"/>
          <w:szCs w:val="18"/>
        </w:rPr>
        <w:t>Entendendo a Administração Municipal de Santa Bárbara do Sul,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vista a necessidade nos serviços que devem ser prestados na sede administrativa, constatando-se a inviabilidade de competição .</w:t>
      </w:r>
    </w:p>
    <w:p>
      <w:pPr>
        <w:pStyle w:val="Nivel2"/>
        <w:numPr>
          <w:ilvl w:val="1"/>
          <w:numId w:val="2"/>
        </w:numPr>
        <w:spacing w:lineRule="auto" w:line="240"/>
        <w:ind w:hanging="0" w:left="0"/>
        <w:rPr>
          <w:sz w:val="18"/>
          <w:szCs w:val="18"/>
        </w:rPr>
      </w:pPr>
      <w:r>
        <w:rPr>
          <w:rFonts w:eastAsia="SimSun"/>
          <w:sz w:val="18"/>
          <w:szCs w:val="18"/>
        </w:rPr>
        <w:t xml:space="preserve">Isto posto, trata-se de INEXIGIBILIDADE para CREDENCIAMENTO para possível </w:t>
      </w:r>
      <w:r>
        <w:rPr>
          <w:rFonts w:eastAsia="SimSun"/>
          <w:color w:themeColor="dark1" w:val="000000"/>
          <w:sz w:val="18"/>
          <w:szCs w:val="18"/>
        </w:rPr>
        <w:t>SERVIÇO DE ARBITRAGEM</w:t>
      </w:r>
      <w:r>
        <w:rPr>
          <w:rFonts w:eastAsia="SimSun"/>
          <w:sz w:val="18"/>
          <w:szCs w:val="18"/>
        </w:rPr>
        <w:t>, prestado diretamente em instalações adequadas com profissionais capacitados das empresas interessadas, sob a forma fracionada, conforme a necessidade, buscando-se garantir o princípio da continuidade dos serviços prestados, atender a demanda estimada e viabilizar o desempenho das atividades gerais das Secretarias e departamentos que integram a Administração Municipal de Santa Bárbara do Sul.</w:t>
      </w:r>
    </w:p>
    <w:p>
      <w:pPr>
        <w:pStyle w:val="Nivel2"/>
        <w:numPr>
          <w:ilvl w:val="0"/>
          <w:numId w:val="0"/>
        </w:numPr>
        <w:spacing w:lineRule="auto" w:line="240"/>
        <w:ind w:hanging="0" w:left="0"/>
        <w:rPr>
          <w:sz w:val="18"/>
          <w:szCs w:val="18"/>
        </w:rPr>
      </w:pPr>
      <w:r>
        <w:rPr>
          <w:sz w:val="18"/>
          <w:szCs w:val="18"/>
        </w:rPr>
      </w:r>
    </w:p>
    <w:p>
      <w:pPr>
        <w:pStyle w:val="Nivel01"/>
        <w:numPr>
          <w:ilvl w:val="0"/>
          <w:numId w:val="2"/>
        </w:numPr>
        <w:shd w:val="clear" w:color="FFFFFF" w:themeColor="background1" w:fill="FFFFFF" w:themeFill="background1"/>
        <w:spacing w:lineRule="auto" w:line="240"/>
        <w:rPr>
          <w:sz w:val="18"/>
          <w:szCs w:val="18"/>
        </w:rPr>
      </w:pPr>
      <w:bookmarkStart w:id="1" w:name="_Toc135469224"/>
      <w:r>
        <w:rPr>
          <w:sz w:val="18"/>
          <w:szCs w:val="18"/>
        </w:rPr>
        <w:t xml:space="preserve">DAS INSCRIÇÕES E VIGÊNCIA DO CREDENCIAMENTO </w:t>
      </w:r>
      <w:bookmarkEnd w:id="1"/>
    </w:p>
    <w:p>
      <w:pPr>
        <w:pStyle w:val="Nivel2"/>
        <w:numPr>
          <w:ilvl w:val="1"/>
          <w:numId w:val="2"/>
        </w:numPr>
        <w:spacing w:lineRule="auto" w:line="240"/>
        <w:ind w:hanging="0" w:left="0"/>
        <w:rPr>
          <w:color w:val="auto"/>
          <w:sz w:val="18"/>
          <w:szCs w:val="18"/>
        </w:rPr>
      </w:pPr>
      <w:r>
        <w:rPr>
          <w:color w:val="auto"/>
          <w:sz w:val="18"/>
          <w:szCs w:val="18"/>
        </w:rPr>
        <w:t xml:space="preserve">Os interessados deverão acessar o site </w:t>
      </w:r>
      <w:hyperlink r:id="rId2">
        <w:r>
          <w:rPr>
            <w:rStyle w:val="Style"/>
            <w:color w:val="auto"/>
            <w:sz w:val="18"/>
            <w:szCs w:val="18"/>
            <w:u w:val="single"/>
          </w:rPr>
          <w:t>www.santabarbaradosul.rs.gov.br</w:t>
        </w:r>
      </w:hyperlink>
      <w:r>
        <w:rPr>
          <w:color w:val="auto"/>
          <w:sz w:val="18"/>
          <w:szCs w:val="18"/>
        </w:rPr>
        <w:t xml:space="preserve"> (Acesso rápido&gt;Licitações) </w:t>
      </w:r>
      <w:r>
        <w:rPr>
          <w:rFonts w:eastAsia="SimSun"/>
          <w:color w:val="auto"/>
          <w:sz w:val="18"/>
          <w:szCs w:val="18"/>
        </w:rPr>
        <w:t>baixar de forma gratuita o edital e seus anexos.</w:t>
      </w:r>
    </w:p>
    <w:p>
      <w:pPr>
        <w:pStyle w:val="Nivel2"/>
        <w:numPr>
          <w:ilvl w:val="1"/>
          <w:numId w:val="2"/>
        </w:numPr>
        <w:spacing w:lineRule="auto" w:line="240"/>
        <w:ind w:hanging="0" w:left="0"/>
        <w:rPr>
          <w:color w:val="auto"/>
          <w:sz w:val="18"/>
          <w:szCs w:val="18"/>
        </w:rPr>
      </w:pPr>
      <w:r>
        <w:rPr>
          <w:rFonts w:eastAsia="SimSun"/>
          <w:color w:val="auto"/>
          <w:sz w:val="18"/>
          <w:szCs w:val="18"/>
        </w:rPr>
        <w:t>As inscrições ocorrerão na sede do setor de Licitações da Prefeitura Municipal, situado à Avenida Eduardo de Brito, nº 101, Bairro Cerutti, Santa Bárbara do Sul/RS, atendimento no horário de expediente, de segunda a sexta-feira, exceto pontos facultativos municipais e feriados, do dia 28/01/2026 a 28/01/2027.</w:t>
      </w:r>
    </w:p>
    <w:p>
      <w:pPr>
        <w:pStyle w:val="Nivel2"/>
        <w:numPr>
          <w:ilvl w:val="1"/>
          <w:numId w:val="2"/>
        </w:numPr>
        <w:spacing w:lineRule="auto" w:line="240"/>
        <w:ind w:hanging="0" w:left="0"/>
        <w:rPr>
          <w:color w:val="auto"/>
          <w:sz w:val="18"/>
          <w:szCs w:val="18"/>
        </w:rPr>
      </w:pPr>
      <w:r>
        <w:rPr>
          <w:rFonts w:eastAsia="SimSun"/>
          <w:color w:val="auto"/>
          <w:sz w:val="18"/>
          <w:szCs w:val="18"/>
        </w:rPr>
        <w:t>A validade do credenciamento para este Edital será de 12 (doze) meses, a contar da data de publicação no Diário Oficial dos Municípios - FAMURS, podendo ser prorrogada por igual período conforme interesse e necessidade da Administração.</w:t>
      </w:r>
    </w:p>
    <w:p>
      <w:pPr>
        <w:pStyle w:val="Nivel2"/>
        <w:numPr>
          <w:ilvl w:val="1"/>
          <w:numId w:val="2"/>
        </w:numPr>
        <w:spacing w:lineRule="auto" w:line="240"/>
        <w:ind w:hanging="0" w:left="0"/>
        <w:rPr>
          <w:color w:val="auto"/>
          <w:sz w:val="18"/>
          <w:szCs w:val="18"/>
        </w:rPr>
      </w:pPr>
      <w:r>
        <w:rPr>
          <w:rFonts w:eastAsia="SimSun"/>
          <w:color w:val="auto"/>
          <w:sz w:val="18"/>
          <w:szCs w:val="18"/>
        </w:rPr>
        <w:t>Os interessados poderão inscrever-se a qualquer momento do período estipulado no subitem 3.2 deste título, desde que cumpridos todos os requisitos exigidos.</w:t>
      </w:r>
    </w:p>
    <w:p>
      <w:pPr>
        <w:pStyle w:val="Nivel2"/>
        <w:numPr>
          <w:ilvl w:val="1"/>
          <w:numId w:val="2"/>
        </w:numPr>
        <w:spacing w:lineRule="auto" w:line="240"/>
        <w:ind w:hanging="0" w:left="0"/>
        <w:rPr>
          <w:color w:val="auto"/>
          <w:sz w:val="18"/>
          <w:szCs w:val="18"/>
        </w:rPr>
      </w:pPr>
      <w:r>
        <w:rPr>
          <w:rFonts w:eastAsia="SimSun"/>
          <w:color w:val="auto"/>
          <w:sz w:val="18"/>
          <w:szCs w:val="18"/>
        </w:rPr>
        <w:t>A inscrição implica a aceitação plena desde Edital.</w:t>
      </w:r>
    </w:p>
    <w:p>
      <w:pPr>
        <w:pStyle w:val="Nivel01"/>
        <w:numPr>
          <w:ilvl w:val="0"/>
          <w:numId w:val="2"/>
        </w:numPr>
        <w:shd w:val="clear" w:color="FFFFFF" w:themeColor="background1" w:fill="FFFFFF" w:themeFill="background1"/>
        <w:spacing w:lineRule="auto" w:line="240"/>
        <w:rPr>
          <w:sz w:val="18"/>
          <w:szCs w:val="18"/>
        </w:rPr>
      </w:pPr>
      <w:r>
        <w:rPr>
          <w:sz w:val="18"/>
          <w:szCs w:val="18"/>
        </w:rPr>
        <w:t>REQUISITOS DE HABILITAÇÃO</w:t>
      </w:r>
    </w:p>
    <w:p>
      <w:pPr>
        <w:pStyle w:val="Nivel2"/>
        <w:numPr>
          <w:ilvl w:val="1"/>
          <w:numId w:val="2"/>
        </w:numPr>
        <w:spacing w:lineRule="auto" w:line="240"/>
        <w:ind w:hanging="0" w:left="0"/>
        <w:rPr>
          <w:color w:val="auto"/>
          <w:sz w:val="18"/>
          <w:szCs w:val="18"/>
        </w:rPr>
      </w:pPr>
      <w:r>
        <w:rPr>
          <w:rFonts w:eastAsia="SimSun"/>
          <w:color w:val="auto"/>
          <w:sz w:val="18"/>
          <w:szCs w:val="18"/>
        </w:rPr>
        <w:t>Os interessados no credenciamento de que trata este edital deverão apresentar à Comissão de Licitação, requerimento próprio, acompanhado dos seguintes documentos:</w:t>
      </w:r>
    </w:p>
    <w:p>
      <w:pPr>
        <w:pStyle w:val="Nivel3"/>
        <w:numPr>
          <w:ilvl w:val="2"/>
          <w:numId w:val="2"/>
        </w:numPr>
        <w:spacing w:lineRule="auto" w:line="240"/>
        <w:ind w:hanging="0" w:left="284"/>
        <w:rPr>
          <w:color w:val="auto"/>
          <w:sz w:val="18"/>
          <w:szCs w:val="18"/>
        </w:rPr>
      </w:pPr>
      <w:r>
        <w:rPr>
          <w:color w:val="auto"/>
          <w:sz w:val="18"/>
          <w:szCs w:val="18"/>
        </w:rPr>
        <w:t>PESSOA FÍSICA</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Cópia da cédula de Identidade;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Cópia do CPF;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Comprovante de endereço atualizado (que não tenha data de emissão há mais de 90 dias). </w:t>
      </w:r>
      <w:r>
        <w:rPr>
          <w:rFonts w:eastAsia="SimSun"/>
          <w:i/>
          <w:iCs/>
          <w:color w:val="auto"/>
          <w:sz w:val="18"/>
          <w:szCs w:val="18"/>
        </w:rPr>
        <w:t>Nota: O comprovante de endereço a ser apresentado deve estar em nome do inscrito. Não havendo, deverá ser apresentado de forma complementar DECLARAÇÃO DE RESIDÊNCIA, conforme modelo do Anexo IV</w:t>
      </w:r>
      <w:r>
        <w:rPr>
          <w:rFonts w:eastAsia="SimSun"/>
          <w:color w:val="auto"/>
          <w:sz w:val="18"/>
          <w:szCs w:val="18"/>
        </w:rPr>
        <w:t xml:space="preserve">. </w:t>
      </w:r>
    </w:p>
    <w:p>
      <w:pPr>
        <w:pStyle w:val="Nivel3"/>
        <w:numPr>
          <w:ilvl w:val="0"/>
          <w:numId w:val="3"/>
        </w:numPr>
        <w:spacing w:lineRule="auto" w:line="240"/>
        <w:ind w:hanging="0" w:left="284"/>
        <w:rPr>
          <w:color w:val="auto"/>
          <w:sz w:val="18"/>
          <w:szCs w:val="18"/>
        </w:rPr>
      </w:pPr>
      <w:r>
        <w:rPr>
          <w:rFonts w:eastAsia="SimSun"/>
          <w:color w:val="auto"/>
          <w:sz w:val="18"/>
          <w:szCs w:val="18"/>
        </w:rPr>
        <w:t>Comprovante de situação cadastral, do CPF, junto à Receita Federal (CPF);</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Comprovante de regularidade para com a Fazenda Estadual da sede ou domicílio do licitante;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Comprovante de regularidade para com a Fazenda Municipal da sede ou domicílio do licitante;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1º de maio de 1943.”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Cópia da inscrição do PIS ou PASEP ou NIT;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Declaração conjunta (modelo do Anexo III); </w:t>
      </w:r>
    </w:p>
    <w:p>
      <w:pPr>
        <w:pStyle w:val="Nivel3"/>
        <w:numPr>
          <w:ilvl w:val="0"/>
          <w:numId w:val="3"/>
        </w:numPr>
        <w:spacing w:lineRule="auto" w:line="240"/>
        <w:ind w:hanging="0" w:left="284"/>
        <w:rPr>
          <w:color w:val="auto"/>
          <w:sz w:val="18"/>
          <w:szCs w:val="18"/>
        </w:rPr>
      </w:pPr>
      <w:r>
        <w:rPr>
          <w:rFonts w:eastAsia="SimSun"/>
          <w:color w:val="auto"/>
          <w:sz w:val="18"/>
          <w:szCs w:val="18"/>
        </w:rPr>
        <w:t xml:space="preserve">Solicitação de credenciamento (modelo do Anexo II); </w:t>
      </w:r>
    </w:p>
    <w:p>
      <w:pPr>
        <w:pStyle w:val="Nivel3"/>
        <w:numPr>
          <w:ilvl w:val="0"/>
          <w:numId w:val="3"/>
        </w:numPr>
        <w:spacing w:lineRule="auto" w:line="240"/>
        <w:ind w:hanging="0" w:left="284"/>
        <w:rPr>
          <w:color w:val="auto"/>
          <w:sz w:val="18"/>
          <w:szCs w:val="18"/>
        </w:rPr>
      </w:pPr>
      <w:bookmarkStart w:id="2" w:name="_Hlk135304247"/>
      <w:r>
        <w:rPr>
          <w:rFonts w:eastAsia="SimSun"/>
          <w:color w:val="auto"/>
          <w:sz w:val="18"/>
          <w:szCs w:val="18"/>
        </w:rPr>
        <w:t xml:space="preserve">Declaração de residência (modelo do Anexo IV); </w:t>
      </w:r>
      <w:bookmarkEnd w:id="2"/>
    </w:p>
    <w:p>
      <w:pPr>
        <w:pStyle w:val="Nivel3"/>
        <w:numPr>
          <w:ilvl w:val="0"/>
          <w:numId w:val="0"/>
        </w:numPr>
        <w:spacing w:lineRule="auto" w:line="240"/>
        <w:ind w:hanging="0" w:left="284"/>
        <w:rPr>
          <w:color w:val="auto"/>
          <w:sz w:val="18"/>
          <w:szCs w:val="18"/>
        </w:rPr>
      </w:pPr>
      <w:r>
        <w:rPr>
          <w:color w:val="auto"/>
          <w:sz w:val="18"/>
          <w:szCs w:val="18"/>
        </w:rPr>
      </w:r>
    </w:p>
    <w:p>
      <w:pPr>
        <w:pStyle w:val="Nivel3"/>
        <w:numPr>
          <w:ilvl w:val="2"/>
          <w:numId w:val="2"/>
        </w:numPr>
        <w:spacing w:lineRule="auto" w:line="240"/>
        <w:ind w:hanging="0" w:left="284"/>
        <w:rPr>
          <w:b/>
          <w:bCs/>
          <w:sz w:val="18"/>
          <w:szCs w:val="18"/>
        </w:rPr>
      </w:pPr>
      <w:r>
        <w:rPr>
          <w:b/>
          <w:bCs/>
          <w:sz w:val="18"/>
          <w:szCs w:val="18"/>
        </w:rPr>
        <w:t>PESSOA JURÍDICA</w:t>
      </w:r>
    </w:p>
    <w:p>
      <w:pPr>
        <w:pStyle w:val="Nivel3"/>
        <w:numPr>
          <w:ilvl w:val="0"/>
          <w:numId w:val="4"/>
        </w:numPr>
        <w:spacing w:lineRule="auto" w:line="240"/>
        <w:ind w:hanging="0" w:left="284"/>
        <w:rPr>
          <w:sz w:val="18"/>
          <w:szCs w:val="18"/>
        </w:rPr>
      </w:pPr>
      <w:r>
        <w:rPr>
          <w:rFonts w:eastAsia="SimSun"/>
          <w:sz w:val="18"/>
          <w:szCs w:val="18"/>
        </w:rPr>
        <w:t xml:space="preserve">Ato constitutivo, estatuto ou contrato social em vigor, devidamente registrado, em se tratando de sociedades, bem como ata de eleição e posse da atual diretoria ou Certificado do MEI - CCMEI, se for o caso; </w:t>
      </w:r>
    </w:p>
    <w:p>
      <w:pPr>
        <w:pStyle w:val="Nivel3"/>
        <w:numPr>
          <w:ilvl w:val="0"/>
          <w:numId w:val="4"/>
        </w:numPr>
        <w:spacing w:lineRule="auto" w:line="240"/>
        <w:ind w:hanging="0" w:left="284"/>
        <w:rPr>
          <w:sz w:val="18"/>
          <w:szCs w:val="18"/>
        </w:rPr>
      </w:pPr>
      <w:r>
        <w:rPr>
          <w:rFonts w:eastAsia="SimSun"/>
          <w:sz w:val="18"/>
          <w:szCs w:val="18"/>
        </w:rPr>
        <w:t xml:space="preserve">Prova de inscrição no Cadastro Nacional de Pessoas Jurídicas (CNPJ); </w:t>
      </w:r>
    </w:p>
    <w:p>
      <w:pPr>
        <w:pStyle w:val="Nivel3"/>
        <w:numPr>
          <w:ilvl w:val="0"/>
          <w:numId w:val="0"/>
        </w:numPr>
        <w:spacing w:lineRule="auto" w:line="240"/>
        <w:ind w:hanging="0" w:left="284"/>
        <w:rPr>
          <w:sz w:val="18"/>
          <w:szCs w:val="18"/>
        </w:rPr>
      </w:pPr>
      <w:r>
        <w:rPr>
          <w:sz w:val="18"/>
          <w:szCs w:val="18"/>
        </w:rPr>
      </w:r>
    </w:p>
    <w:p>
      <w:pPr>
        <w:pStyle w:val="Nivel3"/>
        <w:numPr>
          <w:ilvl w:val="0"/>
          <w:numId w:val="4"/>
        </w:numPr>
        <w:spacing w:lineRule="auto" w:line="240"/>
        <w:ind w:hanging="0" w:left="284"/>
        <w:rPr>
          <w:sz w:val="18"/>
          <w:szCs w:val="18"/>
        </w:rPr>
      </w:pPr>
      <w:r>
        <w:rPr>
          <w:rFonts w:eastAsia="SimSun"/>
          <w:sz w:val="18"/>
          <w:szCs w:val="18"/>
        </w:rPr>
        <w:t xml:space="preserve">Comprovante de regularidade para com a Fazenda Estadual da sede ou domicílio do licitante; </w:t>
      </w:r>
    </w:p>
    <w:p>
      <w:pPr>
        <w:pStyle w:val="Nivel3"/>
        <w:numPr>
          <w:ilvl w:val="0"/>
          <w:numId w:val="4"/>
        </w:numPr>
        <w:spacing w:lineRule="auto" w:line="240"/>
        <w:ind w:hanging="0" w:left="284"/>
        <w:rPr>
          <w:sz w:val="18"/>
          <w:szCs w:val="18"/>
        </w:rPr>
      </w:pPr>
      <w:r>
        <w:rPr>
          <w:rFonts w:eastAsia="SimSun"/>
          <w:sz w:val="18"/>
          <w:szCs w:val="18"/>
        </w:rPr>
        <w:t xml:space="preserve">Comprovante de regularidade para com a Fazenda Municipal da sede ou domicílio do licitante; </w:t>
      </w:r>
    </w:p>
    <w:p>
      <w:pPr>
        <w:pStyle w:val="Nivel3"/>
        <w:numPr>
          <w:ilvl w:val="0"/>
          <w:numId w:val="4"/>
        </w:numPr>
        <w:spacing w:lineRule="auto" w:line="240"/>
        <w:ind w:hanging="0" w:left="284"/>
        <w:rPr>
          <w:sz w:val="18"/>
          <w:szCs w:val="18"/>
        </w:rPr>
      </w:pPr>
      <w:r>
        <w:rPr>
          <w:rFonts w:eastAsia="SimSun"/>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pPr>
        <w:pStyle w:val="Nivel3"/>
        <w:numPr>
          <w:ilvl w:val="0"/>
          <w:numId w:val="4"/>
        </w:numPr>
        <w:spacing w:lineRule="auto" w:line="240"/>
        <w:ind w:hanging="0" w:left="284"/>
        <w:rPr>
          <w:sz w:val="18"/>
          <w:szCs w:val="18"/>
        </w:rPr>
      </w:pPr>
      <w:r>
        <w:rPr>
          <w:rFonts w:eastAsia="SimSun"/>
          <w:sz w:val="18"/>
          <w:szCs w:val="18"/>
        </w:rPr>
        <w:t xml:space="preserve">Prova de regularidade relativa ao Fundo de Garantia por Tempo de Serviço (FGTS); </w:t>
      </w:r>
    </w:p>
    <w:p>
      <w:pPr>
        <w:pStyle w:val="Nivel3"/>
        <w:numPr>
          <w:ilvl w:val="0"/>
          <w:numId w:val="4"/>
        </w:numPr>
        <w:spacing w:lineRule="auto" w:line="240"/>
        <w:ind w:hanging="0" w:left="284"/>
        <w:rPr>
          <w:sz w:val="18"/>
          <w:szCs w:val="18"/>
        </w:rPr>
      </w:pPr>
      <w:r>
        <w:rPr>
          <w:rFonts w:eastAsia="SimSun"/>
          <w:sz w:val="18"/>
          <w:szCs w:val="18"/>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1o de maio de 1943.”; </w:t>
      </w:r>
    </w:p>
    <w:p>
      <w:pPr>
        <w:pStyle w:val="Nivel3"/>
        <w:numPr>
          <w:ilvl w:val="0"/>
          <w:numId w:val="4"/>
        </w:numPr>
        <w:spacing w:lineRule="auto" w:line="240"/>
        <w:ind w:hanging="0" w:left="284"/>
        <w:rPr>
          <w:sz w:val="18"/>
          <w:szCs w:val="18"/>
        </w:rPr>
      </w:pPr>
      <w:r>
        <w:rPr>
          <w:rFonts w:eastAsia="SimSun"/>
          <w:sz w:val="18"/>
          <w:szCs w:val="18"/>
        </w:rPr>
        <w:t xml:space="preserve">Certidão Negativa de Falência e Concordata da empresa expedida pelo distribuído da sede da pessoa jurídica, ou de execução patrimonial expedida no domicílio da pessoa física, datada de no máximo 90 (noventa) dias contados da data de protocolo da documentação junto à Secretaria Municipal de Cultura e Desenvolvimento do Turismo; OU </w:t>
      </w:r>
    </w:p>
    <w:p>
      <w:pPr>
        <w:pStyle w:val="Nivel3"/>
        <w:numPr>
          <w:ilvl w:val="0"/>
          <w:numId w:val="0"/>
        </w:numPr>
        <w:spacing w:lineRule="auto" w:line="240"/>
        <w:ind w:hanging="0" w:left="284"/>
        <w:rPr>
          <w:sz w:val="18"/>
          <w:szCs w:val="18"/>
        </w:rPr>
      </w:pPr>
      <w:r>
        <w:rPr>
          <w:rFonts w:eastAsia="SimSun"/>
          <w:sz w:val="18"/>
          <w:szCs w:val="18"/>
        </w:rPr>
        <w:tab/>
        <w:t xml:space="preserve">8.1) A empresa licitante, submetida a processo de recuperação judicial, deverá comprovar sua capacidade econômico-financeira para assumir o contrato e, neste aspecto, apresentar certidão emitida pela instância judicial competente, que certifique se encontrar apta, econômica e financeiramente, para participar de procedimento licitatório, nos termos da Lei Federal n.º 14.133/2021. </w:t>
      </w:r>
    </w:p>
    <w:p>
      <w:pPr>
        <w:pStyle w:val="Nivel3"/>
        <w:numPr>
          <w:ilvl w:val="0"/>
          <w:numId w:val="4"/>
        </w:numPr>
        <w:spacing w:lineRule="auto" w:line="240"/>
        <w:ind w:hanging="0" w:left="284"/>
        <w:rPr>
          <w:sz w:val="18"/>
          <w:szCs w:val="18"/>
        </w:rPr>
      </w:pPr>
      <w:r>
        <w:rPr>
          <w:rFonts w:eastAsia="SimSun"/>
          <w:sz w:val="18"/>
          <w:szCs w:val="18"/>
        </w:rPr>
        <w:t xml:space="preserve">Cópia do CPF do representante legal; </w:t>
      </w:r>
    </w:p>
    <w:p>
      <w:pPr>
        <w:pStyle w:val="Nivel3"/>
        <w:numPr>
          <w:ilvl w:val="0"/>
          <w:numId w:val="4"/>
        </w:numPr>
        <w:spacing w:lineRule="auto" w:line="240"/>
        <w:ind w:hanging="0" w:left="284"/>
        <w:rPr>
          <w:sz w:val="18"/>
          <w:szCs w:val="18"/>
        </w:rPr>
      </w:pPr>
      <w:r>
        <w:rPr>
          <w:rFonts w:eastAsia="SimSun"/>
          <w:sz w:val="18"/>
          <w:szCs w:val="18"/>
        </w:rPr>
        <w:t xml:space="preserve">Cópia da cédula de identidade civil do representante legal; </w:t>
      </w:r>
    </w:p>
    <w:p>
      <w:pPr>
        <w:pStyle w:val="Nivel3"/>
        <w:numPr>
          <w:ilvl w:val="0"/>
          <w:numId w:val="4"/>
        </w:numPr>
        <w:spacing w:lineRule="auto" w:line="240"/>
        <w:ind w:hanging="0" w:left="284"/>
        <w:rPr>
          <w:sz w:val="18"/>
          <w:szCs w:val="18"/>
        </w:rPr>
      </w:pPr>
      <w:r>
        <w:rPr>
          <w:rFonts w:eastAsia="SimSun"/>
          <w:sz w:val="18"/>
          <w:szCs w:val="18"/>
        </w:rPr>
        <w:t xml:space="preserve">Comprovante de endereço atualizado (que não tenha data de emissão há mais de 90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IV. </w:t>
      </w:r>
    </w:p>
    <w:p>
      <w:pPr>
        <w:pStyle w:val="Nivel3"/>
        <w:numPr>
          <w:ilvl w:val="0"/>
          <w:numId w:val="4"/>
        </w:numPr>
        <w:spacing w:lineRule="auto" w:line="240"/>
        <w:ind w:hanging="0" w:left="284"/>
        <w:rPr>
          <w:sz w:val="18"/>
          <w:szCs w:val="18"/>
        </w:rPr>
      </w:pPr>
      <w:r>
        <w:rPr>
          <w:rFonts w:eastAsia="SimSun"/>
          <w:sz w:val="18"/>
          <w:szCs w:val="18"/>
        </w:rPr>
        <w:t xml:space="preserve"> </w:t>
      </w:r>
      <w:r>
        <w:rPr>
          <w:rFonts w:eastAsia="SimSun"/>
          <w:sz w:val="18"/>
          <w:szCs w:val="18"/>
        </w:rPr>
        <w:t xml:space="preserve">Declaração conjunta (modelo do Anexo III); </w:t>
      </w:r>
    </w:p>
    <w:p>
      <w:pPr>
        <w:pStyle w:val="Nivel3"/>
        <w:numPr>
          <w:ilvl w:val="0"/>
          <w:numId w:val="4"/>
        </w:numPr>
        <w:spacing w:lineRule="auto" w:line="240"/>
        <w:ind w:hanging="0" w:left="284"/>
        <w:rPr>
          <w:sz w:val="18"/>
          <w:szCs w:val="18"/>
        </w:rPr>
      </w:pPr>
      <w:r>
        <w:rPr>
          <w:rFonts w:eastAsia="SimSun"/>
          <w:sz w:val="18"/>
          <w:szCs w:val="18"/>
        </w:rPr>
        <w:t xml:space="preserve">Solicitação de credenciamento (modelo do Anexo II); </w:t>
      </w:r>
    </w:p>
    <w:p>
      <w:pPr>
        <w:pStyle w:val="Nivel2"/>
        <w:numPr>
          <w:ilvl w:val="1"/>
          <w:numId w:val="2"/>
        </w:numPr>
        <w:spacing w:lineRule="auto" w:line="240"/>
        <w:ind w:hanging="0" w:left="0"/>
        <w:rPr>
          <w:sz w:val="18"/>
          <w:szCs w:val="18"/>
        </w:rPr>
      </w:pPr>
      <w:r>
        <w:rPr>
          <w:rFonts w:eastAsia="SimSun"/>
          <w:sz w:val="18"/>
          <w:szCs w:val="18"/>
        </w:rPr>
        <w:t>Os documentos necessários à habilitação poderão ser apresentados em original, por qualquer processo de cópia autenticada por cartório competente, atestado por servidor da Administração Municipal, ou publicação em órgão da imprensa oficial.</w:t>
      </w:r>
    </w:p>
    <w:p>
      <w:pPr>
        <w:pStyle w:val="Nivel01"/>
        <w:numPr>
          <w:ilvl w:val="0"/>
          <w:numId w:val="2"/>
        </w:numPr>
        <w:shd w:val="clear" w:color="FFFFFF" w:themeColor="background1" w:fill="FFFFFF" w:themeFill="background1"/>
        <w:spacing w:lineRule="auto" w:line="240"/>
        <w:rPr>
          <w:sz w:val="18"/>
          <w:szCs w:val="18"/>
        </w:rPr>
      </w:pPr>
      <w:bookmarkStart w:id="3" w:name="_Toc135469226"/>
      <w:r>
        <w:rPr>
          <w:sz w:val="18"/>
          <w:szCs w:val="18"/>
        </w:rPr>
        <w:t>DO</w:t>
      </w:r>
      <w:bookmarkEnd w:id="3"/>
      <w:r>
        <w:rPr>
          <w:sz w:val="18"/>
          <w:szCs w:val="18"/>
        </w:rPr>
        <w:t xml:space="preserve"> CREDENCIAMENTO</w:t>
      </w:r>
    </w:p>
    <w:p>
      <w:pPr>
        <w:pStyle w:val="Nvel2-Red"/>
        <w:numPr>
          <w:ilvl w:val="1"/>
          <w:numId w:val="2"/>
        </w:numPr>
        <w:spacing w:lineRule="auto" w:line="240"/>
        <w:ind w:hanging="0" w:left="0"/>
        <w:rPr>
          <w:i w:val="false"/>
          <w:i w:val="false"/>
          <w:iCs w:val="false"/>
          <w:color w:val="auto"/>
          <w:sz w:val="18"/>
          <w:szCs w:val="18"/>
        </w:rPr>
      </w:pPr>
      <w:r>
        <w:rPr>
          <w:rFonts w:eastAsia="SimSun"/>
          <w:i w:val="false"/>
          <w:iCs w:val="false"/>
          <w:color w:val="auto"/>
          <w:sz w:val="18"/>
          <w:szCs w:val="18"/>
        </w:rPr>
        <w:t>Estarão credenciados todos os licitantes que cumprirem as condições de habilitação estipuladas na cláusula terceira deste Edital.</w:t>
      </w:r>
    </w:p>
    <w:p>
      <w:pPr>
        <w:pStyle w:val="Nivel2"/>
        <w:numPr>
          <w:ilvl w:val="1"/>
          <w:numId w:val="2"/>
        </w:numPr>
        <w:spacing w:lineRule="auto" w:line="240"/>
        <w:ind w:hanging="0" w:left="0"/>
        <w:rPr>
          <w:color w:val="auto"/>
          <w:sz w:val="18"/>
          <w:szCs w:val="18"/>
        </w:rPr>
      </w:pPr>
      <w:bookmarkStart w:id="4" w:name="_Ref113889589"/>
      <w:r>
        <w:rPr>
          <w:rFonts w:eastAsia="SimSun"/>
          <w:color w:val="auto"/>
          <w:sz w:val="18"/>
          <w:szCs w:val="18"/>
        </w:rPr>
        <w:t>PARA PESSOA FÍSICA E MEI (MICRO EMPREENDEDOR INDIVIDUAL): Nas contratações públicas feitas entre a Administração e Pessoa Física e MEI, o pagamento será feito considerando o percentual de 20% (vinte por cento) do valor de comercialização a título de contribuição patronal à Seguridade Social.</w:t>
      </w:r>
      <w:bookmarkEnd w:id="4"/>
    </w:p>
    <w:p>
      <w:pPr>
        <w:pStyle w:val="Nivel2"/>
        <w:numPr>
          <w:ilvl w:val="1"/>
          <w:numId w:val="2"/>
        </w:numPr>
        <w:spacing w:lineRule="auto" w:line="240"/>
        <w:ind w:hanging="0" w:left="0"/>
        <w:rPr>
          <w:color w:val="auto"/>
          <w:sz w:val="18"/>
          <w:szCs w:val="18"/>
        </w:rPr>
      </w:pPr>
      <w:r>
        <w:rPr>
          <w:rFonts w:eastAsia="SimSun"/>
          <w:color w:val="auto"/>
          <w:sz w:val="18"/>
          <w:szCs w:val="18"/>
        </w:rPr>
        <w:t>E demais requisitos constantes no ETP e TR.</w:t>
      </w:r>
    </w:p>
    <w:p>
      <w:pPr>
        <w:pStyle w:val="Nivel01"/>
        <w:numPr>
          <w:ilvl w:val="0"/>
          <w:numId w:val="2"/>
        </w:numPr>
        <w:shd w:val="clear" w:color="FFFFFF" w:themeColor="background1" w:fill="FFFFFF" w:themeFill="background1"/>
        <w:spacing w:lineRule="auto" w:line="240"/>
        <w:rPr>
          <w:sz w:val="18"/>
          <w:szCs w:val="18"/>
        </w:rPr>
      </w:pPr>
      <w:bookmarkStart w:id="5" w:name="_Toc135469227"/>
      <w:r>
        <w:rPr>
          <w:sz w:val="18"/>
          <w:szCs w:val="18"/>
        </w:rPr>
        <w:t>D</w:t>
      </w:r>
      <w:bookmarkEnd w:id="5"/>
      <w:r>
        <w:rPr>
          <w:sz w:val="18"/>
          <w:szCs w:val="18"/>
        </w:rPr>
        <w:t>AS CONDIÇÕES DE PARTICIPAÇÃO E FORMA DE EXECUÇÃO</w:t>
      </w:r>
    </w:p>
    <w:p>
      <w:pPr>
        <w:pStyle w:val="Nivel2"/>
        <w:numPr>
          <w:ilvl w:val="1"/>
          <w:numId w:val="2"/>
        </w:numPr>
        <w:spacing w:lineRule="auto" w:line="240"/>
        <w:ind w:hanging="0" w:left="0"/>
        <w:rPr>
          <w:sz w:val="18"/>
          <w:szCs w:val="18"/>
        </w:rPr>
      </w:pPr>
      <w:r>
        <w:rPr>
          <w:rFonts w:eastAsia="SimSun"/>
          <w:sz w:val="18"/>
          <w:szCs w:val="18"/>
        </w:rPr>
        <w:t>Só poderão se inscrever Pessoas Físicas maiores de 18 anos, capazes, ou Pessoas Jurídicas de direito privado, cujo estatuto ou contrato social e cartão CNPJ tenha como natureza o desenvolvimento de atividades relacionadas ao objeto definido no subitem 1.1 deste edital.</w:t>
      </w:r>
    </w:p>
    <w:p>
      <w:pPr>
        <w:pStyle w:val="Nivel2"/>
        <w:numPr>
          <w:ilvl w:val="1"/>
          <w:numId w:val="2"/>
        </w:numPr>
        <w:spacing w:lineRule="auto" w:line="240"/>
        <w:ind w:hanging="0" w:left="0"/>
        <w:rPr>
          <w:sz w:val="18"/>
          <w:szCs w:val="18"/>
        </w:rPr>
      </w:pPr>
      <w:r>
        <w:rPr>
          <w:rFonts w:eastAsia="SimSun"/>
          <w:sz w:val="18"/>
          <w:szCs w:val="18"/>
        </w:rPr>
        <w:t>Os credenciados atenderão o Município em sistema de rodízio, mediante prévia solicitação das Secretarias segundo as suas necessidades, independente de quantidade ou tempo e mediante a emissão de cada AF - Autorização de Fornecimento e Serviços expedida pelo Departamento de Frotas e/ou Departamento de Compras.</w:t>
      </w:r>
    </w:p>
    <w:p>
      <w:pPr>
        <w:pStyle w:val="Nivel2"/>
        <w:numPr>
          <w:ilvl w:val="1"/>
          <w:numId w:val="2"/>
        </w:numPr>
        <w:spacing w:lineRule="auto" w:line="240"/>
        <w:ind w:hanging="0" w:left="0"/>
        <w:rPr>
          <w:sz w:val="18"/>
          <w:szCs w:val="18"/>
        </w:rPr>
      </w:pPr>
      <w:r>
        <w:rPr>
          <w:rFonts w:eastAsia="SimSun"/>
          <w:sz w:val="18"/>
          <w:szCs w:val="18"/>
        </w:rPr>
        <w:t>A prestação/execução dos serviços somente poderá será efetuado pela CREDENCIADA/EMPRESA mediante a apresentação de requisição específica AF - autorização de fornecimento, em uma via, expedida pelo Departamento de Compras da Prefeitura, ou Setor de Licitações, na qual deverá conter NOME DO FUNCIONÁRIO na autorização (assinatura).</w:t>
      </w:r>
    </w:p>
    <w:p>
      <w:pPr>
        <w:pStyle w:val="Nivel2"/>
        <w:numPr>
          <w:ilvl w:val="0"/>
          <w:numId w:val="0"/>
        </w:numPr>
        <w:spacing w:lineRule="auto" w:line="240"/>
        <w:ind w:hanging="0" w:left="0"/>
        <w:rPr>
          <w:sz w:val="18"/>
          <w:szCs w:val="18"/>
        </w:rPr>
      </w:pPr>
      <w:r>
        <w:rPr>
          <w:sz w:val="18"/>
          <w:szCs w:val="18"/>
        </w:rPr>
      </w:r>
    </w:p>
    <w:p>
      <w:pPr>
        <w:pStyle w:val="Nivel2"/>
        <w:numPr>
          <w:ilvl w:val="1"/>
          <w:numId w:val="2"/>
        </w:numPr>
        <w:spacing w:lineRule="auto" w:line="240"/>
        <w:ind w:hanging="0" w:left="0"/>
        <w:rPr>
          <w:color w:val="auto"/>
          <w:sz w:val="18"/>
          <w:szCs w:val="18"/>
        </w:rPr>
      </w:pPr>
      <w:r>
        <w:rPr>
          <w:rFonts w:eastAsia="SimSun"/>
          <w:color w:val="auto"/>
          <w:sz w:val="18"/>
          <w:szCs w:val="18"/>
        </w:rPr>
        <w:t>Para cada solicitação de serviço deverá ser apresentada uma AF a qual, além de conter as informações acima citadas, deverá ser preenchida, discriminando-se as quantidades dos serviços e os preços, ser datada e assinada pelo servidor do Município e pelo funcionário da CREDENCIADA/EMPRESA que recebeu o pedido. Esta AF ficará em poder da empresa e deverá retornar para a Administração Municipal acompanhada com a respectiva nota fiscal eletrônica.</w:t>
      </w:r>
    </w:p>
    <w:p>
      <w:pPr>
        <w:pStyle w:val="Nivel2"/>
        <w:numPr>
          <w:ilvl w:val="1"/>
          <w:numId w:val="2"/>
        </w:numPr>
        <w:spacing w:lineRule="auto" w:line="240"/>
        <w:ind w:hanging="0" w:left="0"/>
        <w:rPr>
          <w:color w:val="auto"/>
          <w:sz w:val="18"/>
          <w:szCs w:val="18"/>
        </w:rPr>
      </w:pPr>
      <w:r>
        <w:rPr>
          <w:rFonts w:eastAsia="SimSun"/>
          <w:sz w:val="18"/>
          <w:szCs w:val="18"/>
        </w:rPr>
        <w:t>Os empregados da EMPRESA / CREDENCIADA deverão prestar atendimento somente mediante a apresentação da AF -Autorização de Fornecimento, assinada pelo servidor designado pela Administração, devendo o requisitante conferir e confirmar o tipo, quantidade bem como a qualidade dos serviços prestados.</w:t>
      </w:r>
    </w:p>
    <w:p>
      <w:pPr>
        <w:pStyle w:val="Nivel2"/>
        <w:numPr>
          <w:ilvl w:val="1"/>
          <w:numId w:val="2"/>
        </w:numPr>
        <w:spacing w:lineRule="auto" w:line="240"/>
        <w:ind w:hanging="0" w:left="0"/>
        <w:rPr>
          <w:color w:val="auto"/>
          <w:sz w:val="18"/>
          <w:szCs w:val="18"/>
        </w:rPr>
      </w:pPr>
      <w:r>
        <w:rPr>
          <w:rFonts w:eastAsia="SimSun"/>
          <w:sz w:val="18"/>
          <w:szCs w:val="18"/>
        </w:rPr>
        <w:t>As AF -Autorização de Fornecimento devem ser emitidas conforme orçamento aprovado e autorizado mediante emissão de nota de empenho, pela secretaria/unidade responsável, respeitando o rodizio de credenciados em cada lote.</w:t>
      </w:r>
    </w:p>
    <w:p>
      <w:pPr>
        <w:pStyle w:val="Nivel2"/>
        <w:numPr>
          <w:ilvl w:val="1"/>
          <w:numId w:val="2"/>
        </w:numPr>
        <w:spacing w:lineRule="auto" w:line="240"/>
        <w:ind w:hanging="0" w:left="0"/>
        <w:rPr>
          <w:color w:val="auto"/>
          <w:sz w:val="18"/>
          <w:szCs w:val="18"/>
        </w:rPr>
      </w:pPr>
      <w:r>
        <w:rPr>
          <w:rFonts w:eastAsia="SimSun"/>
          <w:sz w:val="18"/>
          <w:szCs w:val="18"/>
        </w:rPr>
        <w:t>O rodízio deve respeitar a ordem de credenciamento, passando as solicitações e AF -Autorização de Fornecimento, solicitadas e emitidas sempre para a primeira empresa habilitada e credenciada seguinte ao último credenciamento aprovado e autorizado.</w:t>
      </w:r>
    </w:p>
    <w:p>
      <w:pPr>
        <w:pStyle w:val="Nivel2"/>
        <w:numPr>
          <w:ilvl w:val="2"/>
          <w:numId w:val="2"/>
        </w:numPr>
        <w:spacing w:lineRule="auto" w:line="240"/>
        <w:rPr>
          <w:color w:val="auto"/>
          <w:sz w:val="18"/>
          <w:szCs w:val="18"/>
        </w:rPr>
      </w:pPr>
      <w:r>
        <w:rPr>
          <w:sz w:val="18"/>
          <w:szCs w:val="18"/>
        </w:rPr>
        <w:t xml:space="preserve"> </w:t>
      </w:r>
      <w:r>
        <w:rPr>
          <w:sz w:val="18"/>
          <w:szCs w:val="18"/>
        </w:rPr>
        <w:t>Quando houver valores / quantidades significativas em um único pedido, as mesmas serão divididas entre todos os credenciados, a fim de manter um equilíbrio para todos.</w:t>
      </w:r>
    </w:p>
    <w:p>
      <w:pPr>
        <w:pStyle w:val="Nivel2"/>
        <w:numPr>
          <w:ilvl w:val="1"/>
          <w:numId w:val="2"/>
        </w:numPr>
        <w:spacing w:lineRule="auto" w:line="240"/>
        <w:ind w:hanging="0" w:left="0"/>
        <w:rPr>
          <w:color w:val="auto"/>
          <w:sz w:val="18"/>
          <w:szCs w:val="18"/>
        </w:rPr>
      </w:pPr>
      <w:r>
        <w:rPr>
          <w:rFonts w:eastAsia="SimSun"/>
          <w:sz w:val="18"/>
          <w:szCs w:val="18"/>
        </w:rPr>
        <w:t>Caso a empresa devidamente credenciada e contratada, por qualquer razão, não aceitar a solicitação de compras, deve o Setor de Compras, por responsável designado, anotar a ocorrência no controle de rodízio.</w:t>
      </w:r>
    </w:p>
    <w:p>
      <w:pPr>
        <w:pStyle w:val="Nivel2"/>
        <w:numPr>
          <w:ilvl w:val="1"/>
          <w:numId w:val="2"/>
        </w:numPr>
        <w:spacing w:lineRule="auto" w:line="240"/>
        <w:ind w:hanging="0" w:left="0"/>
        <w:rPr>
          <w:b/>
          <w:bCs/>
          <w:i/>
          <w:i/>
          <w:color w:val="auto"/>
          <w:sz w:val="18"/>
          <w:szCs w:val="18"/>
        </w:rPr>
      </w:pPr>
      <w:r>
        <w:rPr>
          <w:rFonts w:eastAsia="SimSun"/>
          <w:b/>
          <w:bCs/>
          <w:i/>
          <w:iCs/>
          <w:sz w:val="18"/>
          <w:szCs w:val="18"/>
        </w:rPr>
        <w:t>Havendo negativa, SEM JUSTIFICATIVA POR ESCRITO AO SETOR DE COMPRAS, de atendimento a solicitação, pela empresa credenciada, o Setor de Compras deve apresentar relatório, solicitando a rescisão do credenciamento, cabendo a notificação a empresa para apresentação de contraditório e ampla defesa.</w:t>
      </w:r>
    </w:p>
    <w:p>
      <w:pPr>
        <w:pStyle w:val="Nivel2"/>
        <w:numPr>
          <w:ilvl w:val="1"/>
          <w:numId w:val="2"/>
        </w:numPr>
        <w:spacing w:lineRule="auto" w:line="240"/>
        <w:ind w:hanging="0" w:left="0"/>
        <w:rPr>
          <w:color w:val="auto"/>
          <w:sz w:val="18"/>
          <w:szCs w:val="18"/>
        </w:rPr>
      </w:pPr>
      <w:r>
        <w:rPr>
          <w:rFonts w:eastAsia="SimSun"/>
          <w:sz w:val="18"/>
          <w:szCs w:val="18"/>
        </w:rPr>
        <w:t>O fornecimento da alimentação pela empresa credenciada sem a prévia elaboração do requerimento (AF -Autorização de Fornecimento) configura a concorrência da empresa para a nulidade do ato, configurando a má-fé da contratação, possibilitando a anulação de eventual nota de empenho emitida e o não pagamento dos produtos, sem prejuízo da adoção das medidas cabíveis para aplicação das penalidades previstas na Lei 12.846/2013.</w:t>
      </w:r>
    </w:p>
    <w:p>
      <w:pPr>
        <w:pStyle w:val="Nivel2"/>
        <w:numPr>
          <w:ilvl w:val="1"/>
          <w:numId w:val="2"/>
        </w:numPr>
        <w:spacing w:lineRule="auto" w:line="240"/>
        <w:ind w:hanging="0" w:left="0"/>
        <w:rPr>
          <w:color w:val="auto"/>
          <w:sz w:val="18"/>
          <w:szCs w:val="18"/>
        </w:rPr>
      </w:pPr>
      <w:r>
        <w:rPr>
          <w:sz w:val="18"/>
          <w:szCs w:val="18"/>
        </w:rPr>
        <w:t>Serão aceitos credenciamentos apenas por lote (a empresa deverá se credenciar todos os itens do(s) lote(s) escolhido(s).</w:t>
      </w:r>
    </w:p>
    <w:p>
      <w:pPr>
        <w:pStyle w:val="Nivel01"/>
        <w:numPr>
          <w:ilvl w:val="0"/>
          <w:numId w:val="2"/>
        </w:numPr>
        <w:shd w:val="clear" w:color="FFFFFF" w:themeColor="background1" w:fill="FFFFFF" w:themeFill="background1"/>
        <w:spacing w:lineRule="auto" w:line="240"/>
        <w:rPr>
          <w:sz w:val="18"/>
          <w:szCs w:val="18"/>
        </w:rPr>
      </w:pPr>
      <w:r>
        <w:rPr>
          <w:sz w:val="18"/>
          <w:szCs w:val="18"/>
        </w:rPr>
        <w:t>DAS HIPÓTESES DE DESCREDENCIAMENTO</w:t>
      </w:r>
    </w:p>
    <w:p>
      <w:pPr>
        <w:pStyle w:val="Nivel2"/>
        <w:numPr>
          <w:ilvl w:val="1"/>
          <w:numId w:val="2"/>
        </w:numPr>
        <w:spacing w:lineRule="auto" w:line="240"/>
        <w:ind w:hanging="999" w:left="999"/>
        <w:rPr>
          <w:sz w:val="18"/>
          <w:szCs w:val="18"/>
        </w:rPr>
      </w:pPr>
      <w:r>
        <w:rPr>
          <w:rFonts w:eastAsia="SimSun"/>
          <w:sz w:val="18"/>
          <w:szCs w:val="18"/>
        </w:rPr>
        <w:t xml:space="preserve">Serão descredenciados os prestadores de serviços que: </w:t>
      </w:r>
    </w:p>
    <w:p>
      <w:pPr>
        <w:pStyle w:val="Nivel3"/>
        <w:numPr>
          <w:ilvl w:val="2"/>
          <w:numId w:val="2"/>
        </w:numPr>
        <w:spacing w:lineRule="auto" w:line="240"/>
        <w:ind w:hanging="18" w:left="258"/>
        <w:rPr>
          <w:sz w:val="18"/>
          <w:szCs w:val="18"/>
        </w:rPr>
      </w:pPr>
      <w:r>
        <w:rPr>
          <w:sz w:val="18"/>
          <w:szCs w:val="18"/>
        </w:rPr>
        <w:t xml:space="preserve"> </w:t>
      </w:r>
      <w:r>
        <w:rPr>
          <w:sz w:val="18"/>
          <w:szCs w:val="18"/>
        </w:rPr>
        <w:t xml:space="preserve">Descumprirem quaisquer das cláusulas estipuladas no Termo de Credenciamento a ser celebrado. </w:t>
      </w:r>
    </w:p>
    <w:p>
      <w:pPr>
        <w:pStyle w:val="Nivel3"/>
        <w:numPr>
          <w:ilvl w:val="2"/>
          <w:numId w:val="2"/>
        </w:numPr>
        <w:spacing w:lineRule="auto" w:line="240"/>
        <w:ind w:hanging="18" w:left="258"/>
        <w:rPr>
          <w:sz w:val="18"/>
          <w:szCs w:val="18"/>
        </w:rPr>
      </w:pPr>
      <w:r>
        <w:rPr>
          <w:sz w:val="18"/>
          <w:szCs w:val="18"/>
        </w:rPr>
        <w:t xml:space="preserve"> </w:t>
      </w:r>
      <w:r>
        <w:rPr>
          <w:sz w:val="18"/>
          <w:szCs w:val="18"/>
        </w:rPr>
        <w:t>Não mantiverem as condições de habilitação exigidas para o credenciamento.</w:t>
      </w:r>
    </w:p>
    <w:p>
      <w:pPr>
        <w:pStyle w:val="Nivel01"/>
        <w:numPr>
          <w:ilvl w:val="0"/>
          <w:numId w:val="2"/>
        </w:numPr>
        <w:shd w:val="clear" w:color="FFFFFF" w:themeColor="background1" w:fill="FFFFFF" w:themeFill="background1"/>
        <w:spacing w:lineRule="auto" w:line="240"/>
        <w:rPr>
          <w:sz w:val="18"/>
          <w:szCs w:val="18"/>
        </w:rPr>
      </w:pPr>
      <w:bookmarkStart w:id="6" w:name="_Toc135469228"/>
      <w:r>
        <w:rPr>
          <w:sz w:val="18"/>
          <w:szCs w:val="18"/>
        </w:rPr>
        <w:t>D</w:t>
      </w:r>
      <w:bookmarkEnd w:id="6"/>
      <w:r>
        <w:rPr>
          <w:sz w:val="18"/>
          <w:szCs w:val="18"/>
        </w:rPr>
        <w:t>OS IMPEDIMENTOS</w:t>
      </w:r>
    </w:p>
    <w:p>
      <w:pPr>
        <w:pStyle w:val="Nivel2"/>
        <w:numPr>
          <w:ilvl w:val="1"/>
          <w:numId w:val="2"/>
        </w:numPr>
        <w:spacing w:lineRule="auto" w:line="240"/>
        <w:ind w:hanging="10" w:left="10"/>
        <w:rPr>
          <w:sz w:val="18"/>
          <w:szCs w:val="18"/>
        </w:rPr>
      </w:pPr>
      <w:r>
        <w:rPr>
          <w:rFonts w:eastAsia="SimSun"/>
          <w:sz w:val="18"/>
          <w:szCs w:val="18"/>
        </w:rPr>
        <w:t xml:space="preserve">É vedada a inscrição: </w:t>
      </w:r>
    </w:p>
    <w:p>
      <w:pPr>
        <w:pStyle w:val="Nivel3"/>
        <w:numPr>
          <w:ilvl w:val="2"/>
          <w:numId w:val="2"/>
        </w:numPr>
        <w:tabs>
          <w:tab w:val="clear" w:pos="708"/>
          <w:tab w:val="left" w:pos="240" w:leader="none"/>
        </w:tabs>
        <w:spacing w:lineRule="auto" w:line="240"/>
        <w:ind w:hanging="14" w:left="254"/>
        <w:rPr>
          <w:sz w:val="18"/>
          <w:szCs w:val="18"/>
        </w:rPr>
      </w:pPr>
      <w:r>
        <w:rPr>
          <w:sz w:val="18"/>
          <w:szCs w:val="18"/>
        </w:rPr>
        <w:t xml:space="preserve"> </w:t>
      </w:r>
      <w:r>
        <w:rPr>
          <w:sz w:val="18"/>
          <w:szCs w:val="18"/>
        </w:rPr>
        <w:t xml:space="preserve">De servidores da Administração Direta e Indireta, terceirizados, ocupantes de cargos comissionados ou estagiários do Município de Santa Bárbara do Sul; visto que Servidores públicos não poderão licitar ou contratar com a Administração. </w:t>
      </w:r>
    </w:p>
    <w:p>
      <w:pPr>
        <w:pStyle w:val="Nivel3"/>
        <w:numPr>
          <w:ilvl w:val="2"/>
          <w:numId w:val="2"/>
        </w:numPr>
        <w:spacing w:lineRule="auto" w:line="240"/>
        <w:ind w:hanging="14" w:left="254"/>
        <w:rPr>
          <w:sz w:val="18"/>
          <w:szCs w:val="18"/>
        </w:rPr>
      </w:pPr>
      <w:r>
        <w:rPr>
          <w:sz w:val="18"/>
          <w:szCs w:val="18"/>
        </w:rPr>
        <w:t xml:space="preserve"> </w:t>
      </w:r>
      <w:r>
        <w:rPr>
          <w:sz w:val="18"/>
          <w:szCs w:val="18"/>
        </w:rPr>
        <w:t xml:space="preserve">De Pessoas físicas e jurídicas que estejam em situação irregular perante os órgãos competentes. </w:t>
      </w:r>
    </w:p>
    <w:p>
      <w:pPr>
        <w:pStyle w:val="Nivel3"/>
        <w:numPr>
          <w:ilvl w:val="2"/>
          <w:numId w:val="2"/>
        </w:numPr>
        <w:spacing w:lineRule="auto" w:line="240"/>
        <w:ind w:hanging="14" w:left="254"/>
        <w:rPr>
          <w:sz w:val="18"/>
          <w:szCs w:val="18"/>
        </w:rPr>
      </w:pPr>
      <w:r>
        <w:rPr>
          <w:sz w:val="18"/>
          <w:szCs w:val="18"/>
        </w:rPr>
        <w:t xml:space="preserve"> </w:t>
      </w:r>
      <w:r>
        <w:rPr>
          <w:sz w:val="18"/>
          <w:szCs w:val="18"/>
        </w:rPr>
        <w:t xml:space="preserve">Aqueles que tiverem sido declarados suspensos ou impedidos de contratar com a Administração ou declarados inidôneos para licitar ou contratar com a Administração Pública. </w:t>
      </w:r>
    </w:p>
    <w:p>
      <w:pPr>
        <w:pStyle w:val="Nivel3"/>
        <w:numPr>
          <w:ilvl w:val="2"/>
          <w:numId w:val="2"/>
        </w:numPr>
        <w:spacing w:lineRule="auto" w:line="240"/>
        <w:ind w:hanging="14" w:left="254"/>
        <w:rPr>
          <w:sz w:val="18"/>
          <w:szCs w:val="18"/>
        </w:rPr>
      </w:pPr>
      <w:r>
        <w:rPr>
          <w:sz w:val="18"/>
          <w:szCs w:val="18"/>
        </w:rPr>
        <w:t xml:space="preserve"> </w:t>
      </w:r>
      <w:r>
        <w:rPr>
          <w:sz w:val="18"/>
          <w:szCs w:val="18"/>
        </w:rPr>
        <w:t>De empresas em consórcio.</w:t>
      </w:r>
    </w:p>
    <w:p>
      <w:pPr>
        <w:pStyle w:val="Nivel01"/>
        <w:numPr>
          <w:ilvl w:val="0"/>
          <w:numId w:val="2"/>
        </w:numPr>
        <w:shd w:val="clear" w:color="FFFFFF" w:themeColor="background1" w:fill="FFFFFF" w:themeFill="background1"/>
        <w:spacing w:lineRule="auto" w:line="240"/>
        <w:rPr>
          <w:sz w:val="18"/>
          <w:szCs w:val="18"/>
        </w:rPr>
      </w:pPr>
      <w:r>
        <w:rPr>
          <w:sz w:val="18"/>
          <w:szCs w:val="18"/>
        </w:rPr>
        <w:t>DOS RECURSOS</w:t>
      </w:r>
    </w:p>
    <w:p>
      <w:pPr>
        <w:pStyle w:val="Nivel2"/>
        <w:numPr>
          <w:ilvl w:val="1"/>
          <w:numId w:val="2"/>
        </w:numPr>
        <w:spacing w:lineRule="auto" w:line="240"/>
        <w:ind w:hanging="19" w:left="19"/>
        <w:rPr>
          <w:sz w:val="18"/>
          <w:szCs w:val="18"/>
        </w:rPr>
      </w:pPr>
      <w:r>
        <w:rPr>
          <w:rFonts w:eastAsia="SimSun"/>
          <w:sz w:val="18"/>
          <w:szCs w:val="18"/>
        </w:rPr>
        <w:t xml:space="preserve">Contra o deferimento ou indeferimento do credenciamento, caberá recurso dirigido, por intermédio da comissão julgadora do credenciamento, após juízo de reconsideração, ao Secretário Municipal de Administração Pública. </w:t>
      </w:r>
    </w:p>
    <w:p>
      <w:pPr>
        <w:pStyle w:val="Nivel2"/>
        <w:numPr>
          <w:ilvl w:val="1"/>
          <w:numId w:val="2"/>
        </w:numPr>
        <w:spacing w:lineRule="auto" w:line="240"/>
        <w:ind w:hanging="19" w:left="19"/>
        <w:rPr>
          <w:sz w:val="18"/>
          <w:szCs w:val="18"/>
        </w:rPr>
      </w:pPr>
      <w:r>
        <w:rPr>
          <w:rFonts w:eastAsia="SimSun"/>
          <w:sz w:val="18"/>
          <w:szCs w:val="18"/>
        </w:rPr>
        <w:t xml:space="preserve">O recurso, sob pena de inadmissibilidade, deverá ser interposto no prazo de 05 (cinco) dias úteis contados da decisão recorrida. </w:t>
      </w:r>
    </w:p>
    <w:p>
      <w:pPr>
        <w:pStyle w:val="Nivel2"/>
        <w:numPr>
          <w:ilvl w:val="1"/>
          <w:numId w:val="2"/>
        </w:numPr>
        <w:spacing w:lineRule="auto" w:line="240"/>
        <w:ind w:hanging="19" w:left="19"/>
        <w:rPr>
          <w:sz w:val="18"/>
          <w:szCs w:val="18"/>
        </w:rPr>
      </w:pPr>
      <w:r>
        <w:rPr>
          <w:rFonts w:eastAsia="SimSun"/>
          <w:sz w:val="18"/>
          <w:szCs w:val="18"/>
        </w:rPr>
        <w:t xml:space="preserve">Para efeitos de contagem do prazo previsto no item anterior, excluir-se-á o dia do começo e incluir-se-á o do vencimento. </w:t>
      </w:r>
    </w:p>
    <w:p>
      <w:pPr>
        <w:pStyle w:val="Nivel2"/>
        <w:numPr>
          <w:ilvl w:val="1"/>
          <w:numId w:val="2"/>
        </w:numPr>
        <w:spacing w:lineRule="auto" w:line="240"/>
        <w:ind w:hanging="19" w:left="19"/>
        <w:rPr>
          <w:sz w:val="18"/>
          <w:szCs w:val="18"/>
        </w:rPr>
      </w:pPr>
      <w:r>
        <w:rPr>
          <w:rFonts w:eastAsia="SimSun"/>
          <w:sz w:val="18"/>
          <w:szCs w:val="18"/>
        </w:rPr>
        <w:t>Considera-se prorrogado o prazo até o primeiro dia útil se o vencimento cair em feriado ou em dia que não houver expediente na repartição competente ou se este se encerrar mais cedo do que de costume.</w:t>
      </w:r>
    </w:p>
    <w:p>
      <w:pPr>
        <w:pStyle w:val="Nivel2"/>
        <w:numPr>
          <w:ilvl w:val="0"/>
          <w:numId w:val="0"/>
        </w:numPr>
        <w:spacing w:lineRule="auto" w:line="240"/>
        <w:ind w:hanging="0" w:left="0"/>
        <w:rPr>
          <w:sz w:val="18"/>
          <w:szCs w:val="18"/>
        </w:rPr>
      </w:pPr>
      <w:r>
        <w:rPr>
          <w:sz w:val="18"/>
          <w:szCs w:val="18"/>
        </w:rPr>
      </w:r>
    </w:p>
    <w:p>
      <w:pPr>
        <w:pStyle w:val="Nivel2"/>
        <w:numPr>
          <w:ilvl w:val="0"/>
          <w:numId w:val="2"/>
        </w:numPr>
        <w:shd w:val="clear" w:color="FFFFFF" w:themeColor="background1" w:fill="FFFFFF" w:themeFill="background1"/>
        <w:spacing w:lineRule="auto" w:line="240"/>
        <w:ind w:hanging="0" w:left="0"/>
        <w:rPr>
          <w:b/>
          <w:bCs/>
          <w:color w:themeColor="text2" w:val="1F497D"/>
          <w:sz w:val="18"/>
          <w:szCs w:val="18"/>
        </w:rPr>
      </w:pPr>
      <w:r>
        <w:rPr>
          <w:b/>
          <w:bCs/>
          <w:color w:themeColor="text2" w:val="1F497D"/>
          <w:sz w:val="18"/>
          <w:szCs w:val="18"/>
        </w:rPr>
        <w:t>DA HOMOLOGAÇÃO</w:t>
      </w:r>
    </w:p>
    <w:p>
      <w:pPr>
        <w:pStyle w:val="Nivel2"/>
        <w:numPr>
          <w:ilvl w:val="0"/>
          <w:numId w:val="0"/>
        </w:numPr>
        <w:spacing w:lineRule="auto" w:line="240"/>
        <w:ind w:hanging="0" w:left="0"/>
        <w:rPr>
          <w:sz w:val="18"/>
          <w:szCs w:val="18"/>
        </w:rPr>
      </w:pPr>
      <w:r>
        <w:rPr>
          <w:sz w:val="18"/>
          <w:szCs w:val="18"/>
        </w:rPr>
        <w:t>10.1</w:t>
      </w:r>
      <w:r>
        <w:rPr>
          <w:b/>
          <w:bCs/>
          <w:sz w:val="18"/>
          <w:szCs w:val="18"/>
        </w:rPr>
        <w:t xml:space="preserve">. </w:t>
      </w:r>
      <w:r>
        <w:rPr>
          <w:rFonts w:eastAsia="SimSun"/>
          <w:sz w:val="18"/>
          <w:szCs w:val="18"/>
        </w:rPr>
        <w:t xml:space="preserve">Homologações: toda última segunda-feira do mês. </w:t>
      </w:r>
    </w:p>
    <w:p>
      <w:pPr>
        <w:pStyle w:val="Nivel2"/>
        <w:numPr>
          <w:ilvl w:val="0"/>
          <w:numId w:val="0"/>
        </w:numPr>
        <w:spacing w:lineRule="auto" w:line="240"/>
        <w:ind w:hanging="0" w:left="0"/>
        <w:rPr>
          <w:sz w:val="18"/>
          <w:szCs w:val="18"/>
        </w:rPr>
      </w:pPr>
      <w:r>
        <w:rPr>
          <w:rFonts w:eastAsia="SimSun"/>
          <w:sz w:val="18"/>
          <w:szCs w:val="18"/>
        </w:rPr>
        <w:t xml:space="preserve">10.2. Os deferimentos de credenciamento serão submetidos à homologação pela Secretaria Municipal de Administração Pública. </w:t>
      </w:r>
    </w:p>
    <w:p>
      <w:pPr>
        <w:pStyle w:val="Nivel2"/>
        <w:numPr>
          <w:ilvl w:val="0"/>
          <w:numId w:val="0"/>
        </w:numPr>
        <w:spacing w:lineRule="auto" w:line="240"/>
        <w:ind w:hanging="0" w:left="0"/>
        <w:rPr>
          <w:b/>
          <w:bCs/>
          <w:sz w:val="18"/>
          <w:szCs w:val="18"/>
        </w:rPr>
      </w:pPr>
      <w:r>
        <w:rPr>
          <w:rFonts w:eastAsia="SimSun"/>
          <w:sz w:val="18"/>
          <w:szCs w:val="18"/>
        </w:rPr>
        <w:t>10.3. Caso o credenciado, na convocação para apresentação, se manifestar impossibilitado de atender a agenda, deverá comunicar por escrito, através do e-mail compras@santabarbaradosul.rs.gov.br, no prazo de até 24 (vinte e quatro) horas a partir da convocação. A não manifestação neste prazo autoriza a Administração a convocar o próximo credenciado.</w:t>
      </w:r>
    </w:p>
    <w:p>
      <w:pPr>
        <w:pStyle w:val="Nivel2"/>
        <w:numPr>
          <w:ilvl w:val="0"/>
          <w:numId w:val="0"/>
        </w:numPr>
        <w:spacing w:lineRule="auto" w:line="240"/>
        <w:ind w:hanging="0" w:left="0"/>
        <w:rPr>
          <w:sz w:val="18"/>
          <w:szCs w:val="18"/>
        </w:rPr>
      </w:pPr>
      <w:r>
        <w:rPr>
          <w:sz w:val="18"/>
          <w:szCs w:val="18"/>
        </w:rPr>
      </w:r>
    </w:p>
    <w:p>
      <w:pPr>
        <w:pStyle w:val="Nivel2"/>
        <w:numPr>
          <w:ilvl w:val="0"/>
          <w:numId w:val="2"/>
        </w:numPr>
        <w:shd w:val="clear" w:color="C6D9F1" w:themeColor="text2" w:themeTint="33" w:fill="C6D9F1" w:themeFill="text2" w:themeFillTint="33"/>
        <w:spacing w:lineRule="auto" w:line="240"/>
        <w:ind w:hanging="0" w:left="0"/>
        <w:rPr>
          <w:b/>
          <w:bCs/>
          <w:sz w:val="18"/>
          <w:szCs w:val="18"/>
        </w:rPr>
      </w:pPr>
      <w:r>
        <w:rPr>
          <w:b/>
          <w:bCs/>
          <w:sz w:val="18"/>
          <w:szCs w:val="18"/>
        </w:rPr>
        <w:t>DA DOTAÇÃO ORÇAMENTÁRIA</w:t>
      </w:r>
    </w:p>
    <w:p>
      <w:pPr>
        <w:pStyle w:val="Nivel2"/>
        <w:numPr>
          <w:ilvl w:val="0"/>
          <w:numId w:val="0"/>
        </w:numPr>
        <w:spacing w:lineRule="auto" w:line="240"/>
        <w:ind w:hanging="0" w:left="18"/>
        <w:rPr>
          <w:sz w:val="18"/>
          <w:szCs w:val="18"/>
        </w:rPr>
      </w:pPr>
      <w:r>
        <w:rPr>
          <w:rFonts w:eastAsia="SimSun"/>
          <w:sz w:val="18"/>
          <w:szCs w:val="18"/>
        </w:rPr>
        <w:t>11.1. Para o ano/exercício 2026 a execução dos serviços ficará adstritas à existência de dotações orçamentárias respectivas e indicadas na AF -Autorização de Fornecimento.</w:t>
      </w:r>
    </w:p>
    <w:p>
      <w:pPr>
        <w:pStyle w:val="Nivel2"/>
        <w:numPr>
          <w:ilvl w:val="0"/>
          <w:numId w:val="0"/>
        </w:numPr>
        <w:spacing w:lineRule="auto" w:line="240"/>
        <w:ind w:hanging="0" w:left="0"/>
        <w:rPr>
          <w:sz w:val="18"/>
          <w:szCs w:val="18"/>
        </w:rPr>
      </w:pPr>
      <w:r>
        <w:rPr>
          <w:rFonts w:eastAsia="SimSun"/>
          <w:sz w:val="18"/>
          <w:szCs w:val="18"/>
        </w:rPr>
        <w:t>11.2.   Os recursos financeiros para aporte desta contratação serão recursos próprios do Município de Santa Bárbara do Sul/RS e os provenientes de transferências governamentais.</w:t>
      </w:r>
    </w:p>
    <w:p>
      <w:pPr>
        <w:pStyle w:val="Nivel2"/>
        <w:numPr>
          <w:ilvl w:val="0"/>
          <w:numId w:val="8"/>
        </w:numPr>
        <w:shd w:val="clear" w:color="FFFFFF" w:themeColor="background1" w:fill="FFFFFF" w:themeFill="background1"/>
        <w:spacing w:lineRule="auto" w:line="240"/>
        <w:rPr>
          <w:b/>
          <w:bCs/>
          <w:color w:themeColor="text2" w:val="1F497D"/>
          <w:sz w:val="18"/>
          <w:szCs w:val="18"/>
        </w:rPr>
      </w:pPr>
      <w:r>
        <w:rPr>
          <w:b/>
          <w:bCs/>
          <w:color w:themeColor="text2" w:val="1F497D"/>
          <w:sz w:val="18"/>
          <w:szCs w:val="18"/>
        </w:rPr>
        <w:t xml:space="preserve"> </w:t>
      </w:r>
      <w:r>
        <w:rPr>
          <w:b/>
          <w:bCs/>
          <w:color w:themeColor="text2" w:val="1F497D"/>
          <w:sz w:val="18"/>
          <w:szCs w:val="18"/>
        </w:rPr>
        <w:t>SANÇÕES</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Comete infração administrativa, nos termos da lei, o licitante que, com dolo ou culpa: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 </w:t>
      </w:r>
      <w:bookmarkStart w:id="7" w:name="_Hlk114652595"/>
      <w:bookmarkStart w:id="8" w:name="_Ref114668085"/>
      <w:r>
        <w:rPr>
          <w:i w:val="false"/>
          <w:iCs w:val="false"/>
          <w:color w:themeColor="dark1" w:val="000000"/>
          <w:sz w:val="18"/>
          <w:szCs w:val="18"/>
        </w:rPr>
        <w:t>deixar de entregar a documentação exigida para o certame ou não entregar qualquer documento que tenha sido solicitado pelo/a pregoeiro/a durante o certame</w:t>
      </w:r>
    </w:p>
    <w:p>
      <w:pPr>
        <w:pStyle w:val="Nvel2-Red"/>
        <w:numPr>
          <w:ilvl w:val="2"/>
          <w:numId w:val="8"/>
        </w:numPr>
        <w:spacing w:lineRule="auto" w:line="240" w:before="0" w:after="0"/>
        <w:rPr>
          <w:i w:val="false"/>
          <w:i w:val="false"/>
          <w:color w:themeColor="dark1" w:val="000000"/>
          <w:sz w:val="18"/>
          <w:szCs w:val="18"/>
        </w:rPr>
      </w:pPr>
      <w:bookmarkStart w:id="9" w:name="_Ref114668108"/>
      <w:bookmarkEnd w:id="8"/>
      <w:r>
        <w:rPr>
          <w:i w:val="false"/>
          <w:iCs w:val="false"/>
          <w:color w:themeColor="dark1" w:val="000000"/>
          <w:sz w:val="18"/>
          <w:szCs w:val="18"/>
        </w:rPr>
        <w:t>Salvo em decorrência de fato superveniente devidamente justificado, não mantiver a proposta em especial quando:</w:t>
      </w:r>
      <w:bookmarkEnd w:id="9"/>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Não enviar a proposta adequada ao último lance ofertado ou após a negociação;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Recusar-se a enviar o detalhamento da proposta quando exigível;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Pedir para ser desclassificado quando encerrada a etapa competitiva; ou</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Deixar de apresentar amostra;</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Apresentar proposta ou amostra em desacordo com as especificações do edital; </w:t>
      </w:r>
    </w:p>
    <w:p>
      <w:pPr>
        <w:pStyle w:val="Nvel2-Red"/>
        <w:numPr>
          <w:ilvl w:val="1"/>
          <w:numId w:val="8"/>
        </w:numPr>
        <w:spacing w:lineRule="auto" w:line="240" w:before="0" w:after="0"/>
        <w:rPr>
          <w:i w:val="false"/>
          <w:i w:val="false"/>
          <w:color w:themeColor="dark1" w:val="000000"/>
          <w:sz w:val="18"/>
          <w:szCs w:val="18"/>
        </w:rPr>
      </w:pPr>
      <w:bookmarkStart w:id="10" w:name="_Ref114668139"/>
      <w:r>
        <w:rPr>
          <w:i w:val="false"/>
          <w:iCs w:val="false"/>
          <w:color w:themeColor="dark1" w:val="000000"/>
          <w:sz w:val="18"/>
          <w:szCs w:val="18"/>
        </w:rPr>
        <w:t>Não celebrar o contrato ou não entregar a documentação exigida para a contratação, quando convocado dentro do prazo de validade de sua proposta;</w:t>
      </w:r>
      <w:bookmarkEnd w:id="10"/>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Recusar-se, sem justificativa, a assinar o contrato ou a ata de registro de preço, ou a aceitar ou retirar o instrumento equivalente no prazo estabelecido pela Administração;</w:t>
      </w:r>
    </w:p>
    <w:p>
      <w:pPr>
        <w:pStyle w:val="Nvel2-Red"/>
        <w:numPr>
          <w:ilvl w:val="1"/>
          <w:numId w:val="8"/>
        </w:numPr>
        <w:spacing w:lineRule="auto" w:line="240" w:before="0" w:after="0"/>
        <w:rPr>
          <w:i w:val="false"/>
          <w:i w:val="false"/>
          <w:color w:themeColor="dark1" w:val="000000"/>
          <w:sz w:val="18"/>
          <w:szCs w:val="18"/>
        </w:rPr>
      </w:pPr>
      <w:bookmarkStart w:id="11" w:name="_Ref114668249"/>
      <w:r>
        <w:rPr>
          <w:i w:val="false"/>
          <w:iCs w:val="false"/>
          <w:color w:themeColor="dark1" w:val="000000"/>
          <w:sz w:val="18"/>
          <w:szCs w:val="18"/>
        </w:rPr>
        <w:t>Apresentar declaração ou documentação falsa exigida para o certame ou prestar declaração falsa durante a licitação</w:t>
      </w:r>
      <w:bookmarkEnd w:id="11"/>
      <w:r>
        <w:rPr>
          <w:i w:val="false"/>
          <w:iCs w:val="false"/>
          <w:color w:themeColor="dark1" w:val="000000"/>
          <w:sz w:val="18"/>
          <w:szCs w:val="18"/>
        </w:rPr>
        <w:t>;</w:t>
      </w:r>
    </w:p>
    <w:p>
      <w:pPr>
        <w:pStyle w:val="Nvel2-Red"/>
        <w:numPr>
          <w:ilvl w:val="1"/>
          <w:numId w:val="8"/>
        </w:numPr>
        <w:spacing w:lineRule="auto" w:line="240" w:before="0" w:after="0"/>
        <w:rPr>
          <w:i w:val="false"/>
          <w:i w:val="false"/>
          <w:color w:themeColor="dark1" w:val="000000"/>
          <w:sz w:val="18"/>
          <w:szCs w:val="18"/>
        </w:rPr>
      </w:pPr>
      <w:bookmarkStart w:id="12" w:name="_Ref114668245"/>
      <w:r>
        <w:rPr>
          <w:i w:val="false"/>
          <w:iCs w:val="false"/>
          <w:color w:themeColor="dark1" w:val="000000"/>
          <w:sz w:val="18"/>
          <w:szCs w:val="18"/>
        </w:rPr>
        <w:t>Fraudar a licitação</w:t>
      </w:r>
      <w:bookmarkEnd w:id="12"/>
      <w:r>
        <w:rPr>
          <w:i w:val="false"/>
          <w:iCs w:val="false"/>
          <w:color w:themeColor="dark1" w:val="000000"/>
          <w:sz w:val="18"/>
          <w:szCs w:val="18"/>
        </w:rPr>
        <w:t>,</w:t>
      </w:r>
    </w:p>
    <w:p>
      <w:pPr>
        <w:pStyle w:val="Nvel2-Red"/>
        <w:numPr>
          <w:ilvl w:val="1"/>
          <w:numId w:val="8"/>
        </w:numPr>
        <w:spacing w:lineRule="auto" w:line="240" w:before="0" w:after="0"/>
        <w:rPr>
          <w:i w:val="false"/>
          <w:i w:val="false"/>
          <w:color w:themeColor="dark1" w:val="000000"/>
          <w:sz w:val="18"/>
          <w:szCs w:val="18"/>
        </w:rPr>
      </w:pPr>
      <w:bookmarkStart w:id="13" w:name="_Ref114668247"/>
      <w:r>
        <w:rPr>
          <w:i w:val="false"/>
          <w:iCs w:val="false"/>
          <w:color w:themeColor="dark1" w:val="000000"/>
          <w:sz w:val="18"/>
          <w:szCs w:val="18"/>
        </w:rPr>
        <w:t>Comportar-se de modo inidôneo ou cometer fraude de qualquer natureza, em especial quando:</w:t>
      </w:r>
      <w:bookmarkEnd w:id="13"/>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Agir em conluio ou em desconformidade com a lei;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Induzir deliberadamente a erro no julgamento;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 </w:t>
      </w:r>
      <w:r>
        <w:rPr>
          <w:i w:val="false"/>
          <w:iCs w:val="false"/>
          <w:color w:themeColor="dark1" w:val="000000"/>
          <w:sz w:val="18"/>
          <w:szCs w:val="18"/>
        </w:rPr>
        <w:t xml:space="preserve">Apresentar amostra falsificada ou deteriorada; </w:t>
      </w:r>
    </w:p>
    <w:p>
      <w:pPr>
        <w:pStyle w:val="Nvel2-Red"/>
        <w:numPr>
          <w:ilvl w:val="2"/>
          <w:numId w:val="8"/>
        </w:numPr>
        <w:spacing w:lineRule="auto" w:line="240" w:before="0" w:after="0"/>
        <w:rPr>
          <w:i w:val="false"/>
          <w:i w:val="false"/>
          <w:color w:themeColor="dark1" w:val="000000"/>
          <w:sz w:val="18"/>
          <w:szCs w:val="18"/>
        </w:rPr>
      </w:pPr>
      <w:bookmarkStart w:id="14" w:name="_Ref114668251"/>
      <w:r>
        <w:rPr>
          <w:i w:val="false"/>
          <w:iCs w:val="false"/>
          <w:color w:themeColor="dark1" w:val="000000"/>
          <w:sz w:val="18"/>
          <w:szCs w:val="18"/>
        </w:rPr>
        <w:t>Praticar atos ilícitos com vistas a frustrar os objetivos da licitação</w:t>
      </w:r>
      <w:bookmarkEnd w:id="14"/>
    </w:p>
    <w:p>
      <w:pPr>
        <w:pStyle w:val="Nvel2-Red"/>
        <w:numPr>
          <w:ilvl w:val="2"/>
          <w:numId w:val="8"/>
        </w:numPr>
        <w:spacing w:lineRule="auto" w:line="240" w:before="0" w:after="0"/>
        <w:rPr>
          <w:i w:val="false"/>
          <w:i w:val="false"/>
          <w:color w:themeColor="dark1" w:val="000000"/>
          <w:sz w:val="18"/>
          <w:szCs w:val="18"/>
        </w:rPr>
      </w:pPr>
      <w:bookmarkStart w:id="15" w:name="_Ref114668252"/>
      <w:r>
        <w:rPr>
          <w:i w:val="false"/>
          <w:iCs w:val="false"/>
          <w:color w:themeColor="dark1" w:val="000000"/>
          <w:sz w:val="18"/>
          <w:szCs w:val="18"/>
        </w:rPr>
        <w:t xml:space="preserve">Praticar ato lesivo previsto no </w:t>
      </w:r>
      <w:hyperlink r:id="rId3" w:tooltip="https://www.planalto.gov.br/ccivil_03/_ato2011-2014/2013/lei/l12846.htm#art5&quot; l &quot;art5">
        <w:r>
          <w:rPr>
            <w:rStyle w:val="Style"/>
            <w:i w:val="false"/>
            <w:iCs w:val="false"/>
            <w:color w:themeColor="dark1" w:val="000000"/>
            <w:sz w:val="18"/>
            <w:szCs w:val="18"/>
            <w:u w:val="none"/>
          </w:rPr>
          <w:t>art. 5º da Lei n.º 12.846, de 2013</w:t>
        </w:r>
      </w:hyperlink>
      <w:r>
        <w:rPr>
          <w:i w:val="false"/>
          <w:iCs w:val="false"/>
          <w:color w:themeColor="dark1" w:val="000000"/>
          <w:sz w:val="18"/>
          <w:szCs w:val="18"/>
        </w:rPr>
        <w:t>.</w:t>
      </w:r>
      <w:bookmarkEnd w:id="7"/>
      <w:bookmarkEnd w:id="15"/>
    </w:p>
    <w:p>
      <w:pPr>
        <w:pStyle w:val="Nvel2-Red"/>
        <w:numPr>
          <w:ilvl w:val="0"/>
          <w:numId w:val="0"/>
        </w:numPr>
        <w:spacing w:lineRule="auto" w:line="240" w:before="0" w:after="0"/>
        <w:ind w:hanging="0" w:left="1224"/>
        <w:rPr>
          <w:i w:val="false"/>
          <w:i w:val="false"/>
          <w:iCs w:val="false"/>
          <w:color w:themeColor="dark1" w:val="000000"/>
          <w:sz w:val="18"/>
          <w:szCs w:val="18"/>
        </w:rPr>
      </w:pPr>
      <w:r>
        <w:rPr>
          <w:i w:val="false"/>
          <w:iCs w:val="false"/>
          <w:color w:themeColor="dark1" w:val="000000"/>
          <w:sz w:val="18"/>
          <w:szCs w:val="18"/>
        </w:rPr>
      </w:r>
    </w:p>
    <w:p>
      <w:pPr>
        <w:pStyle w:val="Nvel2-Red"/>
        <w:numPr>
          <w:ilvl w:val="0"/>
          <w:numId w:val="0"/>
        </w:numPr>
        <w:spacing w:lineRule="auto" w:line="240" w:before="0" w:after="0"/>
        <w:ind w:hanging="0" w:left="1224"/>
        <w:rPr>
          <w:i w:val="false"/>
          <w:i w:val="false"/>
          <w:color w:themeColor="dark1" w:val="000000"/>
          <w:sz w:val="18"/>
          <w:szCs w:val="18"/>
        </w:rPr>
      </w:pPr>
      <w:r>
        <w:rPr>
          <w:i w:val="false"/>
          <w:color w:themeColor="dark1" w:val="000000"/>
          <w:sz w:val="18"/>
          <w:szCs w:val="18"/>
        </w:rPr>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 xml:space="preserve">Com fulcro na </w:t>
      </w:r>
      <w:hyperlink r:id="rId4" w:tooltip="http://www.planalto.gov.br/ccivil_03/_ato2019-2022/2021/lei/L14133.htm">
        <w:r>
          <w:rPr>
            <w:rStyle w:val="Style"/>
            <w:i w:val="false"/>
            <w:iCs w:val="false"/>
            <w:color w:themeColor="dark1" w:val="000000"/>
            <w:sz w:val="18"/>
            <w:szCs w:val="18"/>
            <w:u w:val="single"/>
          </w:rPr>
          <w:t>Lei nº 14.133, de 2021</w:t>
        </w:r>
      </w:hyperlink>
      <w:r>
        <w:rPr>
          <w:i w:val="false"/>
          <w:iCs w:val="false"/>
          <w:color w:themeColor="dark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Advertência;</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Multa;</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Impedimento de licitar e contratar e</w:t>
      </w:r>
    </w:p>
    <w:p>
      <w:pPr>
        <w:pStyle w:val="Nvel2-Red"/>
        <w:numPr>
          <w:ilvl w:val="2"/>
          <w:numId w:val="8"/>
        </w:numPr>
        <w:spacing w:lineRule="auto" w:line="240" w:before="0" w:after="0"/>
        <w:rPr>
          <w:i w:val="false"/>
          <w:i w:val="false"/>
          <w:color w:themeColor="dark1" w:val="000000"/>
          <w:sz w:val="18"/>
          <w:szCs w:val="18"/>
        </w:rPr>
      </w:pPr>
      <w:r>
        <w:rPr>
          <w:i w:val="false"/>
          <w:iCs w:val="false"/>
          <w:color w:themeColor="dark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Na aplicação das sanções serão considerados:</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A natureza e a gravidade da infração cometida.</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As peculiaridades do caso concreto</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As circunstâncias agravantes ou atenuantes</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Os danos que dela provierem para a Administração Pública</w:t>
      </w:r>
    </w:p>
    <w:p>
      <w:pPr>
        <w:pStyle w:val="Nvel2-Red"/>
        <w:numPr>
          <w:ilvl w:val="1"/>
          <w:numId w:val="8"/>
        </w:numPr>
        <w:spacing w:lineRule="auto" w:line="240" w:before="0" w:after="0"/>
        <w:rPr>
          <w:i w:val="false"/>
          <w:i w:val="false"/>
          <w:color w:themeColor="dark1" w:val="000000"/>
          <w:sz w:val="18"/>
          <w:szCs w:val="18"/>
        </w:rPr>
      </w:pPr>
      <w:r>
        <w:rPr>
          <w:i w:val="false"/>
          <w:iCs w:val="false"/>
          <w:color w:themeColor="dark1" w:val="000000"/>
          <w:sz w:val="18"/>
          <w:szCs w:val="18"/>
        </w:rPr>
        <w:t>A implantação ou o aperfeiçoamento de programa de integridade, conforme normas e orientações dos órgãos de controle.</w:t>
      </w:r>
    </w:p>
    <w:p>
      <w:pPr>
        <w:pStyle w:val="Nvel2-Red"/>
        <w:numPr>
          <w:ilvl w:val="1"/>
          <w:numId w:val="8"/>
        </w:numPr>
        <w:spacing w:lineRule="auto" w:line="240" w:before="0" w:after="0"/>
        <w:rPr>
          <w:sz w:val="18"/>
          <w:szCs w:val="18"/>
        </w:rPr>
      </w:pPr>
      <w:r>
        <w:rPr>
          <w:i w:val="false"/>
          <w:iCs w:val="false"/>
          <w:color w:themeColor="dark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8"/>
        </w:numPr>
        <w:spacing w:lineRule="auto" w:line="240" w:before="0" w:after="0"/>
        <w:rPr>
          <w:sz w:val="18"/>
          <w:szCs w:val="18"/>
        </w:rPr>
      </w:pPr>
      <w:bookmarkStart w:id="16" w:name="undefined"/>
      <w:r>
        <w:rPr>
          <w:i w:val="false"/>
          <w:iCs w:val="false"/>
          <w:color w:themeColor="dark1" w:val="000000"/>
          <w:sz w:val="18"/>
          <w:szCs w:val="18"/>
        </w:rPr>
        <w:t xml:space="preserve">Para as infrações previstas nos itens </w:t>
      </w:r>
      <w:r>
        <w:rPr>
          <w:i w:val="false"/>
          <w:iCs w:val="false"/>
          <w:color w:themeColor="dark1" w:val="000000"/>
          <w:sz w:val="18"/>
          <w:szCs w:val="18"/>
        </w:rPr>
        <w:fldChar w:fldCharType="begin"/>
      </w:r>
      <w:r>
        <w:rPr>
          <w:sz w:val="18"/>
          <w:i w:val="false"/>
          <w:szCs w:val="18"/>
          <w:iCs w:val="false"/>
          <w:color w:themeColor="dark1" w:val="000000"/>
        </w:rPr>
        <w:instrText xml:space="preserve"> REF _Ref114668085 \r \r \h </w:instrText>
      </w:r>
      <w:r>
        <w:rPr>
          <w:sz w:val="18"/>
          <w:i w:val="false"/>
          <w:szCs w:val="18"/>
          <w:iCs w:val="false"/>
          <w:color w:themeColor="dark1" w:val="000000"/>
        </w:rPr>
        <w:fldChar w:fldCharType="separate"/>
      </w:r>
      <w:r>
        <w:rPr>
          <w:sz w:val="18"/>
          <w:i w:val="false"/>
          <w:szCs w:val="18"/>
          <w:iCs w:val="false"/>
          <w:color w:themeColor="dark1" w:val="000000"/>
        </w:rPr>
        <w:t>12.1.1</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_Ref114668108 \r \r \h </w:instrText>
      </w:r>
      <w:r>
        <w:rPr>
          <w:sz w:val="18"/>
          <w:i w:val="false"/>
          <w:szCs w:val="18"/>
          <w:iCs w:val="false"/>
          <w:color w:themeColor="dark1" w:val="000000"/>
        </w:rPr>
        <w:fldChar w:fldCharType="separate"/>
      </w:r>
      <w:r>
        <w:rPr>
          <w:sz w:val="18"/>
          <w:i w:val="false"/>
          <w:szCs w:val="18"/>
          <w:iCs w:val="false"/>
          <w:color w:themeColor="dark1" w:val="000000"/>
        </w:rPr>
        <w:t>12.1.2</w:t>
      </w:r>
      <w:r>
        <w:rPr>
          <w:sz w:val="18"/>
          <w:i w:val="false"/>
          <w:szCs w:val="18"/>
          <w:iCs w:val="false"/>
          <w:color w:themeColor="dark1" w:val="000000"/>
        </w:rPr>
        <w:fldChar w:fldCharType="end"/>
      </w:r>
      <w:r>
        <w:rPr>
          <w:i w:val="false"/>
          <w:iCs w:val="false"/>
          <w:color w:themeColor="dark1" w:val="000000"/>
          <w:sz w:val="18"/>
          <w:szCs w:val="18"/>
        </w:rPr>
        <w:t xml:space="preserve"> 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_Ref114668139 \r \r \h </w:instrText>
      </w:r>
      <w:r>
        <w:rPr>
          <w:sz w:val="18"/>
          <w:i w:val="false"/>
          <w:szCs w:val="18"/>
          <w:iCs w:val="false"/>
          <w:color w:themeColor="dark1" w:val="000000"/>
        </w:rPr>
        <w:fldChar w:fldCharType="separate"/>
      </w:r>
      <w:r>
        <w:rPr>
          <w:sz w:val="18"/>
          <w:i w:val="false"/>
          <w:szCs w:val="18"/>
          <w:iCs w:val="false"/>
          <w:color w:themeColor="dark1" w:val="000000"/>
        </w:rPr>
        <w:t>12.2</w:t>
      </w:r>
      <w:r>
        <w:rPr>
          <w:sz w:val="18"/>
          <w:i w:val="false"/>
          <w:szCs w:val="18"/>
          <w:iCs w:val="false"/>
          <w:color w:themeColor="dark1" w:val="000000"/>
        </w:rPr>
        <w:fldChar w:fldCharType="end"/>
      </w:r>
      <w:r>
        <w:rPr>
          <w:i w:val="false"/>
          <w:iCs w:val="false"/>
          <w:color w:themeColor="dark1" w:val="000000"/>
          <w:sz w:val="18"/>
          <w:szCs w:val="18"/>
        </w:rPr>
        <w:t>, a multa será de 15% do valor do contrato licitado.</w:t>
      </w:r>
      <w:bookmarkEnd w:id="16"/>
    </w:p>
    <w:p>
      <w:pPr>
        <w:pStyle w:val="Nvel2-Red"/>
        <w:numPr>
          <w:ilvl w:val="2"/>
          <w:numId w:val="8"/>
        </w:numPr>
        <w:spacing w:lineRule="auto" w:line="240" w:before="0" w:after="0"/>
        <w:rPr>
          <w:sz w:val="18"/>
          <w:szCs w:val="18"/>
        </w:rPr>
      </w:pPr>
      <w:r>
        <w:rPr>
          <w:i w:val="false"/>
          <w:iCs w:val="false"/>
          <w:color w:themeColor="dark1" w:val="000000"/>
          <w:sz w:val="18"/>
          <w:szCs w:val="18"/>
        </w:rPr>
        <w:t xml:space="preserve">Para as infrações previstas nos itens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_Ref114668249 \r \r \h </w:instrText>
      </w:r>
      <w:r>
        <w:rPr>
          <w:sz w:val="18"/>
          <w:i w:val="false"/>
          <w:szCs w:val="18"/>
          <w:iCs w:val="false"/>
          <w:color w:themeColor="dark1" w:val="000000"/>
        </w:rPr>
        <w:fldChar w:fldCharType="separate"/>
      </w:r>
      <w:r>
        <w:rPr>
          <w:sz w:val="18"/>
          <w:i w:val="false"/>
          <w:szCs w:val="18"/>
          <w:iCs w:val="false"/>
          <w:color w:themeColor="dark1" w:val="000000"/>
        </w:rPr>
        <w:t>12.3</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_Ref114668245 \r \r \h </w:instrText>
      </w:r>
      <w:r>
        <w:rPr>
          <w:sz w:val="18"/>
          <w:i w:val="false"/>
          <w:szCs w:val="18"/>
          <w:iCs w:val="false"/>
          <w:color w:themeColor="dark1" w:val="000000"/>
        </w:rPr>
        <w:fldChar w:fldCharType="separate"/>
      </w:r>
      <w:r>
        <w:rPr>
          <w:sz w:val="18"/>
          <w:i w:val="false"/>
          <w:szCs w:val="18"/>
          <w:iCs w:val="false"/>
          <w:color w:themeColor="dark1" w:val="000000"/>
        </w:rPr>
        <w:t>12.4</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_Ref114668247 \r \r \h </w:instrText>
      </w:r>
      <w:r>
        <w:rPr>
          <w:sz w:val="18"/>
          <w:i w:val="false"/>
          <w:szCs w:val="18"/>
          <w:iCs w:val="false"/>
          <w:color w:themeColor="dark1" w:val="000000"/>
        </w:rPr>
        <w:fldChar w:fldCharType="separate"/>
      </w:r>
      <w:r>
        <w:rPr>
          <w:sz w:val="18"/>
          <w:i w:val="false"/>
          <w:szCs w:val="18"/>
          <w:iCs w:val="false"/>
          <w:color w:themeColor="dark1" w:val="000000"/>
        </w:rPr>
        <w:t>12.5</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_Ref114668251 \r \r \h </w:instrText>
      </w:r>
      <w:r>
        <w:rPr>
          <w:sz w:val="18"/>
          <w:i w:val="false"/>
          <w:szCs w:val="18"/>
          <w:iCs w:val="false"/>
          <w:color w:themeColor="dark1" w:val="000000"/>
        </w:rPr>
        <w:fldChar w:fldCharType="separate"/>
      </w:r>
      <w:r>
        <w:rPr>
          <w:sz w:val="18"/>
          <w:i w:val="false"/>
          <w:szCs w:val="18"/>
          <w:iCs w:val="false"/>
          <w:color w:themeColor="dark1" w:val="000000"/>
        </w:rPr>
        <w:t>12.5.4</w:t>
      </w:r>
      <w:r>
        <w:rPr>
          <w:sz w:val="18"/>
          <w:i w:val="false"/>
          <w:szCs w:val="18"/>
          <w:iCs w:val="false"/>
          <w:color w:themeColor="dark1" w:val="000000"/>
        </w:rPr>
        <w:fldChar w:fldCharType="end"/>
      </w:r>
      <w:r>
        <w:rPr>
          <w:i w:val="false"/>
          <w:iCs w:val="false"/>
          <w:color w:themeColor="dark1" w:val="000000"/>
          <w:sz w:val="18"/>
          <w:szCs w:val="18"/>
        </w:rPr>
        <w:t xml:space="preserve"> 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_Ref114668252 \r \r \h </w:instrText>
      </w:r>
      <w:r>
        <w:rPr>
          <w:sz w:val="18"/>
          <w:i w:val="false"/>
          <w:szCs w:val="18"/>
          <w:iCs w:val="false"/>
          <w:color w:themeColor="dark1" w:val="000000"/>
        </w:rPr>
        <w:fldChar w:fldCharType="separate"/>
      </w:r>
      <w:r>
        <w:rPr>
          <w:sz w:val="18"/>
          <w:i w:val="false"/>
          <w:szCs w:val="18"/>
          <w:iCs w:val="false"/>
          <w:color w:themeColor="dark1" w:val="000000"/>
        </w:rPr>
        <w:t>12.5.5</w:t>
      </w:r>
      <w:r>
        <w:rPr>
          <w:sz w:val="18"/>
          <w:i w:val="false"/>
          <w:szCs w:val="18"/>
          <w:iCs w:val="false"/>
          <w:color w:themeColor="dark1" w:val="000000"/>
        </w:rPr>
        <w:fldChar w:fldCharType="end"/>
      </w:r>
      <w:r>
        <w:rPr>
          <w:i w:val="false"/>
          <w:iCs w:val="false"/>
          <w:color w:themeColor="dark1" w:val="000000"/>
          <w:sz w:val="18"/>
          <w:szCs w:val="18"/>
        </w:rPr>
        <w:t>, a multa será de 30% do valor do contrato licitado.</w:t>
      </w:r>
    </w:p>
    <w:p>
      <w:pPr>
        <w:pStyle w:val="Nvel2-Red"/>
        <w:numPr>
          <w:ilvl w:val="1"/>
          <w:numId w:val="8"/>
        </w:numPr>
        <w:spacing w:lineRule="auto" w:line="240" w:before="0" w:after="0"/>
        <w:rPr>
          <w:sz w:val="18"/>
          <w:szCs w:val="18"/>
        </w:rPr>
      </w:pPr>
      <w:r>
        <w:rPr>
          <w:i w:val="false"/>
          <w:iCs w:val="false"/>
          <w:color w:themeColor="dark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8"/>
        </w:numPr>
        <w:spacing w:lineRule="auto" w:line="240" w:before="0" w:after="0"/>
        <w:rPr>
          <w:sz w:val="18"/>
          <w:szCs w:val="18"/>
        </w:rPr>
      </w:pPr>
      <w:r>
        <w:rPr>
          <w:i w:val="false"/>
          <w:iCs w:val="false"/>
          <w:color w:themeColor="dark1" w:val="000000"/>
          <w:sz w:val="18"/>
          <w:szCs w:val="18"/>
        </w:rPr>
        <w:t>Na aplicação da sanção de multa será facultada a defesa do interessado no prazo de 15 (quinze) dias úteis, contado da data de sua intimação.</w:t>
      </w:r>
    </w:p>
    <w:p>
      <w:pPr>
        <w:pStyle w:val="Nvel2-Red"/>
        <w:numPr>
          <w:ilvl w:val="1"/>
          <w:numId w:val="8"/>
        </w:numPr>
        <w:spacing w:lineRule="auto" w:line="240" w:before="0" w:after="0"/>
        <w:rPr>
          <w:sz w:val="18"/>
          <w:szCs w:val="18"/>
        </w:rPr>
      </w:pPr>
      <w:r>
        <w:rPr>
          <w:i w:val="false"/>
          <w:iCs w:val="false"/>
          <w:color w:themeColor="dark1" w:val="000000"/>
          <w:sz w:val="18"/>
          <w:szCs w:val="18"/>
        </w:rPr>
        <w:t xml:space="preserve">A sanção de impedimento de licitar e contratar será aplicada ao responsável em decorrência das infrações administrativas relacionadas nos itens </w:t>
      </w:r>
      <w:r>
        <w:rPr>
          <w:i w:val="false"/>
          <w:iCs w:val="false"/>
          <w:color w:themeColor="dark1" w:val="000000"/>
          <w:sz w:val="18"/>
          <w:szCs w:val="18"/>
        </w:rPr>
        <w:fldChar w:fldCharType="begin"/>
      </w:r>
      <w:r>
        <w:rPr>
          <w:sz w:val="18"/>
          <w:i w:val="false"/>
          <w:szCs w:val="18"/>
          <w:iCs w:val="false"/>
          <w:color w:themeColor="dark1" w:val="000000"/>
        </w:rPr>
        <w:instrText xml:space="preserve"> REF _Ref114668085 \r \r \h </w:instrText>
      </w:r>
      <w:r>
        <w:rPr>
          <w:sz w:val="18"/>
          <w:i w:val="false"/>
          <w:szCs w:val="18"/>
          <w:iCs w:val="false"/>
          <w:color w:themeColor="dark1" w:val="000000"/>
        </w:rPr>
        <w:fldChar w:fldCharType="separate"/>
      </w:r>
      <w:r>
        <w:rPr>
          <w:sz w:val="18"/>
          <w:i w:val="false"/>
          <w:szCs w:val="18"/>
          <w:iCs w:val="false"/>
          <w:color w:themeColor="dark1" w:val="000000"/>
        </w:rPr>
        <w:t>12.1.1</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_Ref114668108 \r \r \h </w:instrText>
      </w:r>
      <w:r>
        <w:rPr>
          <w:sz w:val="18"/>
          <w:i w:val="false"/>
          <w:szCs w:val="18"/>
          <w:iCs w:val="false"/>
          <w:color w:themeColor="dark1" w:val="000000"/>
        </w:rPr>
        <w:fldChar w:fldCharType="separate"/>
      </w:r>
      <w:r>
        <w:rPr>
          <w:sz w:val="18"/>
          <w:i w:val="false"/>
          <w:szCs w:val="18"/>
          <w:iCs w:val="false"/>
          <w:color w:themeColor="dark1" w:val="000000"/>
        </w:rPr>
        <w:t>12.1.2</w:t>
      </w:r>
      <w:r>
        <w:rPr>
          <w:sz w:val="18"/>
          <w:i w:val="false"/>
          <w:szCs w:val="18"/>
          <w:iCs w:val="false"/>
          <w:color w:themeColor="dark1" w:val="000000"/>
        </w:rPr>
        <w:fldChar w:fldCharType="end"/>
      </w:r>
      <w:r>
        <w:rPr>
          <w:i w:val="false"/>
          <w:iCs w:val="false"/>
          <w:color w:themeColor="dark1" w:val="000000"/>
          <w:sz w:val="18"/>
          <w:szCs w:val="18"/>
        </w:rPr>
        <w:t xml:space="preserve"> 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_Ref114668139 \r \r \h </w:instrText>
      </w:r>
      <w:r>
        <w:rPr>
          <w:sz w:val="18"/>
          <w:i w:val="false"/>
          <w:szCs w:val="18"/>
          <w:iCs w:val="false"/>
          <w:color w:themeColor="dark1" w:val="000000"/>
        </w:rPr>
        <w:fldChar w:fldCharType="separate"/>
      </w:r>
      <w:r>
        <w:rPr>
          <w:sz w:val="18"/>
          <w:i w:val="false"/>
          <w:szCs w:val="18"/>
          <w:iCs w:val="false"/>
          <w:color w:themeColor="dark1" w:val="000000"/>
        </w:rPr>
        <w:t>12.2</w:t>
      </w:r>
      <w:r>
        <w:rPr>
          <w:sz w:val="18"/>
          <w:i w:val="false"/>
          <w:szCs w:val="18"/>
          <w:iCs w:val="false"/>
          <w:color w:themeColor="dark1" w:val="000000"/>
        </w:rPr>
        <w:fldChar w:fldCharType="end"/>
      </w:r>
      <w:r>
        <w:rPr>
          <w:i w:val="false"/>
          <w:iCs w:val="false"/>
          <w:color w:themeColor="dark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8"/>
        </w:numPr>
        <w:spacing w:lineRule="auto" w:line="240" w:before="0" w:after="0"/>
        <w:rPr>
          <w:sz w:val="18"/>
          <w:szCs w:val="18"/>
        </w:rPr>
      </w:pPr>
      <w:r>
        <w:rPr>
          <w:i w:val="false"/>
          <w:iCs w:val="false"/>
          <w:color w:themeColor="dark1" w:val="000000"/>
          <w:sz w:val="18"/>
          <w:szCs w:val="18"/>
        </w:rPr>
        <w:t xml:space="preserve">Poderá ser aplicada ao responsável a sanção de declaração de inidoneidade para licitar ou contratar, em decorrência da prática das infrações dispostas nos itens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_Ref114668249 \r \r \h </w:instrText>
      </w:r>
      <w:r>
        <w:rPr>
          <w:sz w:val="18"/>
          <w:i w:val="false"/>
          <w:szCs w:val="18"/>
          <w:iCs w:val="false"/>
          <w:color w:themeColor="dark1" w:val="000000"/>
        </w:rPr>
        <w:fldChar w:fldCharType="separate"/>
      </w:r>
      <w:r>
        <w:rPr>
          <w:sz w:val="18"/>
          <w:i w:val="false"/>
          <w:szCs w:val="18"/>
          <w:iCs w:val="false"/>
          <w:color w:themeColor="dark1" w:val="000000"/>
        </w:rPr>
        <w:t>12.3</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_Ref114668245 \r \r \h </w:instrText>
      </w:r>
      <w:r>
        <w:rPr>
          <w:sz w:val="18"/>
          <w:i w:val="false"/>
          <w:szCs w:val="18"/>
          <w:iCs w:val="false"/>
          <w:color w:themeColor="dark1" w:val="000000"/>
        </w:rPr>
        <w:fldChar w:fldCharType="separate"/>
      </w:r>
      <w:r>
        <w:rPr>
          <w:sz w:val="18"/>
          <w:i w:val="false"/>
          <w:szCs w:val="18"/>
          <w:iCs w:val="false"/>
          <w:color w:themeColor="dark1" w:val="000000"/>
        </w:rPr>
        <w:t>12.4</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_Ref114668247 \r \r \h </w:instrText>
      </w:r>
      <w:r>
        <w:rPr>
          <w:sz w:val="18"/>
          <w:i w:val="false"/>
          <w:szCs w:val="18"/>
          <w:iCs w:val="false"/>
          <w:color w:themeColor="dark1" w:val="000000"/>
        </w:rPr>
        <w:fldChar w:fldCharType="separate"/>
      </w:r>
      <w:r>
        <w:rPr>
          <w:sz w:val="18"/>
          <w:i w:val="false"/>
          <w:szCs w:val="18"/>
          <w:iCs w:val="false"/>
          <w:color w:themeColor="dark1" w:val="000000"/>
        </w:rPr>
        <w:t>12.5</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_Ref114668251 \r \r \h </w:instrText>
      </w:r>
      <w:r>
        <w:rPr>
          <w:sz w:val="18"/>
          <w:i w:val="false"/>
          <w:szCs w:val="18"/>
          <w:iCs w:val="false"/>
          <w:color w:themeColor="dark1" w:val="000000"/>
        </w:rPr>
        <w:fldChar w:fldCharType="separate"/>
      </w:r>
      <w:r>
        <w:rPr>
          <w:sz w:val="18"/>
          <w:i w:val="false"/>
          <w:szCs w:val="18"/>
          <w:iCs w:val="false"/>
          <w:color w:themeColor="dark1" w:val="000000"/>
        </w:rPr>
        <w:t>12.5.4</w:t>
      </w:r>
      <w:r>
        <w:rPr>
          <w:sz w:val="18"/>
          <w:i w:val="false"/>
          <w:szCs w:val="18"/>
          <w:iCs w:val="false"/>
          <w:color w:themeColor="dark1" w:val="000000"/>
        </w:rPr>
        <w:fldChar w:fldCharType="end"/>
      </w:r>
      <w:r>
        <w:rPr>
          <w:i w:val="false"/>
          <w:iCs w:val="false"/>
          <w:color w:themeColor="dark1" w:val="000000"/>
          <w:sz w:val="18"/>
          <w:szCs w:val="18"/>
        </w:rPr>
        <w:t xml:space="preserve"> 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_Ref114668252 \r \r \h </w:instrText>
      </w:r>
      <w:r>
        <w:rPr>
          <w:sz w:val="18"/>
          <w:i w:val="false"/>
          <w:szCs w:val="18"/>
          <w:iCs w:val="false"/>
          <w:color w:themeColor="dark1" w:val="000000"/>
        </w:rPr>
        <w:fldChar w:fldCharType="separate"/>
      </w:r>
      <w:r>
        <w:rPr>
          <w:sz w:val="18"/>
          <w:i w:val="false"/>
          <w:szCs w:val="18"/>
          <w:iCs w:val="false"/>
          <w:color w:themeColor="dark1" w:val="000000"/>
        </w:rPr>
        <w:t>12.5.5</w:t>
      </w:r>
      <w:r>
        <w:rPr>
          <w:sz w:val="18"/>
          <w:i w:val="false"/>
          <w:szCs w:val="18"/>
          <w:iCs w:val="false"/>
          <w:color w:themeColor="dark1" w:val="000000"/>
        </w:rPr>
        <w:fldChar w:fldCharType="end"/>
      </w:r>
      <w:r>
        <w:rPr>
          <w:i w:val="false"/>
          <w:iCs w:val="false"/>
          <w:color w:themeColor="dark1" w:val="000000"/>
          <w:sz w:val="18"/>
          <w:szCs w:val="18"/>
        </w:rPr>
        <w:t xml:space="preserve">, bem como pelas infrações administrativas previstas nos itens </w:t>
      </w:r>
      <w:r>
        <w:rPr>
          <w:i w:val="false"/>
          <w:iCs w:val="false"/>
          <w:color w:themeColor="dark1" w:val="000000"/>
          <w:sz w:val="18"/>
          <w:szCs w:val="18"/>
        </w:rPr>
        <w:fldChar w:fldCharType="begin"/>
      </w:r>
      <w:r>
        <w:rPr>
          <w:sz w:val="18"/>
          <w:i w:val="false"/>
          <w:szCs w:val="18"/>
          <w:iCs w:val="false"/>
          <w:color w:themeColor="dark1" w:val="000000"/>
        </w:rPr>
        <w:instrText xml:space="preserve"> REF _Ref114668085 \r \r \h </w:instrText>
      </w:r>
      <w:r>
        <w:rPr>
          <w:sz w:val="18"/>
          <w:i w:val="false"/>
          <w:szCs w:val="18"/>
          <w:iCs w:val="false"/>
          <w:color w:themeColor="dark1" w:val="000000"/>
        </w:rPr>
        <w:fldChar w:fldCharType="separate"/>
      </w:r>
      <w:r>
        <w:rPr>
          <w:sz w:val="18"/>
          <w:i w:val="false"/>
          <w:szCs w:val="18"/>
          <w:iCs w:val="false"/>
          <w:color w:themeColor="dark1" w:val="000000"/>
        </w:rPr>
        <w:t>12.1.1</w:t>
      </w:r>
      <w:r>
        <w:rPr>
          <w:sz w:val="18"/>
          <w:i w:val="false"/>
          <w:szCs w:val="18"/>
          <w:iCs w:val="false"/>
          <w:color w:themeColor="dark1" w:val="000000"/>
        </w:rPr>
        <w:fldChar w:fldCharType="end"/>
      </w:r>
      <w:r>
        <w:rPr>
          <w:i w:val="false"/>
          <w:iCs w:val="false"/>
          <w:color w:themeColor="dark1" w:val="000000"/>
          <w:sz w:val="18"/>
          <w:szCs w:val="18"/>
        </w:rPr>
        <w:t xml:space="preserv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_Ref114668108 \r \r \h </w:instrText>
      </w:r>
      <w:r>
        <w:rPr>
          <w:sz w:val="18"/>
          <w:i w:val="false"/>
          <w:szCs w:val="18"/>
          <w:iCs w:val="false"/>
          <w:color w:themeColor="dark1" w:val="000000"/>
        </w:rPr>
        <w:fldChar w:fldCharType="separate"/>
      </w:r>
      <w:r>
        <w:rPr>
          <w:sz w:val="18"/>
          <w:i w:val="false"/>
          <w:szCs w:val="18"/>
          <w:iCs w:val="false"/>
          <w:color w:themeColor="dark1" w:val="000000"/>
        </w:rPr>
        <w:t>12.1.2</w:t>
      </w:r>
      <w:r>
        <w:rPr>
          <w:sz w:val="18"/>
          <w:i w:val="false"/>
          <w:szCs w:val="18"/>
          <w:iCs w:val="false"/>
          <w:color w:themeColor="dark1" w:val="000000"/>
        </w:rPr>
        <w:fldChar w:fldCharType="end"/>
      </w:r>
      <w:r>
        <w:rPr>
          <w:i w:val="false"/>
          <w:iCs w:val="false"/>
          <w:color w:themeColor="dark1" w:val="000000"/>
          <w:sz w:val="18"/>
          <w:szCs w:val="18"/>
        </w:rPr>
        <w:t xml:space="preserve"> e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_Ref114668139 \r \r \h </w:instrText>
      </w:r>
      <w:r>
        <w:rPr>
          <w:sz w:val="18"/>
          <w:i w:val="false"/>
          <w:szCs w:val="18"/>
          <w:iCs w:val="false"/>
          <w:color w:themeColor="dark1" w:val="000000"/>
        </w:rPr>
        <w:fldChar w:fldCharType="separate"/>
      </w:r>
      <w:r>
        <w:rPr>
          <w:sz w:val="18"/>
          <w:i w:val="false"/>
          <w:szCs w:val="18"/>
          <w:iCs w:val="false"/>
          <w:color w:themeColor="dark1" w:val="000000"/>
        </w:rPr>
        <w:t>12.2</w:t>
      </w:r>
      <w:r>
        <w:rPr>
          <w:sz w:val="18"/>
          <w:i w:val="false"/>
          <w:szCs w:val="18"/>
          <w:iCs w:val="false"/>
          <w:color w:themeColor="dark1" w:val="000000"/>
        </w:rPr>
        <w:fldChar w:fldCharType="end"/>
      </w:r>
      <w:r>
        <w:rPr>
          <w:i w:val="false"/>
          <w:iCs w:val="false"/>
          <w:color w:themeColor="dark1" w:val="000000"/>
          <w:sz w:val="18"/>
          <w:szCs w:val="18"/>
        </w:rPr>
        <w:t xml:space="preserve"> que justifiquem a imposição de penalidade mais grave que a sanção de impedimento de licitar e contratar, cuja duração observará o prazo previsto no </w:t>
      </w:r>
      <w:hyperlink r:id="rId5" w:tooltip="http://www.planalto.gov.br/ccivil_03/_ato2019-2022/2021/lei/L14133.htm#art156§5&quot; l &quot;art156§5">
        <w:r>
          <w:rPr>
            <w:rStyle w:val="Style"/>
            <w:i w:val="false"/>
            <w:iCs w:val="false"/>
            <w:color w:themeColor="dark1" w:val="000000"/>
            <w:sz w:val="18"/>
            <w:szCs w:val="18"/>
            <w:u w:val="none"/>
          </w:rPr>
          <w:t>art. 156, §5º, da Lei n.º 14.133/2021</w:t>
        </w:r>
      </w:hyperlink>
      <w:r>
        <w:rPr>
          <w:i w:val="false"/>
          <w:iCs w:val="false"/>
          <w:color w:themeColor="dark1" w:val="000000"/>
          <w:sz w:val="18"/>
          <w:szCs w:val="18"/>
        </w:rPr>
        <w:t>.</w:t>
      </w:r>
    </w:p>
    <w:p>
      <w:pPr>
        <w:pStyle w:val="Nvel2-Red"/>
        <w:numPr>
          <w:ilvl w:val="1"/>
          <w:numId w:val="8"/>
        </w:numPr>
        <w:spacing w:lineRule="auto" w:line="240" w:before="0" w:after="0"/>
        <w:rPr>
          <w:sz w:val="18"/>
          <w:szCs w:val="18"/>
        </w:rPr>
      </w:pPr>
      <w:r>
        <w:rPr>
          <w:i w:val="false"/>
          <w:iCs w:val="false"/>
          <w:color w:themeColor="dark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i w:val="false"/>
          <w:iCs w:val="false"/>
          <w:color w:themeColor="dark1" w:val="000000"/>
          <w:sz w:val="18"/>
          <w:szCs w:val="18"/>
        </w:rPr>
        <w:fldChar w:fldCharType="begin"/>
      </w:r>
      <w:r>
        <w:rPr>
          <w:sz w:val="18"/>
          <w:i w:val="false"/>
          <w:szCs w:val="18"/>
          <w:iCs w:val="false"/>
          <w:color w:themeColor="dark1" w:val="000000"/>
        </w:rPr>
        <w:instrText xml:space="preserve"> REF _Ref114668139 \r \r \h </w:instrText>
      </w:r>
      <w:r>
        <w:rPr>
          <w:sz w:val="18"/>
          <w:i w:val="false"/>
          <w:szCs w:val="18"/>
          <w:iCs w:val="false"/>
          <w:color w:themeColor="dark1" w:val="000000"/>
        </w:rPr>
        <w:fldChar w:fldCharType="separate"/>
      </w:r>
      <w:r>
        <w:rPr>
          <w:sz w:val="18"/>
          <w:i w:val="false"/>
          <w:szCs w:val="18"/>
          <w:iCs w:val="false"/>
          <w:color w:themeColor="dark1" w:val="000000"/>
        </w:rPr>
        <w:t>12.2</w:t>
      </w:r>
      <w:r>
        <w:rPr>
          <w:sz w:val="18"/>
          <w:i w:val="false"/>
          <w:szCs w:val="18"/>
          <w:iCs w:val="false"/>
          <w:color w:themeColor="dark1" w:val="000000"/>
        </w:rPr>
        <w:fldChar w:fldCharType="end"/>
      </w:r>
      <w:r>
        <w:rPr>
          <w:i w:val="false"/>
          <w:iCs w:val="false"/>
          <w:color w:themeColor="dark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8"/>
        </w:numPr>
        <w:spacing w:lineRule="auto" w:line="240" w:before="0" w:after="0"/>
        <w:rPr>
          <w:sz w:val="18"/>
          <w:szCs w:val="18"/>
        </w:rPr>
      </w:pPr>
      <w:r>
        <w:rPr>
          <w:i w:val="false"/>
          <w:iCs w:val="false"/>
          <w:color w:themeColor="dark1"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8"/>
        </w:numPr>
        <w:spacing w:lineRule="auto" w:line="240" w:before="0" w:after="0"/>
        <w:rPr>
          <w:sz w:val="18"/>
          <w:szCs w:val="18"/>
        </w:rPr>
      </w:pPr>
      <w:r>
        <w:rPr>
          <w:i w:val="false"/>
          <w:iCs w:val="false"/>
          <w:color w:themeColor="dark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8"/>
        </w:numPr>
        <w:spacing w:lineRule="auto" w:line="240" w:before="0" w:after="0"/>
        <w:rPr>
          <w:sz w:val="18"/>
          <w:szCs w:val="18"/>
        </w:rPr>
      </w:pPr>
      <w:r>
        <w:rPr>
          <w:i w:val="false"/>
          <w:iCs w:val="false"/>
          <w:color w:themeColor="dark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0"/>
          <w:numId w:val="0"/>
        </w:numPr>
        <w:spacing w:lineRule="auto" w:line="240" w:before="0" w:after="0"/>
        <w:ind w:hanging="0" w:left="792"/>
        <w:rPr>
          <w:sz w:val="18"/>
          <w:szCs w:val="18"/>
        </w:rPr>
      </w:pPr>
      <w:r>
        <w:rPr>
          <w:sz w:val="18"/>
          <w:szCs w:val="18"/>
        </w:rPr>
      </w:r>
    </w:p>
    <w:p>
      <w:pPr>
        <w:pStyle w:val="Nvel2-Red"/>
        <w:numPr>
          <w:ilvl w:val="1"/>
          <w:numId w:val="8"/>
        </w:numPr>
        <w:spacing w:lineRule="auto" w:line="240" w:before="0" w:after="0"/>
        <w:rPr>
          <w:sz w:val="18"/>
          <w:szCs w:val="18"/>
        </w:rPr>
      </w:pPr>
      <w:r>
        <w:rPr>
          <w:i w:val="false"/>
          <w:iCs w:val="false"/>
          <w:color w:themeColor="dark1" w:val="000000"/>
          <w:sz w:val="18"/>
          <w:szCs w:val="18"/>
        </w:rPr>
        <w:t>O recurso e o pedido de reconsideração terão efeito suspensivo do ato ou da decisão recorrida até que sobrevenha decisão final da autoridade competente.</w:t>
      </w:r>
    </w:p>
    <w:p>
      <w:pPr>
        <w:pStyle w:val="Nvel2-Red"/>
        <w:numPr>
          <w:ilvl w:val="1"/>
          <w:numId w:val="8"/>
        </w:numPr>
        <w:spacing w:lineRule="auto" w:line="240" w:before="0" w:after="0"/>
        <w:rPr>
          <w:sz w:val="18"/>
          <w:szCs w:val="18"/>
        </w:rPr>
      </w:pPr>
      <w:r>
        <w:rPr>
          <w:i w:val="false"/>
          <w:iCs w:val="false"/>
          <w:color w:themeColor="dark1" w:val="000000"/>
          <w:sz w:val="18"/>
          <w:szCs w:val="18"/>
        </w:rPr>
        <w:t>A aplicação das sanções previstas neste edital não exclui, em hipótese alguma, a obrigação de reparação integral dos danos causados</w:t>
      </w:r>
      <w:r>
        <w:rPr>
          <w:sz w:val="18"/>
          <w:szCs w:val="18"/>
        </w:rPr>
        <w:t>.</w:t>
      </w:r>
    </w:p>
    <w:p>
      <w:pPr>
        <w:pStyle w:val="Nvel2-Red"/>
        <w:numPr>
          <w:ilvl w:val="0"/>
          <w:numId w:val="0"/>
        </w:numPr>
        <w:spacing w:lineRule="auto" w:line="240" w:before="0" w:after="0"/>
        <w:ind w:hanging="0" w:left="360"/>
        <w:rPr>
          <w:sz w:val="18"/>
          <w:szCs w:val="18"/>
        </w:rPr>
      </w:pPr>
      <w:r>
        <w:rPr>
          <w:sz w:val="18"/>
          <w:szCs w:val="18"/>
        </w:rPr>
      </w:r>
    </w:p>
    <w:p>
      <w:pPr>
        <w:pStyle w:val="Nvel2-Red"/>
        <w:numPr>
          <w:ilvl w:val="0"/>
          <w:numId w:val="0"/>
        </w:numPr>
        <w:spacing w:lineRule="auto" w:line="240" w:before="0" w:after="0"/>
        <w:ind w:hanging="0" w:left="360"/>
        <w:rPr>
          <w:sz w:val="18"/>
          <w:szCs w:val="18"/>
        </w:rPr>
      </w:pPr>
      <w:r>
        <w:rPr>
          <w:sz w:val="18"/>
          <w:szCs w:val="18"/>
        </w:rPr>
      </w:r>
    </w:p>
    <w:p>
      <w:pPr>
        <w:pStyle w:val="Nivel2"/>
        <w:numPr>
          <w:ilvl w:val="0"/>
          <w:numId w:val="0"/>
        </w:numPr>
        <w:shd w:val="clear" w:color="FFFFFF" w:themeColor="background1" w:fill="FFFFFF" w:themeFill="background1"/>
        <w:spacing w:lineRule="auto" w:line="240"/>
        <w:ind w:hanging="0" w:left="0"/>
        <w:rPr>
          <w:b/>
          <w:bCs/>
          <w:color w:themeColor="text2" w:val="1F497D"/>
          <w:sz w:val="18"/>
          <w:szCs w:val="18"/>
        </w:rPr>
      </w:pPr>
      <w:r>
        <w:rPr>
          <w:b/>
          <w:bCs/>
          <w:color w:themeColor="text2" w:val="1F497D"/>
          <w:sz w:val="18"/>
          <w:szCs w:val="18"/>
        </w:rPr>
        <w:t>13. DISPOSIÇÕES GERAIS</w:t>
      </w:r>
    </w:p>
    <w:p>
      <w:pPr>
        <w:pStyle w:val="Nivel2"/>
        <w:numPr>
          <w:ilvl w:val="0"/>
          <w:numId w:val="0"/>
        </w:numPr>
        <w:spacing w:lineRule="auto" w:line="240"/>
        <w:ind w:hanging="0" w:left="19"/>
        <w:rPr>
          <w:sz w:val="18"/>
          <w:szCs w:val="18"/>
        </w:rPr>
      </w:pPr>
      <w:r>
        <w:rPr>
          <w:rFonts w:eastAsia="SimSun"/>
          <w:sz w:val="18"/>
          <w:szCs w:val="18"/>
        </w:rPr>
        <w:t>13.1. As empresas e/ou representantes que tiverem interesse em participar do certame obrigam-se a acompanhar as publicações referentes ao processo no site www.santabarbaradosul.rs.gov.br, bem como as publicações no Diário Oficial dos Municípios no endereço eletrônico https://www.diariomunicipal.com.br/famurs/, quando for o caso, com vista a possíveis alterações e avisos.</w:t>
      </w:r>
    </w:p>
    <w:p>
      <w:pPr>
        <w:pStyle w:val="Nivel2"/>
        <w:numPr>
          <w:ilvl w:val="0"/>
          <w:numId w:val="0"/>
        </w:numPr>
        <w:spacing w:lineRule="auto" w:line="240"/>
        <w:ind w:hanging="0" w:left="19"/>
        <w:rPr>
          <w:sz w:val="18"/>
          <w:szCs w:val="18"/>
        </w:rPr>
      </w:pPr>
      <w:r>
        <w:rPr>
          <w:rFonts w:eastAsia="SimSun"/>
          <w:sz w:val="18"/>
          <w:szCs w:val="18"/>
        </w:rPr>
        <w:t>13.2. Os pedidos de esclarecimentos sobre o edital poderão ser encaminhados para o e-mail: licita@santabarbaradosul.rs.gov.br.</w:t>
      </w:r>
    </w:p>
    <w:p>
      <w:pPr>
        <w:pStyle w:val="Nivel2"/>
        <w:numPr>
          <w:ilvl w:val="0"/>
          <w:numId w:val="0"/>
        </w:numPr>
        <w:spacing w:lineRule="auto" w:line="240"/>
        <w:ind w:hanging="0" w:left="0"/>
        <w:rPr>
          <w:sz w:val="18"/>
          <w:szCs w:val="18"/>
        </w:rPr>
      </w:pPr>
      <w:r>
        <w:rPr>
          <w:rFonts w:eastAsia="SimSun"/>
          <w:sz w:val="18"/>
          <w:szCs w:val="18"/>
        </w:rPr>
        <w:t>13.3. As quantidades consideradas nas tabelas e custos do ANEXO I deste Edital visam somente oferecer às empresas interessadas elementos para avaliação do potencial de serviços. Estas quantidades, não constituem sob nenhuma hipótese, garantia de volume de serviço a ser requisitado, reservando-se a Administração do Município de Santa Bárbara do Sul/RS, o direito de adaptação às suas necessidades conforme a demanda.</w:t>
      </w:r>
    </w:p>
    <w:p>
      <w:pPr>
        <w:pStyle w:val="Nivel2"/>
        <w:numPr>
          <w:ilvl w:val="0"/>
          <w:numId w:val="0"/>
        </w:numPr>
        <w:spacing w:lineRule="auto" w:line="240"/>
        <w:ind w:hanging="0" w:left="0"/>
        <w:rPr>
          <w:sz w:val="18"/>
          <w:szCs w:val="18"/>
        </w:rPr>
      </w:pPr>
      <w:r>
        <w:rPr>
          <w:sz w:val="18"/>
          <w:szCs w:val="18"/>
        </w:rPr>
      </w:r>
    </w:p>
    <w:p>
      <w:pPr>
        <w:pStyle w:val="Nivel2"/>
        <w:numPr>
          <w:ilvl w:val="0"/>
          <w:numId w:val="2"/>
        </w:numPr>
        <w:shd w:val="clear" w:color="FFFFFF" w:themeColor="background1" w:fill="FFFFFF" w:themeFill="background1"/>
        <w:spacing w:lineRule="auto" w:line="240"/>
        <w:ind w:hanging="0" w:left="0"/>
        <w:rPr>
          <w:color w:themeColor="text2" w:val="1F497D"/>
          <w:sz w:val="18"/>
          <w:szCs w:val="18"/>
        </w:rPr>
      </w:pPr>
      <w:r>
        <w:rPr>
          <w:b/>
          <w:bCs/>
          <w:color w:themeColor="text2" w:val="1F497D"/>
          <w:sz w:val="18"/>
          <w:szCs w:val="18"/>
          <w:shd w:fill="FFFFFF" w:val="clear"/>
        </w:rPr>
        <w:t xml:space="preserve">14. </w:t>
      </w:r>
      <w:r>
        <w:rPr>
          <w:b/>
          <w:bCs/>
          <w:color w:themeColor="text2" w:val="1F497D"/>
          <w:sz w:val="18"/>
          <w:szCs w:val="18"/>
        </w:rPr>
        <w:t>RELAÇÃO DE ANEXOS</w:t>
      </w:r>
    </w:p>
    <w:p>
      <w:pPr>
        <w:pStyle w:val="Nivel2"/>
        <w:numPr>
          <w:ilvl w:val="0"/>
          <w:numId w:val="0"/>
        </w:numPr>
        <w:spacing w:lineRule="auto" w:line="240"/>
        <w:ind w:hanging="0" w:left="19"/>
        <w:rPr>
          <w:sz w:val="18"/>
          <w:szCs w:val="18"/>
        </w:rPr>
      </w:pPr>
      <w:r>
        <w:rPr>
          <w:sz w:val="18"/>
          <w:szCs w:val="18"/>
        </w:rPr>
        <w:t>14. 1.    ANEXO I - Relação de itens e t</w:t>
      </w:r>
      <w:r>
        <w:rPr>
          <w:rFonts w:eastAsia="SimSun"/>
          <w:sz w:val="18"/>
          <w:szCs w:val="18"/>
        </w:rPr>
        <w:t>abela única de preços.</w:t>
      </w:r>
    </w:p>
    <w:p>
      <w:pPr>
        <w:pStyle w:val="Nivel2"/>
        <w:numPr>
          <w:ilvl w:val="0"/>
          <w:numId w:val="0"/>
        </w:numPr>
        <w:spacing w:lineRule="auto" w:line="240"/>
        <w:ind w:hanging="0" w:left="19"/>
        <w:rPr>
          <w:sz w:val="18"/>
          <w:szCs w:val="18"/>
        </w:rPr>
      </w:pPr>
      <w:r>
        <w:rPr>
          <w:rFonts w:eastAsia="SimSun"/>
          <w:sz w:val="18"/>
          <w:szCs w:val="18"/>
        </w:rPr>
        <w:t>14. 2.     ANEXO II - Solicitação de Credenciamento.</w:t>
      </w:r>
    </w:p>
    <w:p>
      <w:pPr>
        <w:pStyle w:val="Nivel2"/>
        <w:numPr>
          <w:ilvl w:val="0"/>
          <w:numId w:val="0"/>
        </w:numPr>
        <w:spacing w:lineRule="auto" w:line="240"/>
        <w:ind w:hanging="0" w:left="0"/>
        <w:rPr>
          <w:sz w:val="18"/>
          <w:szCs w:val="18"/>
        </w:rPr>
      </w:pPr>
      <w:r>
        <w:rPr>
          <w:rFonts w:eastAsia="SimSun"/>
          <w:sz w:val="18"/>
          <w:szCs w:val="18"/>
        </w:rPr>
        <w:t>14. 3.      ANEXO III - Declaração conjunta.</w:t>
      </w:r>
    </w:p>
    <w:p>
      <w:pPr>
        <w:pStyle w:val="Nivel2"/>
        <w:numPr>
          <w:ilvl w:val="0"/>
          <w:numId w:val="0"/>
        </w:numPr>
        <w:spacing w:lineRule="auto" w:line="240"/>
        <w:ind w:hanging="0" w:left="19"/>
        <w:rPr>
          <w:sz w:val="18"/>
          <w:szCs w:val="18"/>
        </w:rPr>
      </w:pPr>
      <w:r>
        <w:rPr>
          <w:sz w:val="18"/>
          <w:szCs w:val="18"/>
        </w:rPr>
        <w:t>14. 4.       ANEXO IV - Declaração de residência.</w:t>
      </w:r>
    </w:p>
    <w:p>
      <w:pPr>
        <w:pStyle w:val="Nivel2"/>
        <w:numPr>
          <w:ilvl w:val="0"/>
          <w:numId w:val="0"/>
        </w:numPr>
        <w:spacing w:lineRule="auto" w:line="240"/>
        <w:ind w:hanging="0" w:left="19"/>
        <w:rPr>
          <w:sz w:val="18"/>
          <w:szCs w:val="18"/>
        </w:rPr>
      </w:pPr>
      <w:r>
        <w:rPr>
          <w:sz w:val="18"/>
          <w:szCs w:val="18"/>
        </w:rPr>
        <w:t>14. 5.     ANEXO V - Termo de Credenciamento.</w:t>
      </w:r>
    </w:p>
    <w:p>
      <w:pPr>
        <w:pStyle w:val="Nivel2"/>
        <w:numPr>
          <w:ilvl w:val="0"/>
          <w:numId w:val="0"/>
        </w:numPr>
        <w:spacing w:lineRule="auto" w:line="240"/>
        <w:ind w:hanging="0" w:left="19"/>
        <w:rPr>
          <w:sz w:val="18"/>
          <w:szCs w:val="18"/>
        </w:rPr>
      </w:pPr>
      <w:r>
        <w:rPr>
          <w:sz w:val="18"/>
          <w:szCs w:val="18"/>
        </w:rPr>
        <w:t>14. 6.     ANEXO VI - Autorização de Fornecimento (AF)</w:t>
      </w:r>
    </w:p>
    <w:p>
      <w:pPr>
        <w:pStyle w:val="Nivel2"/>
        <w:numPr>
          <w:ilvl w:val="0"/>
          <w:numId w:val="0"/>
        </w:numPr>
        <w:spacing w:lineRule="auto" w:line="240"/>
        <w:ind w:hanging="0" w:left="19"/>
        <w:rPr>
          <w:sz w:val="18"/>
          <w:szCs w:val="18"/>
        </w:rPr>
      </w:pPr>
      <w:r>
        <w:rPr>
          <w:sz w:val="18"/>
          <w:szCs w:val="18"/>
        </w:rPr>
        <w:t>14. 7.      ANEXO VII - ETP</w:t>
      </w:r>
    </w:p>
    <w:p>
      <w:pPr>
        <w:pStyle w:val="Nivel2"/>
        <w:numPr>
          <w:ilvl w:val="0"/>
          <w:numId w:val="0"/>
        </w:numPr>
        <w:spacing w:lineRule="auto" w:line="240"/>
        <w:ind w:hanging="0" w:left="19"/>
        <w:rPr>
          <w:sz w:val="18"/>
          <w:szCs w:val="18"/>
        </w:rPr>
      </w:pPr>
      <w:r>
        <w:rPr>
          <w:sz w:val="18"/>
          <w:szCs w:val="18"/>
        </w:rPr>
      </w:r>
    </w:p>
    <w:p>
      <w:pPr>
        <w:pStyle w:val="Normal"/>
        <w:jc w:val="right"/>
        <w:rPr>
          <w:rFonts w:ascii="Arial" w:hAnsi="Arial" w:eastAsia="MS Mincho" w:cs="Arial"/>
          <w:color w:val="000000"/>
          <w:sz w:val="18"/>
          <w:szCs w:val="18"/>
        </w:rPr>
      </w:pPr>
      <w:r>
        <w:rPr>
          <w:rFonts w:eastAsia="MS Mincho" w:cs="Arial" w:ascii="Arial" w:hAnsi="Arial"/>
          <w:color w:val="000000"/>
          <w:sz w:val="18"/>
          <w:szCs w:val="18"/>
        </w:rPr>
        <w:t>Santa Bárbara do Sul/RS, 21 de janeiro de 2026.</w:t>
      </w:r>
    </w:p>
    <w:p>
      <w:pPr>
        <w:pStyle w:val="Normal"/>
        <w:jc w:val="right"/>
        <w:rPr>
          <w:rFonts w:ascii="Arial" w:hAnsi="Arial" w:eastAsia="MS Mincho" w:cs="Arial"/>
          <w:color w:val="000000"/>
          <w:sz w:val="18"/>
          <w:szCs w:val="18"/>
        </w:rPr>
      </w:pPr>
      <w:r>
        <w:rPr>
          <w:rFonts w:eastAsia="MS Mincho" w:cs="Arial" w:ascii="Arial" w:hAnsi="Arial"/>
          <w:color w:val="000000"/>
          <w:sz w:val="18"/>
          <w:szCs w:val="18"/>
        </w:rPr>
      </w:r>
    </w:p>
    <w:p>
      <w:pPr>
        <w:pStyle w:val="Normal"/>
        <w:jc w:val="right"/>
        <w:rPr>
          <w:rFonts w:ascii="Arial" w:hAnsi="Arial" w:eastAsia="MS Mincho" w:cs="Arial"/>
          <w:color w:val="000000"/>
          <w:sz w:val="18"/>
          <w:szCs w:val="18"/>
        </w:rPr>
      </w:pPr>
      <w:r>
        <w:rPr>
          <w:rFonts w:eastAsia="MS Mincho" w:cs="Arial" w:ascii="Arial" w:hAnsi="Arial"/>
          <w:color w:val="000000"/>
          <w:sz w:val="18"/>
          <w:szCs w:val="18"/>
        </w:rPr>
      </w:r>
    </w:p>
    <w:p>
      <w:pPr>
        <w:pStyle w:val="Normal"/>
        <w:jc w:val="right"/>
        <w:rPr>
          <w:rFonts w:ascii="Arial" w:hAnsi="Arial" w:cs="Arial"/>
          <w:sz w:val="18"/>
          <w:szCs w:val="18"/>
        </w:rPr>
      </w:pPr>
      <w:r>
        <w:rPr>
          <w:rFonts w:cs="Arial" w:ascii="Arial" w:hAnsi="Arial"/>
          <w:sz w:val="18"/>
          <w:szCs w:val="18"/>
        </w:rPr>
      </w:r>
    </w:p>
    <w:p>
      <w:pPr>
        <w:pStyle w:val="Normal"/>
        <w:jc w:val="right"/>
        <w:rPr>
          <w:rFonts w:ascii="Arial" w:hAnsi="Arial" w:cs="Arial"/>
          <w:sz w:val="18"/>
          <w:szCs w:val="18"/>
        </w:rPr>
      </w:pPr>
      <w:r>
        <w:rPr>
          <w:rFonts w:cs="Arial" w:ascii="Arial" w:hAnsi="Arial"/>
          <w:sz w:val="18"/>
          <w:szCs w:val="18"/>
        </w:rPr>
      </w:r>
    </w:p>
    <w:p>
      <w:pPr>
        <w:pStyle w:val="Normal"/>
        <w:jc w:val="right"/>
        <w:rPr>
          <w:rFonts w:ascii="Arial" w:hAnsi="Arial" w:cs="Arial"/>
          <w:sz w:val="18"/>
          <w:szCs w:val="18"/>
        </w:rPr>
      </w:pPr>
      <w:r>
        <w:rPr>
          <w:rFonts w:cs="Arial" w:ascii="Arial" w:hAnsi="Arial"/>
          <w:sz w:val="18"/>
          <w:szCs w:val="18"/>
        </w:rPr>
      </w:r>
    </w:p>
    <w:p>
      <w:pPr>
        <w:pStyle w:val="Normal"/>
        <w:jc w:val="right"/>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Normal"/>
        <w:ind w:firstLine="567"/>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color w:themeColor="dark1" w:val="000000"/>
          <w:sz w:val="18"/>
          <w:szCs w:val="18"/>
        </w:rPr>
        <w:t>Leandro Caraffini Veneral</w:t>
      </w:r>
    </w:p>
    <w:p>
      <w:pPr>
        <w:pStyle w:val="Normal"/>
        <w:jc w:val="center"/>
        <w:rPr>
          <w:rFonts w:ascii="Arial" w:hAnsi="Arial" w:cs="Arial"/>
          <w:sz w:val="18"/>
          <w:szCs w:val="18"/>
        </w:rPr>
      </w:pPr>
      <w:r>
        <w:rPr>
          <w:rFonts w:cs="Arial" w:ascii="Arial" w:hAnsi="Arial"/>
          <w:color w:themeColor="dark1" w:val="000000"/>
          <w:sz w:val="18"/>
          <w:szCs w:val="18"/>
        </w:rPr>
        <w:t>Prefeito</w:t>
      </w:r>
    </w:p>
    <w:p>
      <w:pPr>
        <w:pStyle w:val="Normal"/>
        <w:jc w:val="center"/>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r>
    </w:p>
    <w:p>
      <w:pPr>
        <w:pStyle w:val="Header"/>
        <w:spacing w:lineRule="auto" w:line="312"/>
        <w:jc w:val="center"/>
        <w:rPr>
          <w:rFonts w:ascii="Arial" w:hAnsi="Arial" w:cs="Arial"/>
          <w:sz w:val="18"/>
          <w:szCs w:val="18"/>
        </w:rPr>
      </w:pPr>
      <w:r>
        <w:rPr>
          <w:rFonts w:cs="Arial" w:ascii="Arial" w:hAnsi="Arial"/>
          <w:sz w:val="18"/>
          <w:szCs w:val="18"/>
        </w:rPr>
        <w:t>Carolina da Costa Vianna</w:t>
      </w:r>
    </w:p>
    <w:p>
      <w:pPr>
        <w:pStyle w:val="Header"/>
        <w:spacing w:lineRule="auto" w:line="312"/>
        <w:jc w:val="center"/>
        <w:rPr>
          <w:rFonts w:ascii="Arial" w:hAnsi="Arial" w:cs="Arial"/>
          <w:sz w:val="18"/>
          <w:szCs w:val="18"/>
        </w:rPr>
      </w:pPr>
      <w:r>
        <w:rPr>
          <w:rFonts w:cs="Arial" w:ascii="Arial" w:hAnsi="Arial"/>
          <w:sz w:val="18"/>
          <w:szCs w:val="18"/>
        </w:rPr>
        <w:t>Setor de Licitações</w:t>
      </w:r>
    </w:p>
    <w:p>
      <w:pPr>
        <w:pStyle w:val="Header"/>
        <w:spacing w:lineRule="auto" w:line="312"/>
        <w:jc w:val="center"/>
        <w:rPr>
          <w:rFonts w:ascii="Arial" w:hAnsi="Arial" w:cs="Arial"/>
          <w:color w:themeColor="dark1" w:val="000000"/>
          <w:sz w:val="18"/>
          <w:szCs w:val="18"/>
        </w:rPr>
      </w:pPr>
      <w:r>
        <w:rPr>
          <w:rFonts w:cs="Arial" w:ascii="Arial" w:hAnsi="Arial"/>
          <w:sz w:val="18"/>
          <w:szCs w:val="18"/>
        </w:rPr>
        <w:t>Portaria de Nomeação Nº 355/2025</w:t>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r>
    </w:p>
    <w:p>
      <w:pPr>
        <w:pStyle w:val="Nivel2"/>
        <w:numPr>
          <w:ilvl w:val="0"/>
          <w:numId w:val="0"/>
        </w:numPr>
        <w:spacing w:lineRule="auto" w:line="240"/>
        <w:ind w:hanging="18" w:left="18"/>
        <w:jc w:val="center"/>
        <w:rPr>
          <w:b/>
          <w:bCs/>
          <w:sz w:val="18"/>
          <w:szCs w:val="18"/>
        </w:rPr>
      </w:pPr>
      <w:r>
        <w:rPr>
          <w:b/>
          <w:bCs/>
          <w:sz w:val="18"/>
          <w:szCs w:val="18"/>
        </w:rPr>
        <w:t xml:space="preserve">ANEXO I </w:t>
      </w:r>
    </w:p>
    <w:p>
      <w:pPr>
        <w:pStyle w:val="Nivel2"/>
        <w:numPr>
          <w:ilvl w:val="0"/>
          <w:numId w:val="0"/>
        </w:numPr>
        <w:spacing w:lineRule="auto" w:line="240"/>
        <w:ind w:hanging="18" w:left="18"/>
        <w:jc w:val="center"/>
        <w:rPr>
          <w:b/>
          <w:bCs/>
          <w:sz w:val="18"/>
          <w:szCs w:val="18"/>
          <w:u w:val="single"/>
        </w:rPr>
      </w:pPr>
      <w:r>
        <w:rPr>
          <w:b/>
          <w:bCs/>
          <w:sz w:val="18"/>
          <w:szCs w:val="18"/>
          <w:u w:val="single"/>
        </w:rPr>
        <w:t>RELAÇÃO DE ITENS E TABELA ÚNICA DE PREÇOS</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ind w:hanging="1134" w:left="1134"/>
        <w:rPr>
          <w:rFonts w:ascii="Arial" w:hAnsi="Arial" w:cs="Arial"/>
          <w:sz w:val="18"/>
          <w:szCs w:val="18"/>
        </w:rPr>
      </w:pPr>
      <w:r>
        <w:rPr>
          <w:rFonts w:cs="Arial" w:ascii="Arial" w:hAnsi="Arial"/>
          <w:sz w:val="18"/>
          <w:szCs w:val="18"/>
        </w:rPr>
      </w:r>
    </w:p>
    <w:tbl>
      <w:tblPr>
        <w:tblW w:w="9907"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723"/>
        <w:gridCol w:w="5540"/>
        <w:gridCol w:w="943"/>
        <w:gridCol w:w="940"/>
        <w:gridCol w:w="1761"/>
      </w:tblGrid>
      <w:tr>
        <w:trPr>
          <w:trHeight w:val="307" w:hRule="atLeast"/>
        </w:trPr>
        <w:tc>
          <w:tcPr>
            <w:tcW w:w="723"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5540"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94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940"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176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HANDEBOL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R$ 221,80</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VÔLEI DE AREIA DUPLA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R$ 285,42</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BOCHA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R$ 306,23</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FUTEBOL SETE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R$ 305,46</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5</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CAMPO 11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R$ 806,33</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LIVRE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R$ 330,00</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7</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DE BASE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R$ 247,00</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8</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VOLEIBOL DE QUADRA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R$ 307,78</w:t>
            </w:r>
          </w:p>
        </w:tc>
      </w:tr>
      <w:tr>
        <w:trPr>
          <w:trHeight w:val="307" w:hRule="atLeast"/>
        </w:trPr>
        <w:tc>
          <w:tcPr>
            <w:tcW w:w="723"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9</w:t>
            </w:r>
          </w:p>
        </w:tc>
        <w:tc>
          <w:tcPr>
            <w:tcW w:w="5540"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FUTEBOL DE AREIA </w:t>
            </w:r>
          </w:p>
        </w:tc>
        <w:tc>
          <w:tcPr>
            <w:tcW w:w="94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40"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70</w:t>
            </w:r>
          </w:p>
        </w:tc>
        <w:tc>
          <w:tcPr>
            <w:tcW w:w="176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R$ 284,25</w:t>
            </w:r>
          </w:p>
        </w:tc>
      </w:tr>
    </w:tbl>
    <w:p>
      <w:pPr>
        <w:pStyle w:val="Normal"/>
        <w:rPr>
          <w:rFonts w:ascii="Arial" w:hAnsi="Arial" w:cs="Arial"/>
          <w:b/>
          <w:sz w:val="18"/>
          <w:szCs w:val="18"/>
        </w:rPr>
      </w:pPr>
      <w:r>
        <w:rPr>
          <w:rFonts w:cs="Arial" w:ascii="Arial" w:hAnsi="Arial"/>
          <w:b/>
          <w:sz w:val="18"/>
          <w:szCs w:val="18"/>
        </w:rPr>
      </w:r>
    </w:p>
    <w:p>
      <w:pPr>
        <w:pStyle w:val="Normal"/>
        <w:rPr>
          <w:rFonts w:ascii="Arial" w:hAnsi="Arial" w:cs="Arial"/>
          <w:b/>
          <w:sz w:val="18"/>
          <w:szCs w:val="18"/>
        </w:rPr>
      </w:pPr>
      <w:r>
        <w:rPr>
          <w:rFonts w:cs="Arial" w:ascii="Arial" w:hAnsi="Arial"/>
          <w:b/>
          <w:sz w:val="18"/>
          <w:szCs w:val="18"/>
        </w:rPr>
      </w:r>
    </w:p>
    <w:p>
      <w:pPr>
        <w:pStyle w:val="Normal"/>
        <w:rPr>
          <w:rFonts w:ascii="Arial" w:hAnsi="Arial" w:cs="Arial"/>
          <w:bCs/>
          <w:sz w:val="18"/>
          <w:szCs w:val="18"/>
        </w:rPr>
      </w:pPr>
      <w:r>
        <w:rPr>
          <w:rFonts w:cs="Arial" w:ascii="Arial" w:hAnsi="Arial"/>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spacing w:before="288" w:after="288"/>
        <w:rPr>
          <w:rFonts w:ascii="Arial" w:hAnsi="Arial" w:cs="Arial"/>
          <w:b/>
          <w:bCs/>
          <w:sz w:val="18"/>
          <w:szCs w:val="18"/>
        </w:rPr>
      </w:pPr>
      <w:r>
        <w:rPr>
          <w:rFonts w:cs="Arial" w:ascii="Arial" w:hAnsi="Arial"/>
          <w:b/>
          <w:bCs/>
          <w:sz w:val="18"/>
          <w:szCs w:val="18"/>
        </w:rPr>
      </w:r>
    </w:p>
    <w:p>
      <w:pPr>
        <w:pStyle w:val="Normal"/>
        <w:ind w:firstLine="567"/>
        <w:jc w:val="center"/>
        <w:rPr>
          <w:rFonts w:ascii="Arial" w:hAnsi="Arial" w:cs="Arial"/>
          <w:b/>
          <w:bCs/>
          <w:sz w:val="18"/>
          <w:szCs w:val="18"/>
        </w:rPr>
      </w:pPr>
      <w:r>
        <w:rPr>
          <w:rFonts w:cs="Arial" w:ascii="Arial" w:hAnsi="Arial"/>
          <w:b/>
          <w:bCs/>
          <w:sz w:val="18"/>
          <w:szCs w:val="18"/>
        </w:rPr>
        <w:t>ANEXO II</w:t>
      </w:r>
    </w:p>
    <w:p>
      <w:pPr>
        <w:pStyle w:val="Normal"/>
        <w:ind w:firstLine="567"/>
        <w:jc w:val="center"/>
        <w:rPr>
          <w:rFonts w:ascii="Arial" w:hAnsi="Arial" w:cs="Arial"/>
          <w:b/>
          <w:bCs/>
          <w:sz w:val="18"/>
          <w:szCs w:val="18"/>
        </w:rPr>
      </w:pPr>
      <w:r>
        <w:rPr>
          <w:rFonts w:cs="Arial" w:ascii="Arial" w:hAnsi="Arial"/>
          <w:b/>
          <w:bCs/>
          <w:sz w:val="18"/>
          <w:szCs w:val="18"/>
        </w:rPr>
        <w:t>SOLICITAÇÃO DE CREDENCIAMENTO</w:t>
      </w:r>
    </w:p>
    <w:p>
      <w:pPr>
        <w:pStyle w:val="Normal"/>
        <w:spacing w:before="120" w:after="120"/>
        <w:ind w:firstLine="567"/>
        <w:jc w:val="both"/>
        <w:rPr>
          <w:rFonts w:ascii="Arial" w:hAnsi="Arial" w:cs="Arial"/>
          <w:sz w:val="18"/>
          <w:szCs w:val="18"/>
        </w:rPr>
      </w:pPr>
      <w:r>
        <w:rPr>
          <w:rFonts w:eastAsia="SimSun" w:cs="Arial" w:ascii="Arial" w:hAnsi="Arial"/>
          <w:sz w:val="18"/>
          <w:szCs w:val="18"/>
        </w:rPr>
        <w:t>Razão Social (PJ) ou Nome completo (PF):...............................................................................................</w:t>
      </w:r>
    </w:p>
    <w:p>
      <w:pPr>
        <w:pStyle w:val="Normal"/>
        <w:spacing w:before="120" w:after="120"/>
        <w:ind w:firstLine="567"/>
        <w:jc w:val="both"/>
        <w:rPr>
          <w:rFonts w:ascii="Arial" w:hAnsi="Arial" w:cs="Arial"/>
          <w:sz w:val="18"/>
          <w:szCs w:val="18"/>
        </w:rPr>
      </w:pPr>
      <w:r>
        <w:rPr>
          <w:rFonts w:eastAsia="SimSun" w:cs="Arial" w:ascii="Arial" w:hAnsi="Arial"/>
          <w:sz w:val="18"/>
          <w:szCs w:val="18"/>
        </w:rPr>
        <w:t>CNPJ (PJ) ou CPF (PF).................................................... Telefone de contato.........................................</w:t>
      </w:r>
    </w:p>
    <w:p>
      <w:pPr>
        <w:pStyle w:val="Normal"/>
        <w:spacing w:before="120" w:after="120"/>
        <w:ind w:firstLine="567"/>
        <w:jc w:val="both"/>
        <w:rPr>
          <w:rFonts w:ascii="Arial" w:hAnsi="Arial" w:cs="Arial"/>
          <w:sz w:val="18"/>
          <w:szCs w:val="18"/>
        </w:rPr>
      </w:pPr>
      <w:r>
        <w:rPr>
          <w:rFonts w:eastAsia="SimSun" w:cs="Arial" w:ascii="Arial" w:hAnsi="Arial"/>
          <w:sz w:val="18"/>
          <w:szCs w:val="18"/>
        </w:rPr>
        <w:t>(Endereço): Rua ...............................................................</w:t>
      </w:r>
    </w:p>
    <w:p>
      <w:pPr>
        <w:pStyle w:val="Normal"/>
        <w:spacing w:before="240" w:after="120"/>
        <w:jc w:val="center"/>
        <w:rPr>
          <w:rFonts w:ascii="Arial" w:hAnsi="Arial" w:cs="Arial"/>
          <w:b/>
          <w:bCs/>
          <w:sz w:val="18"/>
          <w:szCs w:val="18"/>
        </w:rPr>
      </w:pPr>
      <w:r>
        <w:rPr>
          <w:rFonts w:eastAsia="SimSun" w:cs="Arial" w:ascii="Arial" w:hAnsi="Arial"/>
          <w:b/>
          <w:bCs/>
          <w:sz w:val="18"/>
          <w:szCs w:val="18"/>
        </w:rPr>
        <w:t>Solicita à Prefeitura Municipal de Santa Bárbara do Sul o Credenciamento para prestar os seguintes serviços:</w:t>
      </w:r>
    </w:p>
    <w:tbl>
      <w:tblPr>
        <w:tblW w:w="10208"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631"/>
        <w:gridCol w:w="5242"/>
        <w:gridCol w:w="851"/>
        <w:gridCol w:w="993"/>
        <w:gridCol w:w="1559"/>
        <w:gridCol w:w="931"/>
      </w:tblGrid>
      <w:tr>
        <w:trPr>
          <w:trHeight w:val="304" w:hRule="atLeast"/>
        </w:trPr>
        <w:tc>
          <w:tcPr>
            <w:tcW w:w="63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524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85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99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1559"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c>
          <w:tcPr>
            <w:tcW w:w="931" w:type="dxa"/>
            <w:tcBorders>
              <w:top w:val="single" w:sz="4" w:space="0" w:color="000000"/>
              <w:bottom w:val="single" w:sz="4" w:space="0" w:color="000000"/>
              <w:right w:val="single" w:sz="4" w:space="0" w:color="000000"/>
            </w:tcBorders>
            <w:shd w:color="000000" w:fill="F0FFFF" w:val="clear"/>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HANDEBOL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R$ 221,80</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VÔLEI DE AREIA DUPLA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R$ 285,42</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BOCHA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R$ 306,23</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4</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FUTEBOL SETE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R$ 305,46</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5</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CAMPO 11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R$ 806,33</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LIVRE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R$ 330,00</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7</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DE BASE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150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R$ 247,00</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8</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VOLEIBOL DE QUADRA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R$ 307,78</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3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9</w:t>
            </w:r>
          </w:p>
        </w:tc>
        <w:tc>
          <w:tcPr>
            <w:tcW w:w="5242"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FUTEBOL DE AREIA </w:t>
            </w:r>
          </w:p>
        </w:tc>
        <w:tc>
          <w:tcPr>
            <w:tcW w:w="851" w:type="dxa"/>
            <w:tcBorders>
              <w:bottom w:val="single" w:sz="4" w:space="0" w:color="000000"/>
              <w:right w:val="single" w:sz="4" w:space="0" w:color="000000"/>
            </w:tcBorders>
            <w:shd w:color="auto" w:fill="auto" w:val="clear"/>
            <w:vAlign w:val="bottom"/>
          </w:tcPr>
          <w:p>
            <w:pPr>
              <w:pStyle w:val="Normal"/>
              <w:suppressAutoHyphens w:val="false"/>
              <w:spacing w:before="120" w:after="120"/>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93"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70</w:t>
            </w:r>
          </w:p>
        </w:tc>
        <w:tc>
          <w:tcPr>
            <w:tcW w:w="1559" w:type="dxa"/>
            <w:tcBorders>
              <w:bottom w:val="single" w:sz="4" w:space="0" w:color="000000"/>
              <w:right w:val="single" w:sz="4" w:space="0" w:color="000000"/>
            </w:tcBorders>
            <w:shd w:color="auto" w:fill="auto" w:val="clear"/>
            <w:vAlign w:val="bottom"/>
          </w:tcPr>
          <w:p>
            <w:pPr>
              <w:pStyle w:val="Normal"/>
              <w:suppressAutoHyphens w:val="false"/>
              <w:spacing w:before="120" w:after="120"/>
              <w:jc w:val="right"/>
              <w:rPr>
                <w:rFonts w:ascii="Calibri" w:hAnsi="Calibri" w:eastAsia="Times New Roman" w:cs="Calibri"/>
                <w:color w:val="000000"/>
                <w:sz w:val="16"/>
                <w:szCs w:val="16"/>
              </w:rPr>
            </w:pPr>
            <w:r>
              <w:rPr>
                <w:rFonts w:eastAsia="Times New Roman" w:cs="Calibri" w:ascii="Calibri" w:hAnsi="Calibri"/>
                <w:color w:val="000000"/>
                <w:sz w:val="16"/>
                <w:szCs w:val="16"/>
              </w:rPr>
              <w:t>R$ 284,25</w:t>
            </w:r>
          </w:p>
        </w:tc>
        <w:tc>
          <w:tcPr>
            <w:tcW w:w="931" w:type="dxa"/>
            <w:tcBorders>
              <w:bottom w:val="single" w:sz="4" w:space="0" w:color="000000"/>
              <w:right w:val="single" w:sz="4" w:space="0" w:color="000000"/>
            </w:tcBorders>
          </w:tcPr>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spacing w:before="120" w:after="120"/>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bl>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sz w:val="18"/>
          <w:szCs w:val="18"/>
        </w:rPr>
      </w:pPr>
      <w:r>
        <w:rPr>
          <w:rFonts w:eastAsia="SimSun" w:cs="Arial" w:ascii="Arial" w:hAnsi="Arial"/>
          <w:b/>
          <w:bCs/>
          <w:sz w:val="18"/>
          <w:szCs w:val="18"/>
        </w:rPr>
        <w:t>Abaixo os dados para pagamento:</w:t>
      </w:r>
      <w:r>
        <w:rPr>
          <w:rFonts w:eastAsia="SimSun" w:cs="Arial" w:ascii="Arial" w:hAnsi="Arial"/>
          <w:sz w:val="18"/>
          <w:szCs w:val="18"/>
        </w:rPr>
        <w:t xml:space="preserve"> </w:t>
      </w:r>
    </w:p>
    <w:p>
      <w:pPr>
        <w:pStyle w:val="Normal"/>
        <w:jc w:val="both"/>
        <w:rPr>
          <w:rFonts w:ascii="Arial" w:hAnsi="Arial" w:cs="Arial"/>
          <w:sz w:val="18"/>
          <w:szCs w:val="18"/>
        </w:rPr>
      </w:pPr>
      <w:r>
        <w:rPr>
          <w:rFonts w:eastAsia="SimSun" w:cs="Arial" w:ascii="Arial" w:hAnsi="Arial"/>
          <w:sz w:val="18"/>
          <w:szCs w:val="18"/>
        </w:rPr>
        <w:t>Nome do Banco:.............................................................................................................................</w:t>
      </w:r>
    </w:p>
    <w:p>
      <w:pPr>
        <w:pStyle w:val="Normal"/>
        <w:jc w:val="both"/>
        <w:rPr>
          <w:rFonts w:ascii="Arial" w:hAnsi="Arial" w:cs="Arial"/>
          <w:sz w:val="18"/>
          <w:szCs w:val="18"/>
        </w:rPr>
      </w:pPr>
      <w:r>
        <w:rPr>
          <w:rFonts w:eastAsia="SimSun" w:cs="Arial" w:ascii="Arial" w:hAnsi="Arial"/>
          <w:sz w:val="18"/>
          <w:szCs w:val="18"/>
        </w:rPr>
        <w:t xml:space="preserve">Ag:..................................................  C/C:................................................         </w:t>
      </w:r>
    </w:p>
    <w:p>
      <w:pPr>
        <w:pStyle w:val="Normal"/>
        <w:jc w:val="both"/>
        <w:rPr>
          <w:rFonts w:ascii="Arial" w:hAnsi="Arial" w:cs="Arial"/>
          <w:sz w:val="18"/>
          <w:szCs w:val="18"/>
        </w:rPr>
      </w:pPr>
      <w:r>
        <w:rPr>
          <w:rFonts w:eastAsia="SimSun" w:cs="Arial" w:ascii="Arial" w:hAnsi="Arial"/>
          <w:sz w:val="18"/>
          <w:szCs w:val="18"/>
        </w:rPr>
        <w:t>Chave PIX ..............................................................</w:t>
      </w:r>
    </w:p>
    <w:p>
      <w:pPr>
        <w:pStyle w:val="Normal"/>
        <w:jc w:val="both"/>
        <w:rPr>
          <w:rFonts w:ascii="Arial" w:hAnsi="Arial" w:cs="Arial"/>
          <w:sz w:val="18"/>
          <w:szCs w:val="18"/>
        </w:rPr>
      </w:pPr>
      <w:r>
        <w:rPr>
          <w:rFonts w:eastAsia="SimSun" w:cs="Arial" w:ascii="Arial" w:hAnsi="Arial"/>
          <w:sz w:val="18"/>
          <w:szCs w:val="18"/>
        </w:rPr>
        <w:t xml:space="preserve">Identificação do tipo de chave ( ) Aleatória ( ) Celular ( ) CPF/CNPJ ( ) E-mail </w:t>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eastAsia="SimSun" w:cs="Arial" w:ascii="Arial" w:hAnsi="Arial"/>
          <w:sz w:val="18"/>
          <w:szCs w:val="18"/>
        </w:rPr>
        <w:t>__________________________________________________</w:t>
      </w:r>
    </w:p>
    <w:p>
      <w:pPr>
        <w:pStyle w:val="Normal"/>
        <w:spacing w:before="288" w:after="288"/>
        <w:jc w:val="center"/>
        <w:rPr>
          <w:rFonts w:ascii="Arial" w:hAnsi="Arial" w:cs="Arial"/>
          <w:sz w:val="18"/>
          <w:szCs w:val="18"/>
        </w:rPr>
      </w:pPr>
      <w:r>
        <w:rPr>
          <w:rFonts w:eastAsia="SimSun" w:cs="Arial" w:ascii="Arial" w:hAnsi="Arial"/>
          <w:sz w:val="18"/>
          <w:szCs w:val="18"/>
        </w:rPr>
        <w:t>Assinatura</w:t>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lineRule="exact" w:line="283" w:before="288" w:after="288"/>
        <w:jc w:val="center"/>
        <w:rPr>
          <w:rFonts w:ascii="Arial" w:hAnsi="Arial" w:cs="Arial"/>
          <w:b/>
          <w:bCs/>
          <w:sz w:val="18"/>
          <w:szCs w:val="18"/>
        </w:rPr>
      </w:pPr>
      <w:r>
        <w:rPr>
          <w:rFonts w:eastAsia="SimSun" w:cs="Arial" w:ascii="Arial" w:hAnsi="Arial"/>
          <w:b/>
          <w:bCs/>
          <w:sz w:val="18"/>
          <w:szCs w:val="18"/>
        </w:rPr>
        <w:t xml:space="preserve">ANEXO III </w:t>
      </w:r>
    </w:p>
    <w:p>
      <w:pPr>
        <w:pStyle w:val="Normal"/>
        <w:spacing w:lineRule="exact" w:line="283" w:before="288" w:after="288"/>
        <w:jc w:val="center"/>
        <w:rPr>
          <w:rFonts w:ascii="Arial" w:hAnsi="Arial" w:cs="Arial"/>
          <w:b/>
          <w:bCs/>
          <w:sz w:val="18"/>
          <w:szCs w:val="18"/>
        </w:rPr>
      </w:pPr>
      <w:r>
        <w:rPr>
          <w:rFonts w:eastAsia="SimSun" w:cs="Arial" w:ascii="Arial" w:hAnsi="Arial"/>
          <w:b/>
          <w:bCs/>
          <w:sz w:val="18"/>
          <w:szCs w:val="18"/>
        </w:rPr>
        <w:t>DECLARAÇÃO CONJUNTA</w:t>
      </w:r>
    </w:p>
    <w:p>
      <w:pPr>
        <w:pStyle w:val="Normal"/>
        <w:spacing w:lineRule="auto" w:line="360"/>
        <w:jc w:val="both"/>
        <w:rPr>
          <w:rFonts w:ascii="Arial" w:hAnsi="Arial" w:cs="Arial"/>
          <w:sz w:val="18"/>
          <w:szCs w:val="18"/>
        </w:rPr>
      </w:pPr>
      <w:r>
        <w:rPr>
          <w:rFonts w:eastAsia="SimSun" w:cs="Arial" w:ascii="Arial" w:hAnsi="Arial"/>
          <w:sz w:val="18"/>
          <w:szCs w:val="18"/>
        </w:rPr>
        <w:t>Razão Social (PJ) ou Nome completo (PF):............................................................................................... CNPJ (PJ) ou CPF (PF).................................................... Telefone de contato......................................... (Endereço): Rua ...............................................................</w:t>
      </w:r>
      <w:r>
        <w:rPr>
          <w:rFonts w:eastAsia="Times New Roman" w:cs="Arial" w:ascii="Arial" w:hAnsi="Arial"/>
          <w:sz w:val="18"/>
          <w:szCs w:val="18"/>
          <w:lang w:val="pt-PT" w:eastAsia="pt-PT" w:bidi="pt-PT"/>
        </w:rPr>
        <w:t xml:space="preserve">, </w:t>
      </w:r>
      <w:r>
        <w:rPr>
          <w:rFonts w:eastAsia="Times New Roman" w:cs="Arial" w:ascii="Arial" w:hAnsi="Arial"/>
          <w:b/>
          <w:sz w:val="18"/>
          <w:szCs w:val="18"/>
          <w:lang w:val="pt-PT" w:eastAsia="pt-PT" w:bidi="pt-PT"/>
        </w:rPr>
        <w:t>DECLARA</w:t>
      </w:r>
      <w:r>
        <w:rPr>
          <w:rFonts w:eastAsia="Times New Roman" w:cs="Arial" w:ascii="Arial" w:hAnsi="Arial"/>
          <w:sz w:val="18"/>
          <w:szCs w:val="18"/>
          <w:lang w:val="pt-PT" w:eastAsia="pt-PT" w:bidi="pt-PT"/>
        </w:rPr>
        <w:t xml:space="preserve">, </w:t>
      </w:r>
      <w:r>
        <w:rPr>
          <w:rFonts w:eastAsia="Times New Roman" w:cs="Arial" w:ascii="Arial" w:hAnsi="Arial"/>
          <w:spacing w:val="-2"/>
          <w:sz w:val="18"/>
          <w:szCs w:val="18"/>
          <w:lang w:val="pt-PT" w:eastAsia="pt-PT" w:bidi="pt-PT"/>
        </w:rPr>
        <w:t xml:space="preserve">sob </w:t>
      </w:r>
      <w:r>
        <w:rPr>
          <w:rFonts w:eastAsia="Times New Roman" w:cs="Arial" w:ascii="Arial" w:hAnsi="Arial"/>
          <w:sz w:val="18"/>
          <w:szCs w:val="18"/>
          <w:lang w:val="pt-PT" w:eastAsia="pt-PT" w:bidi="pt-PT"/>
        </w:rPr>
        <w:t xml:space="preserve">as penas da Lei, para fins de habilitação </w:t>
      </w:r>
      <w:r>
        <w:rPr>
          <w:rFonts w:eastAsia="Times New Roman" w:cs="Arial" w:ascii="Arial" w:hAnsi="Arial"/>
          <w:spacing w:val="3"/>
          <w:sz w:val="18"/>
          <w:szCs w:val="18"/>
          <w:lang w:val="pt-PT" w:eastAsia="pt-PT" w:bidi="pt-PT"/>
        </w:rPr>
        <w:t xml:space="preserve">no </w:t>
      </w:r>
      <w:r>
        <w:rPr>
          <w:rFonts w:eastAsia="Times New Roman" w:cs="Arial" w:ascii="Arial" w:hAnsi="Arial"/>
          <w:sz w:val="18"/>
          <w:szCs w:val="18"/>
          <w:lang w:val="pt-PT" w:eastAsia="pt-PT" w:bidi="pt-PT"/>
        </w:rPr>
        <w:t>EDITAL DE CHAMAMENTO PÚBLICO que:</w:t>
      </w:r>
    </w:p>
    <w:p>
      <w:pPr>
        <w:pStyle w:val="Normal"/>
        <w:widowControl w:val="false"/>
        <w:ind w:left="142" w:right="191"/>
        <w:rPr>
          <w:rFonts w:ascii="Arial" w:hAnsi="Arial" w:cs="Arial"/>
          <w:sz w:val="18"/>
          <w:szCs w:val="18"/>
        </w:rPr>
      </w:pPr>
      <w:r>
        <w:rPr>
          <w:rFonts w:cs="Arial" w:ascii="Arial" w:hAnsi="Arial"/>
          <w:sz w:val="18"/>
          <w:szCs w:val="18"/>
        </w:rPr>
      </w:r>
    </w:p>
    <w:p>
      <w:pPr>
        <w:pStyle w:val="Normal"/>
        <w:widowControl w:val="false"/>
        <w:numPr>
          <w:ilvl w:val="0"/>
          <w:numId w:val="5"/>
        </w:numPr>
        <w:tabs>
          <w:tab w:val="clear" w:pos="708"/>
          <w:tab w:val="left" w:pos="532" w:leader="none"/>
        </w:tabs>
        <w:spacing w:before="1" w:after="0"/>
        <w:ind w:hanging="164" w:left="425" w:right="191"/>
        <w:jc w:val="both"/>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 xml:space="preserve">Conforme exigido na legislação, </w:t>
      </w:r>
      <w:r>
        <w:rPr>
          <w:rFonts w:eastAsia="Times New Roman" w:cs="Arial" w:ascii="Arial" w:hAnsi="Arial"/>
          <w:spacing w:val="-3"/>
          <w:sz w:val="18"/>
          <w:szCs w:val="18"/>
          <w:lang w:val="pt-PT" w:eastAsia="pt-PT" w:bidi="pt-PT"/>
        </w:rPr>
        <w:t xml:space="preserve">que </w:t>
      </w:r>
      <w:r>
        <w:rPr>
          <w:rFonts w:eastAsia="Times New Roman" w:cs="Arial" w:ascii="Arial" w:hAnsi="Arial"/>
          <w:sz w:val="18"/>
          <w:szCs w:val="18"/>
          <w:lang w:val="pt-PT" w:eastAsia="pt-PT" w:bidi="pt-PT"/>
        </w:rPr>
        <w:t>atendemos plenamente as condições de habilitação estabelecidas neste</w:t>
      </w:r>
      <w:r>
        <w:rPr>
          <w:rFonts w:eastAsia="Times New Roman" w:cs="Arial" w:ascii="Arial" w:hAnsi="Arial"/>
          <w:spacing w:val="-9"/>
          <w:sz w:val="18"/>
          <w:szCs w:val="18"/>
          <w:lang w:val="pt-PT" w:eastAsia="pt-PT" w:bidi="pt-PT"/>
        </w:rPr>
        <w:t xml:space="preserve"> </w:t>
      </w:r>
      <w:r>
        <w:rPr>
          <w:rFonts w:eastAsia="Times New Roman" w:cs="Arial" w:ascii="Arial" w:hAnsi="Arial"/>
          <w:sz w:val="18"/>
          <w:szCs w:val="18"/>
          <w:lang w:val="pt-PT" w:eastAsia="pt-PT" w:bidi="pt-PT"/>
        </w:rPr>
        <w:t>edital;</w:t>
      </w:r>
    </w:p>
    <w:p>
      <w:pPr>
        <w:pStyle w:val="Normal"/>
        <w:widowControl w:val="false"/>
        <w:numPr>
          <w:ilvl w:val="0"/>
          <w:numId w:val="5"/>
        </w:numPr>
        <w:tabs>
          <w:tab w:val="clear" w:pos="708"/>
          <w:tab w:val="left" w:pos="512" w:leader="none"/>
        </w:tabs>
        <w:ind w:hanging="164" w:left="425" w:right="191"/>
        <w:jc w:val="both"/>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Cumpre ao disposto na legislação, que não emprega menor</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de</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18</w:t>
      </w:r>
      <w:r>
        <w:rPr>
          <w:rFonts w:eastAsia="Times New Roman" w:cs="Arial" w:ascii="Arial" w:hAnsi="Arial"/>
          <w:spacing w:val="-4"/>
          <w:sz w:val="18"/>
          <w:szCs w:val="18"/>
          <w:lang w:val="pt-PT" w:eastAsia="pt-PT" w:bidi="pt-PT"/>
        </w:rPr>
        <w:t xml:space="preserve"> </w:t>
      </w:r>
      <w:r>
        <w:rPr>
          <w:rFonts w:eastAsia="Times New Roman" w:cs="Arial" w:ascii="Arial" w:hAnsi="Arial"/>
          <w:spacing w:val="-3"/>
          <w:sz w:val="18"/>
          <w:szCs w:val="18"/>
          <w:lang w:val="pt-PT" w:eastAsia="pt-PT" w:bidi="pt-PT"/>
        </w:rPr>
        <w:t>(dezoito)</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anos</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em</w:t>
      </w:r>
      <w:r>
        <w:rPr>
          <w:rFonts w:eastAsia="Times New Roman" w:cs="Arial" w:ascii="Arial" w:hAnsi="Arial"/>
          <w:spacing w:val="-13"/>
          <w:sz w:val="18"/>
          <w:szCs w:val="18"/>
          <w:lang w:val="pt-PT" w:eastAsia="pt-PT" w:bidi="pt-PT"/>
        </w:rPr>
        <w:t xml:space="preserve"> </w:t>
      </w:r>
      <w:r>
        <w:rPr>
          <w:rFonts w:eastAsia="Times New Roman" w:cs="Arial" w:ascii="Arial" w:hAnsi="Arial"/>
          <w:sz w:val="18"/>
          <w:szCs w:val="18"/>
          <w:lang w:val="pt-PT" w:eastAsia="pt-PT" w:bidi="pt-PT"/>
        </w:rPr>
        <w:t>trabalho</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noturno,</w:t>
      </w:r>
      <w:r>
        <w:rPr>
          <w:rFonts w:eastAsia="Times New Roman" w:cs="Arial" w:ascii="Arial" w:hAnsi="Arial"/>
          <w:spacing w:val="-6"/>
          <w:sz w:val="18"/>
          <w:szCs w:val="18"/>
          <w:lang w:val="pt-PT" w:eastAsia="pt-PT" w:bidi="pt-PT"/>
        </w:rPr>
        <w:t xml:space="preserve"> </w:t>
      </w:r>
      <w:r>
        <w:rPr>
          <w:rFonts w:eastAsia="Times New Roman" w:cs="Arial" w:ascii="Arial" w:hAnsi="Arial"/>
          <w:sz w:val="18"/>
          <w:szCs w:val="18"/>
          <w:lang w:val="pt-PT" w:eastAsia="pt-PT" w:bidi="pt-PT"/>
        </w:rPr>
        <w:t>perigoso</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ou</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insalubre</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e</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não</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emprega</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menor</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de</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16</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(dezesseis)</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 xml:space="preserve">anos. Ressalva: </w:t>
      </w:r>
      <w:r>
        <w:rPr>
          <w:rFonts w:eastAsia="Times New Roman" w:cs="Arial" w:ascii="Arial" w:hAnsi="Arial"/>
          <w:spacing w:val="-2"/>
          <w:sz w:val="18"/>
          <w:szCs w:val="18"/>
          <w:lang w:val="pt-PT" w:eastAsia="pt-PT" w:bidi="pt-PT"/>
        </w:rPr>
        <w:t xml:space="preserve">emprega </w:t>
      </w:r>
      <w:r>
        <w:rPr>
          <w:rFonts w:eastAsia="Times New Roman" w:cs="Arial" w:ascii="Arial" w:hAnsi="Arial"/>
          <w:sz w:val="18"/>
          <w:szCs w:val="18"/>
          <w:lang w:val="pt-PT" w:eastAsia="pt-PT" w:bidi="pt-PT"/>
        </w:rPr>
        <w:t xml:space="preserve">menor, a partir de 14(quatorze) </w:t>
      </w:r>
      <w:r>
        <w:rPr>
          <w:rFonts w:eastAsia="Times New Roman" w:cs="Arial" w:ascii="Arial" w:hAnsi="Arial"/>
          <w:spacing w:val="-3"/>
          <w:sz w:val="18"/>
          <w:szCs w:val="18"/>
          <w:lang w:val="pt-PT" w:eastAsia="pt-PT" w:bidi="pt-PT"/>
        </w:rPr>
        <w:t xml:space="preserve">anos, </w:t>
      </w:r>
      <w:r>
        <w:rPr>
          <w:rFonts w:eastAsia="Times New Roman" w:cs="Arial" w:ascii="Arial" w:hAnsi="Arial"/>
          <w:sz w:val="18"/>
          <w:szCs w:val="18"/>
          <w:lang w:val="pt-PT" w:eastAsia="pt-PT" w:bidi="pt-PT"/>
        </w:rPr>
        <w:t>na condição de aprendiz (</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w:t>
      </w:r>
      <w:r>
        <w:rPr>
          <w:rFonts w:eastAsia="Times New Roman" w:cs="Arial" w:ascii="Arial" w:hAnsi="Arial"/>
          <w:sz w:val="18"/>
          <w:szCs w:val="18"/>
          <w:lang w:eastAsia="pt-PT" w:bidi="pt-PT"/>
        </w:rPr>
        <w:t xml:space="preserve">    </w:t>
      </w:r>
    </w:p>
    <w:p>
      <w:pPr>
        <w:pStyle w:val="Normal"/>
        <w:widowControl w:val="false"/>
        <w:tabs>
          <w:tab w:val="clear" w:pos="708"/>
          <w:tab w:val="left" w:pos="512" w:leader="none"/>
        </w:tabs>
        <w:ind w:left="261" w:right="191"/>
        <w:jc w:val="both"/>
        <w:rPr>
          <w:rFonts w:ascii="Arial" w:hAnsi="Arial" w:cs="Arial"/>
          <w:sz w:val="18"/>
          <w:szCs w:val="18"/>
        </w:rPr>
      </w:pPr>
      <w:r>
        <w:rPr>
          <w:rFonts w:eastAsia="Times New Roman" w:cs="Arial" w:ascii="Arial" w:hAnsi="Arial"/>
          <w:sz w:val="18"/>
          <w:szCs w:val="18"/>
          <w:lang w:val="pt-PT" w:eastAsia="pt-PT" w:bidi="pt-PT"/>
        </w:rPr>
        <w:t>(Observação: em caso afirmativo, assinalar a ressalva acima);</w:t>
      </w:r>
    </w:p>
    <w:p>
      <w:pPr>
        <w:pStyle w:val="Normal"/>
        <w:widowControl w:val="false"/>
        <w:numPr>
          <w:ilvl w:val="0"/>
          <w:numId w:val="5"/>
        </w:numPr>
        <w:tabs>
          <w:tab w:val="clear" w:pos="708"/>
          <w:tab w:val="left" w:pos="503" w:leader="none"/>
        </w:tabs>
        <w:spacing w:before="1" w:after="0"/>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 xml:space="preserve">Não está impedida de contratar </w:t>
      </w:r>
      <w:r>
        <w:rPr>
          <w:rFonts w:eastAsia="Times New Roman" w:cs="Arial" w:ascii="Arial" w:hAnsi="Arial"/>
          <w:spacing w:val="-3"/>
          <w:sz w:val="18"/>
          <w:szCs w:val="18"/>
          <w:lang w:val="pt-PT" w:eastAsia="pt-PT" w:bidi="pt-PT"/>
        </w:rPr>
        <w:t xml:space="preserve">com </w:t>
      </w:r>
      <w:r>
        <w:rPr>
          <w:rFonts w:eastAsia="Times New Roman" w:cs="Arial" w:ascii="Arial" w:hAnsi="Arial"/>
          <w:sz w:val="18"/>
          <w:szCs w:val="18"/>
          <w:lang w:val="pt-PT" w:eastAsia="pt-PT" w:bidi="pt-PT"/>
        </w:rPr>
        <w:t>a Administração</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Pública;</w:t>
      </w:r>
    </w:p>
    <w:p>
      <w:pPr>
        <w:pStyle w:val="Normal"/>
        <w:widowControl w:val="false"/>
        <w:numPr>
          <w:ilvl w:val="0"/>
          <w:numId w:val="5"/>
        </w:numPr>
        <w:tabs>
          <w:tab w:val="clear" w:pos="708"/>
          <w:tab w:val="left" w:pos="503"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 xml:space="preserve">Não foi declarada inidônea </w:t>
      </w:r>
      <w:r>
        <w:rPr>
          <w:rFonts w:eastAsia="Times New Roman" w:cs="Arial" w:ascii="Arial" w:hAnsi="Arial"/>
          <w:spacing w:val="-5"/>
          <w:sz w:val="18"/>
          <w:szCs w:val="18"/>
          <w:lang w:val="pt-PT" w:eastAsia="pt-PT" w:bidi="pt-PT"/>
        </w:rPr>
        <w:t xml:space="preserve">por </w:t>
      </w:r>
      <w:r>
        <w:rPr>
          <w:rFonts w:eastAsia="Times New Roman" w:cs="Arial" w:ascii="Arial" w:hAnsi="Arial"/>
          <w:sz w:val="18"/>
          <w:szCs w:val="18"/>
          <w:lang w:val="pt-PT" w:eastAsia="pt-PT" w:bidi="pt-PT"/>
        </w:rPr>
        <w:t xml:space="preserve">ato </w:t>
      </w:r>
      <w:r>
        <w:rPr>
          <w:rFonts w:eastAsia="Times New Roman" w:cs="Arial" w:ascii="Arial" w:hAnsi="Arial"/>
          <w:spacing w:val="3"/>
          <w:sz w:val="18"/>
          <w:szCs w:val="18"/>
          <w:lang w:val="pt-PT" w:eastAsia="pt-PT" w:bidi="pt-PT"/>
        </w:rPr>
        <w:t xml:space="preserve">do </w:t>
      </w:r>
      <w:r>
        <w:rPr>
          <w:rFonts w:eastAsia="Times New Roman" w:cs="Arial" w:ascii="Arial" w:hAnsi="Arial"/>
          <w:spacing w:val="-3"/>
          <w:sz w:val="18"/>
          <w:szCs w:val="18"/>
          <w:lang w:val="pt-PT" w:eastAsia="pt-PT" w:bidi="pt-PT"/>
        </w:rPr>
        <w:t>Poder</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Público;</w:t>
      </w:r>
    </w:p>
    <w:p>
      <w:pPr>
        <w:pStyle w:val="Normal"/>
        <w:widowControl w:val="false"/>
        <w:numPr>
          <w:ilvl w:val="0"/>
          <w:numId w:val="5"/>
        </w:numPr>
        <w:tabs>
          <w:tab w:val="clear" w:pos="708"/>
          <w:tab w:val="left" w:pos="575" w:leader="none"/>
        </w:tabs>
        <w:ind w:hanging="164" w:left="425" w:right="191"/>
        <w:jc w:val="both"/>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 xml:space="preserve">A empresa declara que os Sócios e Diretores não ocupam cargo ou função de chefia/assessoramento na Área Pública de saúde no âmbito Federal, Estadual </w:t>
      </w:r>
      <w:r>
        <w:rPr>
          <w:rFonts w:eastAsia="Times New Roman" w:cs="Arial" w:ascii="Arial" w:hAnsi="Arial"/>
          <w:spacing w:val="-5"/>
          <w:sz w:val="18"/>
          <w:szCs w:val="18"/>
          <w:lang w:val="pt-PT" w:eastAsia="pt-PT" w:bidi="pt-PT"/>
        </w:rPr>
        <w:t xml:space="preserve">ou </w:t>
      </w:r>
      <w:r>
        <w:rPr>
          <w:rFonts w:eastAsia="Times New Roman" w:cs="Arial" w:ascii="Arial" w:hAnsi="Arial"/>
          <w:sz w:val="18"/>
          <w:szCs w:val="18"/>
          <w:lang w:val="pt-PT" w:eastAsia="pt-PT" w:bidi="pt-PT"/>
        </w:rPr>
        <w:t xml:space="preserve">Municipal </w:t>
      </w:r>
      <w:r>
        <w:rPr>
          <w:rFonts w:eastAsia="Times New Roman" w:cs="Arial" w:ascii="Arial" w:hAnsi="Arial"/>
          <w:spacing w:val="-5"/>
          <w:sz w:val="18"/>
          <w:szCs w:val="18"/>
          <w:lang w:val="pt-PT" w:eastAsia="pt-PT" w:bidi="pt-PT"/>
        </w:rPr>
        <w:t xml:space="preserve">no </w:t>
      </w:r>
      <w:r>
        <w:rPr>
          <w:rFonts w:eastAsia="Times New Roman" w:cs="Arial" w:ascii="Arial" w:hAnsi="Arial"/>
          <w:sz w:val="18"/>
          <w:szCs w:val="18"/>
          <w:lang w:val="pt-PT" w:eastAsia="pt-PT" w:bidi="pt-PT"/>
        </w:rPr>
        <w:t>Estado do Rio Grande do</w:t>
      </w:r>
      <w:r>
        <w:rPr>
          <w:rFonts w:eastAsia="Times New Roman" w:cs="Arial" w:ascii="Arial" w:hAnsi="Arial"/>
          <w:spacing w:val="-15"/>
          <w:sz w:val="18"/>
          <w:szCs w:val="18"/>
          <w:lang w:val="pt-PT" w:eastAsia="pt-PT" w:bidi="pt-PT"/>
        </w:rPr>
        <w:t xml:space="preserve"> </w:t>
      </w:r>
      <w:r>
        <w:rPr>
          <w:rFonts w:eastAsia="Times New Roman" w:cs="Arial" w:ascii="Arial" w:hAnsi="Arial"/>
          <w:sz w:val="18"/>
          <w:szCs w:val="18"/>
          <w:lang w:val="pt-PT" w:eastAsia="pt-PT" w:bidi="pt-PT"/>
        </w:rPr>
        <w:t>Sul;</w:t>
      </w:r>
    </w:p>
    <w:p>
      <w:pPr>
        <w:pStyle w:val="Normal"/>
        <w:widowControl w:val="false"/>
        <w:numPr>
          <w:ilvl w:val="0"/>
          <w:numId w:val="5"/>
        </w:numPr>
        <w:tabs>
          <w:tab w:val="clear" w:pos="708"/>
          <w:tab w:val="left" w:pos="503"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Não incorre nas demais condições impeditivas na legislação;</w:t>
      </w:r>
    </w:p>
    <w:p>
      <w:pPr>
        <w:pStyle w:val="Normal"/>
        <w:widowControl w:val="false"/>
        <w:numPr>
          <w:ilvl w:val="0"/>
          <w:numId w:val="5"/>
        </w:numPr>
        <w:tabs>
          <w:tab w:val="clear" w:pos="708"/>
          <w:tab w:val="left" w:pos="508"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Tem pleno conhecimento do objeto</w:t>
      </w:r>
      <w:r>
        <w:rPr>
          <w:rFonts w:eastAsia="Times New Roman" w:cs="Arial" w:ascii="Arial" w:hAnsi="Arial"/>
          <w:spacing w:val="-17"/>
          <w:sz w:val="18"/>
          <w:szCs w:val="18"/>
          <w:lang w:val="pt-PT" w:eastAsia="pt-PT" w:bidi="pt-PT"/>
        </w:rPr>
        <w:t xml:space="preserve"> </w:t>
      </w:r>
      <w:r>
        <w:rPr>
          <w:rFonts w:eastAsia="Times New Roman" w:cs="Arial" w:ascii="Arial" w:hAnsi="Arial"/>
          <w:sz w:val="18"/>
          <w:szCs w:val="18"/>
          <w:lang w:val="pt-PT" w:eastAsia="pt-PT" w:bidi="pt-PT"/>
        </w:rPr>
        <w:t>licitado;</w:t>
      </w:r>
    </w:p>
    <w:p>
      <w:pPr>
        <w:pStyle w:val="Normal"/>
        <w:widowControl w:val="false"/>
        <w:numPr>
          <w:ilvl w:val="0"/>
          <w:numId w:val="5"/>
        </w:numPr>
        <w:tabs>
          <w:tab w:val="clear" w:pos="708"/>
          <w:tab w:val="left" w:pos="503"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Concorda com todos os termos estabelecidos no</w:t>
      </w:r>
      <w:r>
        <w:rPr>
          <w:rFonts w:eastAsia="Times New Roman" w:cs="Arial" w:ascii="Arial" w:hAnsi="Arial"/>
          <w:spacing w:val="-15"/>
          <w:sz w:val="18"/>
          <w:szCs w:val="18"/>
          <w:lang w:val="pt-PT" w:eastAsia="pt-PT" w:bidi="pt-PT"/>
        </w:rPr>
        <w:t xml:space="preserve"> </w:t>
      </w:r>
      <w:r>
        <w:rPr>
          <w:rFonts w:eastAsia="Times New Roman" w:cs="Arial" w:ascii="Arial" w:hAnsi="Arial"/>
          <w:sz w:val="18"/>
          <w:szCs w:val="18"/>
          <w:lang w:val="pt-PT" w:eastAsia="pt-PT" w:bidi="pt-PT"/>
        </w:rPr>
        <w:t>edital;</w:t>
      </w:r>
    </w:p>
    <w:p>
      <w:pPr>
        <w:pStyle w:val="Normal"/>
        <w:widowControl w:val="false"/>
        <w:numPr>
          <w:ilvl w:val="0"/>
          <w:numId w:val="5"/>
        </w:numPr>
        <w:tabs>
          <w:tab w:val="clear" w:pos="708"/>
          <w:tab w:val="left" w:pos="503"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Concorda com a minuta de</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contrato/ata;</w:t>
      </w:r>
    </w:p>
    <w:p>
      <w:pPr>
        <w:pStyle w:val="Normal"/>
        <w:widowControl w:val="false"/>
        <w:numPr>
          <w:ilvl w:val="0"/>
          <w:numId w:val="5"/>
        </w:numPr>
        <w:tabs>
          <w:tab w:val="clear" w:pos="708"/>
          <w:tab w:val="left" w:pos="508" w:leader="none"/>
        </w:tabs>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Inexiste</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fato</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impeditivo</w:t>
      </w:r>
      <w:r>
        <w:rPr>
          <w:rFonts w:eastAsia="Times New Roman" w:cs="Arial" w:ascii="Arial" w:hAnsi="Arial"/>
          <w:spacing w:val="-6"/>
          <w:sz w:val="18"/>
          <w:szCs w:val="18"/>
          <w:lang w:val="pt-PT" w:eastAsia="pt-PT" w:bidi="pt-PT"/>
        </w:rPr>
        <w:t xml:space="preserve"> </w:t>
      </w:r>
      <w:r>
        <w:rPr>
          <w:rFonts w:eastAsia="Times New Roman" w:cs="Arial" w:ascii="Arial" w:hAnsi="Arial"/>
          <w:sz w:val="18"/>
          <w:szCs w:val="18"/>
          <w:lang w:val="pt-PT" w:eastAsia="pt-PT" w:bidi="pt-PT"/>
        </w:rPr>
        <w:t>superveniente</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para minha habilitação</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no</w:t>
      </w:r>
      <w:r>
        <w:rPr>
          <w:rFonts w:eastAsia="Times New Roman" w:cs="Arial" w:ascii="Arial" w:hAnsi="Arial"/>
          <w:spacing w:val="-2"/>
          <w:sz w:val="18"/>
          <w:szCs w:val="18"/>
          <w:lang w:val="pt-PT" w:eastAsia="pt-PT" w:bidi="pt-PT"/>
        </w:rPr>
        <w:t xml:space="preserve"> </w:t>
      </w:r>
      <w:r>
        <w:rPr>
          <w:rFonts w:eastAsia="Times New Roman" w:cs="Arial" w:ascii="Arial" w:hAnsi="Arial"/>
          <w:sz w:val="18"/>
          <w:szCs w:val="18"/>
          <w:lang w:val="pt-PT" w:eastAsia="pt-PT" w:bidi="pt-PT"/>
        </w:rPr>
        <w:t>presente</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procedimento</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lang w:val="pt-PT" w:eastAsia="pt-PT" w:bidi="pt-PT"/>
        </w:rPr>
        <w:t>licitatório;</w:t>
      </w:r>
    </w:p>
    <w:p>
      <w:pPr>
        <w:pStyle w:val="Normal"/>
        <w:widowControl w:val="false"/>
        <w:numPr>
          <w:ilvl w:val="0"/>
          <w:numId w:val="5"/>
        </w:numPr>
        <w:tabs>
          <w:tab w:val="clear" w:pos="708"/>
          <w:tab w:val="left" w:pos="503" w:leader="none"/>
        </w:tabs>
        <w:spacing w:before="1" w:after="0"/>
        <w:ind w:hanging="164" w:left="425" w:right="191"/>
        <w:rPr>
          <w:rFonts w:ascii="Arial" w:hAnsi="Arial" w:cs="Arial"/>
          <w:sz w:val="18"/>
          <w:szCs w:val="18"/>
        </w:rPr>
      </w:pPr>
      <w:r>
        <w:rPr>
          <w:rFonts w:eastAsia="Times New Roman" w:cs="Arial" w:ascii="Arial" w:hAnsi="Arial"/>
          <w:sz w:val="18"/>
          <w:szCs w:val="18"/>
          <w:lang w:val="pt-PT" w:eastAsia="pt-PT" w:bidi="pt-PT"/>
        </w:rPr>
        <w:t xml:space="preserve"> </w:t>
      </w:r>
      <w:r>
        <w:rPr>
          <w:rFonts w:eastAsia="Times New Roman" w:cs="Arial" w:ascii="Arial" w:hAnsi="Arial"/>
          <w:sz w:val="18"/>
          <w:szCs w:val="18"/>
          <w:lang w:val="pt-PT" w:eastAsia="pt-PT" w:bidi="pt-PT"/>
        </w:rPr>
        <w:t>DECLARA,</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para</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os</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devidos</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fins,</w:t>
      </w:r>
      <w:r>
        <w:rPr>
          <w:rFonts w:eastAsia="Times New Roman" w:cs="Arial" w:ascii="Arial" w:hAnsi="Arial"/>
          <w:spacing w:val="-2"/>
          <w:sz w:val="18"/>
          <w:szCs w:val="18"/>
          <w:lang w:val="pt-PT" w:eastAsia="pt-PT" w:bidi="pt-PT"/>
        </w:rPr>
        <w:t xml:space="preserve"> </w:t>
      </w:r>
      <w:r>
        <w:rPr>
          <w:rFonts w:eastAsia="Times New Roman" w:cs="Arial" w:ascii="Arial" w:hAnsi="Arial"/>
          <w:sz w:val="18"/>
          <w:szCs w:val="18"/>
          <w:lang w:val="pt-PT" w:eastAsia="pt-PT" w:bidi="pt-PT"/>
        </w:rPr>
        <w:t>que</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concordamos</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com</w:t>
      </w:r>
      <w:r>
        <w:rPr>
          <w:rFonts w:eastAsia="Times New Roman" w:cs="Arial" w:ascii="Arial" w:hAnsi="Arial"/>
          <w:spacing w:val="-13"/>
          <w:sz w:val="18"/>
          <w:szCs w:val="18"/>
          <w:lang w:val="pt-PT" w:eastAsia="pt-PT" w:bidi="pt-PT"/>
        </w:rPr>
        <w:t xml:space="preserve"> </w:t>
      </w:r>
      <w:r>
        <w:rPr>
          <w:rFonts w:eastAsia="Times New Roman" w:cs="Arial" w:ascii="Arial" w:hAnsi="Arial"/>
          <w:sz w:val="18"/>
          <w:szCs w:val="18"/>
          <w:lang w:val="pt-PT" w:eastAsia="pt-PT" w:bidi="pt-PT"/>
        </w:rPr>
        <w:t>todos</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os</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termos</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descritos</w:t>
      </w:r>
      <w:r>
        <w:rPr>
          <w:rFonts w:eastAsia="Times New Roman" w:cs="Arial" w:ascii="Arial" w:hAnsi="Arial"/>
          <w:spacing w:val="-7"/>
          <w:sz w:val="18"/>
          <w:szCs w:val="18"/>
          <w:lang w:val="pt-PT" w:eastAsia="pt-PT" w:bidi="pt-PT"/>
        </w:rPr>
        <w:t xml:space="preserve"> </w:t>
      </w:r>
      <w:r>
        <w:rPr>
          <w:rFonts w:eastAsia="Times New Roman" w:cs="Arial" w:ascii="Arial" w:hAnsi="Arial"/>
          <w:sz w:val="18"/>
          <w:szCs w:val="18"/>
          <w:lang w:val="pt-PT" w:eastAsia="pt-PT" w:bidi="pt-PT"/>
        </w:rPr>
        <w:t>no</w:t>
      </w:r>
      <w:r>
        <w:rPr>
          <w:rFonts w:eastAsia="Times New Roman" w:cs="Arial" w:ascii="Arial" w:hAnsi="Arial"/>
          <w:spacing w:val="-9"/>
          <w:sz w:val="18"/>
          <w:szCs w:val="18"/>
          <w:lang w:val="pt-PT" w:eastAsia="pt-PT" w:bidi="pt-PT"/>
        </w:rPr>
        <w:t xml:space="preserve"> </w:t>
      </w:r>
      <w:r>
        <w:rPr>
          <w:rFonts w:eastAsia="Times New Roman" w:cs="Arial" w:ascii="Arial" w:hAnsi="Arial"/>
          <w:sz w:val="18"/>
          <w:szCs w:val="18"/>
          <w:lang w:val="pt-PT" w:eastAsia="pt-PT" w:bidi="pt-PT"/>
        </w:rPr>
        <w:t>edital</w:t>
      </w:r>
      <w:r>
        <w:rPr>
          <w:rFonts w:eastAsia="Times New Roman" w:cs="Arial" w:ascii="Arial" w:hAnsi="Arial"/>
          <w:spacing w:val="-2"/>
          <w:sz w:val="18"/>
          <w:szCs w:val="18"/>
          <w:lang w:val="pt-PT" w:eastAsia="pt-PT" w:bidi="pt-PT"/>
        </w:rPr>
        <w:t xml:space="preserve"> </w:t>
      </w:r>
      <w:r>
        <w:rPr>
          <w:rFonts w:eastAsia="Times New Roman" w:cs="Arial" w:ascii="Arial" w:hAnsi="Arial"/>
          <w:sz w:val="18"/>
          <w:szCs w:val="18"/>
          <w:lang w:val="pt-PT" w:eastAsia="pt-PT" w:bidi="pt-PT"/>
        </w:rPr>
        <w:t>e</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seus</w:t>
      </w:r>
      <w:r>
        <w:rPr>
          <w:rFonts w:eastAsia="Times New Roman" w:cs="Arial" w:ascii="Arial" w:hAnsi="Arial"/>
          <w:spacing w:val="-8"/>
          <w:sz w:val="18"/>
          <w:szCs w:val="18"/>
          <w:lang w:val="pt-PT" w:eastAsia="pt-PT" w:bidi="pt-PT"/>
        </w:rPr>
        <w:t xml:space="preserve"> </w:t>
      </w:r>
      <w:r>
        <w:rPr>
          <w:rFonts w:eastAsia="Times New Roman" w:cs="Arial" w:ascii="Arial" w:hAnsi="Arial"/>
          <w:spacing w:val="-2"/>
          <w:sz w:val="18"/>
          <w:szCs w:val="18"/>
          <w:lang w:val="pt-PT" w:eastAsia="pt-PT" w:bidi="pt-PT"/>
        </w:rPr>
        <w:t>anexos</w:t>
      </w:r>
      <w:r>
        <w:rPr>
          <w:rFonts w:eastAsia="Times New Roman" w:cs="Arial" w:ascii="Arial" w:hAnsi="Arial"/>
          <w:spacing w:val="-3"/>
          <w:sz w:val="18"/>
          <w:szCs w:val="18"/>
          <w:lang w:val="pt-PT" w:eastAsia="pt-PT" w:bidi="pt-PT"/>
        </w:rPr>
        <w:t xml:space="preserve"> </w:t>
      </w:r>
      <w:r>
        <w:rPr>
          <w:rFonts w:eastAsia="Times New Roman" w:cs="Arial" w:ascii="Arial" w:hAnsi="Arial"/>
          <w:sz w:val="18"/>
          <w:szCs w:val="18"/>
          <w:lang w:val="pt-PT" w:eastAsia="pt-PT" w:bidi="pt-PT"/>
        </w:rPr>
        <w:t>e</w:t>
      </w:r>
      <w:r>
        <w:rPr>
          <w:rFonts w:eastAsia="Times New Roman" w:cs="Arial" w:ascii="Arial" w:hAnsi="Arial"/>
          <w:spacing w:val="-8"/>
          <w:sz w:val="18"/>
          <w:szCs w:val="18"/>
          <w:lang w:val="pt-PT" w:eastAsia="pt-PT" w:bidi="pt-PT"/>
        </w:rPr>
        <w:t xml:space="preserve"> </w:t>
      </w:r>
      <w:r>
        <w:rPr>
          <w:rFonts w:eastAsia="Times New Roman" w:cs="Arial" w:ascii="Arial" w:hAnsi="Arial"/>
          <w:sz w:val="18"/>
          <w:szCs w:val="18"/>
          <w:lang w:val="pt-PT" w:eastAsia="pt-PT" w:bidi="pt-PT"/>
        </w:rPr>
        <w:t xml:space="preserve">que temos pleno e total conhecimento da realização </w:t>
      </w:r>
      <w:r>
        <w:rPr>
          <w:rFonts w:eastAsia="Times New Roman" w:cs="Arial" w:ascii="Arial" w:hAnsi="Arial"/>
          <w:spacing w:val="-3"/>
          <w:sz w:val="18"/>
          <w:szCs w:val="18"/>
          <w:lang w:val="pt-PT" w:eastAsia="pt-PT" w:bidi="pt-PT"/>
        </w:rPr>
        <w:t xml:space="preserve">dos </w:t>
      </w:r>
      <w:r>
        <w:rPr>
          <w:rFonts w:eastAsia="Times New Roman" w:cs="Arial" w:ascii="Arial" w:hAnsi="Arial"/>
          <w:sz w:val="18"/>
          <w:szCs w:val="18"/>
          <w:lang w:val="pt-PT" w:eastAsia="pt-PT" w:bidi="pt-PT"/>
        </w:rPr>
        <w:t>trabalhos/produtos objeto do</w:t>
      </w:r>
      <w:r>
        <w:rPr>
          <w:rFonts w:eastAsia="Times New Roman" w:cs="Arial" w:ascii="Arial" w:hAnsi="Arial"/>
          <w:spacing w:val="-18"/>
          <w:sz w:val="18"/>
          <w:szCs w:val="18"/>
          <w:lang w:val="pt-PT" w:eastAsia="pt-PT" w:bidi="pt-PT"/>
        </w:rPr>
        <w:t xml:space="preserve"> </w:t>
      </w:r>
      <w:r>
        <w:rPr>
          <w:rFonts w:eastAsia="Times New Roman" w:cs="Arial" w:ascii="Arial" w:hAnsi="Arial"/>
          <w:sz w:val="18"/>
          <w:szCs w:val="18"/>
          <w:lang w:val="pt-PT" w:eastAsia="pt-PT" w:bidi="pt-PT"/>
        </w:rPr>
        <w:t>certame.</w:t>
      </w:r>
    </w:p>
    <w:p>
      <w:pPr>
        <w:pStyle w:val="Normal"/>
        <w:widowControl w:val="false"/>
        <w:numPr>
          <w:ilvl w:val="0"/>
          <w:numId w:val="5"/>
        </w:numPr>
        <w:tabs>
          <w:tab w:val="clear" w:pos="708"/>
          <w:tab w:val="left" w:pos="503" w:leader="none"/>
        </w:tabs>
        <w:spacing w:before="1" w:after="0"/>
        <w:ind w:hanging="164" w:left="425" w:right="191"/>
        <w:jc w:val="both"/>
        <w:rPr>
          <w:rFonts w:ascii="Arial" w:hAnsi="Arial" w:cs="Arial"/>
          <w:sz w:val="18"/>
          <w:szCs w:val="18"/>
        </w:rPr>
      </w:pPr>
      <w:r>
        <w:rPr>
          <w:rFonts w:eastAsia="Times New Roman" w:cs="Arial" w:ascii="Arial" w:hAnsi="Arial"/>
          <w:sz w:val="18"/>
          <w:szCs w:val="18"/>
          <w:lang w:val="pt-PT" w:eastAsia="pt-PT" w:bidi="pt-PT"/>
        </w:rPr>
        <w:t>DECLARA, sob as penas da lei, de que tem pleno conhecimento das condições e peculiaridades inerentes à natureza dos serviços, assumindo total responsabilidade por esse fato e informando que não o utilizará para quaisquer questionamentos futuros</w:t>
      </w:r>
    </w:p>
    <w:p>
      <w:pPr>
        <w:pStyle w:val="Normal"/>
        <w:widowControl w:val="false"/>
        <w:spacing w:before="6" w:after="0"/>
        <w:ind w:left="142" w:right="191"/>
        <w:rPr>
          <w:rFonts w:ascii="Arial" w:hAnsi="Arial" w:cs="Arial"/>
          <w:sz w:val="18"/>
          <w:szCs w:val="18"/>
        </w:rPr>
      </w:pPr>
      <w:r>
        <w:rPr>
          <w:rFonts w:cs="Arial" w:ascii="Arial" w:hAnsi="Arial"/>
          <w:sz w:val="18"/>
          <w:szCs w:val="18"/>
        </w:rPr>
      </w:r>
    </w:p>
    <w:p>
      <w:pPr>
        <w:pStyle w:val="Normal"/>
        <w:widowControl w:val="false"/>
        <w:tabs>
          <w:tab w:val="clear" w:pos="708"/>
          <w:tab w:val="left" w:pos="2871" w:leader="none"/>
        </w:tabs>
        <w:ind w:left="142" w:right="191"/>
        <w:jc w:val="right"/>
        <w:rPr>
          <w:rFonts w:ascii="Arial" w:hAnsi="Arial" w:cs="Arial"/>
          <w:sz w:val="18"/>
          <w:szCs w:val="18"/>
          <w:u w:val="single"/>
        </w:rPr>
      </w:pPr>
      <w:r>
        <w:rPr>
          <w:rFonts w:eastAsia="Times New Roman" w:cs="Arial" w:ascii="Arial" w:hAnsi="Arial"/>
          <w:sz w:val="18"/>
          <w:szCs w:val="18"/>
          <w:lang w:val="pt-PT" w:eastAsia="pt-PT" w:bidi="pt-PT"/>
        </w:rPr>
        <w:t>Data:</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u w:val="single"/>
          <w:lang w:val="pt-PT" w:eastAsia="pt-PT" w:bidi="pt-PT"/>
        </w:rPr>
        <w:t xml:space="preserve"> </w:t>
        <w:tab/>
      </w:r>
    </w:p>
    <w:p>
      <w:pPr>
        <w:pStyle w:val="Normal"/>
        <w:widowControl w:val="false"/>
        <w:tabs>
          <w:tab w:val="clear" w:pos="708"/>
          <w:tab w:val="left" w:pos="2871" w:leader="none"/>
        </w:tabs>
        <w:ind w:left="142" w:right="191"/>
        <w:jc w:val="right"/>
        <w:rPr>
          <w:rFonts w:ascii="Arial" w:hAnsi="Arial" w:cs="Arial"/>
          <w:sz w:val="18"/>
          <w:szCs w:val="18"/>
        </w:rPr>
      </w:pPr>
      <w:r>
        <w:rPr>
          <w:rFonts w:cs="Arial" w:ascii="Arial" w:hAnsi="Arial"/>
          <w:sz w:val="18"/>
          <w:szCs w:val="18"/>
        </w:rPr>
      </w:r>
    </w:p>
    <w:p>
      <w:pPr>
        <w:pStyle w:val="Normal"/>
        <w:widowControl w:val="false"/>
        <w:tabs>
          <w:tab w:val="clear" w:pos="708"/>
          <w:tab w:val="left" w:pos="2871" w:leader="none"/>
        </w:tabs>
        <w:ind w:left="142" w:right="191"/>
        <w:rPr>
          <w:rFonts w:ascii="Arial" w:hAnsi="Arial" w:cs="Arial"/>
          <w:sz w:val="18"/>
          <w:szCs w:val="18"/>
        </w:rPr>
      </w:pPr>
      <w:r>
        <w:rPr>
          <w:rFonts w:cs="Arial" w:ascii="Arial" w:hAnsi="Arial"/>
          <w:sz w:val="18"/>
          <w:szCs w:val="18"/>
        </w:rPr>
      </w:r>
    </w:p>
    <w:p>
      <w:pPr>
        <w:pStyle w:val="Normal"/>
        <w:widowControl w:val="false"/>
        <w:spacing w:before="2" w:after="0"/>
        <w:ind w:left="142" w:right="191"/>
        <w:rPr>
          <w:rFonts w:ascii="Arial" w:hAnsi="Arial" w:cs="Arial"/>
          <w:sz w:val="18"/>
          <w:szCs w:val="18"/>
        </w:rPr>
      </w:pPr>
      <w:r>
        <w:rPr>
          <w:rFonts w:cs="Arial" w:ascii="Arial" w:hAnsi="Arial"/>
          <w:sz w:val="18"/>
          <w:szCs w:val="18"/>
        </w:rPr>
      </w:r>
    </w:p>
    <w:p>
      <w:pPr>
        <w:pStyle w:val="Normal"/>
        <w:widowControl w:val="false"/>
        <w:tabs>
          <w:tab w:val="clear" w:pos="708"/>
          <w:tab w:val="left" w:pos="2847" w:leader="none"/>
        </w:tabs>
        <w:spacing w:before="92" w:after="0"/>
        <w:ind w:left="142" w:right="191"/>
        <w:rPr>
          <w:rFonts w:ascii="Arial" w:hAnsi="Arial" w:cs="Arial"/>
          <w:sz w:val="18"/>
          <w:szCs w:val="18"/>
          <w:u w:val="single"/>
        </w:rPr>
      </w:pPr>
      <w:r>
        <w:rPr>
          <w:rFonts w:eastAsia="Times New Roman" w:cs="Arial" w:ascii="Arial" w:hAnsi="Arial"/>
          <w:sz w:val="18"/>
          <w:szCs w:val="18"/>
          <w:lang w:val="pt-PT" w:eastAsia="pt-PT" w:bidi="pt-PT"/>
        </w:rPr>
        <w:t>Assinatura:</w:t>
      </w:r>
      <w:r>
        <w:rPr>
          <w:rFonts w:eastAsia="Times New Roman" w:cs="Arial" w:ascii="Arial" w:hAnsi="Arial"/>
          <w:spacing w:val="5"/>
          <w:sz w:val="18"/>
          <w:szCs w:val="18"/>
          <w:lang w:val="pt-PT" w:eastAsia="pt-PT" w:bidi="pt-PT"/>
        </w:rPr>
        <w:t xml:space="preserve"> </w:t>
      </w:r>
      <w:r>
        <w:rPr>
          <w:rFonts w:eastAsia="Times New Roman" w:cs="Arial" w:ascii="Arial" w:hAnsi="Arial"/>
          <w:sz w:val="18"/>
          <w:szCs w:val="18"/>
          <w:u w:val="single"/>
          <w:lang w:val="pt-PT" w:eastAsia="pt-PT" w:bidi="pt-PT"/>
        </w:rPr>
        <w:t xml:space="preserve"> </w:t>
        <w:tab/>
      </w:r>
    </w:p>
    <w:p>
      <w:pPr>
        <w:pStyle w:val="Normal"/>
        <w:widowControl w:val="false"/>
        <w:tabs>
          <w:tab w:val="clear" w:pos="708"/>
          <w:tab w:val="left" w:pos="2847" w:leader="none"/>
        </w:tabs>
        <w:spacing w:before="92" w:after="0"/>
        <w:ind w:left="142" w:right="191"/>
        <w:rPr>
          <w:rFonts w:ascii="Arial" w:hAnsi="Arial" w:cs="Arial"/>
          <w:sz w:val="18"/>
          <w:szCs w:val="18"/>
          <w:u w:val="single"/>
        </w:rPr>
      </w:pPr>
      <w:r>
        <w:rPr>
          <w:rFonts w:cs="Arial" w:ascii="Arial" w:hAnsi="Arial"/>
          <w:sz w:val="18"/>
          <w:szCs w:val="18"/>
          <w:u w:val="single"/>
        </w:rPr>
      </w:r>
    </w:p>
    <w:p>
      <w:pPr>
        <w:pStyle w:val="Normal"/>
        <w:widowControl w:val="false"/>
        <w:tabs>
          <w:tab w:val="clear" w:pos="708"/>
          <w:tab w:val="left" w:pos="2847" w:leader="none"/>
        </w:tabs>
        <w:spacing w:before="92" w:after="0"/>
        <w:ind w:left="142" w:right="191"/>
        <w:rPr>
          <w:rFonts w:ascii="Arial" w:hAnsi="Arial" w:cs="Arial"/>
          <w:sz w:val="18"/>
          <w:szCs w:val="18"/>
          <w:u w:val="single"/>
        </w:rPr>
      </w:pPr>
      <w:r>
        <w:rPr>
          <w:rFonts w:cs="Arial" w:ascii="Arial" w:hAnsi="Arial"/>
          <w:sz w:val="18"/>
          <w:szCs w:val="18"/>
          <w:u w:val="single"/>
        </w:rPr>
      </w:r>
    </w:p>
    <w:p>
      <w:pPr>
        <w:sectPr>
          <w:headerReference w:type="even" r:id="rId6"/>
          <w:headerReference w:type="default" r:id="rId7"/>
          <w:headerReference w:type="first" r:id="rId8"/>
          <w:footerReference w:type="even" r:id="rId9"/>
          <w:footerReference w:type="default" r:id="rId10"/>
          <w:footerReference w:type="first" r:id="rId11"/>
          <w:type w:val="nextPage"/>
          <w:pgSz w:w="12240" w:h="15840"/>
          <w:pgMar w:left="1134" w:right="1134" w:gutter="0" w:header="232" w:top="1559" w:footer="406" w:bottom="1701"/>
          <w:pgNumType w:fmt="decimal"/>
          <w:formProt w:val="false"/>
          <w:textDirection w:val="lrTb"/>
          <w:docGrid w:type="default" w:linePitch="360" w:charSpace="0"/>
        </w:sectPr>
        <w:pStyle w:val="Normal"/>
        <w:widowControl w:val="false"/>
        <w:tabs>
          <w:tab w:val="clear" w:pos="708"/>
          <w:tab w:val="left" w:pos="2847" w:leader="none"/>
        </w:tabs>
        <w:spacing w:before="92" w:after="0"/>
        <w:ind w:left="142" w:right="191"/>
        <w:rPr>
          <w:rFonts w:ascii="Arial" w:hAnsi="Arial" w:cs="Arial"/>
          <w:sz w:val="18"/>
          <w:szCs w:val="18"/>
        </w:rPr>
      </w:pPr>
      <w:r>
        <w:rPr>
          <w:rFonts w:eastAsia="Times New Roman" w:cs="Arial" w:ascii="Arial" w:hAnsi="Arial"/>
          <w:sz w:val="18"/>
          <w:szCs w:val="18"/>
          <w:lang w:val="pt-PT" w:eastAsia="pt-PT" w:bidi="pt-PT"/>
        </w:rPr>
        <w:t>Nome</w:t>
      </w:r>
      <w:r>
        <w:rPr>
          <w:rFonts w:eastAsia="Times New Roman" w:cs="Arial" w:ascii="Arial" w:hAnsi="Arial"/>
          <w:spacing w:val="-10"/>
          <w:sz w:val="18"/>
          <w:szCs w:val="18"/>
          <w:lang w:val="pt-PT" w:eastAsia="pt-PT" w:bidi="pt-PT"/>
        </w:rPr>
        <w:t xml:space="preserve"> </w:t>
      </w:r>
      <w:r>
        <w:rPr>
          <w:rFonts w:eastAsia="Times New Roman" w:cs="Arial" w:ascii="Arial" w:hAnsi="Arial"/>
          <w:sz w:val="18"/>
          <w:szCs w:val="18"/>
          <w:lang w:val="pt-PT" w:eastAsia="pt-PT" w:bidi="pt-PT"/>
        </w:rPr>
        <w:t>do</w:t>
      </w:r>
      <w:r>
        <w:rPr>
          <w:rFonts w:eastAsia="Times New Roman" w:cs="Arial" w:ascii="Arial" w:hAnsi="Arial"/>
          <w:spacing w:val="-11"/>
          <w:sz w:val="18"/>
          <w:szCs w:val="18"/>
          <w:lang w:val="pt-PT" w:eastAsia="pt-PT" w:bidi="pt-PT"/>
        </w:rPr>
        <w:t xml:space="preserve"> </w:t>
      </w:r>
      <w:r>
        <w:rPr>
          <w:rFonts w:eastAsia="Times New Roman" w:cs="Arial" w:ascii="Arial" w:hAnsi="Arial"/>
          <w:sz w:val="18"/>
          <w:szCs w:val="18"/>
          <w:lang w:val="pt-PT" w:eastAsia="pt-PT" w:bidi="pt-PT"/>
        </w:rPr>
        <w:t>Representante</w:t>
      </w:r>
      <w:r>
        <w:rPr>
          <w:rFonts w:eastAsia="Times New Roman" w:cs="Arial" w:ascii="Arial" w:hAnsi="Arial"/>
          <w:spacing w:val="-6"/>
          <w:sz w:val="18"/>
          <w:szCs w:val="18"/>
          <w:lang w:val="pt-PT" w:eastAsia="pt-PT" w:bidi="pt-PT"/>
        </w:rPr>
        <w:t xml:space="preserve"> </w:t>
      </w:r>
      <w:r>
        <w:rPr>
          <w:rFonts w:eastAsia="Times New Roman" w:cs="Arial" w:ascii="Arial" w:hAnsi="Arial"/>
          <w:spacing w:val="-3"/>
          <w:sz w:val="18"/>
          <w:szCs w:val="18"/>
          <w:lang w:val="pt-PT" w:eastAsia="pt-PT" w:bidi="pt-PT"/>
        </w:rPr>
        <w:t>Legal</w:t>
      </w:r>
      <w:r>
        <w:rPr>
          <w:rFonts w:eastAsia="Times New Roman" w:cs="Arial" w:ascii="Arial" w:hAnsi="Arial"/>
          <w:spacing w:val="-4"/>
          <w:sz w:val="18"/>
          <w:szCs w:val="18"/>
          <w:lang w:val="pt-PT" w:eastAsia="pt-PT" w:bidi="pt-PT"/>
        </w:rPr>
        <w:t xml:space="preserve"> </w:t>
      </w:r>
      <w:r>
        <w:rPr>
          <w:rFonts w:eastAsia="Times New Roman" w:cs="Arial" w:ascii="Arial" w:hAnsi="Arial"/>
          <w:sz w:val="18"/>
          <w:szCs w:val="18"/>
          <w:lang w:val="pt-PT" w:eastAsia="pt-PT" w:bidi="pt-PT"/>
        </w:rPr>
        <w:t>do</w:t>
      </w:r>
      <w:r>
        <w:rPr>
          <w:rFonts w:eastAsia="Times New Roman" w:cs="Arial" w:ascii="Arial" w:hAnsi="Arial"/>
          <w:spacing w:val="-10"/>
          <w:sz w:val="18"/>
          <w:szCs w:val="18"/>
          <w:lang w:val="pt-PT" w:eastAsia="pt-PT" w:bidi="pt-PT"/>
        </w:rPr>
        <w:t xml:space="preserve"> </w:t>
      </w:r>
      <w:r>
        <w:rPr>
          <w:rFonts w:eastAsia="Times New Roman" w:cs="Arial" w:ascii="Arial" w:hAnsi="Arial"/>
          <w:sz w:val="18"/>
          <w:szCs w:val="18"/>
          <w:lang w:val="pt-PT" w:eastAsia="pt-PT" w:bidi="pt-PT"/>
        </w:rPr>
        <w:t>Proponente:</w:t>
      </w:r>
      <w:r>
        <w:rPr>
          <w:rFonts w:eastAsia="Times New Roman" w:cs="Arial" w:ascii="Arial" w:hAnsi="Arial"/>
          <w:sz w:val="18"/>
          <w:szCs w:val="18"/>
          <w:u w:val="single"/>
          <w:lang w:val="pt-PT" w:eastAsia="pt-PT" w:bidi="pt-PT"/>
        </w:rPr>
        <w:t xml:space="preserve"> </w:t>
        <w:tab/>
      </w:r>
      <w:r>
        <w:rPr>
          <w:rFonts w:eastAsia="Times New Roman" w:cs="Arial" w:ascii="Arial" w:hAnsi="Arial"/>
          <w:sz w:val="18"/>
          <w:szCs w:val="18"/>
          <w:u w:val="single"/>
        </w:rPr>
        <w:t>__________________________</w:t>
      </w:r>
      <w:r>
        <w:br w:type="page"/>
      </w:r>
    </w:p>
    <w:p>
      <w:pPr>
        <w:pStyle w:val="Nivel2"/>
        <w:numPr>
          <w:ilvl w:val="0"/>
          <w:numId w:val="0"/>
        </w:numPr>
        <w:spacing w:lineRule="auto" w:line="240" w:before="0" w:after="120"/>
        <w:ind w:hanging="0" w:left="0"/>
        <w:jc w:val="center"/>
        <w:rPr>
          <w:b/>
          <w:bCs/>
          <w:sz w:val="18"/>
          <w:szCs w:val="18"/>
        </w:rPr>
      </w:pPr>
      <w:r>
        <w:rPr>
          <w:b/>
          <w:bCs/>
          <w:sz w:val="18"/>
          <w:szCs w:val="18"/>
        </w:rPr>
      </w:r>
    </w:p>
    <w:p>
      <w:pPr>
        <w:pStyle w:val="Nivel2"/>
        <w:numPr>
          <w:ilvl w:val="0"/>
          <w:numId w:val="0"/>
        </w:numPr>
        <w:spacing w:lineRule="auto" w:line="240"/>
        <w:ind w:hanging="0" w:left="0"/>
        <w:jc w:val="center"/>
        <w:rPr>
          <w:b/>
          <w:bCs/>
          <w:sz w:val="18"/>
          <w:szCs w:val="18"/>
        </w:rPr>
      </w:pPr>
      <w:r>
        <w:rPr>
          <w:b/>
          <w:bCs/>
          <w:sz w:val="18"/>
          <w:szCs w:val="18"/>
        </w:rPr>
        <w:t>ANEXO IV</w:t>
      </w:r>
    </w:p>
    <w:p>
      <w:pPr>
        <w:pStyle w:val="Nivel2"/>
        <w:numPr>
          <w:ilvl w:val="0"/>
          <w:numId w:val="0"/>
        </w:numPr>
        <w:spacing w:lineRule="auto" w:line="240"/>
        <w:ind w:hanging="0" w:left="0"/>
        <w:jc w:val="center"/>
        <w:rPr>
          <w:b/>
          <w:bCs/>
          <w:sz w:val="18"/>
          <w:szCs w:val="18"/>
        </w:rPr>
      </w:pPr>
      <w:r>
        <w:rPr>
          <w:b/>
          <w:bCs/>
          <w:sz w:val="18"/>
          <w:szCs w:val="18"/>
        </w:rPr>
        <w:t>DECLARAÇÃO DE RESIDÊNCIA</w:t>
      </w:r>
    </w:p>
    <w:p>
      <w:pPr>
        <w:pStyle w:val="Nivel2"/>
        <w:numPr>
          <w:ilvl w:val="0"/>
          <w:numId w:val="0"/>
        </w:numPr>
        <w:spacing w:lineRule="auto" w:line="240"/>
        <w:ind w:hanging="0" w:left="0"/>
        <w:jc w:val="center"/>
        <w:rPr>
          <w:sz w:val="18"/>
          <w:szCs w:val="18"/>
        </w:rPr>
      </w:pPr>
      <w:r>
        <w:rPr>
          <w:sz w:val="18"/>
          <w:szCs w:val="18"/>
        </w:rPr>
      </w:r>
    </w:p>
    <w:p>
      <w:pPr>
        <w:pStyle w:val="Normal"/>
        <w:spacing w:before="288" w:after="288"/>
        <w:rPr>
          <w:rFonts w:ascii="Arial" w:hAnsi="Arial" w:cs="Arial"/>
          <w:sz w:val="18"/>
          <w:szCs w:val="18"/>
        </w:rPr>
      </w:pPr>
      <w:r>
        <w:rPr>
          <w:rFonts w:eastAsia="SimSun" w:cs="Arial" w:ascii="Arial" w:hAnsi="Arial"/>
          <w:sz w:val="18"/>
          <w:szCs w:val="18"/>
        </w:rPr>
        <w:t xml:space="preserve">Eu,___________________________________ portador(a) do RG nº ______________________  CPF nº _________________________ declaro ser residente na rua/av. _____________________________________________,n.º __________,bairro _____________________________, na cidade de ______________________________. </w:t>
      </w:r>
    </w:p>
    <w:p>
      <w:pPr>
        <w:pStyle w:val="Normal"/>
        <w:spacing w:before="288" w:after="288"/>
        <w:jc w:val="both"/>
        <w:rPr>
          <w:rFonts w:ascii="Arial" w:hAnsi="Arial" w:cs="Arial"/>
          <w:sz w:val="18"/>
          <w:szCs w:val="18"/>
        </w:rPr>
      </w:pPr>
      <w:r>
        <w:rPr>
          <w:rFonts w:eastAsia="SimSun" w:cs="Arial" w:ascii="Arial" w:hAnsi="Arial"/>
          <w:sz w:val="18"/>
          <w:szCs w:val="18"/>
        </w:rPr>
        <w:t>Favor anexar cópia de comprovante do endereço declarado (correspondência bancária, de cartão de crédito, lojas, etc.), preferencialmente, em nome do declarante, cônjuge ou genitores.</w:t>
      </w:r>
    </w:p>
    <w:p>
      <w:pPr>
        <w:pStyle w:val="Normal"/>
        <w:spacing w:before="288" w:after="288"/>
        <w:jc w:val="both"/>
        <w:rPr>
          <w:rFonts w:ascii="Arial" w:hAnsi="Arial" w:cs="Arial"/>
          <w:sz w:val="18"/>
          <w:szCs w:val="18"/>
        </w:rPr>
      </w:pPr>
      <w:r>
        <w:rPr>
          <w:rFonts w:eastAsia="SimSun" w:cs="Arial" w:ascii="Arial" w:hAnsi="Arial"/>
          <w:sz w:val="18"/>
          <w:szCs w:val="18"/>
        </w:rPr>
        <w:t xml:space="preserve"> </w:t>
      </w:r>
      <w:r>
        <w:rPr>
          <w:rFonts w:eastAsia="SimSun" w:cs="Arial" w:ascii="Arial" w:hAnsi="Arial"/>
          <w:sz w:val="18"/>
          <w:szCs w:val="18"/>
        </w:rPr>
        <w:t xml:space="preserve">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 </w:t>
      </w:r>
    </w:p>
    <w:p>
      <w:pPr>
        <w:pStyle w:val="Normal"/>
        <w:spacing w:before="288" w:after="288"/>
        <w:jc w:val="right"/>
        <w:rPr>
          <w:rFonts w:ascii="Arial" w:hAnsi="Arial" w:cs="Arial"/>
          <w:sz w:val="18"/>
          <w:szCs w:val="18"/>
        </w:rPr>
      </w:pPr>
      <w:r>
        <w:rPr>
          <w:rFonts w:eastAsia="SimSun" w:cs="Arial" w:ascii="Arial" w:hAnsi="Arial"/>
          <w:sz w:val="18"/>
          <w:szCs w:val="18"/>
        </w:rPr>
        <w:t xml:space="preserve">Santa Bárbara do Sul,__________ de __________ de 2026. </w:t>
      </w:r>
    </w:p>
    <w:p>
      <w:pPr>
        <w:pStyle w:val="Normal"/>
        <w:spacing w:before="288" w:after="288"/>
        <w:jc w:val="both"/>
        <w:rPr>
          <w:rFonts w:ascii="Arial" w:hAnsi="Arial" w:cs="Arial"/>
          <w:sz w:val="18"/>
          <w:szCs w:val="18"/>
        </w:rPr>
      </w:pPr>
      <w:r>
        <w:rPr>
          <w:rFonts w:cs="Arial" w:ascii="Arial" w:hAnsi="Arial"/>
          <w:sz w:val="18"/>
          <w:szCs w:val="18"/>
        </w:rPr>
      </w:r>
    </w:p>
    <w:p>
      <w:pPr>
        <w:pStyle w:val="Normal"/>
        <w:spacing w:before="288" w:after="288"/>
        <w:jc w:val="both"/>
        <w:rPr>
          <w:rFonts w:ascii="Arial" w:hAnsi="Arial" w:cs="Arial"/>
          <w:sz w:val="18"/>
          <w:szCs w:val="18"/>
        </w:rPr>
      </w:pPr>
      <w:r>
        <w:rPr>
          <w:rFonts w:cs="Arial" w:ascii="Arial" w:hAnsi="Arial"/>
          <w:sz w:val="18"/>
          <w:szCs w:val="18"/>
        </w:rPr>
      </w:r>
    </w:p>
    <w:p>
      <w:pPr>
        <w:pStyle w:val="Normal"/>
        <w:spacing w:before="288" w:after="288"/>
        <w:jc w:val="both"/>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eastAsia="SimSun" w:cs="Arial" w:ascii="Arial" w:hAnsi="Arial"/>
          <w:sz w:val="18"/>
          <w:szCs w:val="18"/>
        </w:rPr>
        <w:t>Assinatura (representante legal)</w:t>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jc w:val="center"/>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ormal"/>
        <w:spacing w:before="288" w:after="288"/>
        <w:rPr>
          <w:rFonts w:ascii="Arial" w:hAnsi="Arial" w:cs="Arial"/>
          <w:sz w:val="18"/>
          <w:szCs w:val="18"/>
        </w:rPr>
      </w:pPr>
      <w:r>
        <w:rPr>
          <w:rFonts w:cs="Arial" w:ascii="Arial" w:hAnsi="Arial"/>
          <w:sz w:val="18"/>
          <w:szCs w:val="18"/>
        </w:rPr>
      </w:r>
    </w:p>
    <w:p>
      <w:pPr>
        <w:pStyle w:val="Nivel2"/>
        <w:numPr>
          <w:ilvl w:val="0"/>
          <w:numId w:val="0"/>
        </w:numPr>
        <w:spacing w:lineRule="auto" w:line="240"/>
        <w:ind w:hanging="0" w:left="0"/>
        <w:jc w:val="center"/>
        <w:rPr>
          <w:b/>
          <w:bCs/>
          <w:sz w:val="18"/>
          <w:szCs w:val="18"/>
        </w:rPr>
      </w:pPr>
      <w:r>
        <w:rPr>
          <w:b/>
          <w:bCs/>
          <w:sz w:val="18"/>
          <w:szCs w:val="18"/>
        </w:rPr>
        <w:t>ANEXO V</w:t>
      </w:r>
    </w:p>
    <w:p>
      <w:pPr>
        <w:pStyle w:val="Nivel2"/>
        <w:numPr>
          <w:ilvl w:val="0"/>
          <w:numId w:val="0"/>
        </w:numPr>
        <w:spacing w:lineRule="auto" w:line="240"/>
        <w:ind w:hanging="0" w:left="0"/>
        <w:jc w:val="center"/>
        <w:rPr>
          <w:b/>
          <w:bCs/>
          <w:sz w:val="18"/>
          <w:szCs w:val="18"/>
        </w:rPr>
      </w:pPr>
      <w:r>
        <w:rPr>
          <w:b/>
          <w:bCs/>
          <w:sz w:val="18"/>
          <w:szCs w:val="18"/>
        </w:rPr>
        <w:t>TERMO DE CREDENCIAMENTO</w:t>
      </w:r>
    </w:p>
    <w:p>
      <w:pPr>
        <w:pStyle w:val="Nivel2"/>
        <w:numPr>
          <w:ilvl w:val="0"/>
          <w:numId w:val="0"/>
        </w:numPr>
        <w:spacing w:lineRule="auto" w:line="240"/>
        <w:ind w:hanging="0" w:left="0"/>
        <w:rPr>
          <w:sz w:val="18"/>
          <w:szCs w:val="18"/>
        </w:rPr>
      </w:pPr>
      <w:r>
        <w:rPr>
          <w:rFonts w:eastAsia="SimSun"/>
          <w:sz w:val="18"/>
          <w:szCs w:val="18"/>
        </w:rPr>
        <w:t>______________________, inscrito no CNPJ ______________,situado a Rua: _____________,____ telefone _________ representada neste ato pelo senhor __________, CPF ___________, RG __________, , pelo presente, atendendo ao EDITAL DE CHAMADA PÚBLICA PARA CREDENCIAMENTO N°. xxxx/2026, vem manifestar seu interesse no CREDENCIAMENTO junto ao Município de SANTA BÁRBARA DO SUL/RS, para SERVIÇOS DE ARBITRAGEM, 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p>
    <w:tbl>
      <w:tblPr>
        <w:tblW w:w="10038"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621"/>
        <w:gridCol w:w="5155"/>
        <w:gridCol w:w="837"/>
        <w:gridCol w:w="975"/>
        <w:gridCol w:w="1533"/>
        <w:gridCol w:w="916"/>
      </w:tblGrid>
      <w:tr>
        <w:trPr>
          <w:trHeight w:val="304" w:hRule="atLeast"/>
        </w:trPr>
        <w:tc>
          <w:tcPr>
            <w:tcW w:w="62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515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837"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97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153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c>
          <w:tcPr>
            <w:tcW w:w="916" w:type="dxa"/>
            <w:tcBorders>
              <w:top w:val="single" w:sz="4" w:space="0" w:color="000000"/>
              <w:bottom w:val="single" w:sz="4" w:space="0" w:color="000000"/>
              <w:right w:val="single" w:sz="4" w:space="0" w:color="000000"/>
            </w:tcBorders>
            <w:shd w:color="000000" w:fill="F0FFFF" w:val="clear"/>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HANDEBOL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R$ 221,80</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VÔLEI DE AREIA DUPLA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R$ 285,42</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BOCHA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R$ 306,23</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FUTEBOL SETE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R$ 305,46</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5</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CAMPO 11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R$ 806,33</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LIVRE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R$ 330,00</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7</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FUTSAL DE BASE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R$ 247,00</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8</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JOGOS DE VOLEIBOL DE QUADRA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R$ 307,78</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r>
        <w:trPr>
          <w:trHeight w:val="304" w:hRule="atLeast"/>
        </w:trPr>
        <w:tc>
          <w:tcPr>
            <w:tcW w:w="621"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9</w:t>
            </w:r>
          </w:p>
        </w:tc>
        <w:tc>
          <w:tcPr>
            <w:tcW w:w="515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ARBITRAGEM PARA FUTEBOL DE AREIA </w:t>
            </w:r>
          </w:p>
        </w:tc>
        <w:tc>
          <w:tcPr>
            <w:tcW w:w="837"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97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70</w:t>
            </w:r>
          </w:p>
        </w:tc>
        <w:tc>
          <w:tcPr>
            <w:tcW w:w="153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R$ 284,25</w:t>
            </w:r>
          </w:p>
        </w:tc>
        <w:tc>
          <w:tcPr>
            <w:tcW w:w="916" w:type="dxa"/>
            <w:tcBorders>
              <w:bottom w:val="single" w:sz="4" w:space="0" w:color="000000"/>
              <w:right w:val="single" w:sz="4" w:space="0" w:color="000000"/>
            </w:tcBorders>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)SIM</w:t>
            </w:r>
          </w:p>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  )NÃO</w:t>
            </w:r>
          </w:p>
        </w:tc>
      </w:tr>
    </w:tbl>
    <w:p>
      <w:pPr>
        <w:pStyle w:val="Normal"/>
        <w:jc w:val="both"/>
        <w:rPr>
          <w:rFonts w:ascii="Arial" w:hAnsi="Arial" w:cs="Arial"/>
          <w:sz w:val="18"/>
          <w:szCs w:val="18"/>
        </w:rPr>
      </w:pPr>
      <w:r>
        <w:rPr>
          <w:rFonts w:cs="Arial" w:ascii="Arial" w:hAnsi="Arial"/>
          <w:sz w:val="18"/>
          <w:szCs w:val="18"/>
        </w:rPr>
      </w:r>
    </w:p>
    <w:p>
      <w:pPr>
        <w:pStyle w:val="Nivel2"/>
        <w:numPr>
          <w:ilvl w:val="0"/>
          <w:numId w:val="6"/>
        </w:numPr>
        <w:spacing w:lineRule="auto" w:line="240"/>
        <w:rPr>
          <w:b/>
          <w:bCs/>
          <w:sz w:val="18"/>
          <w:szCs w:val="18"/>
        </w:rPr>
      </w:pPr>
      <w:r>
        <w:rPr>
          <w:rFonts w:eastAsia="SimSun"/>
          <w:b/>
          <w:bCs/>
          <w:sz w:val="18"/>
          <w:szCs w:val="18"/>
        </w:rPr>
        <w:t xml:space="preserve">CONDIÇÕES ESPECÍFICAS </w:t>
      </w:r>
    </w:p>
    <w:p>
      <w:pPr>
        <w:pStyle w:val="Nivel2"/>
        <w:numPr>
          <w:ilvl w:val="1"/>
          <w:numId w:val="6"/>
        </w:numPr>
        <w:spacing w:lineRule="auto" w:line="240"/>
        <w:rPr>
          <w:sz w:val="18"/>
          <w:szCs w:val="18"/>
        </w:rPr>
      </w:pPr>
      <w:r>
        <w:rPr>
          <w:rFonts w:eastAsia="SimSun"/>
          <w:sz w:val="18"/>
          <w:szCs w:val="18"/>
        </w:rPr>
        <w:t xml:space="preserve">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Santa Bárbara do Sul/RS, o direito de adaptação às suas necessidades conforme a demanda gerada. </w:t>
      </w:r>
    </w:p>
    <w:p>
      <w:pPr>
        <w:pStyle w:val="Nivel2"/>
        <w:numPr>
          <w:ilvl w:val="0"/>
          <w:numId w:val="0"/>
        </w:numPr>
        <w:spacing w:lineRule="auto" w:line="240"/>
        <w:ind w:hanging="0" w:left="0"/>
        <w:rPr>
          <w:b/>
          <w:bCs/>
          <w:sz w:val="18"/>
          <w:szCs w:val="18"/>
        </w:rPr>
      </w:pPr>
      <w:r>
        <w:rPr>
          <w:rFonts w:eastAsia="SimSun"/>
          <w:b/>
          <w:bCs/>
          <w:sz w:val="18"/>
          <w:szCs w:val="18"/>
        </w:rPr>
        <w:t>2.</w:t>
        <w:tab/>
        <w:t xml:space="preserve">A VIGÊNCIA </w:t>
      </w:r>
    </w:p>
    <w:p>
      <w:pPr>
        <w:pStyle w:val="Nivel2"/>
        <w:numPr>
          <w:ilvl w:val="0"/>
          <w:numId w:val="0"/>
        </w:numPr>
        <w:spacing w:lineRule="auto" w:line="240"/>
        <w:ind w:hanging="0" w:left="0"/>
        <w:rPr>
          <w:b/>
          <w:bCs/>
          <w:sz w:val="18"/>
          <w:szCs w:val="18"/>
        </w:rPr>
      </w:pPr>
      <w:r>
        <w:rPr>
          <w:rFonts w:eastAsia="SimSun"/>
          <w:sz w:val="18"/>
          <w:szCs w:val="18"/>
        </w:rPr>
        <w:t>2.1.</w:t>
        <w:tab/>
        <w:t>O prazo de vigência deste contrato será de 12 (doze) meses, a contar da data da sua assinatura, podendo ser prorrogado nos termos do art. 107 da Lei nº 14.133/2021.</w:t>
      </w:r>
    </w:p>
    <w:p>
      <w:pPr>
        <w:pStyle w:val="Nivel2"/>
        <w:numPr>
          <w:ilvl w:val="0"/>
          <w:numId w:val="0"/>
        </w:numPr>
        <w:spacing w:lineRule="auto" w:line="240"/>
        <w:ind w:hanging="0" w:left="0"/>
        <w:rPr>
          <w:b/>
          <w:bCs/>
          <w:sz w:val="18"/>
          <w:szCs w:val="18"/>
        </w:rPr>
      </w:pPr>
      <w:r>
        <w:rPr>
          <w:rFonts w:eastAsia="SimSun"/>
          <w:b/>
          <w:bCs/>
          <w:sz w:val="18"/>
          <w:szCs w:val="18"/>
        </w:rPr>
        <w:t>3.</w:t>
        <w:tab/>
        <w:t>DAS DISPOSIÇÕES GERAIS</w:t>
      </w:r>
    </w:p>
    <w:p>
      <w:pPr>
        <w:pStyle w:val="Nivel2"/>
        <w:numPr>
          <w:ilvl w:val="0"/>
          <w:numId w:val="0"/>
        </w:numPr>
        <w:spacing w:lineRule="auto" w:line="240"/>
        <w:ind w:hanging="0" w:left="0"/>
        <w:rPr>
          <w:sz w:val="18"/>
          <w:szCs w:val="18"/>
        </w:rPr>
      </w:pPr>
      <w:r>
        <w:rPr>
          <w:rFonts w:eastAsia="SimSun"/>
          <w:sz w:val="18"/>
          <w:szCs w:val="18"/>
        </w:rPr>
        <w:t>3.1.</w:t>
        <w:tab/>
        <w:t xml:space="preserve">O EDITAL DA LICITAÇÃO MODALIDADE CHAMADA PÚBLICA N.º XXX/2026 na íntegra e seus Anexos constituem parte integrante deste TERMO DE CREDENCIAMENTO, independentemente de transcrição, dele não podendo se afastar durante a sua plena vigência. </w:t>
      </w:r>
    </w:p>
    <w:p>
      <w:pPr>
        <w:pStyle w:val="Nivel2"/>
        <w:numPr>
          <w:ilvl w:val="0"/>
          <w:numId w:val="0"/>
        </w:numPr>
        <w:spacing w:lineRule="auto" w:line="240"/>
        <w:ind w:hanging="0" w:left="0"/>
        <w:jc w:val="right"/>
        <w:rPr>
          <w:sz w:val="18"/>
          <w:szCs w:val="18"/>
        </w:rPr>
      </w:pPr>
      <w:r>
        <w:rPr>
          <w:rFonts w:eastAsia="SimSun"/>
          <w:sz w:val="18"/>
          <w:szCs w:val="18"/>
        </w:rPr>
        <w:t>Santa Bárbara do Sul/RS, xx de xxxxxxx de 2026.</w:t>
      </w:r>
    </w:p>
    <w:p>
      <w:pPr>
        <w:pStyle w:val="Nivel2"/>
        <w:numPr>
          <w:ilvl w:val="0"/>
          <w:numId w:val="0"/>
        </w:numPr>
        <w:spacing w:lineRule="auto" w:line="240"/>
        <w:ind w:hanging="0" w:left="0"/>
        <w:jc w:val="right"/>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rFonts w:eastAsia="SimSun"/>
          <w:sz w:val="18"/>
          <w:szCs w:val="18"/>
        </w:rPr>
        <w:t>CONTRATANTE</w:t>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rFonts w:eastAsia="SimSun"/>
          <w:sz w:val="18"/>
          <w:szCs w:val="18"/>
        </w:rPr>
        <w:t>CREDENCIADA</w:t>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center"/>
        <w:rPr>
          <w:sz w:val="18"/>
          <w:szCs w:val="18"/>
        </w:rPr>
      </w:pPr>
      <w:r>
        <w:rPr>
          <w:b/>
          <w:bCs/>
          <w:sz w:val="18"/>
          <w:szCs w:val="18"/>
        </w:rPr>
        <w:t>ANEXO VI</w:t>
      </w:r>
    </w:p>
    <w:p>
      <w:pPr>
        <w:pStyle w:val="Nivel2"/>
        <w:numPr>
          <w:ilvl w:val="0"/>
          <w:numId w:val="0"/>
        </w:numPr>
        <w:spacing w:lineRule="auto" w:line="240"/>
        <w:ind w:hanging="0" w:left="0"/>
        <w:jc w:val="center"/>
        <w:rPr>
          <w:sz w:val="18"/>
          <w:szCs w:val="18"/>
        </w:rPr>
      </w:pPr>
      <w:r>
        <w:rPr>
          <w:sz w:val="18"/>
          <w:szCs w:val="18"/>
        </w:rPr>
        <w:t>AUTORIZAÇÃO DE FORNECIMENTO (AF)</w:t>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rFonts w:eastAsia="SimSun"/>
          <w:b/>
          <w:bCs/>
          <w:sz w:val="18"/>
          <w:szCs w:val="18"/>
        </w:rPr>
        <w:t>AUTORIZAÇÃO DE FORNECIMENTO Nº _____</w:t>
      </w:r>
    </w:p>
    <w:p>
      <w:pPr>
        <w:pStyle w:val="Nivel2"/>
        <w:numPr>
          <w:ilvl w:val="0"/>
          <w:numId w:val="0"/>
        </w:numPr>
        <w:spacing w:lineRule="auto" w:line="240"/>
        <w:ind w:hanging="0" w:left="0"/>
        <w:rPr>
          <w:sz w:val="18"/>
          <w:szCs w:val="18"/>
        </w:rPr>
      </w:pPr>
      <w:r>
        <w:rPr>
          <w:sz w:val="18"/>
          <w:szCs w:val="18"/>
        </w:rPr>
      </w:r>
    </w:p>
    <w:p>
      <w:pPr>
        <w:pStyle w:val="Nivel2"/>
        <w:numPr>
          <w:ilvl w:val="0"/>
          <w:numId w:val="0"/>
        </w:numPr>
        <w:spacing w:lineRule="auto" w:line="240"/>
        <w:ind w:hanging="0" w:left="0"/>
        <w:rPr>
          <w:sz w:val="18"/>
          <w:szCs w:val="18"/>
        </w:rPr>
      </w:pPr>
      <w:r>
        <w:rPr>
          <w:rFonts w:eastAsia="SimSun"/>
          <w:sz w:val="18"/>
          <w:szCs w:val="18"/>
        </w:rPr>
        <w:t xml:space="preserve">Referente à execução da </w:t>
      </w:r>
      <w:r>
        <w:rPr>
          <w:rFonts w:eastAsia="SimSun"/>
          <w:color w:val="auto"/>
          <w:sz w:val="18"/>
          <w:szCs w:val="18"/>
        </w:rPr>
        <w:t>FORNECIMENTO DE CARGAS DE GÁS</w:t>
      </w:r>
      <w:r>
        <w:rPr>
          <w:rFonts w:eastAsia="SimSun"/>
          <w:sz w:val="18"/>
          <w:szCs w:val="18"/>
        </w:rPr>
        <w:t xml:space="preserve">, localizado (a) à </w:t>
      </w:r>
      <w:r>
        <w:rPr>
          <w:rFonts w:eastAsia="SimSun"/>
          <w:color w:val="FF0000"/>
          <w:sz w:val="18"/>
          <w:szCs w:val="18"/>
        </w:rPr>
        <w:t>(DESCREVER ENDEREÇO)</w:t>
      </w:r>
      <w:r>
        <w:rPr>
          <w:rFonts w:eastAsia="SimSun"/>
          <w:sz w:val="18"/>
          <w:szCs w:val="18"/>
        </w:rPr>
        <w:t xml:space="preserve">. </w:t>
      </w:r>
    </w:p>
    <w:p>
      <w:pPr>
        <w:pStyle w:val="Nivel2"/>
        <w:numPr>
          <w:ilvl w:val="0"/>
          <w:numId w:val="0"/>
        </w:numPr>
        <w:spacing w:lineRule="auto" w:line="240"/>
        <w:ind w:hanging="0" w:left="0"/>
        <w:rPr>
          <w:sz w:val="18"/>
          <w:szCs w:val="18"/>
        </w:rPr>
      </w:pPr>
      <w:r>
        <w:rPr>
          <w:sz w:val="18"/>
          <w:szCs w:val="18"/>
        </w:rPr>
      </w:r>
    </w:p>
    <w:p>
      <w:pPr>
        <w:pStyle w:val="Nivel2"/>
        <w:numPr>
          <w:ilvl w:val="0"/>
          <w:numId w:val="7"/>
        </w:numPr>
        <w:spacing w:lineRule="auto" w:line="240"/>
        <w:rPr>
          <w:sz w:val="18"/>
          <w:szCs w:val="18"/>
        </w:rPr>
      </w:pPr>
      <w:r>
        <w:rPr>
          <w:rFonts w:eastAsia="SimSun"/>
          <w:sz w:val="18"/>
          <w:szCs w:val="18"/>
        </w:rPr>
        <w:t xml:space="preserve">REFERÊNCIA </w:t>
      </w:r>
    </w:p>
    <w:p>
      <w:pPr>
        <w:pStyle w:val="Nivel2"/>
        <w:numPr>
          <w:ilvl w:val="0"/>
          <w:numId w:val="0"/>
        </w:numPr>
        <w:spacing w:lineRule="auto" w:line="240"/>
        <w:ind w:hanging="0" w:left="0"/>
        <w:rPr>
          <w:sz w:val="18"/>
          <w:szCs w:val="18"/>
        </w:rPr>
      </w:pPr>
      <w:r>
        <w:rPr>
          <w:rFonts w:eastAsia="SimSun"/>
          <w:sz w:val="18"/>
          <w:szCs w:val="18"/>
        </w:rPr>
        <w:t>1.1. Processo de Inexigibilidade nº 005/2026</w:t>
      </w:r>
    </w:p>
    <w:p>
      <w:pPr>
        <w:pStyle w:val="Nivel2"/>
        <w:numPr>
          <w:ilvl w:val="0"/>
          <w:numId w:val="0"/>
        </w:numPr>
        <w:spacing w:lineRule="auto" w:line="240"/>
        <w:ind w:hanging="0" w:left="0"/>
        <w:rPr>
          <w:sz w:val="18"/>
          <w:szCs w:val="18"/>
        </w:rPr>
      </w:pPr>
      <w:r>
        <w:rPr>
          <w:rFonts w:eastAsia="SimSun"/>
          <w:sz w:val="18"/>
          <w:szCs w:val="18"/>
        </w:rPr>
        <w:t>1.2. Credenciamento nº 002/2026</w:t>
      </w:r>
    </w:p>
    <w:p>
      <w:pPr>
        <w:pStyle w:val="Nivel2"/>
        <w:numPr>
          <w:ilvl w:val="0"/>
          <w:numId w:val="0"/>
        </w:numPr>
        <w:spacing w:lineRule="auto" w:line="240"/>
        <w:ind w:hanging="0" w:left="0"/>
        <w:rPr>
          <w:sz w:val="18"/>
          <w:szCs w:val="18"/>
        </w:rPr>
      </w:pPr>
      <w:r>
        <w:rPr>
          <w:rFonts w:eastAsia="SimSun"/>
          <w:sz w:val="18"/>
          <w:szCs w:val="18"/>
        </w:rPr>
        <w:t xml:space="preserve">1.3. Valor total da prestação: R$ </w:t>
      </w:r>
      <w:r>
        <w:rPr>
          <w:rFonts w:eastAsia="SimSun"/>
          <w:color w:val="FF0000"/>
          <w:sz w:val="18"/>
          <w:szCs w:val="18"/>
        </w:rPr>
        <w:t>xxxxxxx (valor por extenso</w:t>
      </w:r>
      <w:r>
        <w:rPr>
          <w:rFonts w:eastAsia="SimSun"/>
          <w:sz w:val="18"/>
          <w:szCs w:val="18"/>
        </w:rPr>
        <w:t xml:space="preserve">). </w:t>
      </w:r>
    </w:p>
    <w:p>
      <w:pPr>
        <w:pStyle w:val="Nivel2"/>
        <w:numPr>
          <w:ilvl w:val="0"/>
          <w:numId w:val="0"/>
        </w:numPr>
        <w:spacing w:lineRule="auto" w:line="240"/>
        <w:ind w:hanging="0" w:left="0"/>
        <w:rPr>
          <w:sz w:val="18"/>
          <w:szCs w:val="18"/>
        </w:rPr>
      </w:pPr>
      <w:r>
        <w:rPr>
          <w:rFonts w:eastAsia="SimSun"/>
          <w:sz w:val="18"/>
          <w:szCs w:val="18"/>
        </w:rPr>
        <w:t xml:space="preserve">1.4. Contratada: </w:t>
      </w:r>
    </w:p>
    <w:p>
      <w:pPr>
        <w:pStyle w:val="Nivel2"/>
        <w:numPr>
          <w:ilvl w:val="0"/>
          <w:numId w:val="0"/>
        </w:numPr>
        <w:spacing w:lineRule="auto" w:line="240"/>
        <w:ind w:hanging="0" w:left="0"/>
        <w:rPr>
          <w:sz w:val="18"/>
          <w:szCs w:val="18"/>
        </w:rPr>
      </w:pPr>
      <w:r>
        <w:rPr>
          <w:rFonts w:eastAsia="SimSun"/>
          <w:sz w:val="18"/>
          <w:szCs w:val="18"/>
        </w:rPr>
        <w:t xml:space="preserve">1.5. Prazo de Execução: </w:t>
      </w:r>
      <w:r>
        <w:rPr>
          <w:rFonts w:eastAsia="SimSun"/>
          <w:color w:val="FF0000"/>
          <w:sz w:val="18"/>
          <w:szCs w:val="18"/>
        </w:rPr>
        <w:t xml:space="preserve">XXX dias corridos </w:t>
      </w:r>
    </w:p>
    <w:p>
      <w:pPr>
        <w:pStyle w:val="Nivel2"/>
        <w:numPr>
          <w:ilvl w:val="0"/>
          <w:numId w:val="0"/>
        </w:numPr>
        <w:spacing w:lineRule="auto" w:line="240"/>
        <w:ind w:hanging="0" w:left="0"/>
        <w:rPr>
          <w:sz w:val="18"/>
          <w:szCs w:val="18"/>
        </w:rPr>
      </w:pPr>
      <w:r>
        <w:rPr>
          <w:rFonts w:eastAsia="SimSun"/>
          <w:sz w:val="18"/>
          <w:szCs w:val="18"/>
        </w:rPr>
        <w:t xml:space="preserve">1.6. Data de início da execução: </w:t>
      </w:r>
    </w:p>
    <w:p>
      <w:pPr>
        <w:pStyle w:val="Nivel2"/>
        <w:numPr>
          <w:ilvl w:val="0"/>
          <w:numId w:val="0"/>
        </w:numPr>
        <w:spacing w:lineRule="auto" w:line="240"/>
        <w:ind w:hanging="0" w:left="0"/>
        <w:rPr>
          <w:sz w:val="18"/>
          <w:szCs w:val="18"/>
        </w:rPr>
      </w:pPr>
      <w:r>
        <w:rPr>
          <w:rFonts w:eastAsia="SimSun"/>
          <w:sz w:val="18"/>
          <w:szCs w:val="18"/>
        </w:rPr>
        <w:t xml:space="preserve">1.7. Data de conclusão da conclusão: </w:t>
      </w:r>
    </w:p>
    <w:p>
      <w:pPr>
        <w:pStyle w:val="Nivel2"/>
        <w:numPr>
          <w:ilvl w:val="0"/>
          <w:numId w:val="0"/>
        </w:numPr>
        <w:spacing w:lineRule="auto" w:line="240"/>
        <w:ind w:hanging="0" w:left="0"/>
        <w:rPr>
          <w:sz w:val="18"/>
          <w:szCs w:val="18"/>
        </w:rPr>
      </w:pPr>
      <w:r>
        <w:rPr>
          <w:rFonts w:eastAsia="SimSun"/>
          <w:sz w:val="18"/>
          <w:szCs w:val="18"/>
        </w:rPr>
        <w:t xml:space="preserve">1.8. Fiscal/Gestor do Contrato: </w:t>
      </w:r>
    </w:p>
    <w:p>
      <w:pPr>
        <w:pStyle w:val="Nivel2"/>
        <w:numPr>
          <w:ilvl w:val="0"/>
          <w:numId w:val="0"/>
        </w:numPr>
        <w:spacing w:lineRule="auto" w:line="240"/>
        <w:ind w:hanging="0" w:left="0"/>
        <w:rPr>
          <w:sz w:val="18"/>
          <w:szCs w:val="18"/>
        </w:rPr>
      </w:pPr>
      <w:r>
        <w:rPr>
          <w:sz w:val="18"/>
          <w:szCs w:val="18"/>
        </w:rPr>
      </w:r>
    </w:p>
    <w:p>
      <w:pPr>
        <w:pStyle w:val="Nivel2"/>
        <w:numPr>
          <w:ilvl w:val="0"/>
          <w:numId w:val="0"/>
        </w:numPr>
        <w:spacing w:lineRule="auto" w:line="240"/>
        <w:ind w:hanging="0" w:left="0"/>
        <w:rPr>
          <w:sz w:val="18"/>
          <w:szCs w:val="18"/>
        </w:rPr>
      </w:pPr>
      <w:r>
        <w:rPr>
          <w:rFonts w:eastAsia="SimSun"/>
          <w:sz w:val="18"/>
          <w:szCs w:val="18"/>
        </w:rPr>
        <w:t>Pela presente Autorização de Execução (AF), autorizamos a (</w:t>
      </w:r>
      <w:r>
        <w:rPr>
          <w:rFonts w:eastAsia="SimSun"/>
          <w:color w:val="FF0000"/>
          <w:sz w:val="18"/>
          <w:szCs w:val="18"/>
        </w:rPr>
        <w:t>Descrever Contratada</w:t>
      </w:r>
      <w:r>
        <w:rPr>
          <w:rFonts w:eastAsia="SimSun"/>
          <w:sz w:val="18"/>
          <w:szCs w:val="18"/>
        </w:rPr>
        <w:t>) a iniciar na data de ______ de ____________ de 20___ os serviços, objeto do contrato acima epigrafado, celebrado entre o/a (</w:t>
      </w:r>
      <w:r>
        <w:rPr>
          <w:rFonts w:eastAsia="SimSun"/>
          <w:color w:val="FF0000"/>
          <w:sz w:val="18"/>
          <w:szCs w:val="18"/>
        </w:rPr>
        <w:t>DESCREVER CONTRATANTE</w:t>
      </w:r>
      <w:r>
        <w:rPr>
          <w:rFonts w:eastAsia="SimSun"/>
          <w:sz w:val="18"/>
          <w:szCs w:val="18"/>
        </w:rPr>
        <w:t xml:space="preserve">) e a empresa acima. </w:t>
      </w:r>
    </w:p>
    <w:p>
      <w:pPr>
        <w:pStyle w:val="Nivel2"/>
        <w:numPr>
          <w:ilvl w:val="0"/>
          <w:numId w:val="0"/>
        </w:numPr>
        <w:spacing w:lineRule="auto" w:line="240"/>
        <w:ind w:hanging="0" w:left="0"/>
        <w:rPr>
          <w:sz w:val="18"/>
          <w:szCs w:val="18"/>
        </w:rPr>
      </w:pPr>
      <w:r>
        <w:rPr>
          <w:sz w:val="18"/>
          <w:szCs w:val="18"/>
        </w:rPr>
      </w:r>
    </w:p>
    <w:p>
      <w:pPr>
        <w:pStyle w:val="Nivel2"/>
        <w:numPr>
          <w:ilvl w:val="0"/>
          <w:numId w:val="0"/>
        </w:numPr>
        <w:spacing w:lineRule="auto" w:line="240"/>
        <w:ind w:hanging="0" w:left="0"/>
        <w:rPr>
          <w:sz w:val="18"/>
          <w:szCs w:val="18"/>
        </w:rPr>
      </w:pPr>
      <w:r>
        <w:rPr>
          <w:sz w:val="18"/>
          <w:szCs w:val="18"/>
        </w:rPr>
      </w:r>
    </w:p>
    <w:p>
      <w:pPr>
        <w:pStyle w:val="Nivel2"/>
        <w:numPr>
          <w:ilvl w:val="0"/>
          <w:numId w:val="0"/>
        </w:numPr>
        <w:spacing w:lineRule="auto" w:line="240"/>
        <w:ind w:hanging="0" w:left="0"/>
        <w:jc w:val="center"/>
        <w:rPr>
          <w:sz w:val="18"/>
          <w:szCs w:val="18"/>
        </w:rPr>
      </w:pPr>
      <w:r>
        <w:rPr>
          <w:rFonts w:eastAsia="SimSun"/>
          <w:sz w:val="18"/>
          <w:szCs w:val="18"/>
        </w:rPr>
        <w:t>_______________, _____ de _____________ de 20___.</w:t>
      </w:r>
    </w:p>
    <w:p>
      <w:pPr>
        <w:pStyle w:val="Nivel2"/>
        <w:numPr>
          <w:ilvl w:val="0"/>
          <w:numId w:val="0"/>
        </w:numPr>
        <w:spacing w:lineRule="auto" w:line="240"/>
        <w:ind w:hanging="0" w:left="0"/>
        <w:jc w:val="left"/>
        <w:rPr>
          <w:sz w:val="18"/>
          <w:szCs w:val="18"/>
        </w:rPr>
      </w:pPr>
      <w:r>
        <w:rPr>
          <w:sz w:val="18"/>
          <w:szCs w:val="18"/>
        </w:rPr>
      </w:r>
      <w:bookmarkStart w:id="17" w:name="undefined_Copia_1"/>
      <w:bookmarkStart w:id="18" w:name="undefined_Copia_1"/>
      <w:bookmarkEnd w:id="18"/>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rFonts w:eastAsia="SimSun"/>
          <w:sz w:val="18"/>
          <w:szCs w:val="18"/>
        </w:rPr>
        <w:t>_________________________________</w:t>
      </w:r>
    </w:p>
    <w:p>
      <w:pPr>
        <w:pStyle w:val="Nivel2"/>
        <w:numPr>
          <w:ilvl w:val="0"/>
          <w:numId w:val="0"/>
        </w:numPr>
        <w:spacing w:lineRule="auto" w:line="240"/>
        <w:ind w:hanging="0" w:left="0"/>
        <w:jc w:val="center"/>
        <w:rPr>
          <w:b/>
          <w:bCs/>
          <w:sz w:val="18"/>
          <w:szCs w:val="18"/>
        </w:rPr>
      </w:pPr>
      <w:r>
        <w:rPr>
          <w:rFonts w:eastAsia="SimSun"/>
          <w:sz w:val="18"/>
          <w:szCs w:val="18"/>
        </w:rPr>
        <w:t>(nome da autoridade competente, cargo por extenso)</w:t>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ormal"/>
        <w:spacing w:lineRule="auto" w:line="480"/>
        <w:jc w:val="center"/>
        <w:rPr>
          <w:rFonts w:ascii="Arial" w:hAnsi="Arial" w:cs="Arial"/>
          <w:sz w:val="18"/>
          <w:szCs w:val="18"/>
        </w:rPr>
      </w:pPr>
      <w:r>
        <w:rPr>
          <w:rFonts w:cs="Arial" w:ascii="Arial" w:hAnsi="Arial"/>
          <w:b/>
          <w:sz w:val="18"/>
          <w:szCs w:val="18"/>
        </w:rPr>
        <w:t>ESTADO DO RIO GRANDE DO SUL</w:t>
      </w:r>
    </w:p>
    <w:p>
      <w:pPr>
        <w:pStyle w:val="Normal"/>
        <w:spacing w:lineRule="auto" w:line="480"/>
        <w:jc w:val="center"/>
        <w:rPr>
          <w:rFonts w:ascii="Arial" w:hAnsi="Arial" w:cs="Arial"/>
          <w:sz w:val="18"/>
          <w:szCs w:val="18"/>
        </w:rPr>
      </w:pPr>
      <w:r>
        <w:rPr>
          <w:rFonts w:cs="Arial" w:ascii="Arial" w:hAnsi="Arial"/>
          <w:b/>
          <w:sz w:val="18"/>
          <w:szCs w:val="18"/>
        </w:rPr>
        <w:t>PREFEITURA MUNICIPAL DE SANTA BÁRBARA DO SUL</w:t>
      </w:r>
    </w:p>
    <w:p>
      <w:pPr>
        <w:pStyle w:val="Normal"/>
        <w:spacing w:lineRule="auto" w:line="480"/>
        <w:jc w:val="center"/>
        <w:rPr>
          <w:rFonts w:ascii="Arial" w:hAnsi="Arial" w:cs="Arial"/>
          <w:sz w:val="18"/>
          <w:szCs w:val="18"/>
        </w:rPr>
      </w:pPr>
      <w:r>
        <w:rPr>
          <w:rFonts w:cs="Arial" w:ascii="Arial" w:hAnsi="Arial"/>
          <w:b/>
          <w:sz w:val="18"/>
          <w:szCs w:val="18"/>
        </w:rPr>
        <w:t>AVISO DE LICITAÇÃO</w:t>
      </w:r>
    </w:p>
    <w:p>
      <w:pPr>
        <w:pStyle w:val="Normal"/>
        <w:spacing w:lineRule="auto" w:line="480"/>
        <w:jc w:val="center"/>
        <w:rPr>
          <w:rFonts w:ascii="Arial" w:hAnsi="Arial" w:cs="Arial"/>
          <w:sz w:val="18"/>
          <w:szCs w:val="18"/>
        </w:rPr>
      </w:pPr>
      <w:r>
        <w:rPr>
          <w:rFonts w:cs="Arial" w:ascii="Arial" w:hAnsi="Arial"/>
          <w:sz w:val="18"/>
          <w:szCs w:val="18"/>
        </w:rPr>
      </w:r>
    </w:p>
    <w:p>
      <w:pPr>
        <w:pStyle w:val="Normal"/>
        <w:spacing w:lineRule="auto" w:line="480"/>
        <w:jc w:val="both"/>
        <w:rPr>
          <w:rFonts w:ascii="Arial" w:hAnsi="Arial" w:cs="Arial"/>
          <w:sz w:val="18"/>
          <w:szCs w:val="18"/>
        </w:rPr>
      </w:pPr>
      <w:r>
        <w:rPr>
          <w:rFonts w:cs="Arial" w:ascii="Arial" w:hAnsi="Arial"/>
          <w:color w:themeColor="dark1" w:val="000000"/>
          <w:sz w:val="18"/>
          <w:szCs w:val="18"/>
          <w:highlight w:val="white"/>
        </w:rPr>
        <w:t xml:space="preserve">Torno público </w:t>
      </w:r>
      <w:r>
        <w:rPr>
          <w:rFonts w:cs="Arial" w:ascii="Arial" w:hAnsi="Arial"/>
          <w:b/>
          <w:bCs/>
          <w:color w:themeColor="dark1" w:val="000000"/>
          <w:sz w:val="18"/>
          <w:szCs w:val="18"/>
          <w:highlight w:val="white"/>
        </w:rPr>
        <w:t xml:space="preserve">Credenciamento </w:t>
      </w:r>
      <w:r>
        <w:rPr>
          <w:rFonts w:cs="Arial" w:ascii="Arial" w:hAnsi="Arial"/>
          <w:b/>
          <w:bCs/>
          <w:color w:themeColor="dark1" w:val="000000"/>
          <w:sz w:val="18"/>
          <w:szCs w:val="18"/>
        </w:rPr>
        <w:t>03/2026</w:t>
      </w:r>
      <w:r>
        <w:rPr>
          <w:rFonts w:cs="Arial" w:ascii="Arial" w:hAnsi="Arial"/>
          <w:color w:themeColor="dark1" w:val="000000"/>
          <w:sz w:val="18"/>
          <w:szCs w:val="18"/>
        </w:rPr>
        <w:t xml:space="preserve">, para </w:t>
      </w:r>
      <w:r>
        <w:rPr>
          <w:rFonts w:eastAsia="SimSun" w:cs="Arial" w:ascii="Arial" w:hAnsi="Arial"/>
          <w:sz w:val="18"/>
          <w:szCs w:val="18"/>
        </w:rPr>
        <w:t>CONTRATAÇÃO DE SERVIÇOS DE ARBITRAGEM PARA REALIZAÇÃO DOS EVENTOS ESPORTIVOS DO ANO DE 2026.</w:t>
      </w:r>
      <w:r>
        <w:rPr>
          <w:rFonts w:cs="Arial" w:ascii="Arial" w:hAnsi="Arial"/>
          <w:color w:themeColor="dark1" w:val="000000"/>
          <w:sz w:val="18"/>
          <w:szCs w:val="18"/>
        </w:rPr>
        <w:t xml:space="preserve"> As inscrições ocorrerão na sede do setor de Licitações da Prefeitura Municipal, situado à Avenida Eduardo de Britto, nº 101, Bairro Cerutti, Santa Bárbara do Sul/RS, no horário de EXPEDIENTE, de segunda a sexta-feira, exceto pontos facultativos municipais e feriados, do </w:t>
      </w:r>
      <w:r>
        <w:rPr>
          <w:rFonts w:cs="Arial" w:ascii="Arial" w:hAnsi="Arial"/>
          <w:b/>
          <w:bCs/>
          <w:color w:themeColor="dark1" w:val="000000"/>
          <w:sz w:val="18"/>
          <w:szCs w:val="18"/>
        </w:rPr>
        <w:t>dia 28/01/2026 28/01/2027</w:t>
      </w:r>
      <w:r>
        <w:rPr>
          <w:rFonts w:cs="Arial" w:ascii="Arial" w:hAnsi="Arial"/>
          <w:color w:themeColor="dark1" w:val="000000"/>
          <w:sz w:val="18"/>
          <w:szCs w:val="18"/>
        </w:rPr>
        <w:t>.</w:t>
      </w:r>
      <w:r>
        <w:rPr>
          <w:rFonts w:cs="Arial" w:ascii="Arial" w:hAnsi="Arial"/>
          <w:sz w:val="18"/>
          <w:szCs w:val="18"/>
        </w:rPr>
        <w:t xml:space="preserve"> O Edital e informações complementares encontram-se a disposição dos interessados, junto à Comissão de Licitações, sito a Av. Eduardo de Brito, 101, Fone: 0xx 55 92000-7948, no horário de expediente e no Site </w:t>
      </w:r>
      <w:r>
        <w:rPr>
          <w:rStyle w:val="Hyperlink1"/>
          <w:rFonts w:cs="Arial" w:ascii="Arial" w:hAnsi="Arial"/>
          <w:iCs/>
          <w:sz w:val="18"/>
          <w:szCs w:val="18"/>
        </w:rPr>
        <w:t xml:space="preserve"> </w:t>
      </w:r>
      <w:hyperlink r:id="rId12" w:tooltip="http://www.santabarbaradosul.rs.gov.br/">
        <w:r>
          <w:rPr>
            <w:rStyle w:val="Style"/>
            <w:rFonts w:cs="Arial" w:ascii="Arial" w:hAnsi="Arial"/>
            <w:color w:themeColor="hyperlink" w:val="0000FF"/>
            <w:sz w:val="18"/>
            <w:szCs w:val="18"/>
            <w:u w:val="single"/>
          </w:rPr>
          <w:t>www.santabarbaradosul.rs.gov.br</w:t>
        </w:r>
      </w:hyperlink>
      <w:r>
        <w:rPr>
          <w:rStyle w:val="Hyperlink1"/>
          <w:rFonts w:cs="Arial" w:ascii="Arial" w:hAnsi="Arial"/>
          <w:sz w:val="18"/>
          <w:szCs w:val="18"/>
        </w:rPr>
        <w:t>.</w:t>
      </w:r>
    </w:p>
    <w:p>
      <w:pPr>
        <w:pStyle w:val="Normal"/>
        <w:spacing w:lineRule="auto" w:line="480"/>
        <w:jc w:val="both"/>
        <w:rPr>
          <w:rFonts w:ascii="Arial" w:hAnsi="Arial" w:cs="Arial"/>
          <w:sz w:val="18"/>
          <w:szCs w:val="18"/>
        </w:rPr>
      </w:pPr>
      <w:r>
        <w:rPr>
          <w:rFonts w:cs="Arial" w:ascii="Arial" w:hAnsi="Arial"/>
          <w:sz w:val="18"/>
          <w:szCs w:val="18"/>
        </w:rPr>
      </w:r>
    </w:p>
    <w:p>
      <w:pPr>
        <w:pStyle w:val="Normal"/>
        <w:spacing w:lineRule="auto" w:line="480"/>
        <w:jc w:val="both"/>
        <w:rPr>
          <w:rFonts w:ascii="Arial" w:hAnsi="Arial" w:cs="Arial"/>
          <w:sz w:val="18"/>
          <w:szCs w:val="18"/>
        </w:rPr>
      </w:pPr>
      <w:r>
        <w:rPr>
          <w:rFonts w:cs="Arial" w:ascii="Arial" w:hAnsi="Arial"/>
          <w:sz w:val="18"/>
          <w:szCs w:val="18"/>
        </w:rPr>
      </w:r>
    </w:p>
    <w:p>
      <w:pPr>
        <w:pStyle w:val="Normal"/>
        <w:spacing w:lineRule="auto" w:line="480"/>
        <w:jc w:val="right"/>
        <w:rPr>
          <w:rFonts w:ascii="Arial" w:hAnsi="Arial" w:cs="Arial"/>
          <w:sz w:val="18"/>
          <w:szCs w:val="18"/>
        </w:rPr>
      </w:pPr>
      <w:r>
        <w:rPr>
          <w:rFonts w:cs="Arial" w:ascii="Arial" w:hAnsi="Arial"/>
          <w:sz w:val="18"/>
          <w:szCs w:val="18"/>
        </w:rPr>
        <w:t>Santa Bárbara do Sul/R, 2</w:t>
      </w:r>
      <w:r>
        <w:rPr>
          <w:rFonts w:cs="Arial" w:ascii="Arial" w:hAnsi="Arial"/>
          <w:sz w:val="18"/>
          <w:szCs w:val="18"/>
        </w:rPr>
        <w:t>6</w:t>
      </w:r>
      <w:r>
        <w:rPr>
          <w:rFonts w:cs="Arial" w:ascii="Arial" w:hAnsi="Arial"/>
          <w:sz w:val="18"/>
          <w:szCs w:val="18"/>
        </w:rPr>
        <w:t xml:space="preserve"> de janeiro de 2026</w:t>
      </w:r>
    </w:p>
    <w:p>
      <w:pPr>
        <w:pStyle w:val="Normal"/>
        <w:spacing w:lineRule="auto" w:line="480"/>
        <w:jc w:val="right"/>
        <w:rPr>
          <w:rFonts w:ascii="Arial" w:hAnsi="Arial" w:cs="Arial"/>
          <w:sz w:val="18"/>
          <w:szCs w:val="18"/>
        </w:rPr>
      </w:pPr>
      <w:r>
        <w:rPr>
          <w:rFonts w:cs="Arial" w:ascii="Arial" w:hAnsi="Arial"/>
          <w:sz w:val="18"/>
          <w:szCs w:val="18"/>
        </w:rPr>
      </w:r>
    </w:p>
    <w:p>
      <w:pPr>
        <w:pStyle w:val="Normal"/>
        <w:spacing w:lineRule="auto" w:line="480"/>
        <w:jc w:val="right"/>
        <w:rPr>
          <w:rFonts w:ascii="Arial" w:hAnsi="Arial" w:cs="Arial"/>
          <w:sz w:val="18"/>
          <w:szCs w:val="18"/>
        </w:rPr>
      </w:pPr>
      <w:r>
        <w:rPr>
          <w:rFonts w:cs="Arial" w:ascii="Arial" w:hAnsi="Arial"/>
          <w:sz w:val="18"/>
          <w:szCs w:val="18"/>
        </w:rPr>
      </w:r>
    </w:p>
    <w:p>
      <w:pPr>
        <w:pStyle w:val="Normal"/>
        <w:spacing w:lineRule="auto" w:line="480"/>
        <w:jc w:val="right"/>
        <w:rPr>
          <w:rFonts w:ascii="Arial" w:hAnsi="Arial" w:cs="Arial"/>
          <w:sz w:val="18"/>
          <w:szCs w:val="18"/>
        </w:rPr>
      </w:pPr>
      <w:r>
        <w:rPr>
          <w:rFonts w:cs="Arial" w:ascii="Arial" w:hAnsi="Arial"/>
          <w:sz w:val="18"/>
          <w:szCs w:val="18"/>
        </w:rPr>
      </w:r>
    </w:p>
    <w:p>
      <w:pPr>
        <w:pStyle w:val="Normal"/>
        <w:spacing w:lineRule="auto" w:line="480"/>
        <w:jc w:val="center"/>
        <w:rPr>
          <w:rFonts w:ascii="Arial" w:hAnsi="Arial" w:cs="Arial"/>
          <w:sz w:val="18"/>
          <w:szCs w:val="18"/>
        </w:rPr>
      </w:pPr>
      <w:r>
        <w:rPr>
          <w:rFonts w:cs="Arial" w:ascii="Arial" w:hAnsi="Arial"/>
          <w:sz w:val="18"/>
          <w:szCs w:val="18"/>
        </w:rPr>
        <w:t>Leandro Caraffini Veneral</w:t>
      </w:r>
    </w:p>
    <w:p>
      <w:pPr>
        <w:pStyle w:val="Normal"/>
        <w:spacing w:lineRule="auto" w:line="480"/>
        <w:jc w:val="center"/>
        <w:rPr>
          <w:rFonts w:ascii="Arial" w:hAnsi="Arial" w:cs="Arial"/>
          <w:sz w:val="18"/>
          <w:szCs w:val="18"/>
        </w:rPr>
      </w:pPr>
      <w:r>
        <w:rPr>
          <w:rFonts w:cs="Arial" w:ascii="Arial" w:hAnsi="Arial"/>
          <w:sz w:val="18"/>
          <w:szCs w:val="18"/>
        </w:rPr>
        <w:t>Prefeito</w:t>
      </w:r>
    </w:p>
    <w:p>
      <w:pPr>
        <w:pStyle w:val="Normal"/>
        <w:spacing w:lineRule="auto" w:line="480"/>
        <w:jc w:val="center"/>
        <w:rPr>
          <w:rFonts w:ascii="Arial" w:hAnsi="Arial" w:cs="Arial"/>
          <w:b/>
          <w:bCs/>
          <w:i/>
          <w:i/>
          <w:color w:themeColor="dark1" w:val="000000"/>
          <w:sz w:val="18"/>
          <w:szCs w:val="18"/>
          <w:highlight w:val="white"/>
          <w:u w:val="single"/>
        </w:rPr>
      </w:pPr>
      <w:r>
        <w:rPr>
          <w:rFonts w:cs="Arial" w:ascii="Arial" w:hAnsi="Arial"/>
          <w:b/>
          <w:bCs/>
          <w:i/>
          <w:color w:themeColor="dark1" w:val="000000"/>
          <w:sz w:val="18"/>
          <w:szCs w:val="18"/>
          <w:highlight w:val="white"/>
          <w:u w:val="single"/>
        </w:rPr>
      </w:r>
    </w:p>
    <w:p>
      <w:pPr>
        <w:pStyle w:val="Nivel2"/>
        <w:numPr>
          <w:ilvl w:val="0"/>
          <w:numId w:val="0"/>
        </w:numPr>
        <w:spacing w:lineRule="auto" w:line="48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center"/>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Contedodoquadro"/>
        <w:rPr>
          <w:rFonts w:ascii="Arial" w:hAnsi="Arial" w:cs="Arial"/>
          <w:sz w:val="18"/>
          <w:szCs w:val="18"/>
        </w:rPr>
      </w:pPr>
      <w:r>
        <w:rPr>
          <w:rFonts w:cs="Arial" w:ascii="Arial" w:hAnsi="Arial"/>
          <w:sz w:val="18"/>
          <w:szCs w:val="18"/>
        </w:rPr>
      </w:r>
    </w:p>
    <w:p>
      <w:pPr>
        <w:pStyle w:val="Contedodoquadro"/>
        <w:rPr>
          <w:rFonts w:ascii="Arial" w:hAnsi="Arial" w:cs="Arial"/>
          <w:sz w:val="18"/>
          <w:szCs w:val="18"/>
        </w:rPr>
      </w:pPr>
      <w:r>
        <w:rPr>
          <w:rFonts w:cs="Arial" w:ascii="Arial" w:hAnsi="Arial"/>
          <w:sz w:val="18"/>
          <w:szCs w:val="18"/>
        </w:rPr>
      </w:r>
    </w:p>
    <w:p>
      <w:pPr>
        <w:pStyle w:val="Contedodoquadro"/>
        <w:rPr>
          <w:rFonts w:ascii="Arial" w:hAnsi="Arial" w:cs="Arial"/>
          <w:b/>
          <w:bCs/>
          <w:sz w:val="18"/>
          <w:szCs w:val="18"/>
        </w:rPr>
      </w:pPr>
      <w:r>
        <w:rPr>
          <w:rFonts w:cs="Arial" w:ascii="Arial" w:hAnsi="Arial"/>
          <w:b/>
          <w:bCs/>
          <w:sz w:val="18"/>
          <w:szCs w:val="18"/>
        </w:rPr>
        <w:drawing>
          <wp:anchor behindDoc="0" distT="0" distB="0" distL="0" distR="0" simplePos="0" locked="0" layoutInCell="0" allowOverlap="1" relativeHeight="25">
            <wp:simplePos x="0" y="0"/>
            <wp:positionH relativeFrom="margin">
              <wp:posOffset>1986280</wp:posOffset>
            </wp:positionH>
            <wp:positionV relativeFrom="margin">
              <wp:posOffset>1224280</wp:posOffset>
            </wp:positionV>
            <wp:extent cx="2313305" cy="723900"/>
            <wp:effectExtent l="0" t="0" r="0" b="0"/>
            <wp:wrapNone/>
            <wp:docPr id="6" name="Gráfico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áfico 13" descr=""/>
                    <pic:cNvPicPr>
                      <a:picLocks noChangeAspect="1" noChangeArrowheads="1"/>
                    </pic:cNvPicPr>
                  </pic:nvPicPr>
                  <pic:blipFill>
                    <a:blip r:embed="rId13">
                      <a:extLst>
                        <a:ext uri="{96DAC541-7B7A-43D3-8B79-37D633B846F1}">
                          <asvg:svgBlip xmlns:asvg="http://schemas.microsoft.com/office/drawing/2016/SVG/main" r:embed="rId14"/>
                        </a:ext>
                      </a:extLst>
                    </a:blip>
                    <a:stretch>
                      <a:fillRect/>
                    </a:stretch>
                  </pic:blipFill>
                  <pic:spPr bwMode="auto">
                    <a:xfrm>
                      <a:off x="0" y="0"/>
                      <a:ext cx="2313305" cy="723900"/>
                    </a:xfrm>
                    <a:prstGeom prst="rect">
                      <a:avLst/>
                    </a:prstGeom>
                    <a:noFill/>
                  </pic:spPr>
                </pic:pic>
              </a:graphicData>
            </a:graphic>
          </wp:anchor>
        </w:drawing>
      </w:r>
    </w:p>
    <w:p>
      <w:pPr>
        <w:pStyle w:val="Contedodoquadro"/>
        <w:rPr>
          <w:rFonts w:ascii="Arial" w:hAnsi="Arial" w:cs="Arial"/>
          <w:b/>
          <w:bCs/>
          <w:sz w:val="18"/>
          <w:szCs w:val="18"/>
        </w:rPr>
      </w:pPr>
      <w:r>
        <w:rPr>
          <w:rFonts w:cs="Arial" w:ascii="Arial" w:hAnsi="Arial"/>
          <w:b/>
          <w:bCs/>
          <w:sz w:val="18"/>
          <w:szCs w:val="18"/>
        </w:rPr>
      </w:r>
    </w:p>
    <w:p>
      <w:pPr>
        <w:pStyle w:val="Contedodoquadro"/>
        <w:spacing w:lineRule="auto" w:line="276"/>
        <w:jc w:val="center"/>
        <w:rPr>
          <w:rFonts w:ascii="Gadugi" w:hAnsi="Gadugi" w:cs="Arial"/>
          <w:b/>
          <w:bCs/>
          <w:sz w:val="18"/>
          <w:szCs w:val="18"/>
          <w:u w:val="single"/>
        </w:rPr>
      </w:pPr>
      <w:r>
        <w:rPr>
          <w:rFonts w:cs="Arial" w:ascii="Gadugi" w:hAnsi="Gadugi"/>
          <w:b/>
          <w:bCs/>
          <w:sz w:val="18"/>
          <w:szCs w:val="18"/>
          <w:u w:val="single"/>
        </w:rPr>
        <w:t>CREDENCIAMENTO 03/2026</w:t>
      </w:r>
    </w:p>
    <w:p>
      <w:pPr>
        <w:pStyle w:val="Contedodoquadro"/>
        <w:spacing w:lineRule="auto" w:line="276"/>
        <w:jc w:val="center"/>
        <w:rPr>
          <w:rFonts w:ascii="Gadugi" w:hAnsi="Gadugi" w:cs="Arial"/>
          <w:b/>
          <w:bCs/>
          <w:sz w:val="18"/>
          <w:szCs w:val="18"/>
          <w:u w:val="single"/>
        </w:rPr>
      </w:pPr>
      <w:r>
        <w:rPr>
          <w:rFonts w:cs="Arial" w:ascii="Gadugi" w:hAnsi="Gadugi"/>
          <w:b/>
          <w:bCs/>
          <w:sz w:val="18"/>
          <w:szCs w:val="18"/>
          <w:u w:val="single"/>
        </w:rPr>
        <w:t>INEXIGIBILIDADE  07/2026</w:t>
      </w:r>
    </w:p>
    <w:p>
      <w:pPr>
        <w:pStyle w:val="Contedodoquadro"/>
        <w:spacing w:lineRule="auto" w:line="276"/>
        <w:jc w:val="center"/>
        <w:rPr>
          <w:rFonts w:ascii="Gadugi" w:hAnsi="Gadugi" w:cs="Arial"/>
          <w:b/>
          <w:bCs/>
          <w:sz w:val="18"/>
          <w:szCs w:val="18"/>
        </w:rPr>
      </w:pPr>
      <w:r>
        <w:rPr>
          <w:rFonts w:cs="Arial" w:ascii="Gadugi" w:hAnsi="Gadugi"/>
          <w:b/>
          <w:bCs/>
          <w:sz w:val="18"/>
          <w:szCs w:val="18"/>
        </w:rPr>
        <w:t>SERVIÇOS DE ARBITRAGEM</w:t>
      </w:r>
    </w:p>
    <w:p>
      <w:pPr>
        <w:pStyle w:val="Nivel2"/>
        <w:numPr>
          <w:ilvl w:val="0"/>
          <w:numId w:val="0"/>
        </w:numPr>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r>
    </w:p>
    <w:p>
      <w:pPr>
        <w:pStyle w:val="Nivel2"/>
        <w:numPr>
          <w:ilvl w:val="0"/>
          <w:numId w:val="0"/>
        </w:numPr>
        <w:spacing w:lineRule="auto" w:line="240"/>
        <w:ind w:hanging="0" w:left="0"/>
        <w:jc w:val="left"/>
        <w:rPr>
          <w:sz w:val="18"/>
          <w:szCs w:val="18"/>
        </w:rPr>
      </w:pPr>
      <w:r>
        <w:rPr>
          <w:sz w:val="18"/>
          <w:szCs w:val="18"/>
        </w:rPr>
        <w:drawing>
          <wp:anchor behindDoc="0" distT="0" distB="0" distL="0" distR="0" simplePos="0" locked="0" layoutInCell="1" allowOverlap="1" relativeHeight="24">
            <wp:simplePos x="0" y="0"/>
            <wp:positionH relativeFrom="column">
              <wp:posOffset>1478280</wp:posOffset>
            </wp:positionH>
            <wp:positionV relativeFrom="paragraph">
              <wp:posOffset>104140</wp:posOffset>
            </wp:positionV>
            <wp:extent cx="3340100" cy="805815"/>
            <wp:effectExtent l="0" t="0" r="0" b="0"/>
            <wp:wrapNone/>
            <wp:docPr id="7" name="Gráfico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áfico 12" descr=""/>
                    <pic:cNvPicPr>
                      <a:picLocks noChangeAspect="1" noChangeArrowheads="1"/>
                    </pic:cNvPicPr>
                  </pic:nvPicPr>
                  <pic:blipFill>
                    <a:blip r:embed="rId15">
                      <a:extLst>
                        <a:ext uri="{96DAC541-7B7A-43D3-8B79-37D633B846F1}">
                          <asvg:svgBlip xmlns:asvg="http://schemas.microsoft.com/office/drawing/2016/SVG/main" r:embed="rId16"/>
                        </a:ext>
                      </a:extLst>
                    </a:blip>
                    <a:stretch>
                      <a:fillRect/>
                    </a:stretch>
                  </pic:blipFill>
                  <pic:spPr bwMode="auto">
                    <a:xfrm>
                      <a:off x="0" y="0"/>
                      <a:ext cx="3340100" cy="805815"/>
                    </a:xfrm>
                    <a:prstGeom prst="rect">
                      <a:avLst/>
                    </a:prstGeom>
                    <a:noFill/>
                  </pic:spPr>
                </pic:pic>
              </a:graphicData>
            </a:graphic>
          </wp:anchor>
        </w:drawing>
      </w:r>
    </w:p>
    <w:p>
      <w:pPr>
        <w:pStyle w:val="Contedodoquadro"/>
        <w:spacing w:lineRule="auto" w:line="276"/>
        <w:jc w:val="center"/>
        <w:rPr>
          <w:rFonts w:ascii="Gadugi" w:hAnsi="Gadugi" w:cs="Arial"/>
          <w:b/>
          <w:bCs/>
          <w:u w:val="single"/>
        </w:rPr>
      </w:pPr>
      <w:r>
        <w:rPr>
          <w:rFonts w:cs="Arial" w:ascii="Gadugi" w:hAnsi="Gadugi"/>
          <w:b/>
          <w:bCs/>
          <w:u w:val="single"/>
        </w:rPr>
        <w:t>CREDENCIAMENTO 03/2026</w:t>
      </w:r>
    </w:p>
    <w:p>
      <w:pPr>
        <w:pStyle w:val="Contedodoquadro"/>
        <w:spacing w:lineRule="auto" w:line="276"/>
        <w:jc w:val="center"/>
        <w:rPr>
          <w:rFonts w:ascii="Gadugi" w:hAnsi="Gadugi" w:cs="Arial"/>
          <w:b/>
          <w:bCs/>
          <w:u w:val="single"/>
        </w:rPr>
      </w:pPr>
      <w:r>
        <w:rPr>
          <w:rFonts w:cs="Arial" w:ascii="Gadugi" w:hAnsi="Gadugi"/>
          <w:b/>
          <w:bCs/>
          <w:u w:val="single"/>
        </w:rPr>
        <w:t>INEXIGIBILIDADE  07/2026</w:t>
      </w:r>
    </w:p>
    <w:p>
      <w:pPr>
        <w:pStyle w:val="Contedodoquadro"/>
        <w:spacing w:lineRule="auto" w:line="276"/>
        <w:jc w:val="center"/>
        <w:rPr>
          <w:rFonts w:ascii="Gadugi" w:hAnsi="Gadugi" w:cs="Arial"/>
          <w:b/>
          <w:bCs/>
        </w:rPr>
      </w:pPr>
      <w:r>
        <w:rPr>
          <w:rFonts w:cs="Arial" w:ascii="Gadugi" w:hAnsi="Gadugi"/>
          <w:b/>
          <w:bCs/>
        </w:rPr>
        <w:t>SERVIÇOS DE ARBITRAGEM</w:t>
      </w:r>
    </w:p>
    <w:p>
      <w:pPr>
        <w:pStyle w:val="Nivel2"/>
        <w:numPr>
          <w:ilvl w:val="0"/>
          <w:numId w:val="0"/>
        </w:numPr>
        <w:spacing w:lineRule="auto" w:line="240" w:before="120" w:after="120"/>
        <w:ind w:hanging="0" w:left="0"/>
        <w:jc w:val="center"/>
        <w:rPr>
          <w:sz w:val="32"/>
          <w:szCs w:val="32"/>
        </w:rPr>
      </w:pPr>
      <w:r>
        <w:rPr>
          <w:sz w:val="32"/>
          <w:szCs w:val="32"/>
        </w:rPr>
      </w:r>
    </w:p>
    <w:sectPr>
      <w:headerReference w:type="even" r:id="rId17"/>
      <w:headerReference w:type="default" r:id="rId18"/>
      <w:headerReference w:type="first" r:id="rId19"/>
      <w:footerReference w:type="even" r:id="rId20"/>
      <w:footerReference w:type="default" r:id="rId21"/>
      <w:footerReference w:type="first" r:id="rId22"/>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Calibri">
    <w:charset w:val="00"/>
    <w:family w:val="swiss"/>
    <w:pitch w:val="variable"/>
  </w:font>
  <w:font w:name="Gadugi">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114300" distR="114300" simplePos="0" locked="0" layoutInCell="0" allowOverlap="1" relativeHeight="22">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3" y="21228"/>
              <wp:lineTo x="21483" y="0"/>
              <wp:lineTo x="-1" y="0"/>
            </wp:wrapPolygon>
          </wp:wrapTight>
          <wp:docPr id="4"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114300" distR="114300" simplePos="0" locked="0" layoutInCell="0" allowOverlap="1" relativeHeight="22">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3" y="21228"/>
              <wp:lineTo x="21483" y="0"/>
              <wp:lineTo x="-1" y="0"/>
            </wp:wrapPolygon>
          </wp:wrapTight>
          <wp:docPr id="5"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descr=""/>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Arial" w:hAnsi="Arial" w:cs="Arial"/>
        <w:sz w:val="14"/>
        <w:szCs w:val="14"/>
      </w:rPr>
    </w:pPr>
    <w:r>
      <w:rPr>
        <w:rFonts w:cs="Arial" w:ascii="Arial" w:hAnsi="Arial"/>
        <w:sz w:val="14"/>
        <w:szCs w:val="14"/>
      </w:rPr>
    </w:r>
    <w:bookmarkStart w:id="19" w:name="_Hlk135299703"/>
    <w:bookmarkStart w:id="20" w:name="_Hlk135299703"/>
    <w:bookmarkEnd w:id="20"/>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behindDoc="0" distT="0" distB="0" distL="114300" distR="114300" simplePos="0" locked="0" layoutInCell="0" allowOverlap="1" relativeHeight="23">
          <wp:simplePos x="0" y="0"/>
          <wp:positionH relativeFrom="margin">
            <wp:posOffset>570865</wp:posOffset>
          </wp:positionH>
          <wp:positionV relativeFrom="paragraph">
            <wp:posOffset>-342900</wp:posOffset>
          </wp:positionV>
          <wp:extent cx="5062855" cy="963295"/>
          <wp:effectExtent l="0" t="0" r="0" b="0"/>
          <wp:wrapTight wrapText="bothSides">
            <wp:wrapPolygon edited="0">
              <wp:start x="-1" y="0"/>
              <wp:lineTo x="-1" y="21228"/>
              <wp:lineTo x="21483" y="21228"/>
              <wp:lineTo x="21483" y="0"/>
              <wp:lineTo x="-1" y="0"/>
            </wp:wrapPolygon>
          </wp:wrapTight>
          <wp:docPr id="9"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4" descr=""/>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992"/>
      <w:rPr/>
    </w:pPr>
    <w:r>
      <w:rPr/>
      <w:drawing>
        <wp:anchor behindDoc="1" distT="0" distB="0" distL="114300" distR="114300" simplePos="0" locked="0" layoutInCell="0" allowOverlap="1" relativeHeight="12">
          <wp:simplePos x="0" y="0"/>
          <wp:positionH relativeFrom="margin">
            <wp:posOffset>1645920</wp:posOffset>
          </wp:positionH>
          <wp:positionV relativeFrom="margin">
            <wp:posOffset>-988060</wp:posOffset>
          </wp:positionV>
          <wp:extent cx="3028950" cy="1036320"/>
          <wp:effectExtent l="0" t="0" r="0" b="0"/>
          <wp:wrapSquare wrapText="bothSides"/>
          <wp:docPr id="2" name="Gráfico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1" descr=""/>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3028950" cy="1036320"/>
                  </a:xfrm>
                  <a:prstGeom prst="rect">
                    <a:avLst/>
                  </a:prstGeom>
                  <a:noFill/>
                </pic:spPr>
              </pic:pic>
            </a:graphicData>
          </a:graphic>
        </wp:anchor>
      </w:drawing>
    </w:r>
  </w:p>
  <w:p>
    <w:pPr>
      <w:pStyle w:val="Header"/>
      <w:tabs>
        <w:tab w:val="clear" w:pos="4252"/>
        <w:tab w:val="clear" w:pos="8504"/>
        <w:tab w:val="left" w:pos="2753" w:leader="none"/>
      </w:tabs>
      <w:rPr/>
    </w:pPr>
    <w:r>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992"/>
      <w:rPr/>
    </w:pPr>
    <w:r>
      <w:rPr/>
      <w:drawing>
        <wp:anchor behindDoc="1" distT="0" distB="0" distL="114300" distR="114300" simplePos="0" locked="0" layoutInCell="0" allowOverlap="1" relativeHeight="12">
          <wp:simplePos x="0" y="0"/>
          <wp:positionH relativeFrom="margin">
            <wp:posOffset>1645920</wp:posOffset>
          </wp:positionH>
          <wp:positionV relativeFrom="margin">
            <wp:posOffset>-988060</wp:posOffset>
          </wp:positionV>
          <wp:extent cx="3028950" cy="1036320"/>
          <wp:effectExtent l="0" t="0" r="0" b="0"/>
          <wp:wrapSquare wrapText="bothSides"/>
          <wp:docPr id="3" name="Gráfico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1" descr=""/>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3028950" cy="1036320"/>
                  </a:xfrm>
                  <a:prstGeom prst="rect">
                    <a:avLst/>
                  </a:prstGeom>
                  <a:noFill/>
                </pic:spPr>
              </pic:pic>
            </a:graphicData>
          </a:graphic>
        </wp:anchor>
      </w:drawing>
    </w:r>
  </w:p>
  <w:p>
    <w:pPr>
      <w:pStyle w:val="Header"/>
      <w:tabs>
        <w:tab w:val="clear" w:pos="4252"/>
        <w:tab w:val="clear" w:pos="8504"/>
        <w:tab w:val="left" w:pos="2753" w:leader="none"/>
      </w:tabs>
      <w:rPr/>
    </w:pPr>
    <w:r>
      <w:rPr/>
      <w:tab/>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
  </w:p>
  <w:p>
    <w:pPr>
      <w:pStyle w:val="Header"/>
      <w:jc w:val="right"/>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2">
          <wp:simplePos x="0" y="0"/>
          <wp:positionH relativeFrom="margin">
            <wp:posOffset>1705610</wp:posOffset>
          </wp:positionH>
          <wp:positionV relativeFrom="margin">
            <wp:posOffset>-800100</wp:posOffset>
          </wp:positionV>
          <wp:extent cx="2731770" cy="926465"/>
          <wp:effectExtent l="0" t="0" r="0" b="0"/>
          <wp:wrapSquare wrapText="bothSides"/>
          <wp:docPr id="8" name="Gráfico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áfico 10" descr=""/>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731770" cy="92646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isLgl/>
      <w:numFmt w:val="bullet"/>
      <w:lvlText w:val=""/>
      <w:lvlJc w:val="left"/>
      <w:pPr>
        <w:tabs>
          <w:tab w:val="num" w:pos="1492"/>
        </w:tabs>
        <w:ind w:left="1492" w:hanging="360"/>
      </w:pPr>
      <w:rPr>
        <w:rFonts w:ascii="Symbol" w:hAnsi="Symbol" w:cs="Symbol" w:hint="default"/>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2">
    <w:lvl w:ilvl="0">
      <w:start w:val="1"/>
      <w:isLgl/>
      <w:numFmt w:val="decimal"/>
      <w:lvlText w:val="%1."/>
      <w:lvlJc w:val="left"/>
      <w:pPr>
        <w:tabs>
          <w:tab w:val="num" w:pos="0"/>
        </w:tabs>
        <w:ind w:left="360" w:hanging="360"/>
      </w:pPr>
      <w:rPr>
        <w:b/>
      </w:rPr>
    </w:lvl>
    <w:lvl w:ilvl="1">
      <w:start w:val="1"/>
      <w:isLgl/>
      <w:numFmt w:val="decimal"/>
      <w:lvlText w:val="%1.%2."/>
      <w:lvlJc w:val="left"/>
      <w:pPr>
        <w:tabs>
          <w:tab w:val="num" w:pos="0"/>
        </w:tabs>
        <w:ind w:left="999" w:hanging="432"/>
      </w:pPr>
      <w:rPr>
        <w:dstrike w:val="false"/>
        <w:strike w:val="false"/>
        <w:sz w:val="20"/>
        <w:i w:val="false"/>
        <w:u w:val="none"/>
        <w:b w:val="false"/>
        <w:szCs w:val="20"/>
        <w:rFonts w:ascii="Gadugi" w:hAnsi="Gadugi" w:eastAsia="Gadugi" w:cs="Gadugi"/>
        <w:color w:val="auto"/>
      </w:rPr>
    </w:lvl>
    <w:lvl w:ilvl="2">
      <w:start w:val="1"/>
      <w:isLgl/>
      <w:numFmt w:val="decimal"/>
      <w:lvlText w:val="%1.%2.%3."/>
      <w:lvlJc w:val="left"/>
      <w:pPr>
        <w:tabs>
          <w:tab w:val="num" w:pos="0"/>
        </w:tabs>
        <w:ind w:left="1638" w:hanging="504"/>
      </w:pPr>
      <w:rPr>
        <w:dstrike w:val="false"/>
        <w:strike w:val="false"/>
        <w:sz w:val="18"/>
        <w:i w:val="false"/>
        <w:b w:val="false"/>
        <w:szCs w:val="20"/>
        <w:rFonts w:ascii="Gadugi" w:hAnsi="Gadugi" w:eastAsia="Gadugi" w:cs="Gadugi"/>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3">
    <w:lvl w:ilvl="0">
      <w:start w:val="1"/>
      <w:isLgl/>
      <w:numFmt w:val="lowerLetter"/>
      <w:suff w:val="space"/>
      <w:lvlText w:val="%1)"/>
      <w:lvlJc w:val="left"/>
      <w:pPr>
        <w:tabs>
          <w:tab w:val="num" w:pos="0"/>
        </w:tabs>
        <w:ind w:left="0" w:hanging="0"/>
      </w:pPr>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4">
    <w:lvl w:ilvl="0">
      <w:start w:val="1"/>
      <w:isLgl/>
      <w:numFmt w:val="lowerLetter"/>
      <w:suff w:val="space"/>
      <w:lvlText w:val="%1)"/>
      <w:lvlJc w:val="left"/>
      <w:pPr>
        <w:tabs>
          <w:tab w:val="num" w:pos="0"/>
        </w:tabs>
        <w:ind w:left="0" w:hanging="0"/>
      </w:pPr>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5">
    <w:lvl w:ilvl="0">
      <w:start w:val="1"/>
      <w:isLgl/>
      <w:numFmt w:val="lowerLetter"/>
      <w:lvlText w:val="%1)"/>
      <w:lvlJc w:val="left"/>
      <w:pPr>
        <w:tabs>
          <w:tab w:val="num" w:pos="425"/>
        </w:tabs>
        <w:ind w:left="425" w:hanging="164"/>
      </w:pPr>
      <w:rPr>
        <w:rFonts w:ascii="Times New Roman" w:hAnsi="Times New Roman" w:eastAsia="Times New Roman"/>
      </w:rPr>
    </w:lvl>
    <w:lvl w:ilvl="1">
      <w:start w:val="1"/>
      <w:isLgl/>
      <w:numFmt w:val="lowerLetter"/>
      <w:lvlText w:val="%2."/>
      <w:lvlJc w:val="left"/>
      <w:pPr>
        <w:tabs>
          <w:tab w:val="num" w:pos="425"/>
        </w:tabs>
        <w:ind w:left="425" w:firstLine="744"/>
      </w:pPr>
      <w:rPr/>
    </w:lvl>
    <w:lvl w:ilvl="2">
      <w:start w:val="1"/>
      <w:isLgl/>
      <w:numFmt w:val="lowerRoman"/>
      <w:lvlText w:val="%3."/>
      <w:lvlJc w:val="left"/>
      <w:pPr>
        <w:tabs>
          <w:tab w:val="num" w:pos="425"/>
        </w:tabs>
        <w:ind w:left="425" w:firstLine="1648"/>
      </w:pPr>
      <w:rPr/>
    </w:lvl>
    <w:lvl w:ilvl="3">
      <w:start w:val="1"/>
      <w:isLgl/>
      <w:numFmt w:val="decimal"/>
      <w:lvlText w:val="%4."/>
      <w:lvlJc w:val="left"/>
      <w:pPr>
        <w:tabs>
          <w:tab w:val="num" w:pos="425"/>
        </w:tabs>
        <w:ind w:left="425" w:firstLine="2552"/>
      </w:pPr>
      <w:rPr/>
    </w:lvl>
    <w:lvl w:ilvl="4">
      <w:start w:val="1"/>
      <w:isLgl/>
      <w:numFmt w:val="lowerLetter"/>
      <w:lvlText w:val="%5."/>
      <w:lvlJc w:val="left"/>
      <w:pPr>
        <w:tabs>
          <w:tab w:val="num" w:pos="425"/>
        </w:tabs>
        <w:ind w:left="425" w:firstLine="3456"/>
      </w:pPr>
      <w:rPr/>
    </w:lvl>
    <w:lvl w:ilvl="5">
      <w:start w:val="1"/>
      <w:isLgl/>
      <w:numFmt w:val="lowerRoman"/>
      <w:lvlText w:val="%6."/>
      <w:lvlJc w:val="left"/>
      <w:pPr>
        <w:tabs>
          <w:tab w:val="num" w:pos="425"/>
        </w:tabs>
        <w:ind w:left="425" w:firstLine="4360"/>
      </w:pPr>
      <w:rPr/>
    </w:lvl>
    <w:lvl w:ilvl="6">
      <w:start w:val="1"/>
      <w:isLgl/>
      <w:numFmt w:val="decimal"/>
      <w:lvlText w:val="%7."/>
      <w:lvlJc w:val="left"/>
      <w:pPr>
        <w:tabs>
          <w:tab w:val="num" w:pos="425"/>
        </w:tabs>
        <w:ind w:left="425" w:firstLine="5264"/>
      </w:pPr>
      <w:rPr/>
    </w:lvl>
    <w:lvl w:ilvl="7">
      <w:start w:val="1"/>
      <w:isLgl/>
      <w:numFmt w:val="lowerLetter"/>
      <w:lvlText w:val="%8."/>
      <w:lvlJc w:val="left"/>
      <w:pPr>
        <w:tabs>
          <w:tab w:val="num" w:pos="425"/>
        </w:tabs>
        <w:ind w:left="425" w:firstLine="6168"/>
      </w:pPr>
      <w:rPr/>
    </w:lvl>
    <w:lvl w:ilvl="8">
      <w:start w:val="1"/>
      <w:isLgl/>
      <w:numFmt w:val="lowerRoman"/>
      <w:lvlText w:val="%9."/>
      <w:lvlJc w:val="left"/>
      <w:pPr>
        <w:tabs>
          <w:tab w:val="num" w:pos="425"/>
        </w:tabs>
        <w:ind w:left="425" w:firstLine="7072"/>
      </w:pPr>
      <w:rPr/>
    </w:lvl>
  </w:abstractNum>
  <w:abstractNum w:abstractNumId="6">
    <w:lvl w:ilvl="0">
      <w:start w:val="1"/>
      <w:isLgl/>
      <w:numFmt w:val="decimal"/>
      <w:lvlText w:val="%1."/>
      <w:lvlJc w:val="left"/>
      <w:pPr>
        <w:tabs>
          <w:tab w:val="num" w:pos="0"/>
        </w:tabs>
        <w:ind w:left="0" w:hanging="0"/>
      </w:pPr>
      <w:rPr/>
    </w:lvl>
    <w:lvl w:ilvl="1">
      <w:start w:val="1"/>
      <w:isLgl/>
      <w:numFmt w:val="decimal"/>
      <w:lvlText w:val="%1.%2."/>
      <w:lvlJc w:val="left"/>
      <w:pPr>
        <w:tabs>
          <w:tab w:val="num" w:pos="312"/>
        </w:tabs>
        <w:ind w:left="0" w:hanging="0"/>
      </w:pPr>
      <w:rPr/>
    </w:lvl>
    <w:lvl w:ilvl="2">
      <w:start w:val="1"/>
      <w:isLgl/>
      <w:numFmt w:val="decimal"/>
      <w:lvlText w:val="%1.%2.%3."/>
      <w:lvlJc w:val="left"/>
      <w:pPr>
        <w:tabs>
          <w:tab w:val="num" w:pos="312"/>
        </w:tabs>
        <w:ind w:left="0" w:hanging="0"/>
      </w:pPr>
      <w:rPr/>
    </w:lvl>
    <w:lvl w:ilvl="3">
      <w:start w:val="1"/>
      <w:isLgl/>
      <w:numFmt w:val="decimal"/>
      <w:lvlText w:val="%1.%2.%3.%4."/>
      <w:lvlJc w:val="left"/>
      <w:pPr>
        <w:tabs>
          <w:tab w:val="num" w:pos="312"/>
        </w:tabs>
        <w:ind w:left="0" w:hanging="0"/>
      </w:pPr>
      <w:rPr/>
    </w:lvl>
    <w:lvl w:ilvl="4">
      <w:start w:val="1"/>
      <w:isLgl/>
      <w:numFmt w:val="decimal"/>
      <w:lvlText w:val="%1.%2.%3.%4.%5."/>
      <w:lvlJc w:val="left"/>
      <w:pPr>
        <w:tabs>
          <w:tab w:val="num" w:pos="312"/>
        </w:tabs>
        <w:ind w:left="0" w:hanging="0"/>
      </w:pPr>
      <w:rPr/>
    </w:lvl>
    <w:lvl w:ilvl="5">
      <w:start w:val="1"/>
      <w:isLgl/>
      <w:numFmt w:val="decimal"/>
      <w:lvlText w:val="%1.%2.%3.%4.%5.%6."/>
      <w:lvlJc w:val="left"/>
      <w:pPr>
        <w:tabs>
          <w:tab w:val="num" w:pos="312"/>
        </w:tabs>
        <w:ind w:left="0" w:hanging="0"/>
      </w:pPr>
      <w:rPr/>
    </w:lvl>
    <w:lvl w:ilvl="6">
      <w:start w:val="1"/>
      <w:isLgl/>
      <w:numFmt w:val="decimal"/>
      <w:lvlText w:val="%1.%2.%3.%4.%5.%6.%7."/>
      <w:lvlJc w:val="left"/>
      <w:pPr>
        <w:tabs>
          <w:tab w:val="num" w:pos="312"/>
        </w:tabs>
        <w:ind w:left="0" w:hanging="0"/>
      </w:pPr>
      <w:rPr/>
    </w:lvl>
    <w:lvl w:ilvl="7">
      <w:start w:val="1"/>
      <w:isLgl/>
      <w:numFmt w:val="decimal"/>
      <w:lvlText w:val="%1.%2.%3.%4.%5.%6.%7.%8."/>
      <w:lvlJc w:val="left"/>
      <w:pPr>
        <w:tabs>
          <w:tab w:val="num" w:pos="312"/>
        </w:tabs>
        <w:ind w:left="0" w:hanging="0"/>
      </w:pPr>
      <w:rPr/>
    </w:lvl>
    <w:lvl w:ilvl="8">
      <w:start w:val="1"/>
      <w:isLgl/>
      <w:numFmt w:val="decimal"/>
      <w:lvlText w:val="%1.%2.%3.%4.%5.%6.%7.%8.%9."/>
      <w:lvlJc w:val="left"/>
      <w:pPr>
        <w:tabs>
          <w:tab w:val="num" w:pos="312"/>
        </w:tabs>
        <w:ind w:left="0" w:hanging="0"/>
      </w:pPr>
      <w:rPr/>
    </w:lvl>
  </w:abstractNum>
  <w:abstractNum w:abstractNumId="7">
    <w:lvl w:ilvl="0">
      <w:start w:val="1"/>
      <w:isLgl/>
      <w:numFmt w:val="decimal"/>
      <w:suff w:val="space"/>
      <w:lvlText w:val="%1."/>
      <w:lvlJc w:val="left"/>
      <w:pPr>
        <w:tabs>
          <w:tab w:val="num" w:pos="0"/>
        </w:tabs>
        <w:ind w:left="0" w:hanging="0"/>
      </w:pPr>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8">
    <w:lvl w:ilvl="0">
      <w:start w:val="12"/>
      <w:isLgl/>
      <w:numFmt w:val="decimal"/>
      <w:lvlText w:val="%1."/>
      <w:lvlJc w:val="left"/>
      <w:pPr>
        <w:tabs>
          <w:tab w:val="num" w:pos="0"/>
        </w:tabs>
        <w:ind w:left="360" w:hanging="360"/>
      </w:pPr>
      <w:rPr/>
    </w:lvl>
    <w:lvl w:ilvl="1">
      <w:start w:val="1"/>
      <w:isLgl/>
      <w:numFmt w:val="decimal"/>
      <w:lvlText w:val="%1.%2."/>
      <w:lvlJc w:val="left"/>
      <w:pPr>
        <w:tabs>
          <w:tab w:val="num" w:pos="0"/>
        </w:tabs>
        <w:ind w:left="792" w:hanging="432"/>
      </w:pPr>
      <w:rPr>
        <w:i w:val="false"/>
        <w:rFonts w:ascii="Gadugi" w:hAnsi="Gadugi" w:eastAsia="Gadugi" w:cs="Gadugi"/>
        <w:color w:themeColor="dark1" w:val="000000"/>
      </w:rPr>
    </w:lvl>
    <w:lvl w:ilvl="2">
      <w:start w:val="1"/>
      <w:isLgl/>
      <w:numFmt w:val="decimal"/>
      <w:lvlText w:val="%1.%2.%3."/>
      <w:lvlJc w:val="left"/>
      <w:pPr>
        <w:tabs>
          <w:tab w:val="num" w:pos="0"/>
        </w:tabs>
        <w:ind w:left="1224" w:hanging="504"/>
      </w:pPr>
      <w:rPr>
        <w:sz w:val="18"/>
        <w:i w:val="false"/>
        <w:b w:val="false"/>
        <w:rFonts w:ascii="Gadugi" w:hAnsi="Gadugi" w:eastAsia="Gadugi" w:cs="Gadugi"/>
        <w:color w:themeColor="dark1" w:val="000000"/>
      </w:rPr>
    </w:lvl>
    <w:lvl w:ilvl="3">
      <w:start w:val="1"/>
      <w:isLgl/>
      <w:numFmt w:val="decimal"/>
      <w:lvlText w:val="%1.%2.%3.%4."/>
      <w:lvlJc w:val="left"/>
      <w:pPr>
        <w:tabs>
          <w:tab w:val="num" w:pos="0"/>
        </w:tabs>
        <w:ind w:left="1728"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8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eastAsia="pt-BR" w:bidi="ar-SA" w:val="pt-BR"/>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FootnoteTextChar" w:customStyle="1">
    <w:name w:val="Footnote Text Char"/>
    <w:uiPriority w:val="99"/>
    <w:qFormat/>
    <w:rPr>
      <w:sz w:val="18"/>
    </w:rPr>
  </w:style>
  <w:style w:type="character" w:styleId="Caracteresdenotaderodap" w:customStyle="1">
    <w:name w:val="Caracteres de nota de rodapé"/>
    <w:uiPriority w:val="99"/>
    <w:unhideWhenUsed/>
    <w:qFormat/>
    <w:rPr>
      <w:vertAlign w:val="superscript"/>
    </w:rPr>
  </w:style>
  <w:style w:type="character" w:styleId="Caracteresdenotaderodapuser" w:customStyle="1">
    <w:name w:val="Caracteres de nota de rodapé (user)"/>
    <w:qFormat/>
    <w:rPr>
      <w:vertAlign w:val="superscript"/>
    </w:rPr>
  </w:style>
  <w:style w:type="character" w:styleId="FootnoteReference">
    <w:name w:val="footnote reference"/>
    <w:rPr>
      <w:vertAlign w:val="superscript"/>
    </w:rPr>
  </w:style>
  <w:style w:type="character" w:styleId="EndnoteTextChar" w:customStyle="1">
    <w:name w:val="Endnote Text Char"/>
    <w:uiPriority w:val="99"/>
    <w:qFormat/>
    <w:rPr>
      <w:sz w:val="20"/>
    </w:rPr>
  </w:style>
  <w:style w:type="character" w:styleId="Caracteresdenotadefim" w:customStyle="1">
    <w:name w:val="Caracteres de nota de fim"/>
    <w:uiPriority w:val="99"/>
    <w:semiHidden/>
    <w:unhideWhenUsed/>
    <w:qFormat/>
    <w:rPr>
      <w:vertAlign w:val="superscript"/>
    </w:rPr>
  </w:style>
  <w:style w:type="character" w:styleId="Caracteresdenotadefimuser" w:customStyle="1">
    <w:name w:val="Caracteres de nota de fim (user)"/>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Hyperlink1" w:customStyle="1">
    <w:name w:val="Hyperlink1"/>
    <w:basedOn w:val="DefaultParagraphFont"/>
    <w:uiPriority w:val="99"/>
    <w:unhideWhenUsed/>
    <w:qFormat/>
    <w:rPr>
      <w:color w:themeColor="hyperlink" w:val="0000FF"/>
      <w:u w:val="single"/>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dark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ndiceuser" w:customStyle="1">
    <w:name w:val="Índice (user)"/>
    <w:basedOn w:val="Normal"/>
    <w:qFormat/>
    <w:pPr>
      <w:suppressLineNumbers/>
    </w:pPr>
    <w:rPr>
      <w:rFonts w:cs="Lucida Sans"/>
    </w:rPr>
  </w:style>
  <w:style w:type="paragraph" w:styleId="NoSpacing">
    <w:name w:val="No Spacing"/>
    <w:uiPriority w:val="1"/>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zh-CN" w:bidi="hi-IN"/>
    </w:rPr>
  </w:style>
  <w:style w:type="paragraph" w:styleId="Subtitle">
    <w:name w:val="Subtitle"/>
    <w:basedOn w:val="Normal"/>
    <w:uiPriority w:val="11"/>
    <w:qFormat/>
    <w:pPr>
      <w:spacing w:before="200" w:after="200"/>
    </w:pPr>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FootnoteText">
    <w:name w:val="footnote text"/>
    <w:basedOn w:val="Normal"/>
    <w:uiPriority w:val="99"/>
    <w:semiHidden/>
    <w:unhideWhenUsed/>
    <w:pPr>
      <w:spacing w:before="0" w:after="40"/>
    </w:pPr>
    <w:rPr>
      <w:sz w:val="18"/>
    </w:rPr>
  </w:style>
  <w:style w:type="paragraph" w:styleId="EndnoteText">
    <w:name w:val="endnote text"/>
    <w:basedOn w:val="Normal"/>
    <w:uiPriority w:val="99"/>
    <w:semiHidden/>
    <w:unhideWhenUsed/>
    <w:pPr/>
    <w:rPr>
      <w:sz w:val="20"/>
    </w:rPr>
  </w:style>
  <w:style w:type="paragraph" w:styleId="TOC2">
    <w:name w:val="toc 2"/>
    <w:basedOn w:val="Normal"/>
    <w:uiPriority w:val="39"/>
    <w:unhideWhenUsed/>
    <w:pPr>
      <w:spacing w:before="0" w:after="57"/>
      <w:ind w:left="283"/>
    </w:pPr>
    <w:rPr/>
  </w:style>
  <w:style w:type="paragraph" w:styleId="TOC3">
    <w:name w:val="toc 3"/>
    <w:basedOn w:val="Normal"/>
    <w:uiPriority w:val="39"/>
    <w:unhideWhenUsed/>
    <w:pPr>
      <w:spacing w:before="0" w:after="57"/>
      <w:ind w:left="567"/>
    </w:pPr>
    <w:rPr/>
  </w:style>
  <w:style w:type="paragraph" w:styleId="TOC4">
    <w:name w:val="toc 4"/>
    <w:basedOn w:val="Normal"/>
    <w:uiPriority w:val="39"/>
    <w:unhideWhenUsed/>
    <w:pPr>
      <w:spacing w:before="0" w:after="57"/>
      <w:ind w:left="850"/>
    </w:pPr>
    <w:rPr/>
  </w:style>
  <w:style w:type="paragraph" w:styleId="TOC5">
    <w:name w:val="toc 5"/>
    <w:basedOn w:val="Normal"/>
    <w:uiPriority w:val="39"/>
    <w:unhideWhenUsed/>
    <w:pPr>
      <w:spacing w:before="0" w:after="57"/>
      <w:ind w:left="1134"/>
    </w:pPr>
    <w:rPr/>
  </w:style>
  <w:style w:type="paragraph" w:styleId="TOC6">
    <w:name w:val="toc 6"/>
    <w:basedOn w:val="Normal"/>
    <w:uiPriority w:val="39"/>
    <w:unhideWhenUsed/>
    <w:pPr>
      <w:spacing w:before="0" w:after="57"/>
      <w:ind w:left="1417"/>
    </w:pPr>
    <w:rPr/>
  </w:style>
  <w:style w:type="paragraph" w:styleId="TOC7">
    <w:name w:val="toc 7"/>
    <w:basedOn w:val="Normal"/>
    <w:uiPriority w:val="39"/>
    <w:unhideWhenUsed/>
    <w:pPr>
      <w:spacing w:before="0" w:after="57"/>
      <w:ind w:left="1701"/>
    </w:pPr>
    <w:rPr/>
  </w:style>
  <w:style w:type="paragraph" w:styleId="TOC8">
    <w:name w:val="toc 8"/>
    <w:basedOn w:val="Normal"/>
    <w:uiPriority w:val="39"/>
    <w:unhideWhenUsed/>
    <w:pPr>
      <w:spacing w:before="0" w:after="57"/>
      <w:ind w:left="1984"/>
    </w:pPr>
    <w:rPr/>
  </w:style>
  <w:style w:type="paragraph" w:styleId="TOC9">
    <w:name w:val="toc 9"/>
    <w:basedOn w:val="Normal"/>
    <w:uiPriority w:val="39"/>
    <w:unhideWhenUsed/>
    <w:pPr>
      <w:spacing w:before="0" w:after="57"/>
      <w:ind w:left="2268"/>
    </w:pPr>
    <w:rPr/>
  </w:style>
  <w:style w:type="paragraph" w:styleId="TableofFigures">
    <w:name w:val="table of figures"/>
    <w:basedOn w:val="Normal"/>
    <w:uiPriority w:val="99"/>
    <w:unhideWhenUsed/>
    <w:pPr/>
    <w:rPr/>
  </w:style>
  <w:style w:type="paragraph" w:styleId="CommentText">
    <w:name w:val="annotation text"/>
    <w:basedOn w:val="Normal"/>
    <w:unhideWhenUsed/>
    <w:pPr/>
    <w:rPr>
      <w:sz w:val="20"/>
      <w:szCs w:val="20"/>
    </w:rPr>
  </w:style>
  <w:style w:type="paragraph" w:styleId="ListBullet5">
    <w:name w:val="List Bullet 5"/>
    <w:basedOn w:val="Normal"/>
    <w:qFormat/>
    <w:pPr>
      <w:numPr>
        <w:ilvl w:val="0"/>
        <w:numId w:val="1"/>
      </w:numPr>
      <w:spacing w:before="0" w:after="0"/>
      <w:contextualSpacing/>
    </w:pPr>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BalloonText">
    <w:name w:val="Balloon Text"/>
    <w:basedOn w:val="Normal"/>
    <w:uiPriority w:val="99"/>
    <w:qFormat/>
    <w:pPr/>
    <w:rPr>
      <w:rFonts w:ascii="Tahoma" w:hAnsi="Tahoma"/>
      <w:sz w:val="16"/>
      <w:szCs w:val="16"/>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ListParagraph">
    <w:name w:val="List Paragraph"/>
    <w:basedOn w:val="Normal"/>
    <w:uiPriority w:val="34"/>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dark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eastAsia="pt-BR" w:bidi="ar-SA" w:val="pt-BR"/>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eastAsia="Times New Roman" w:ascii="Times New Roman" w:hAnsi="Times New Roman" w:cs="Times New Roman"/>
      <w:color w:val="auto"/>
      <w:kern w:val="0"/>
      <w:sz w:val="24"/>
      <w:szCs w:val="22"/>
      <w:lang w:eastAsia="en-US" w:bidi="ar-SA" w:val="pt-BR"/>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IndexHeading">
    <w:name w:val="index heading"/>
    <w:basedOn w:val="Title"/>
    <w:pPr/>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Contedodoquadro" w:customStyle="1">
    <w:name w:val="Conteúdo do quadro"/>
    <w:basedOn w:val="Normal"/>
    <w:qFormat/>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user" w:customStyle="1">
    <w:name w:val="Conteúdo do quadro (user)"/>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tabarbaradosul.rs.gov.br/" TargetMode="External"/><Relationship Id="rId3" Type="http://schemas.openxmlformats.org/officeDocument/2006/relationships/hyperlink" Target="https://www.planalto.gov.br/ccivil_03/_ato2011-2014/2013/lei/l12846.htm"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yperlink" Target="http://www.santabarbaradosul.rs.gov.br/" TargetMode="External"/><Relationship Id="rId13" Type="http://schemas.openxmlformats.org/officeDocument/2006/relationships/image" Target="media/image4.png"/><Relationship Id="rId14" Type="http://schemas.openxmlformats.org/officeDocument/2006/relationships/image" Target="media/image5.svg"/><Relationship Id="rId15" Type="http://schemas.openxmlformats.org/officeDocument/2006/relationships/image" Target="media/image6.png"/><Relationship Id="rId16" Type="http://schemas.openxmlformats.org/officeDocument/2006/relationships/image" Target="media/image7.svg"/><Relationship Id="rId17" Type="http://schemas.openxmlformats.org/officeDocument/2006/relationships/header" Target="header4.xml"/><Relationship Id="rId18" Type="http://schemas.openxmlformats.org/officeDocument/2006/relationships/header" Target="header5.xml"/><Relationship Id="rId19" Type="http://schemas.openxmlformats.org/officeDocument/2006/relationships/header" Target="header6.xml"/><Relationship Id="rId20" Type="http://schemas.openxmlformats.org/officeDocument/2006/relationships/footer" Target="footer4.xml"/><Relationship Id="rId21" Type="http://schemas.openxmlformats.org/officeDocument/2006/relationships/footer" Target="footer5.xml"/><Relationship Id="rId22" Type="http://schemas.openxmlformats.org/officeDocument/2006/relationships/footer" Target="footer6.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Relationship Id="rId28" Type="http://schemas.openxmlformats.org/officeDocument/2006/relationships/customXml" Target="../customXml/item2.xml"/><Relationship Id="rId29" Type="http://schemas.openxmlformats.org/officeDocument/2006/relationships/customXml" Target="../customXml/item3.xml"/><Relationship Id="rId30"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footer3.xml.rels><?xml version="1.0" encoding="UTF-8"?>
<Relationships xmlns="http://schemas.openxmlformats.org/package/2006/relationships"><Relationship Id="rId1" Type="http://schemas.openxmlformats.org/officeDocument/2006/relationships/image" Target="media/image3.png"/>
</Relationships>
</file>

<file path=word/_rels/footer6.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6.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Application>LibreOffice/25.2.7.2$Windows_X86_64 LibreOffice_project/5cbfd1ab6520636bb5f7b99185aa69bd7456825d</Application>
  <AppVersion>15.0000</AppVersion>
  <Pages>15</Pages>
  <Words>4600</Words>
  <Characters>26549</Characters>
  <CharactersWithSpaces>30799</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2026-01-21T13:22:00Z</dcterms:created>
  <dc:creator>Carol vianna</dc:creator>
  <dc:description/>
  <dc:language>pt-BR</dc:language>
  <cp:lastModifiedBy/>
  <cp:lastPrinted>2026-01-20T11:13:00Z</cp:lastPrinted>
  <dcterms:modified xsi:type="dcterms:W3CDTF">2026-01-26T08:39:42Z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4943CD1924E04749AB6C0914CB7B6952_13</vt:lpwstr>
  </property>
  <property fmtid="{D5CDD505-2E9C-101B-9397-08002B2CF9AE}" pid="4" name="KSOProductBuildVer">
    <vt:lpwstr>1046-12.2.0.13215</vt:lpwstr>
  </property>
  <property fmtid="{D5CDD505-2E9C-101B-9397-08002B2CF9AE}" pid="5" name="MediaServiceImageTags">
    <vt:lpwstr/>
  </property>
</Properties>
</file>