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7936" w14:textId="77777777" w:rsidR="00BC0049" w:rsidRDefault="00BC0049">
      <w:pPr>
        <w:rPr>
          <w:rFonts w:ascii="Gadugi" w:hAnsi="Gadugi" w:cs="Gadugi"/>
          <w:sz w:val="18"/>
          <w:szCs w:val="18"/>
        </w:rPr>
      </w:pPr>
    </w:p>
    <w:p w14:paraId="25D9E94E" w14:textId="77777777" w:rsidR="00BC0049" w:rsidRDefault="00BC0049">
      <w:pPr>
        <w:jc w:val="center"/>
        <w:rPr>
          <w:rFonts w:ascii="Gadugi" w:hAnsi="Gadugi" w:cs="Gadugi"/>
          <w:sz w:val="18"/>
          <w:szCs w:val="18"/>
        </w:rPr>
      </w:pPr>
    </w:p>
    <w:p w14:paraId="33D82343" w14:textId="415CC6C5" w:rsidR="00BC0049" w:rsidRDefault="00E21DE4">
      <w:pPr>
        <w:rPr>
          <w:rFonts w:ascii="Gadugi" w:hAnsi="Gadugi" w:cs="Gadugi"/>
          <w:sz w:val="18"/>
          <w:szCs w:val="18"/>
        </w:rPr>
      </w:pPr>
      <w:r>
        <w:rPr>
          <w:noProof/>
        </w:rPr>
        <w:pict w14:anchorId="5ED9F9E9">
          <v:rect id="Forma1" o:spid="_x0000_s1026" style="position:absolute;margin-left:39.2pt;margin-top:3.65pt;width:405pt;height:490.8pt;z-index:31;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" filled="f" strokecolor="#4a7ebb" strokeweight=".79mm">
            <v:stroke joinstyle="round"/>
          </v:rect>
        </w:pict>
      </w:r>
    </w:p>
    <w:p w14:paraId="2FF27F3E" w14:textId="77777777" w:rsidR="00BC0049" w:rsidRDefault="00BC0049" w:rsidP="0048351A">
      <w:pPr>
        <w:rPr>
          <w:b/>
          <w:bCs/>
        </w:rPr>
      </w:pPr>
    </w:p>
    <w:p w14:paraId="050829C5" w14:textId="5D4CD3EB" w:rsidR="00BC0049" w:rsidRDefault="002B07EE">
      <w:pPr>
        <w:jc w:val="center"/>
        <w:rPr>
          <w:rFonts w:ascii="Times New Roman" w:hAnsi="Times New Roman" w:cs="Times New Roman"/>
          <w:b/>
          <w:bCs/>
          <w:sz w:val="32"/>
          <w:szCs w:val="32"/>
          <w:u w:val="single"/>
        </w:rPr>
      </w:pPr>
      <w:r>
        <w:rPr>
          <w:rFonts w:ascii="Times New Roman" w:hAnsi="Times New Roman" w:cs="Times New Roman"/>
          <w:b/>
          <w:bCs/>
          <w:sz w:val="32"/>
          <w:szCs w:val="32"/>
        </w:rPr>
        <w:t xml:space="preserve">Pregão Eletrônico nº </w:t>
      </w:r>
      <w:r w:rsidR="0048351A">
        <w:rPr>
          <w:rFonts w:ascii="Times New Roman" w:hAnsi="Times New Roman" w:cs="Times New Roman"/>
          <w:b/>
          <w:bCs/>
          <w:sz w:val="32"/>
          <w:szCs w:val="32"/>
        </w:rPr>
        <w:t>23</w:t>
      </w:r>
      <w:r>
        <w:rPr>
          <w:rFonts w:ascii="Times New Roman" w:hAnsi="Times New Roman" w:cs="Times New Roman"/>
          <w:b/>
          <w:bCs/>
          <w:sz w:val="32"/>
          <w:szCs w:val="32"/>
        </w:rPr>
        <w:t>/202</w:t>
      </w:r>
      <w:r w:rsidR="0048351A">
        <w:rPr>
          <w:rFonts w:ascii="Times New Roman" w:hAnsi="Times New Roman" w:cs="Times New Roman"/>
          <w:b/>
          <w:bCs/>
          <w:sz w:val="32"/>
          <w:szCs w:val="32"/>
        </w:rPr>
        <w:t>6</w:t>
      </w:r>
    </w:p>
    <w:p w14:paraId="25371F8B" w14:textId="5BB68091" w:rsidR="00BC0049" w:rsidRDefault="002B07EE">
      <w:pPr>
        <w:jc w:val="center"/>
        <w:rPr>
          <w:rFonts w:ascii="Times New Roman" w:hAnsi="Times New Roman" w:cs="Times New Roman"/>
          <w:b/>
          <w:bCs/>
          <w:sz w:val="32"/>
          <w:szCs w:val="32"/>
        </w:rPr>
      </w:pPr>
      <w:r>
        <w:rPr>
          <w:rFonts w:ascii="Times New Roman" w:hAnsi="Times New Roman" w:cs="Times New Roman"/>
          <w:b/>
          <w:bCs/>
          <w:sz w:val="32"/>
          <w:szCs w:val="32"/>
        </w:rPr>
        <w:t xml:space="preserve">Registro de Preços nº </w:t>
      </w:r>
      <w:r w:rsidR="0048351A">
        <w:rPr>
          <w:rFonts w:ascii="Times New Roman" w:hAnsi="Times New Roman" w:cs="Times New Roman"/>
          <w:b/>
          <w:bCs/>
          <w:sz w:val="32"/>
          <w:szCs w:val="32"/>
        </w:rPr>
        <w:t>18/2026</w:t>
      </w:r>
    </w:p>
    <w:p w14:paraId="4EC1DB15" w14:textId="77777777" w:rsidR="00BC0049" w:rsidRDefault="00BC0049">
      <w:pPr>
        <w:rPr>
          <w:rFonts w:ascii="Times New Roman" w:hAnsi="Times New Roman" w:cs="Times New Roman"/>
          <w:sz w:val="32"/>
          <w:szCs w:val="32"/>
        </w:rPr>
      </w:pPr>
    </w:p>
    <w:p w14:paraId="7DFE8852"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OBJETO</w:t>
      </w:r>
    </w:p>
    <w:p w14:paraId="28C0ADDF" w14:textId="50EEC5D9" w:rsidR="00BC0049" w:rsidRDefault="002B07EE">
      <w:pPr>
        <w:ind w:left="1276" w:right="851"/>
        <w:jc w:val="center"/>
        <w:rPr>
          <w:rFonts w:ascii="Times New Roman" w:hAnsi="Times New Roman" w:cs="Times New Roman"/>
          <w:sz w:val="32"/>
          <w:szCs w:val="32"/>
        </w:rPr>
      </w:pPr>
      <w:r>
        <w:rPr>
          <w:rFonts w:ascii="Times New Roman" w:hAnsi="Times New Roman" w:cs="Times New Roman"/>
          <w:sz w:val="32"/>
          <w:szCs w:val="32"/>
        </w:rPr>
        <w:t xml:space="preserve">Aquisição de Cestas </w:t>
      </w:r>
      <w:r w:rsidR="0048351A">
        <w:rPr>
          <w:rFonts w:ascii="Times New Roman" w:hAnsi="Times New Roman" w:cs="Times New Roman"/>
          <w:sz w:val="32"/>
          <w:szCs w:val="32"/>
        </w:rPr>
        <w:t>Básicas</w:t>
      </w:r>
    </w:p>
    <w:p w14:paraId="29EA1352" w14:textId="77777777" w:rsidR="00BC0049" w:rsidRDefault="00BC0049" w:rsidP="0048351A">
      <w:pPr>
        <w:rPr>
          <w:rFonts w:ascii="Times New Roman" w:hAnsi="Times New Roman" w:cs="Times New Roman"/>
          <w:sz w:val="32"/>
          <w:szCs w:val="32"/>
        </w:rPr>
      </w:pPr>
    </w:p>
    <w:p w14:paraId="13F3EA6A"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VALOR TOTAL DA CONTRATAÇÃO</w:t>
      </w:r>
    </w:p>
    <w:p w14:paraId="08955D99" w14:textId="71CF29D2" w:rsidR="00BC0049" w:rsidRPr="0048351A" w:rsidRDefault="002B07EE" w:rsidP="0048351A">
      <w:pPr>
        <w:jc w:val="center"/>
        <w:rPr>
          <w:rFonts w:ascii="Times New Roman" w:hAnsi="Times New Roman" w:cs="Times New Roman"/>
          <w:b/>
          <w:bCs/>
          <w:sz w:val="32"/>
          <w:szCs w:val="32"/>
        </w:rPr>
      </w:pPr>
      <w:r>
        <w:rPr>
          <w:rFonts w:ascii="Times New Roman" w:hAnsi="Times New Roman" w:cs="Times New Roman"/>
          <w:b/>
          <w:bCs/>
          <w:sz w:val="32"/>
          <w:szCs w:val="32"/>
        </w:rPr>
        <w:t xml:space="preserve">R$ </w:t>
      </w:r>
      <w:r w:rsidR="0048351A">
        <w:rPr>
          <w:rFonts w:ascii="Times New Roman" w:hAnsi="Times New Roman" w:cs="Times New Roman"/>
          <w:b/>
          <w:bCs/>
          <w:sz w:val="32"/>
          <w:szCs w:val="32"/>
        </w:rPr>
        <w:t>280.872,00</w:t>
      </w:r>
    </w:p>
    <w:p w14:paraId="65347DFD" w14:textId="77777777" w:rsidR="00BC0049" w:rsidRDefault="00BC0049">
      <w:pPr>
        <w:rPr>
          <w:rFonts w:ascii="Times New Roman" w:hAnsi="Times New Roman" w:cs="Times New Roman"/>
          <w:sz w:val="32"/>
          <w:szCs w:val="32"/>
        </w:rPr>
      </w:pPr>
    </w:p>
    <w:p w14:paraId="29D230B9"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DATA DA SESSÃO PÚBLICA</w:t>
      </w:r>
    </w:p>
    <w:p w14:paraId="7FA3EC90" w14:textId="1F73601A" w:rsidR="00BC0049" w:rsidRDefault="0048351A">
      <w:pPr>
        <w:jc w:val="center"/>
        <w:rPr>
          <w:rFonts w:ascii="Times New Roman" w:hAnsi="Times New Roman" w:cs="Times New Roman"/>
          <w:sz w:val="32"/>
          <w:szCs w:val="32"/>
        </w:rPr>
      </w:pPr>
      <w:r>
        <w:rPr>
          <w:rFonts w:ascii="Times New Roman" w:hAnsi="Times New Roman" w:cs="Times New Roman"/>
          <w:b/>
          <w:bCs/>
          <w:sz w:val="32"/>
          <w:szCs w:val="32"/>
        </w:rPr>
        <w:t>22/05/2026</w:t>
      </w:r>
      <w:r w:rsidR="002B07EE">
        <w:rPr>
          <w:rFonts w:ascii="Times New Roman" w:hAnsi="Times New Roman" w:cs="Times New Roman"/>
          <w:b/>
          <w:bCs/>
          <w:sz w:val="32"/>
          <w:szCs w:val="32"/>
        </w:rPr>
        <w:t xml:space="preserve"> </w:t>
      </w:r>
      <w:r w:rsidR="002B07EE">
        <w:rPr>
          <w:rFonts w:ascii="Times New Roman" w:hAnsi="Times New Roman" w:cs="Times New Roman"/>
          <w:sz w:val="32"/>
          <w:szCs w:val="32"/>
        </w:rPr>
        <w:t xml:space="preserve">às </w:t>
      </w:r>
      <w:r w:rsidR="002B07EE">
        <w:rPr>
          <w:rFonts w:ascii="Times New Roman" w:hAnsi="Times New Roman" w:cs="Times New Roman"/>
          <w:b/>
          <w:bCs/>
          <w:sz w:val="32"/>
          <w:szCs w:val="32"/>
        </w:rPr>
        <w:t>08h (horário de Brasília)</w:t>
      </w:r>
    </w:p>
    <w:p w14:paraId="4EB75BD4" w14:textId="77777777" w:rsidR="00BC0049" w:rsidRDefault="00BC0049">
      <w:pPr>
        <w:rPr>
          <w:rFonts w:ascii="Times New Roman" w:hAnsi="Times New Roman" w:cs="Times New Roman"/>
          <w:sz w:val="32"/>
          <w:szCs w:val="32"/>
        </w:rPr>
      </w:pPr>
    </w:p>
    <w:p w14:paraId="6B4AB63F" w14:textId="77777777" w:rsidR="00BC0049" w:rsidRDefault="002B07EE">
      <w:pPr>
        <w:jc w:val="center"/>
        <w:rPr>
          <w:rFonts w:ascii="Times New Roman" w:hAnsi="Times New Roman" w:cs="Times New Roman"/>
          <w:sz w:val="32"/>
          <w:szCs w:val="32"/>
        </w:rPr>
      </w:pPr>
      <w:r>
        <w:rPr>
          <w:rFonts w:ascii="Times New Roman" w:hAnsi="Times New Roman" w:cs="Times New Roman"/>
          <w:b/>
          <w:bCs/>
          <w:caps/>
          <w:sz w:val="32"/>
          <w:szCs w:val="32"/>
        </w:rPr>
        <w:t>Critério de Julgamento:</w:t>
      </w:r>
    </w:p>
    <w:p w14:paraId="2C3E6DBF" w14:textId="77777777" w:rsidR="00BC0049" w:rsidRDefault="002B07EE">
      <w:pPr>
        <w:jc w:val="center"/>
        <w:rPr>
          <w:rFonts w:ascii="Times New Roman" w:hAnsi="Times New Roman" w:cs="Times New Roman"/>
          <w:sz w:val="32"/>
          <w:szCs w:val="32"/>
        </w:rPr>
      </w:pPr>
      <w:r>
        <w:rPr>
          <w:rFonts w:ascii="Times New Roman" w:hAnsi="Times New Roman" w:cs="Times New Roman"/>
          <w:sz w:val="32"/>
          <w:szCs w:val="32"/>
        </w:rPr>
        <w:t>Menor Preço POR ITEM</w:t>
      </w:r>
    </w:p>
    <w:p w14:paraId="475F8F54" w14:textId="77777777" w:rsidR="00BC0049" w:rsidRDefault="00BC0049" w:rsidP="0048351A">
      <w:pPr>
        <w:rPr>
          <w:rFonts w:ascii="Times New Roman" w:hAnsi="Times New Roman" w:cs="Times New Roman"/>
          <w:sz w:val="32"/>
          <w:szCs w:val="32"/>
        </w:rPr>
      </w:pPr>
    </w:p>
    <w:p w14:paraId="380A68C0" w14:textId="77777777" w:rsidR="00BC0049" w:rsidRDefault="002B07EE">
      <w:pPr>
        <w:jc w:val="center"/>
        <w:rPr>
          <w:rFonts w:ascii="Times New Roman" w:hAnsi="Times New Roman" w:cs="Times New Roman"/>
          <w:sz w:val="32"/>
          <w:szCs w:val="32"/>
        </w:rPr>
      </w:pPr>
      <w:r>
        <w:rPr>
          <w:rFonts w:ascii="Times New Roman" w:hAnsi="Times New Roman" w:cs="Times New Roman"/>
          <w:b/>
          <w:bCs/>
          <w:caps/>
          <w:sz w:val="32"/>
          <w:szCs w:val="32"/>
        </w:rPr>
        <w:t>Modo de disputa:</w:t>
      </w:r>
    </w:p>
    <w:p w14:paraId="0261626C" w14:textId="77777777" w:rsidR="00BC0049" w:rsidRDefault="002B07EE">
      <w:pPr>
        <w:jc w:val="center"/>
        <w:rPr>
          <w:rFonts w:ascii="Times New Roman" w:hAnsi="Times New Roman" w:cs="Times New Roman"/>
          <w:sz w:val="32"/>
          <w:szCs w:val="32"/>
        </w:rPr>
      </w:pPr>
      <w:r>
        <w:rPr>
          <w:rFonts w:ascii="Times New Roman" w:hAnsi="Times New Roman" w:cs="Times New Roman"/>
          <w:sz w:val="32"/>
          <w:szCs w:val="32"/>
        </w:rPr>
        <w:t>Aberto</w:t>
      </w:r>
    </w:p>
    <w:p w14:paraId="2177D2FB" w14:textId="77777777" w:rsidR="00BC0049" w:rsidRDefault="00BC0049" w:rsidP="0048351A">
      <w:pPr>
        <w:rPr>
          <w:rFonts w:ascii="Times New Roman" w:hAnsi="Times New Roman" w:cs="Times New Roman"/>
          <w:sz w:val="32"/>
          <w:szCs w:val="32"/>
        </w:rPr>
      </w:pPr>
    </w:p>
    <w:p w14:paraId="0CE5B2A4"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PLATAFORMA:</w:t>
      </w:r>
    </w:p>
    <w:p w14:paraId="6302EDAE" w14:textId="77777777" w:rsidR="00BC0049" w:rsidRDefault="00E21DE4">
      <w:pPr>
        <w:jc w:val="center"/>
        <w:rPr>
          <w:rFonts w:ascii="Times New Roman" w:hAnsi="Times New Roman" w:cs="Times New Roman"/>
          <w:sz w:val="32"/>
          <w:szCs w:val="32"/>
        </w:rPr>
      </w:pPr>
      <w:hyperlink r:id="rId11">
        <w:r w:rsidR="002B07EE">
          <w:rPr>
            <w:rStyle w:val="Hyperlink"/>
            <w:rFonts w:ascii="Times New Roman" w:hAnsi="Times New Roman" w:cs="Times New Roman"/>
            <w:sz w:val="32"/>
            <w:szCs w:val="32"/>
          </w:rPr>
          <w:t>https://pregaobanrisul.com.br/</w:t>
        </w:r>
      </w:hyperlink>
    </w:p>
    <w:p w14:paraId="7C2C89C8" w14:textId="77777777" w:rsidR="00BC0049" w:rsidRDefault="00BC0049">
      <w:pPr>
        <w:rPr>
          <w:rFonts w:ascii="Times New Roman" w:hAnsi="Times New Roman" w:cs="Times New Roman"/>
          <w:sz w:val="32"/>
          <w:szCs w:val="32"/>
        </w:rPr>
      </w:pPr>
    </w:p>
    <w:p w14:paraId="53AEC7C0"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 xml:space="preserve">PREGOEIRA </w:t>
      </w:r>
    </w:p>
    <w:p w14:paraId="7331F886" w14:textId="6D90ACAB" w:rsidR="00BC0049" w:rsidRDefault="0048351A">
      <w:pPr>
        <w:jc w:val="center"/>
        <w:rPr>
          <w:rFonts w:ascii="Times New Roman" w:hAnsi="Times New Roman" w:cs="Times New Roman"/>
          <w:sz w:val="32"/>
          <w:szCs w:val="32"/>
        </w:rPr>
      </w:pPr>
      <w:r>
        <w:rPr>
          <w:rFonts w:ascii="Times New Roman" w:hAnsi="Times New Roman" w:cs="Times New Roman"/>
          <w:sz w:val="32"/>
          <w:szCs w:val="32"/>
        </w:rPr>
        <w:t>CAROLINA DA COSTA VIANNA</w:t>
      </w:r>
    </w:p>
    <w:p w14:paraId="3B092819" w14:textId="77777777" w:rsidR="00BC0049" w:rsidRDefault="00BC0049">
      <w:pPr>
        <w:rPr>
          <w:rFonts w:ascii="Times New Roman" w:hAnsi="Times New Roman" w:cs="Times New Roman"/>
          <w:sz w:val="32"/>
          <w:szCs w:val="32"/>
        </w:rPr>
      </w:pPr>
    </w:p>
    <w:p w14:paraId="69540E43" w14:textId="7F29C91C" w:rsidR="00BC0049" w:rsidRDefault="0048351A">
      <w:pPr>
        <w:jc w:val="center"/>
        <w:rPr>
          <w:rFonts w:ascii="Times New Roman" w:hAnsi="Times New Roman" w:cs="Times New Roman"/>
          <w:sz w:val="32"/>
          <w:szCs w:val="32"/>
        </w:rPr>
      </w:pPr>
      <w:r>
        <w:rPr>
          <w:rFonts w:ascii="Times New Roman" w:hAnsi="Times New Roman" w:cs="Times New Roman"/>
          <w:b/>
          <w:bCs/>
          <w:sz w:val="32"/>
          <w:szCs w:val="32"/>
        </w:rPr>
        <w:t xml:space="preserve">AMPLA CONCORRÊNCIA </w:t>
      </w:r>
    </w:p>
    <w:p w14:paraId="58B40F9B" w14:textId="77777777" w:rsidR="00BC0049" w:rsidRDefault="00BC0049">
      <w:pPr>
        <w:jc w:val="center"/>
        <w:rPr>
          <w:rFonts w:ascii="Gadugi" w:hAnsi="Gadugi" w:cs="Gadugi"/>
          <w:bCs/>
          <w:sz w:val="18"/>
          <w:szCs w:val="18"/>
          <w:highlight w:val="yellow"/>
        </w:rPr>
      </w:pPr>
    </w:p>
    <w:p w14:paraId="0EC7A366" w14:textId="77777777" w:rsidR="00BC0049" w:rsidRDefault="00BC0049">
      <w:pPr>
        <w:rPr>
          <w:rFonts w:ascii="Gadugi" w:hAnsi="Gadugi" w:cs="Gadugi"/>
          <w:b/>
          <w:bCs/>
          <w:sz w:val="18"/>
          <w:szCs w:val="18"/>
        </w:rPr>
      </w:pPr>
    </w:p>
    <w:p w14:paraId="1BD43DB9" w14:textId="77777777" w:rsidR="00BC0049" w:rsidRDefault="00BC0049">
      <w:pPr>
        <w:rPr>
          <w:rFonts w:ascii="Gadugi" w:hAnsi="Gadugi" w:cs="Gadugi"/>
          <w:b/>
          <w:bCs/>
          <w:sz w:val="18"/>
          <w:szCs w:val="18"/>
        </w:rPr>
      </w:pPr>
    </w:p>
    <w:p w14:paraId="3850A87E" w14:textId="77777777" w:rsidR="00BC0049" w:rsidRDefault="002B07EE">
      <w:pPr>
        <w:ind w:firstLine="567"/>
        <w:jc w:val="center"/>
        <w:rPr>
          <w:rFonts w:ascii="Gadugi" w:hAnsi="Gadugi" w:cs="Gadugi"/>
          <w:b/>
          <w:sz w:val="20"/>
          <w:szCs w:val="20"/>
        </w:rPr>
      </w:pPr>
      <w:r>
        <w:rPr>
          <w:rFonts w:ascii="Gadugi" w:hAnsi="Gadugi" w:cs="Gadugi"/>
          <w:b/>
          <w:sz w:val="20"/>
          <w:szCs w:val="20"/>
        </w:rPr>
        <w:t>PREFEITURA MUNICIPAL DE SANTA BÁRBARA DO SUL/RS</w:t>
      </w:r>
    </w:p>
    <w:p w14:paraId="095CABCA" w14:textId="77777777" w:rsidR="00BC0049" w:rsidRDefault="00BC0049">
      <w:pPr>
        <w:ind w:firstLine="567"/>
        <w:jc w:val="center"/>
        <w:rPr>
          <w:rFonts w:ascii="Gadugi" w:hAnsi="Gadugi" w:cs="Gadugi"/>
          <w:b/>
          <w:bCs/>
          <w:sz w:val="20"/>
          <w:szCs w:val="20"/>
        </w:rPr>
      </w:pPr>
    </w:p>
    <w:p w14:paraId="433718D5" w14:textId="7535A1D7" w:rsidR="00BC0049" w:rsidRDefault="002B07EE">
      <w:pPr>
        <w:ind w:firstLine="567"/>
        <w:jc w:val="center"/>
        <w:rPr>
          <w:rFonts w:ascii="Gadugi" w:hAnsi="Gadugi" w:cs="Gadugi"/>
          <w:b/>
          <w:bCs/>
          <w:sz w:val="20"/>
          <w:szCs w:val="20"/>
        </w:rPr>
      </w:pPr>
      <w:r>
        <w:rPr>
          <w:b/>
          <w:bCs/>
          <w:sz w:val="20"/>
          <w:szCs w:val="20"/>
        </w:rPr>
        <w:t xml:space="preserve">Pregão Eletrônico nº </w:t>
      </w:r>
      <w:r w:rsidR="0048351A">
        <w:rPr>
          <w:b/>
          <w:bCs/>
          <w:sz w:val="20"/>
          <w:szCs w:val="20"/>
        </w:rPr>
        <w:t>23/2026</w:t>
      </w:r>
    </w:p>
    <w:p w14:paraId="33C082EA" w14:textId="542AF7DC" w:rsidR="00BC0049" w:rsidRDefault="002B07EE">
      <w:pPr>
        <w:ind w:firstLine="567"/>
        <w:jc w:val="center"/>
        <w:rPr>
          <w:rFonts w:ascii="Gadugi" w:hAnsi="Gadugi" w:cs="Gadugi"/>
          <w:b/>
          <w:bCs/>
          <w:sz w:val="20"/>
          <w:szCs w:val="20"/>
        </w:rPr>
      </w:pPr>
      <w:r>
        <w:rPr>
          <w:b/>
          <w:bCs/>
          <w:sz w:val="20"/>
          <w:szCs w:val="20"/>
        </w:rPr>
        <w:t xml:space="preserve">(Processo Administrativo n° </w:t>
      </w:r>
      <w:r w:rsidR="0048351A">
        <w:rPr>
          <w:b/>
          <w:bCs/>
          <w:sz w:val="20"/>
          <w:szCs w:val="20"/>
        </w:rPr>
        <w:t>78/2026</w:t>
      </w:r>
      <w:r>
        <w:rPr>
          <w:b/>
          <w:bCs/>
          <w:sz w:val="20"/>
          <w:szCs w:val="20"/>
        </w:rPr>
        <w:t>)</w:t>
      </w:r>
    </w:p>
    <w:p w14:paraId="7B6B152F" w14:textId="055DF158" w:rsidR="00BC0049" w:rsidRDefault="002B07EE">
      <w:pPr>
        <w:ind w:firstLine="567"/>
        <w:jc w:val="center"/>
        <w:rPr>
          <w:rFonts w:ascii="Gadugi" w:hAnsi="Gadugi" w:cs="Gadugi"/>
          <w:b/>
          <w:bCs/>
          <w:sz w:val="20"/>
          <w:szCs w:val="20"/>
        </w:rPr>
      </w:pPr>
      <w:r>
        <w:rPr>
          <w:b/>
          <w:bCs/>
          <w:sz w:val="20"/>
          <w:szCs w:val="20"/>
        </w:rPr>
        <w:t xml:space="preserve">(Registro de Preços nº </w:t>
      </w:r>
      <w:r w:rsidR="0048351A">
        <w:rPr>
          <w:b/>
          <w:bCs/>
          <w:sz w:val="20"/>
          <w:szCs w:val="20"/>
        </w:rPr>
        <w:t>18/2026</w:t>
      </w:r>
      <w:r>
        <w:rPr>
          <w:b/>
          <w:bCs/>
          <w:sz w:val="20"/>
          <w:szCs w:val="20"/>
        </w:rPr>
        <w:t>)</w:t>
      </w:r>
    </w:p>
    <w:p w14:paraId="5618A588" w14:textId="77777777" w:rsidR="00BC0049" w:rsidRDefault="00BC0049">
      <w:pPr>
        <w:jc w:val="both"/>
        <w:rPr>
          <w:rFonts w:ascii="Gadugi" w:hAnsi="Gadugi" w:cs="Gadugi"/>
          <w:b/>
          <w:sz w:val="18"/>
          <w:szCs w:val="18"/>
        </w:rPr>
      </w:pPr>
    </w:p>
    <w:p w14:paraId="0A933D2F" w14:textId="2062A8BF" w:rsidR="00BC0049" w:rsidRDefault="002B07EE">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Torna-se público que a Prefeitura Municipal de Santa Bárbara do Sul/RS, por meio do Setor de Licitações, sediado na Avenida Eduardo de Brito, nº 101, Bairro Cerutti, no município de Santa Bárbara do Sul/RS, CEP 98.240-000, realizará licitação,</w:t>
      </w:r>
      <w:r>
        <w:rPr>
          <w:rFonts w:ascii="Gadugi" w:hAnsi="Gadugi" w:cs="Gadugi"/>
          <w:color w:val="000000" w:themeColor="text1"/>
          <w:sz w:val="18"/>
          <w:szCs w:val="18"/>
        </w:rPr>
        <w:t xml:space="preserve"> </w:t>
      </w:r>
      <w:r>
        <w:rPr>
          <w:rFonts w:ascii="Gadugi" w:hAnsi="Gadugi" w:cs="Gadugi"/>
          <w:sz w:val="18"/>
          <w:szCs w:val="18"/>
        </w:rPr>
        <w:t xml:space="preserve">para </w:t>
      </w:r>
      <w:r>
        <w:rPr>
          <w:rFonts w:ascii="Gadugi" w:hAnsi="Gadugi" w:cs="Gadugi"/>
          <w:color w:val="auto"/>
          <w:sz w:val="18"/>
          <w:szCs w:val="18"/>
        </w:rPr>
        <w:t xml:space="preserve">AQUISIÇÃO DE CESTAS </w:t>
      </w:r>
      <w:r w:rsidR="0048351A">
        <w:rPr>
          <w:rFonts w:ascii="Gadugi" w:hAnsi="Gadugi" w:cs="Gadugi"/>
          <w:color w:val="auto"/>
          <w:sz w:val="18"/>
          <w:szCs w:val="18"/>
        </w:rPr>
        <w:t>BÁSICAS</w:t>
      </w:r>
      <w:r>
        <w:rPr>
          <w:rFonts w:ascii="Gadugi" w:hAnsi="Gadugi" w:cs="Gadugi"/>
          <w:color w:val="000000" w:themeColor="text1"/>
          <w:sz w:val="18"/>
          <w:szCs w:val="18"/>
        </w:rPr>
        <w:t>,</w:t>
      </w:r>
      <w:r>
        <w:rPr>
          <w:rFonts w:ascii="Gadugi" w:hAnsi="Gadugi" w:cs="Gadugi"/>
          <w:b/>
          <w:bCs/>
          <w:color w:val="000000" w:themeColor="text1"/>
          <w:sz w:val="18"/>
          <w:szCs w:val="18"/>
        </w:rPr>
        <w:t xml:space="preserve"> </w:t>
      </w:r>
      <w:r>
        <w:rPr>
          <w:rFonts w:ascii="Gadugi" w:hAnsi="Gadugi" w:cs="Gadugi"/>
          <w:sz w:val="18"/>
          <w:szCs w:val="18"/>
        </w:rPr>
        <w:t>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Style w:val="Hyperlink"/>
            <w:rFonts w:ascii="Gadugi" w:hAnsi="Gadugi" w:cs="Gadugi"/>
            <w:sz w:val="18"/>
            <w:szCs w:val="18"/>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4D9EE155" w14:textId="77777777" w:rsidR="00BC0049" w:rsidRDefault="00BC0049">
      <w:pPr>
        <w:pStyle w:val="Nivel2"/>
        <w:numPr>
          <w:ilvl w:val="0"/>
          <w:numId w:val="0"/>
        </w:numPr>
        <w:spacing w:before="0" w:after="0" w:line="240" w:lineRule="auto"/>
        <w:ind w:firstLine="709"/>
        <w:rPr>
          <w:rFonts w:ascii="Times New Roman" w:hAnsi="Times New Roman" w:cs="Times New Roman"/>
          <w:color w:val="auto"/>
        </w:rPr>
      </w:pPr>
    </w:p>
    <w:p w14:paraId="633748A0" w14:textId="77777777" w:rsidR="00BC0049" w:rsidRDefault="002B07EE">
      <w:pPr>
        <w:pStyle w:val="Nivel01"/>
        <w:spacing w:before="0" w:after="0" w:line="240" w:lineRule="auto"/>
        <w:ind w:left="0" w:firstLine="0"/>
        <w:rPr>
          <w:rFonts w:ascii="Times New Roman" w:hAnsi="Times New Roman" w:cs="Times New Roman"/>
          <w:color w:val="auto"/>
        </w:rPr>
      </w:pPr>
      <w:bookmarkStart w:id="0" w:name="_Toc135469223"/>
      <w:r>
        <w:rPr>
          <w:rFonts w:ascii="Times New Roman" w:hAnsi="Times New Roman" w:cs="Times New Roman"/>
          <w:color w:val="auto"/>
          <w:lang w:eastAsia="en-US"/>
        </w:rPr>
        <w:lastRenderedPageBreak/>
        <w:t>DO OBJETO</w:t>
      </w:r>
      <w:bookmarkEnd w:id="0"/>
    </w:p>
    <w:p w14:paraId="3833402F" w14:textId="5302C706" w:rsidR="00BC0049" w:rsidRDefault="002B07EE" w:rsidP="0048351A">
      <w:pPr>
        <w:pStyle w:val="Nivel01"/>
        <w:numPr>
          <w:ilvl w:val="1"/>
          <w:numId w:val="2"/>
        </w:numPr>
        <w:spacing w:before="0" w:after="0" w:line="240" w:lineRule="auto"/>
        <w:ind w:left="0" w:firstLine="0"/>
        <w:rPr>
          <w:rFonts w:ascii="Times New Roman" w:hAnsi="Times New Roman" w:cs="Times New Roman"/>
          <w:color w:val="auto"/>
        </w:rPr>
      </w:pPr>
      <w:r>
        <w:rPr>
          <w:rFonts w:ascii="Times New Roman" w:hAnsi="Times New Roman" w:cs="Times New Roman"/>
          <w:color w:val="auto"/>
        </w:rPr>
        <w:t xml:space="preserve">O objeto da presente licitação é Registro de Preço para </w:t>
      </w:r>
      <w:bookmarkStart w:id="1" w:name="_Hlk207789209"/>
      <w:r>
        <w:rPr>
          <w:rFonts w:ascii="Gadugi" w:hAnsi="Gadugi" w:cs="Gadugi"/>
          <w:b w:val="0"/>
          <w:bCs w:val="0"/>
          <w:color w:val="auto"/>
          <w:sz w:val="18"/>
          <w:szCs w:val="18"/>
        </w:rPr>
        <w:t xml:space="preserve">AQUISIÇÃO DE CESTAS </w:t>
      </w:r>
      <w:bookmarkEnd w:id="1"/>
      <w:r w:rsidR="0048351A">
        <w:rPr>
          <w:rFonts w:ascii="Gadugi" w:hAnsi="Gadugi" w:cs="Gadugi"/>
          <w:b w:val="0"/>
          <w:bCs w:val="0"/>
          <w:color w:val="auto"/>
          <w:sz w:val="18"/>
          <w:szCs w:val="18"/>
        </w:rPr>
        <w:t>BÁSICAS</w:t>
      </w:r>
      <w:r>
        <w:rPr>
          <w:rFonts w:ascii="Gadugi" w:hAnsi="Gadugi" w:cs="Gadugi"/>
          <w:b w:val="0"/>
          <w:bCs w:val="0"/>
          <w:color w:val="auto"/>
          <w:sz w:val="18"/>
          <w:szCs w:val="18"/>
        </w:rPr>
        <w:t>, solicitadas pela Secretaria Municipal de Assistência Social,</w:t>
      </w:r>
      <w:r>
        <w:rPr>
          <w:rFonts w:ascii="Times New Roman" w:hAnsi="Times New Roman" w:cs="Times New Roman"/>
          <w:color w:val="auto"/>
        </w:rPr>
        <w:t xml:space="preserve"> conforme condições, quantidades e exigências estabelecidas neste Edital</w:t>
      </w:r>
      <w:r w:rsidR="0048351A">
        <w:rPr>
          <w:rFonts w:ascii="Times New Roman" w:hAnsi="Times New Roman" w:cs="Times New Roman"/>
          <w:color w:val="auto"/>
        </w:rPr>
        <w:t xml:space="preserve">, ETP e </w:t>
      </w:r>
      <w:r>
        <w:rPr>
          <w:rFonts w:ascii="Times New Roman" w:hAnsi="Times New Roman" w:cs="Times New Roman"/>
          <w:color w:val="auto"/>
        </w:rPr>
        <w:t>seus anexos.</w:t>
      </w:r>
    </w:p>
    <w:p w14:paraId="5DF9CB8D" w14:textId="77777777" w:rsidR="0048351A" w:rsidRPr="0048351A" w:rsidRDefault="0048351A" w:rsidP="0048351A"/>
    <w:p w14:paraId="21322D4F" w14:textId="77777777" w:rsidR="00BC0049" w:rsidRDefault="002B07EE">
      <w:pPr>
        <w:pStyle w:val="Nivel01"/>
        <w:spacing w:before="0" w:after="0" w:line="240" w:lineRule="auto"/>
        <w:ind w:left="0" w:firstLine="0"/>
        <w:rPr>
          <w:rFonts w:ascii="Times New Roman" w:hAnsi="Times New Roman" w:cs="Times New Roman"/>
          <w:color w:val="auto"/>
        </w:rPr>
      </w:pPr>
      <w:bookmarkStart w:id="2" w:name="_Toc135469224"/>
      <w:r>
        <w:rPr>
          <w:rFonts w:ascii="Times New Roman" w:hAnsi="Times New Roman" w:cs="Times New Roman"/>
          <w:color w:val="auto"/>
        </w:rPr>
        <w:t xml:space="preserve">DO REGISTRO DE PREÇOS </w:t>
      </w:r>
      <w:bookmarkEnd w:id="2"/>
    </w:p>
    <w:p w14:paraId="1D00E833" w14:textId="77777777" w:rsidR="00BC0049" w:rsidRDefault="002B07EE">
      <w:pPr>
        <w:pStyle w:val="Nivel01"/>
        <w:numPr>
          <w:ilvl w:val="1"/>
          <w:numId w:val="2"/>
        </w:numPr>
        <w:spacing w:before="0" w:after="0" w:line="240" w:lineRule="auto"/>
        <w:ind w:left="0" w:firstLine="0"/>
        <w:rPr>
          <w:rFonts w:ascii="Times New Roman" w:hAnsi="Times New Roman" w:cs="Times New Roman"/>
          <w:b w:val="0"/>
          <w:bCs w:val="0"/>
          <w:color w:val="auto"/>
        </w:rPr>
      </w:pPr>
      <w:r>
        <w:rPr>
          <w:rFonts w:ascii="Times New Roman" w:hAnsi="Times New Roman" w:cs="Times New Roman"/>
          <w:b w:val="0"/>
          <w:bCs w:val="0"/>
          <w:color w:val="auto"/>
        </w:rPr>
        <w:t>As regras referentes aos órgãos gerenciadores e participantes, bem como eventuais adesões são as que constam da minuta de Ata de Registro de Preços.</w:t>
      </w:r>
    </w:p>
    <w:p w14:paraId="46D89E5B" w14:textId="77777777" w:rsidR="00BC0049" w:rsidRDefault="00BC0049">
      <w:pPr>
        <w:pStyle w:val="Nivel2"/>
        <w:numPr>
          <w:ilvl w:val="0"/>
          <w:numId w:val="0"/>
        </w:numPr>
        <w:spacing w:before="0" w:after="0" w:line="240" w:lineRule="auto"/>
        <w:rPr>
          <w:rFonts w:ascii="Times New Roman" w:hAnsi="Times New Roman" w:cs="Times New Roman"/>
          <w:color w:val="auto"/>
        </w:rPr>
      </w:pPr>
    </w:p>
    <w:p w14:paraId="7F3FDAE0" w14:textId="77777777" w:rsidR="00BC0049" w:rsidRDefault="002B07EE">
      <w:pPr>
        <w:pStyle w:val="Nivel2"/>
        <w:numPr>
          <w:ilvl w:val="0"/>
          <w:numId w:val="0"/>
        </w:numPr>
        <w:spacing w:before="0" w:after="0"/>
        <w:rPr>
          <w:rFonts w:ascii="Times New Roman" w:eastAsiaTheme="majorEastAsia" w:hAnsi="Times New Roman" w:cs="Times New Roman"/>
          <w:b/>
          <w:bCs/>
        </w:rPr>
      </w:pPr>
      <w:r>
        <w:rPr>
          <w:rFonts w:ascii="Times New Roman" w:eastAsiaTheme="majorEastAsia" w:hAnsi="Times New Roman" w:cs="Times New Roman"/>
          <w:b/>
          <w:bCs/>
        </w:rPr>
        <w:t>3. DA PARTICIPAÇÃO NA LICITAÇÃO</w:t>
      </w:r>
    </w:p>
    <w:p w14:paraId="4FBCD110" w14:textId="77777777" w:rsidR="00BC0049" w:rsidRDefault="002B07EE">
      <w:pPr>
        <w:pStyle w:val="Nivel2"/>
        <w:numPr>
          <w:ilvl w:val="0"/>
          <w:numId w:val="0"/>
        </w:numPr>
        <w:spacing w:before="0" w:after="0"/>
        <w:rPr>
          <w:rFonts w:ascii="Times New Roman" w:hAnsi="Times New Roman" w:cs="Times New Roman"/>
        </w:rPr>
      </w:pPr>
      <w:r>
        <w:rPr>
          <w:rFonts w:ascii="Times New Roman" w:eastAsiaTheme="majorEastAsia" w:hAnsi="Times New Roman" w:cs="Times New Roman"/>
        </w:rPr>
        <w:t xml:space="preserve">3.1 Poderão participar deste Pregão os interessados que estiverem previamente credenciados ao sistema eletrônico, no site </w:t>
      </w:r>
      <w:hyperlink r:id="rId13">
        <w:r>
          <w:rPr>
            <w:rStyle w:val="Hyperlink"/>
            <w:rFonts w:ascii="Times New Roman" w:hAnsi="Times New Roman" w:cs="Times New Roman"/>
          </w:rPr>
          <w:t>https://pregaobanrisul.com.br/</w:t>
        </w:r>
      </w:hyperlink>
      <w:r>
        <w:rPr>
          <w:rFonts w:ascii="Times New Roman" w:hAnsi="Times New Roman" w:cs="Times New Roman"/>
        </w:rPr>
        <w:t>.</w:t>
      </w:r>
    </w:p>
    <w:p w14:paraId="19AD3F3D"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3.2 O licitante responsabiliza-se exclusiva e formalmente pelas transações efetuadas em seu nome, assumindo como firmes e verdadeiras suas propostas e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14:paraId="265FB445"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3.3 É de responsabilidade do cadastrado conferir a exatidão dos dados nos Sistemas mencionados no item anterior e mantê-los atualizados junto aos órgãos responsáveis, devendo proceder imediatamente à correção ou alteração tão logo identifique incorreção ou desatualização.</w:t>
      </w:r>
    </w:p>
    <w:p w14:paraId="40937BE1"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3.4 A não observância do disposto no item anterior poderá ensejar desclassificação no momento da habilitação.</w:t>
      </w:r>
    </w:p>
    <w:p w14:paraId="75044525"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3.5 Não poderão disputar esta licitação:</w:t>
      </w:r>
    </w:p>
    <w:p w14:paraId="3FDD978D"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 Aqueles que não atendam às condições previstas neste Edital e seus anexos;</w:t>
      </w:r>
    </w:p>
    <w:p w14:paraId="330BC07C"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3.5.2 O autor do anteprojeto, do projeto básico ou executivo, pessoa física ou jurídica, quando a licitação versar sobre serviços ou fornecimento de bens a ele relacionados;</w:t>
      </w:r>
    </w:p>
    <w:p w14:paraId="64E41ABA"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3.5.3 Empresa responsável pela elaboração do projeto básico ou executivo, ou da qual o autor do projeto seja dirigente, gerente, controlador, acionista ou detentor de mais de 5% (cinco por cento) do capital com direito a voto, responsável técnico ou subcontratado, quando a licitação versar sobre serviços ou fornecimento de bens necessários à execução do projeto;</w:t>
      </w:r>
    </w:p>
    <w:p w14:paraId="1DE24EEE"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3.5.4 Pessoa física ou jurídica impossibilitada de participar de licitação em decorrência de sanção;</w:t>
      </w:r>
    </w:p>
    <w:p w14:paraId="0DFAAF85"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3.5.5 Quem mantenha vínculo técnico, comercial, econômico, financeiro, trabalhista ou civil com dirigente do órgão ou entidade contratante ou com agente público que atue na licitação, fiscalização ou gestão do contrato, ou que deles seja cônjuge, companheiro ou parente até o terceiro grau;</w:t>
      </w:r>
    </w:p>
    <w:p w14:paraId="652C377D"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3.5.6 Empresas controladoras, controladas ou coligadas, nos termos da Lei nº 6.404/1976, concorrendo entre si;</w:t>
      </w:r>
    </w:p>
    <w:p w14:paraId="6C599CC3"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3.5.7 Pessoa física ou jurídica que, nos 5 (cinco)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14:paraId="44DFC353"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3.5.8 Agente público do órgão ou entidade licitante;</w:t>
      </w:r>
    </w:p>
    <w:p w14:paraId="575522F0"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3.5.9 Pessoas jurídicas reunidas em consórcio;</w:t>
      </w:r>
    </w:p>
    <w:p w14:paraId="782A3E94"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3.5.10 Organizações da Sociedade Civil de Interesse Público – OSCIP, atuando nessa condição;</w:t>
      </w:r>
    </w:p>
    <w:p w14:paraId="07AFBB77"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3.5.11 Quem incorrer em situações que configurem conflito de interesses, no exercício ou após o exercício do cargo ou emprego, nos termos da legislação aplicável, conforme § 1º do art. 9º da Lei nº 14.133/2021.</w:t>
      </w:r>
    </w:p>
    <w:p w14:paraId="7BB775E8"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3.6 Equiparam-se aos autores do projeto as empresas integrantes do mesmo grupo econômico.</w:t>
      </w:r>
    </w:p>
    <w:p w14:paraId="48332F88"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3.7 Em licitações e contratações realizadas no âmbito de projetos e programas parcialmente financiados por agência oficial de cooperação estrangeira ou por organismo financeiro internacional, não poderá participar pessoa física ou jurídica que integre o rol de sancionadas por essas entidades ou que seja declarada inidônea nos termos da Lei nº 14.133/2021.</w:t>
      </w:r>
    </w:p>
    <w:p w14:paraId="6EB33DC2" w14:textId="77777777" w:rsidR="00BC0049" w:rsidRDefault="00BC0049">
      <w:pPr>
        <w:pStyle w:val="Nivel2"/>
        <w:numPr>
          <w:ilvl w:val="0"/>
          <w:numId w:val="0"/>
        </w:numPr>
        <w:spacing w:before="0" w:after="0" w:line="240" w:lineRule="auto"/>
        <w:rPr>
          <w:rFonts w:ascii="Times New Roman" w:hAnsi="Times New Roman" w:cs="Times New Roman"/>
          <w:color w:val="auto"/>
        </w:rPr>
      </w:pPr>
    </w:p>
    <w:p w14:paraId="6D553502" w14:textId="77777777" w:rsidR="00BC0049" w:rsidRDefault="002B07EE">
      <w:pPr>
        <w:pStyle w:val="Nvel2-Red"/>
        <w:numPr>
          <w:ilvl w:val="0"/>
          <w:numId w:val="0"/>
        </w:numPr>
        <w:spacing w:before="0" w:after="0"/>
        <w:rPr>
          <w:rFonts w:ascii="Times New Roman" w:eastAsiaTheme="majorEastAsia" w:hAnsi="Times New Roman" w:cs="Times New Roman"/>
          <w:b/>
          <w:bCs/>
          <w:i w:val="0"/>
          <w:iCs w:val="0"/>
          <w:color w:val="auto"/>
        </w:rPr>
      </w:pPr>
      <w:r>
        <w:rPr>
          <w:rFonts w:ascii="Times New Roman" w:eastAsiaTheme="majorEastAsia" w:hAnsi="Times New Roman" w:cs="Times New Roman"/>
          <w:b/>
          <w:bCs/>
          <w:i w:val="0"/>
          <w:iCs w:val="0"/>
          <w:color w:val="auto"/>
        </w:rPr>
        <w:t>4. DA APRESENTAÇÃO DA PROPOSTA E DOS DOCUMENTOS DE HABILITAÇÃO</w:t>
      </w:r>
    </w:p>
    <w:p w14:paraId="78DF7F8A"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 Os licitantes encaminharão, exclusivamente por meio do sistema eletrônico, a proposta com o preço ou percentual de desconto, conforme o critério de julgamento adotado neste Edital, até a data e horário estabelecidos para abertura da sessão pública.</w:t>
      </w:r>
    </w:p>
    <w:p w14:paraId="312CCE0A" w14:textId="77777777" w:rsidR="00BC0049" w:rsidRDefault="002B07EE">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lastRenderedPageBreak/>
        <w:t>4.1.1 No cadastramento da proposta inicial, o licitante declarará, em campo próprio do sistema, que:</w:t>
      </w:r>
    </w:p>
    <w:p w14:paraId="1EE927AE"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4.1.2 Está ciente e concorda com as condições contidas no edital e seus anexos, bem como que a proposta apresentada compreende todos os custos para atendimento dos direitos trabalhistas assegurados na Constituição Federal, nas leis e normas aplicáveis, nas convenções coletivas de trabalho e nos termos de ajustamento de condutas vigentes na data de entrega, cumprindo plenamente os requisitos de habilitação definidos no instrumento convocatório;</w:t>
      </w:r>
    </w:p>
    <w:p w14:paraId="71A41413"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4.1.3 Não emprega menor de 18 anos em trabalho noturno, perigoso ou insalubre e não emprega menor de 16 anos, salvo a partir de 14 anos na condição de aprendiz, nos termos do art. 7º, XXXIII, da Constituição;</w:t>
      </w:r>
    </w:p>
    <w:p w14:paraId="3EA32340"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4.1.4 Não possui empregados executando trabalho degradante ou forçado, conforme os incisos III e IV do art. 1º e o inciso III do art. 5º da Constituição Federal;</w:t>
      </w:r>
    </w:p>
    <w:p w14:paraId="138C1BF4"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4.1.5 Cumpre as exigências de reserva de cargos para pessoa com deficiência e para reabilitado da Previdência Social, previstas em lei e demais normas específicas.</w:t>
      </w:r>
    </w:p>
    <w:p w14:paraId="011920FB"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4.2 O licitante organizado em cooperativa deverá declarar, também em campo próprio do sistema, que cumpre os requisitos do art. 16 da Lei nº 14.133/2021.</w:t>
      </w:r>
    </w:p>
    <w:p w14:paraId="3C12FFA5"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 xml:space="preserve">4.3 O fornecedor enquadrado como microempresa, empresa de pequeno porte ou sociedade cooperativa deverá declarar que cumpre os requisitos do art. 3º da Lei Complementar nº 123/2006, estando apto a usufruir do tratamento favorecido previsto em seus </w:t>
      </w:r>
      <w:proofErr w:type="spellStart"/>
      <w:r>
        <w:rPr>
          <w:rFonts w:ascii="Times New Roman" w:eastAsiaTheme="majorEastAsia" w:hAnsi="Times New Roman" w:cs="Times New Roman"/>
          <w:i w:val="0"/>
          <w:iCs w:val="0"/>
          <w:color w:val="auto"/>
        </w:rPr>
        <w:t>arts</w:t>
      </w:r>
      <w:proofErr w:type="spellEnd"/>
      <w:r>
        <w:rPr>
          <w:rFonts w:ascii="Times New Roman" w:eastAsiaTheme="majorEastAsia" w:hAnsi="Times New Roman" w:cs="Times New Roman"/>
          <w:i w:val="0"/>
          <w:iCs w:val="0"/>
          <w:color w:val="auto"/>
        </w:rPr>
        <w:t>. 42 a 49, observado o disposto nos §§ 1º a 3º do art. 4º da Lei nº 14.133/2021.</w:t>
      </w:r>
    </w:p>
    <w:p w14:paraId="3FE63B34"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4.4 A falsidade das declarações referidas nos itens 4.2 e 4.3 sujeitará o licitante às sanções previstas na Lei nº 14.133/2021 e neste Edital.</w:t>
      </w:r>
    </w:p>
    <w:p w14:paraId="7E7A0C29"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4.5 Os licitantes poderão retirar ou substituir a proposta ou, quando a fase de habilitação anteceder as fases de apresentação de propostas, lances e julgamento, os documentos de habilitação inseridos no sistema, até a abertura da sessão pública.</w:t>
      </w:r>
    </w:p>
    <w:p w14:paraId="2B316BAB"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4.6 Não haverá ordem de classificação na etapa de apresentação da proposta e documentos de habilitação, o que ocorrerá somente após os procedimentos de abertura da sessão pública e da fase de lances.</w:t>
      </w:r>
    </w:p>
    <w:p w14:paraId="21FC52D1"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4.7 Serão disponibilizados para acesso público os documentos que compõem a proposta dos licitantes convocados, após a fase de envio de lances.</w:t>
      </w:r>
    </w:p>
    <w:p w14:paraId="6801F1A4"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4.8 Desde que disponível no sistema, o licitante poderá parametrizar o valor final mínimo ou o percentual de desconto máximo no cadastramento da proposta, observando:4.9 Aplicação do intervalo mínimo de diferença entre lances, incidindo tanto nos intermediários quanto no lance que cobrir a melhor oferta;</w:t>
      </w:r>
    </w:p>
    <w:p w14:paraId="2DA018FD"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4.9 O envio automático de lances pelo sistema, respeitado o valor final mínimo e o intervalo estabelecido.</w:t>
      </w:r>
    </w:p>
    <w:p w14:paraId="71EB77C6"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4.10 O valor final mínimo parametrizado poderá ser alterado pelo fornecedor durante a disputa, sendo vedado:</w:t>
      </w:r>
    </w:p>
    <w:p w14:paraId="715EED46"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4.10.1 Valor superior a lance já registrado, quando adotado o critério de menor preço.</w:t>
      </w:r>
    </w:p>
    <w:p w14:paraId="61C18A7E"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4.11 O valor final mínimo terá caráter sigiloso para demais fornecedores e para o órgão ou entidade promotora, podendo ser disponibilizado apenas aos órgãos de controle interno e externo.</w:t>
      </w:r>
    </w:p>
    <w:p w14:paraId="58EAEB8C"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4.12 Cabe ao licitante acompanhar as operações no sistema eletrônico durante o processo licitatório, responsabilizando-se por eventuais prejuízos decorrentes da inobservância de mensagens emitidas pela Administração ou desconexão.</w:t>
      </w:r>
    </w:p>
    <w:p w14:paraId="475B49A7"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4.13 O licitante deverá comunicar imediatamente ao provedor do sistema qualquer ocorrência que comprometa o sigilo ou a segurança, para bloqueio imediato de acesso.</w:t>
      </w:r>
    </w:p>
    <w:p w14:paraId="142565CF" w14:textId="77777777" w:rsidR="00BC0049" w:rsidRDefault="002B07EE">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4.14 O licitante deverá observar os requisitos de habilitação e regras de contratação previstos no Anexo I – Termo de Referência.</w:t>
      </w:r>
    </w:p>
    <w:p w14:paraId="79BF7D61" w14:textId="77777777" w:rsidR="00BC0049" w:rsidRDefault="00BC0049">
      <w:pPr>
        <w:pStyle w:val="Nvel2-Red"/>
        <w:numPr>
          <w:ilvl w:val="0"/>
          <w:numId w:val="0"/>
        </w:numPr>
        <w:spacing w:before="0" w:after="0" w:line="240" w:lineRule="auto"/>
        <w:ind w:left="360"/>
        <w:rPr>
          <w:rFonts w:ascii="Times New Roman" w:hAnsi="Times New Roman" w:cs="Times New Roman"/>
          <w:i w:val="0"/>
          <w:color w:val="auto"/>
        </w:rPr>
      </w:pPr>
    </w:p>
    <w:p w14:paraId="4239E182" w14:textId="77777777" w:rsidR="00BC0049" w:rsidRDefault="002B07EE">
      <w:pPr>
        <w:pStyle w:val="Nvel2-Red"/>
        <w:numPr>
          <w:ilvl w:val="0"/>
          <w:numId w:val="0"/>
        </w:numPr>
        <w:spacing w:before="0" w:after="0"/>
        <w:rPr>
          <w:rFonts w:ascii="Times New Roman" w:eastAsiaTheme="majorEastAsia" w:hAnsi="Times New Roman" w:cs="Times New Roman"/>
          <w:b/>
          <w:bCs/>
          <w:i w:val="0"/>
          <w:iCs w:val="0"/>
          <w:color w:val="auto"/>
        </w:rPr>
      </w:pPr>
      <w:r>
        <w:rPr>
          <w:rFonts w:ascii="Times New Roman" w:eastAsiaTheme="majorEastAsia" w:hAnsi="Times New Roman" w:cs="Times New Roman"/>
          <w:b/>
          <w:bCs/>
          <w:i w:val="0"/>
          <w:iCs w:val="0"/>
          <w:color w:val="auto"/>
        </w:rPr>
        <w:t>5. DA PROPOSTA</w:t>
      </w:r>
    </w:p>
    <w:p w14:paraId="418D0807"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5.1 O licitante deverá enviar sua proposta mediante preenchimento, no sistema eletrônico, dos seguintes campos:</w:t>
      </w:r>
    </w:p>
    <w:p w14:paraId="5A79B92D" w14:textId="77777777" w:rsidR="00BC0049" w:rsidRDefault="002B07EE">
      <w:pPr>
        <w:pStyle w:val="Nvel2-Red"/>
        <w:numPr>
          <w:ilvl w:val="2"/>
          <w:numId w:val="6"/>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Valor unitário e total do item;</w:t>
      </w:r>
    </w:p>
    <w:p w14:paraId="0AC1DBE0" w14:textId="77777777" w:rsidR="00BC0049" w:rsidRDefault="002B07EE">
      <w:pPr>
        <w:pStyle w:val="Nvel2-Red"/>
        <w:numPr>
          <w:ilvl w:val="2"/>
          <w:numId w:val="6"/>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Quantidade total do item.</w:t>
      </w:r>
    </w:p>
    <w:p w14:paraId="4A1CE2C3"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5.2 Todas as especificações do objeto contidas na proposta vinculam o licitante.</w:t>
      </w:r>
    </w:p>
    <w:p w14:paraId="51342A21"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5.3 Nos valores propostos estarão inclusos todos os custos operacionais, encargos previdenciários, trabalhistas, tributários, comerciais e quaisquer outros que incidam direta ou indiretamente na execução do objeto.</w:t>
      </w:r>
    </w:p>
    <w:p w14:paraId="59412547"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5.4 Os preços ofertados, na proposta inicial e na etapa de lances, são de exclusiva responsabilidade do licitante, não lhe assistindo direito de pleitear alteração sob alegação de erro, omissão ou outro pretexto.</w:t>
      </w:r>
    </w:p>
    <w:p w14:paraId="33400736"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5.5 Se o regime tributário implicar recolhimento de tributos em percentuais variáveis, a cotação adequada será a média dos efetivos recolhimentos da empresa nos últimos doze meses.</w:t>
      </w:r>
    </w:p>
    <w:p w14:paraId="3A61641B"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lastRenderedPageBreak/>
        <w:t>5.6 Independentemente do percentual inserido, serão retidos na fonte os tributos conforme legislação vigente.</w:t>
      </w:r>
    </w:p>
    <w:p w14:paraId="454A3035"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5.7 Nesta licitação, Microempresa e Empresa de Pequeno Porte não poderão se beneficiar do Simples Nacional, visto que os serviços envolvem cessão de mão de obra, conforme art. 17, inciso XII, da LC nº 123/2006.</w:t>
      </w:r>
    </w:p>
    <w:p w14:paraId="4A283745"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 A apresentação da proposta implica a obrigação de cumprir as disposições nela contidas, conforme Termo de Referência, assumindo o compromisso de executar o objeto licitado e fornecer materiais, equipamentos e utensílios necessários, promovendo substituições quando requerido.</w:t>
      </w:r>
    </w:p>
    <w:p w14:paraId="03DD3FFD" w14:textId="77777777" w:rsidR="00BC0049" w:rsidRDefault="002B07EE">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5.8.1 O prazo de validade da proposta não será inferior a 60 (sessenta) dias, a contar da data de apresentação.</w:t>
      </w:r>
    </w:p>
    <w:p w14:paraId="59EC924B" w14:textId="77777777" w:rsidR="00BC0049" w:rsidRDefault="002B07EE">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5.8.2 Os licitantes devem respeitar os preços máximos estabelecidos nas normas federais de contratação pública.</w:t>
      </w:r>
    </w:p>
    <w:p w14:paraId="63B528BA" w14:textId="77777777" w:rsidR="00BC0049" w:rsidRDefault="002B07EE">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5.8.3 O descumprimento poderá ensejar responsabilização pelo Tribunal de Contas da União e sanções legais, inclusive ressarcimento ao erário em caso de superfaturamento.</w:t>
      </w:r>
    </w:p>
    <w:p w14:paraId="37E84D79" w14:textId="77777777" w:rsidR="00BC0049" w:rsidRDefault="00BC0049">
      <w:pPr>
        <w:pStyle w:val="Nvel2-Red"/>
        <w:numPr>
          <w:ilvl w:val="0"/>
          <w:numId w:val="0"/>
        </w:numPr>
        <w:spacing w:before="0" w:after="0"/>
        <w:ind w:left="992" w:firstLine="424"/>
        <w:rPr>
          <w:rFonts w:ascii="Times New Roman" w:eastAsiaTheme="majorEastAsia" w:hAnsi="Times New Roman" w:cs="Times New Roman"/>
          <w:i w:val="0"/>
          <w:iCs w:val="0"/>
          <w:color w:val="auto"/>
        </w:rPr>
      </w:pPr>
    </w:p>
    <w:p w14:paraId="65F0F5FE" w14:textId="77777777" w:rsidR="00BC0049" w:rsidRDefault="002B07EE">
      <w:pPr>
        <w:pStyle w:val="Nivel01"/>
        <w:numPr>
          <w:ilvl w:val="0"/>
          <w:numId w:val="9"/>
        </w:numPr>
        <w:tabs>
          <w:tab w:val="clear" w:pos="567"/>
          <w:tab w:val="left" w:pos="225"/>
        </w:tabs>
        <w:spacing w:before="0" w:after="0" w:line="240" w:lineRule="auto"/>
        <w:ind w:left="1020" w:hanging="1020"/>
        <w:rPr>
          <w:rFonts w:ascii="Times New Roman" w:hAnsi="Times New Roman" w:cs="Times New Roman"/>
          <w:color w:val="auto"/>
        </w:rPr>
      </w:pPr>
      <w:bookmarkStart w:id="3" w:name="_Toc135469228"/>
      <w:r>
        <w:rPr>
          <w:rFonts w:ascii="Times New Roman" w:hAnsi="Times New Roman" w:cs="Times New Roman"/>
          <w:color w:val="auto"/>
        </w:rPr>
        <w:t>DA ABERTURA DA SESSÃO, CLASSIFICAÇÃO DAS PROPOSTAS E FORMULAÇÃO DE LANCES</w:t>
      </w:r>
      <w:bookmarkEnd w:id="3"/>
    </w:p>
    <w:p w14:paraId="681A05B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abertura da presente licitação dar-se-á automaticamente em sessão pública, por meio de sistema eletrônico, na data, horário e local indicados neste Edital.</w:t>
      </w:r>
    </w:p>
    <w:p w14:paraId="4959FB4C"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poderão retirar ou substituir a proposta ou os documentos de habilitação, quando for o caso, anteriormente inseridos no sistema, até a abertura da sessão pública.</w:t>
      </w:r>
    </w:p>
    <w:p w14:paraId="1C0A66D5"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sistema disponibilizará campo próprio para troca de mensagens entre o Pregoeiro e os licitantes.</w:t>
      </w:r>
    </w:p>
    <w:p w14:paraId="5617B326"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Iniciada a etapa competitiva, os licitantes deverão encaminhar lances exclusivamente por meio de sistema eletrônico, sendo imediatamente informados do seu recebimento e do valor consignado no registro. </w:t>
      </w:r>
    </w:p>
    <w:p w14:paraId="6640945D"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lance deverá ser ofertado pelo valor unitário do item</w:t>
      </w:r>
    </w:p>
    <w:p w14:paraId="5688B2A3"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poderão oferecer lances sucessivos, observando o horário fixado para abertura da sessão e as regras estabelecidas no Edital.</w:t>
      </w:r>
    </w:p>
    <w:p w14:paraId="553A04E9"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licitante somente poderá oferecer lance de valor inferior ao último por ele ofertado e registrado pelo sistema. </w:t>
      </w:r>
    </w:p>
    <w:p w14:paraId="2DDB357D"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intervalo mínimo de diferença de valores ou percentuais entre os lances, que incidirá tanto em relação aos lances intermediários quanto em relação à proposta que cobrir a melhor oferta deverá ser de R$ 0,01.</w:t>
      </w:r>
    </w:p>
    <w:p w14:paraId="4D9FC3E4"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licitante poderá, uma única vez, excluir seu último lance ofertado, no intervalo de quinze segundos após o registro no sistema, na hipótese de lance inconsistente ou inexequível.</w:t>
      </w:r>
    </w:p>
    <w:p w14:paraId="052AE69C"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procedimento seguirá de acordo com o modo de disputa adotado.</w:t>
      </w:r>
    </w:p>
    <w:p w14:paraId="59DDADE9" w14:textId="77777777" w:rsidR="00BC0049" w:rsidRDefault="002B07EE">
      <w:pPr>
        <w:pStyle w:val="Nvel2-Red"/>
        <w:numPr>
          <w:ilvl w:val="2"/>
          <w:numId w:val="2"/>
        </w:numPr>
        <w:spacing w:before="0" w:after="0" w:line="240" w:lineRule="auto"/>
        <w:rPr>
          <w:rFonts w:ascii="Times New Roman" w:hAnsi="Times New Roman" w:cs="Times New Roman"/>
          <w:b/>
          <w:i w:val="0"/>
          <w:color w:val="auto"/>
        </w:rPr>
      </w:pPr>
      <w:bookmarkStart w:id="4" w:name="_Hlk113697759"/>
      <w:r>
        <w:rPr>
          <w:rFonts w:ascii="Times New Roman" w:hAnsi="Times New Roman" w:cs="Times New Roman"/>
          <w:i w:val="0"/>
          <w:iCs w:val="0"/>
          <w:color w:val="auto"/>
        </w:rPr>
        <w:t>Caso seja adotado para o envio de lances no pregão eletrônico o modo de disputa “aberto”, os licitantes apresentarão lances públicos e sucessivos, com prorrogações.</w:t>
      </w:r>
      <w:bookmarkEnd w:id="4"/>
    </w:p>
    <w:p w14:paraId="2865A92D" w14:textId="77777777" w:rsidR="00BC0049" w:rsidRDefault="002B07EE">
      <w:pPr>
        <w:pStyle w:val="Nvel2-Red"/>
        <w:numPr>
          <w:ilvl w:val="2"/>
          <w:numId w:val="2"/>
        </w:numPr>
        <w:tabs>
          <w:tab w:val="left" w:pos="1638"/>
          <w:tab w:val="left" w:pos="1742"/>
          <w:tab w:val="left" w:pos="1754"/>
        </w:tabs>
        <w:spacing w:before="0" w:after="0" w:line="240" w:lineRule="auto"/>
        <w:rPr>
          <w:rFonts w:ascii="Times New Roman" w:hAnsi="Times New Roman" w:cs="Times New Roman"/>
          <w:i w:val="0"/>
          <w:color w:val="auto"/>
        </w:rPr>
      </w:pPr>
      <w:bookmarkStart w:id="5" w:name="_Hlk113697816"/>
      <w:r>
        <w:rPr>
          <w:rFonts w:ascii="Times New Roman" w:hAnsi="Times New Roman" w:cs="Times New Roman"/>
          <w:i w:val="0"/>
          <w:iCs w:val="0"/>
          <w:color w:val="auto"/>
        </w:rPr>
        <w:t>A etapa de lances da sessão pública terá duração de dez minutos e, após isso, será prorrogada automaticamente pelo sistema quando houver lance ofertado nos últimos dois minutos do período de duração da sessão pública.</w:t>
      </w:r>
    </w:p>
    <w:p w14:paraId="5F17DB8B" w14:textId="77777777" w:rsidR="00BC0049" w:rsidRDefault="002B07EE">
      <w:pPr>
        <w:pStyle w:val="Nvel2-Red"/>
        <w:numPr>
          <w:ilvl w:val="2"/>
          <w:numId w:val="2"/>
        </w:numPr>
        <w:tabs>
          <w:tab w:val="left" w:pos="181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4E462E" w14:textId="77777777" w:rsidR="00BC0049" w:rsidRDefault="002B07EE">
      <w:pPr>
        <w:pStyle w:val="Nvel2-Red"/>
        <w:numPr>
          <w:ilvl w:val="2"/>
          <w:numId w:val="2"/>
        </w:numPr>
        <w:tabs>
          <w:tab w:val="left" w:pos="181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novos lances na forma estabelecida nos itens anteriores, a sessão pública encerrar-se-á automaticamente, e o sistema ordenará e divulgará os lances conforme a ordem final de classificação.</w:t>
      </w:r>
    </w:p>
    <w:p w14:paraId="22E70EA8" w14:textId="77777777" w:rsidR="00BC0049" w:rsidRDefault="002B07EE">
      <w:pPr>
        <w:pStyle w:val="Nvel2-Red"/>
        <w:numPr>
          <w:ilvl w:val="3"/>
          <w:numId w:val="2"/>
        </w:numPr>
        <w:tabs>
          <w:tab w:val="left" w:pos="1811"/>
        </w:tabs>
        <w:spacing w:before="0" w:after="0" w:line="240" w:lineRule="auto"/>
        <w:ind w:left="624" w:firstLine="510"/>
        <w:rPr>
          <w:rFonts w:ascii="Times New Roman" w:hAnsi="Times New Roman" w:cs="Times New Roman"/>
          <w:i w:val="0"/>
          <w:color w:val="auto"/>
        </w:rPr>
      </w:pPr>
      <w:r>
        <w:rPr>
          <w:rFonts w:ascii="Times New Roman" w:hAnsi="Times New Roman" w:cs="Times New Roman"/>
          <w:i w:val="0"/>
          <w:iCs w:val="0"/>
          <w:color w:val="auto"/>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2A0280" w14:textId="77777777" w:rsidR="00BC0049" w:rsidRDefault="002B07EE">
      <w:pPr>
        <w:pStyle w:val="Nvel2-Red"/>
        <w:numPr>
          <w:ilvl w:val="3"/>
          <w:numId w:val="2"/>
        </w:numPr>
        <w:tabs>
          <w:tab w:val="left" w:pos="1811"/>
        </w:tabs>
        <w:spacing w:before="0" w:after="0" w:line="240" w:lineRule="auto"/>
        <w:ind w:left="907" w:firstLine="227"/>
        <w:rPr>
          <w:rFonts w:ascii="Times New Roman" w:hAnsi="Times New Roman" w:cs="Times New Roman"/>
          <w:i w:val="0"/>
          <w:color w:val="auto"/>
        </w:rPr>
      </w:pPr>
      <w:r>
        <w:rPr>
          <w:rFonts w:ascii="Times New Roman" w:hAnsi="Times New Roman" w:cs="Times New Roman"/>
          <w:i w:val="0"/>
          <w:iCs w:val="0"/>
          <w:color w:val="auto"/>
        </w:rPr>
        <w:t xml:space="preserve"> Após o reinício previsto no item supra, os licitantes serão convocados para apresentar lances intermediários</w:t>
      </w:r>
      <w:bookmarkStart w:id="6" w:name="_Hlk113631522"/>
      <w:bookmarkEnd w:id="5"/>
      <w:bookmarkEnd w:id="6"/>
      <w:r>
        <w:rPr>
          <w:rFonts w:ascii="Times New Roman" w:hAnsi="Times New Roman" w:cs="Times New Roman"/>
          <w:i w:val="0"/>
          <w:iCs w:val="0"/>
          <w:color w:val="auto"/>
        </w:rPr>
        <w:t>.</w:t>
      </w:r>
    </w:p>
    <w:p w14:paraId="07AE9636" w14:textId="77777777" w:rsidR="00BC0049" w:rsidRDefault="002B07EE">
      <w:pPr>
        <w:pStyle w:val="Nvel2-Red"/>
        <w:numPr>
          <w:ilvl w:val="2"/>
          <w:numId w:val="2"/>
        </w:numPr>
        <w:tabs>
          <w:tab w:val="left" w:pos="1419"/>
          <w:tab w:val="left" w:pos="1708"/>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FC54173" w14:textId="77777777" w:rsidR="00BC0049" w:rsidRDefault="002B07EE">
      <w:pPr>
        <w:pStyle w:val="Nvel2-Red"/>
        <w:numPr>
          <w:ilvl w:val="2"/>
          <w:numId w:val="2"/>
        </w:numPr>
        <w:tabs>
          <w:tab w:val="left" w:pos="17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Encerrado o prazo previsto no subitem anterior, o sistema abrirá oportunidade para que o autor da oferta de valor mais baixo e os das ofertas com preços até 10% (dez por cento) superior àquela </w:t>
      </w:r>
      <w:r>
        <w:rPr>
          <w:rFonts w:ascii="Times New Roman" w:hAnsi="Times New Roman" w:cs="Times New Roman"/>
          <w:i w:val="0"/>
          <w:iCs w:val="0"/>
          <w:color w:val="auto"/>
        </w:rPr>
        <w:lastRenderedPageBreak/>
        <w:t>possam ofertar um lance final e fechado em até cinco minutos, o qual será sigiloso até o encerramento deste prazo.</w:t>
      </w:r>
    </w:p>
    <w:p w14:paraId="5D6CBC95" w14:textId="77777777" w:rsidR="00BC0049" w:rsidRDefault="002B07EE">
      <w:pPr>
        <w:pStyle w:val="Nvel2-Red"/>
        <w:numPr>
          <w:ilvl w:val="2"/>
          <w:numId w:val="2"/>
        </w:numPr>
        <w:tabs>
          <w:tab w:val="left" w:pos="17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procedimento de que trata o subitem supra, o licitante poderá optar por manter o seu último lance da etapa aberta, ou por ofertar melhor lance.</w:t>
      </w:r>
    </w:p>
    <w:p w14:paraId="2F8B77DF" w14:textId="77777777" w:rsidR="00BC0049" w:rsidRDefault="002B07EE">
      <w:pPr>
        <w:pStyle w:val="Nvel2-Red"/>
        <w:numPr>
          <w:ilvl w:val="2"/>
          <w:numId w:val="2"/>
        </w:numPr>
        <w:tabs>
          <w:tab w:val="left" w:pos="1731"/>
          <w:tab w:val="left" w:pos="17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4827464" w14:textId="77777777" w:rsidR="00BC0049" w:rsidRDefault="002B07EE">
      <w:pPr>
        <w:pStyle w:val="Nvel2-Red"/>
        <w:numPr>
          <w:ilvl w:val="2"/>
          <w:numId w:val="2"/>
        </w:numPr>
        <w:tabs>
          <w:tab w:val="left" w:pos="1708"/>
        </w:tabs>
        <w:spacing w:before="0" w:after="0" w:line="240" w:lineRule="auto"/>
        <w:rPr>
          <w:rFonts w:ascii="Times New Roman" w:hAnsi="Times New Roman" w:cs="Times New Roman"/>
          <w:b/>
          <w:i w:val="0"/>
          <w:color w:val="auto"/>
        </w:rPr>
      </w:pPr>
      <w:bookmarkStart w:id="7" w:name="_Hlk113698144"/>
      <w:r>
        <w:rPr>
          <w:rFonts w:ascii="Times New Roman" w:hAnsi="Times New Roman" w:cs="Times New Roman"/>
          <w:i w:val="0"/>
          <w:iCs w:val="0"/>
          <w:color w:val="auto"/>
        </w:rPr>
        <w:t>Após o término dos prazos estabelecidos nos itens anteriores, o sistema ordenará e divulgará os lances segundo a ordem crescente de valores.</w:t>
      </w:r>
      <w:bookmarkEnd w:id="7"/>
    </w:p>
    <w:p w14:paraId="6BB7D3A7" w14:textId="77777777" w:rsidR="00BC0049" w:rsidRDefault="002B07EE">
      <w:pPr>
        <w:pStyle w:val="Nvel2-Red"/>
        <w:numPr>
          <w:ilvl w:val="2"/>
          <w:numId w:val="2"/>
        </w:numPr>
        <w:tabs>
          <w:tab w:val="left" w:pos="17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pelo menos 3 (três) propostas nas condições definidas no item 6.2.16, poderão os licitantes que apresentaram as três melhores propostas, consideradas as empatadas, oferecer novos lances sucessivos.</w:t>
      </w:r>
    </w:p>
    <w:p w14:paraId="063F97C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etapa de lances da sessão pública terá duração de dez minutos e, após isso, será prorrogada automaticamente pelo sistema quando houver lance ofertado nos últimos dois minutos do período de duração da sessão pública.</w:t>
      </w:r>
    </w:p>
    <w:p w14:paraId="50AE1BD6"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26EAE38"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novos lances na forma estabelecida nos itens anteriores, a sessão pública encerrar-se-á automaticamente, e o sistema ordenará e divulgará os lances conforme a ordem final de classificação.</w:t>
      </w:r>
    </w:p>
    <w:p w14:paraId="2B1E6D24"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4DCCE7"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Após o reinício previsto no subitem supra, os licitantes serão convocados para apresentar lances intermediários.  </w:t>
      </w:r>
    </w:p>
    <w:p w14:paraId="48BA970E"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o término dos prazos estabelecidos nos subitens anteriores, o sistema ordenará e divulgará os lances segundo a ordem crescente de valores.</w:t>
      </w:r>
    </w:p>
    <w:p w14:paraId="3941C575" w14:textId="77777777" w:rsidR="00BC0049" w:rsidRDefault="002B07EE">
      <w:pPr>
        <w:pStyle w:val="Nvel2-Red"/>
        <w:numPr>
          <w:ilvl w:val="4"/>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Não serão aceitos dois ou mais lances de mesmo valor, prevalecendo aquele que for recebido e registrado em primeiro lugar. </w:t>
      </w:r>
    </w:p>
    <w:p w14:paraId="2B40FD63" w14:textId="77777777" w:rsidR="00BC0049" w:rsidRDefault="002B07EE">
      <w:pPr>
        <w:pStyle w:val="Nvel2-Red"/>
        <w:numPr>
          <w:ilvl w:val="4"/>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Durante o transcurso da sessão pública, os licitantes serão informados, em tempo real, do valor do menor lance registrado, vedada a identificação do licitante. </w:t>
      </w:r>
    </w:p>
    <w:p w14:paraId="7745774F"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No caso de desconexão com o Pregoeiro, no decorrer da etapa competitiva do Pregão, o sistema eletrônico poderá permanecer acessível aos licitantes para a recepção dos lances. </w:t>
      </w:r>
    </w:p>
    <w:p w14:paraId="3EFF0251"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808B790"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Caso o licitante não apresente lances, concorrerá com o valor de sua proposta.</w:t>
      </w:r>
    </w:p>
    <w:p w14:paraId="6176FCDB" w14:textId="77777777" w:rsidR="00BC0049" w:rsidRDefault="002B07EE">
      <w:pPr>
        <w:pStyle w:val="Nvel2-Red"/>
        <w:numPr>
          <w:ilvl w:val="2"/>
          <w:numId w:val="2"/>
        </w:numPr>
        <w:spacing w:before="0" w:after="0" w:line="240" w:lineRule="auto"/>
        <w:rPr>
          <w:rStyle w:val="Hyperlink1"/>
          <w:rFonts w:ascii="Times New Roman" w:hAnsi="Times New Roman" w:cs="Times New Roman"/>
          <w:i w:val="0"/>
          <w:color w:val="auto"/>
        </w:rPr>
      </w:pPr>
      <w:r>
        <w:rPr>
          <w:rFonts w:ascii="Times New Roman" w:hAnsi="Times New Roman" w:cs="Times New Roman"/>
          <w:i w:val="0"/>
          <w:iCs w:val="0"/>
          <w:color w:val="auto"/>
        </w:rPr>
        <w:t>Em relação a itens não exclusivos para participação de microempresas e empresas de pequeno porte, uma vez encerrada a etapa de lances</w:t>
      </w:r>
      <w:r>
        <w:rPr>
          <w:rFonts w:ascii="Times New Roman" w:eastAsia="Zurich BT" w:hAnsi="Times New Roman" w:cs="Times New Roman"/>
          <w:i w:val="0"/>
          <w:iCs w:val="0"/>
          <w:color w:val="auto"/>
        </w:rPr>
        <w:t xml:space="preserve">, será efetivada a verificação automática, junto à Receita Federal, do porte da entidade empresarial. O sistema identificará em coluna própria as microempresas e empresas de pequeno porte </w:t>
      </w:r>
      <w:r>
        <w:rPr>
          <w:rFonts w:ascii="Times New Roman" w:hAnsi="Times New Roman" w:cs="Times New Roman"/>
          <w:i w:val="0"/>
          <w:iCs w:val="0"/>
          <w:color w:val="auto"/>
        </w:rPr>
        <w:t>participantes</w:t>
      </w:r>
      <w:r>
        <w:rPr>
          <w:rFonts w:ascii="Times New Roman" w:eastAsia="Zurich BT" w:hAnsi="Times New Roman" w:cs="Times New Roman"/>
          <w:i w:val="0"/>
          <w:iCs w:val="0"/>
          <w:color w:val="auto"/>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proofErr w:type="spellStart"/>
        <w:r>
          <w:rPr>
            <w:rFonts w:ascii="Times New Roman" w:eastAsia="Zurich BT" w:hAnsi="Times New Roman" w:cs="Times New Roman"/>
            <w:i w:val="0"/>
            <w:iCs w:val="0"/>
            <w:color w:val="auto"/>
            <w:u w:val="single"/>
          </w:rPr>
          <w:t>arts</w:t>
        </w:r>
        <w:proofErr w:type="spellEnd"/>
        <w:r>
          <w:rPr>
            <w:rFonts w:ascii="Times New Roman" w:eastAsia="Zurich BT" w:hAnsi="Times New Roman" w:cs="Times New Roman"/>
            <w:i w:val="0"/>
            <w:iCs w:val="0"/>
            <w:color w:val="auto"/>
            <w:u w:val="single"/>
          </w:rPr>
          <w:t>. 44 e 45 da Lei Complementar nº 123, de 2006</w:t>
        </w:r>
      </w:hyperlink>
      <w:r>
        <w:rPr>
          <w:rFonts w:ascii="Times New Roman" w:hAnsi="Times New Roman" w:cs="Times New Roman"/>
          <w:i w:val="0"/>
          <w:iCs w:val="0"/>
          <w:color w:val="auto"/>
          <w:u w:val="single"/>
        </w:rPr>
        <w:t>, alterada pela Lei Complementar 147/2014.</w:t>
      </w:r>
    </w:p>
    <w:p w14:paraId="2CCF4CD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Nessas condições, as propostas de </w:t>
      </w:r>
      <w:r>
        <w:rPr>
          <w:rFonts w:ascii="Times New Roman" w:eastAsia="Zurich BT" w:hAnsi="Times New Roman" w:cs="Times New Roman"/>
          <w:i w:val="0"/>
          <w:iCs w:val="0"/>
          <w:color w:val="auto"/>
        </w:rPr>
        <w:t xml:space="preserve">microempresas e empresas de pequeno porte </w:t>
      </w:r>
      <w:r>
        <w:rPr>
          <w:rFonts w:ascii="Times New Roman" w:hAnsi="Times New Roman" w:cs="Times New Roman"/>
          <w:i w:val="0"/>
          <w:iCs w:val="0"/>
          <w:color w:val="auto"/>
        </w:rPr>
        <w:t>que se encontrarem na faixa de até 5% (cinco por cento) acima da melhor proposta ou melhor lance serão consideradas empatadas com a primeira colocada.</w:t>
      </w:r>
    </w:p>
    <w:p w14:paraId="27C330B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31A6B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Caso a </w:t>
      </w:r>
      <w:r>
        <w:rPr>
          <w:rFonts w:ascii="Times New Roman" w:eastAsia="Zurich BT" w:hAnsi="Times New Roman" w:cs="Times New Roman"/>
          <w:i w:val="0"/>
          <w:iCs w:val="0"/>
          <w:color w:val="auto"/>
        </w:rPr>
        <w:t>microempresa ou a empresa de pequeno porte</w:t>
      </w:r>
      <w:r>
        <w:rPr>
          <w:rFonts w:ascii="Times New Roman" w:hAnsi="Times New Roman" w:cs="Times New Roman"/>
          <w:i w:val="0"/>
          <w:iCs w:val="0"/>
          <w:color w:val="auto"/>
        </w:rPr>
        <w:t xml:space="preserve"> melhor classificada desista ou não se manifeste no prazo estabelecido, serão convocadas as demais licitantes </w:t>
      </w:r>
      <w:r>
        <w:rPr>
          <w:rFonts w:ascii="Times New Roman" w:eastAsia="Zurich BT" w:hAnsi="Times New Roman" w:cs="Times New Roman"/>
          <w:i w:val="0"/>
          <w:iCs w:val="0"/>
          <w:color w:val="auto"/>
        </w:rPr>
        <w:t>microempresa e empresa de pequeno porte</w:t>
      </w:r>
      <w:r>
        <w:rPr>
          <w:rFonts w:ascii="Times New Roman" w:hAnsi="Times New Roman" w:cs="Times New Roman"/>
          <w:i w:val="0"/>
          <w:iCs w:val="0"/>
          <w:color w:val="auto"/>
        </w:rPr>
        <w:t xml:space="preserve"> que se encontrem naquele intervalo de 5% (cinco por cento), na ordem de classificação, para o exercício do mesmo direito, no prazo estabelecido no subitem anterior.</w:t>
      </w:r>
    </w:p>
    <w:p w14:paraId="39D49A9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C3B2E8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Só poderá haver empate entre propostas iguais (não seguidas de lances), ou entre lances finais da fase fechada do modo de disputa aberto e fechado. </w:t>
      </w:r>
    </w:p>
    <w:p w14:paraId="7573E5AC"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Havendo eventual empate entre propostas ou lances, o critério de desempate será aquele previsto no </w:t>
      </w:r>
      <w:hyperlink r:id="rId15" w:tooltip="http://www.planalto.gov.br/ccivil_03/_ato2019-2022/2021/lei/L14133.htm#art60&quot; l &quot;art60">
        <w:r>
          <w:rPr>
            <w:rFonts w:ascii="Times New Roman" w:eastAsia="Arial" w:hAnsi="Times New Roman" w:cs="Times New Roman"/>
            <w:i w:val="0"/>
            <w:iCs w:val="0"/>
            <w:color w:val="auto"/>
            <w:u w:val="single"/>
          </w:rPr>
          <w:t>art</w:t>
        </w:r>
        <w:r>
          <w:rPr>
            <w:rFonts w:ascii="Times New Roman" w:hAnsi="Times New Roman" w:cs="Times New Roman"/>
            <w:i w:val="0"/>
            <w:iCs w:val="0"/>
            <w:color w:val="auto"/>
            <w:u w:val="single"/>
          </w:rPr>
          <w:t>. 60 da Lei nº 14.133, de 2021</w:t>
        </w:r>
      </w:hyperlink>
      <w:r>
        <w:rPr>
          <w:rFonts w:ascii="Times New Roman" w:hAnsi="Times New Roman" w:cs="Times New Roman"/>
          <w:i w:val="0"/>
          <w:iCs w:val="0"/>
          <w:color w:val="auto"/>
        </w:rPr>
        <w:t>, nesta ordem:</w:t>
      </w:r>
    </w:p>
    <w:p w14:paraId="7A3EFD6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Disputa final, hipótese em que os licitantes empatados poderão apresentar nova proposta em ato contínuo à classificação;</w:t>
      </w:r>
    </w:p>
    <w:p w14:paraId="5D8B62D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Avaliação do desempenho contratual prévio dos licitantes, para a qual deverão preferencialmente ser utilizados registros cadastrais para efeito de atesto de cumprimento de obrigações previstos nesta Lei;</w:t>
      </w:r>
    </w:p>
    <w:p w14:paraId="475C45B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Desenvolvimento pelo licitante de ações de equidade entre homens e mulheres no ambiente de trabalho, conforme regulamento;</w:t>
      </w:r>
    </w:p>
    <w:p w14:paraId="39EAAB3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Desenvolvimento pelo licitante de programa de integridade, conforme orientações dos órgãos de controle.</w:t>
      </w:r>
    </w:p>
    <w:p w14:paraId="7AB6FF8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Persistindo o empate, será assegurada preferência, sucessivamente, aos bens e serviços produzidos ou prestados por:</w:t>
      </w:r>
    </w:p>
    <w:p w14:paraId="5975876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D85E7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brasileiras;</w:t>
      </w:r>
    </w:p>
    <w:p w14:paraId="63AC280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que invistam em pesquisa e no desenvolvimento de tecnologia no País;</w:t>
      </w:r>
    </w:p>
    <w:p w14:paraId="5E89AFD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Fonts w:ascii="Times New Roman" w:hAnsi="Times New Roman" w:cs="Times New Roman"/>
            <w:i w:val="0"/>
            <w:iCs w:val="0"/>
            <w:color w:val="auto"/>
            <w:u w:val="single"/>
          </w:rPr>
          <w:t>Lei nº 12.187, de 29 de dezembro de 2009</w:t>
        </w:r>
      </w:hyperlink>
      <w:r>
        <w:rPr>
          <w:rFonts w:ascii="Times New Roman" w:hAnsi="Times New Roman" w:cs="Times New Roman"/>
          <w:i w:val="0"/>
          <w:iCs w:val="0"/>
          <w:color w:val="auto"/>
        </w:rPr>
        <w:t>.</w:t>
      </w:r>
    </w:p>
    <w:p w14:paraId="632B0C7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8A10C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B1F962"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eastAsia="Times New Roman" w:hAnsi="Times New Roman" w:cs="Times New Roman"/>
          <w:i w:val="0"/>
          <w:iCs w:val="0"/>
          <w:color w:val="auto"/>
        </w:rPr>
        <w:t xml:space="preserve">A </w:t>
      </w:r>
      <w:r>
        <w:rPr>
          <w:rFonts w:ascii="Times New Roman" w:hAnsi="Times New Roman" w:cs="Times New Roman"/>
          <w:i w:val="0"/>
          <w:iCs w:val="0"/>
          <w:color w:val="auto"/>
        </w:rPr>
        <w:t>negociação será realizada por meio do sistema, podendo ser acompanhada pelos demais licitantes.</w:t>
      </w:r>
    </w:p>
    <w:p w14:paraId="72B8F7B2"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resultado da negociação será divulgado a todos os licitantes e anexado aos autos do processo licitatório.</w:t>
      </w:r>
    </w:p>
    <w:p w14:paraId="3D03525D"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 xml:space="preserve">O pregoeiro solicitará ao licitante mais bem classificado que, no prazo de </w:t>
      </w:r>
      <w:r>
        <w:rPr>
          <w:rFonts w:ascii="Times New Roman" w:hAnsi="Times New Roman" w:cs="Times New Roman"/>
          <w:b/>
          <w:bCs/>
          <w:i w:val="0"/>
          <w:iCs w:val="0"/>
          <w:color w:val="auto"/>
        </w:rPr>
        <w:t>60 (sessenta) minutos</w:t>
      </w:r>
      <w:r>
        <w:rPr>
          <w:rFonts w:ascii="Times New Roman" w:hAnsi="Times New Roman" w:cs="Times New Roman"/>
          <w:i w:val="0"/>
          <w:iCs w:val="0"/>
          <w:color w:val="auto"/>
        </w:rPr>
        <w:t xml:space="preserve"> envie a proposta readequada ao último lance ofertado após a negociação realizada, acompanhada, se for o caso, dos documentos complementares, quando necessários à confirmação daqueles exigidos neste Edital e já apresentados</w:t>
      </w:r>
      <w:bookmarkStart w:id="8" w:name="_Hlk117016948"/>
      <w:bookmarkEnd w:id="8"/>
      <w:r>
        <w:rPr>
          <w:rFonts w:ascii="Times New Roman" w:hAnsi="Times New Roman" w:cs="Times New Roman"/>
          <w:i w:val="0"/>
          <w:iCs w:val="0"/>
          <w:color w:val="auto"/>
        </w:rPr>
        <w:t xml:space="preserve"> SOB PENA DE DESCLASSIFICAÇÃO.</w:t>
      </w:r>
    </w:p>
    <w:p w14:paraId="437B8670" w14:textId="77777777" w:rsidR="00BC0049" w:rsidRDefault="002B07EE">
      <w:pPr>
        <w:pStyle w:val="Nvel2-Red"/>
        <w:numPr>
          <w:ilvl w:val="2"/>
          <w:numId w:val="2"/>
        </w:numPr>
        <w:tabs>
          <w:tab w:val="left" w:pos="1131"/>
          <w:tab w:val="left" w:pos="1177"/>
        </w:tabs>
        <w:spacing w:before="0" w:after="0" w:line="240" w:lineRule="auto"/>
        <w:ind w:left="999" w:hanging="432"/>
        <w:rPr>
          <w:rFonts w:ascii="Times New Roman" w:hAnsi="Times New Roman" w:cs="Times New Roman"/>
          <w:b/>
          <w:bCs/>
          <w:color w:val="auto"/>
          <w:u w:val="single"/>
        </w:rPr>
      </w:pPr>
      <w:r>
        <w:rPr>
          <w:rFonts w:ascii="Times New Roman" w:hAnsi="Times New Roman" w:cs="Times New Roman"/>
          <w:b/>
          <w:bCs/>
          <w:color w:val="auto"/>
          <w:u w:val="single"/>
        </w:rPr>
        <w:t>É facultado ao pregoeiro prorrogar o prazo estabelecido, a partir de solicitação fundamentada feita no chat ou através de e-mail pelo licitante, antes de findo o prazo.</w:t>
      </w:r>
    </w:p>
    <w:p w14:paraId="74E1498E" w14:textId="77777777" w:rsidR="00BC0049" w:rsidRDefault="002B07EE">
      <w:pPr>
        <w:pStyle w:val="Nvel2-Red"/>
        <w:numPr>
          <w:ilvl w:val="2"/>
          <w:numId w:val="2"/>
        </w:numPr>
        <w:tabs>
          <w:tab w:val="left" w:pos="1131"/>
        </w:tabs>
        <w:spacing w:before="0" w:after="0" w:line="240" w:lineRule="auto"/>
        <w:ind w:left="999" w:hanging="432"/>
        <w:rPr>
          <w:rFonts w:ascii="Times New Roman" w:hAnsi="Times New Roman" w:cs="Times New Roman"/>
          <w:b/>
          <w:i w:val="0"/>
          <w:color w:val="auto"/>
        </w:rPr>
      </w:pPr>
      <w:bookmarkStart w:id="9" w:name="_Hlk114646655"/>
      <w:r>
        <w:rPr>
          <w:rFonts w:ascii="Times New Roman" w:hAnsi="Times New Roman" w:cs="Times New Roman"/>
          <w:i w:val="0"/>
          <w:iCs w:val="0"/>
          <w:color w:val="auto"/>
        </w:rPr>
        <w:t>Após a negociação do preço, o Pregoeiro iniciará a fase de aceitação e julgamento da proposta.</w:t>
      </w:r>
      <w:bookmarkEnd w:id="9"/>
    </w:p>
    <w:p w14:paraId="01CFC8BF" w14:textId="77777777" w:rsidR="00BC0049" w:rsidRDefault="00BC0049">
      <w:pPr>
        <w:pStyle w:val="Nvel2-Red"/>
        <w:numPr>
          <w:ilvl w:val="0"/>
          <w:numId w:val="0"/>
        </w:numPr>
        <w:spacing w:before="0" w:after="0" w:line="240" w:lineRule="auto"/>
        <w:ind w:left="999"/>
        <w:rPr>
          <w:rFonts w:ascii="Times New Roman" w:hAnsi="Times New Roman" w:cs="Times New Roman"/>
          <w:b/>
          <w:i w:val="0"/>
          <w:color w:val="auto"/>
        </w:rPr>
      </w:pPr>
    </w:p>
    <w:p w14:paraId="1B54FA1E"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0" w:name="_Toc135469229"/>
      <w:r>
        <w:rPr>
          <w:rFonts w:ascii="Times New Roman" w:hAnsi="Times New Roman" w:cs="Times New Roman"/>
          <w:b/>
          <w:bCs/>
          <w:i w:val="0"/>
          <w:iCs w:val="0"/>
          <w:color w:val="auto"/>
        </w:rPr>
        <w:t>DA FASE DE JULGAMENTO</w:t>
      </w:r>
      <w:bookmarkEnd w:id="10"/>
    </w:p>
    <w:p w14:paraId="260C0341" w14:textId="77777777" w:rsidR="00BC0049" w:rsidRDefault="002B07EE">
      <w:pPr>
        <w:pStyle w:val="Nvel2-Red"/>
        <w:spacing w:before="0" w:after="0" w:line="240" w:lineRule="auto"/>
        <w:rPr>
          <w:rFonts w:ascii="Times New Roman" w:hAnsi="Times New Roman" w:cs="Times New Roman"/>
          <w:i w:val="0"/>
          <w:color w:val="auto"/>
        </w:rPr>
      </w:pPr>
      <w:bookmarkStart w:id="11" w:name="_Ref117019424"/>
      <w:r>
        <w:rPr>
          <w:rFonts w:ascii="Times New Roman" w:hAnsi="Times New Roman" w:cs="Times New Roman"/>
          <w:i w:val="0"/>
          <w:iCs w:val="0"/>
          <w:color w:val="auto"/>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Fonts w:ascii="Times New Roman" w:hAnsi="Times New Roman" w:cs="Times New Roman"/>
            <w:i w:val="0"/>
            <w:iCs w:val="0"/>
            <w:color w:val="auto"/>
            <w:u w:val="single"/>
          </w:rPr>
          <w:t>art. 14 da Lei nº 14.133/2021</w:t>
        </w:r>
      </w:hyperlink>
      <w:r>
        <w:rPr>
          <w:rFonts w:ascii="Times New Roman" w:hAnsi="Times New Roman" w:cs="Times New Roman"/>
          <w:i w:val="0"/>
          <w:iCs w:val="0"/>
          <w:color w:val="auto"/>
        </w:rPr>
        <w:t xml:space="preserve">, legislação correlata e no item 3.6 do edital, </w:t>
      </w:r>
      <w:bookmarkEnd w:id="11"/>
      <w:r>
        <w:rPr>
          <w:rFonts w:ascii="Times New Roman" w:hAnsi="Times New Roman" w:cs="Times New Roman"/>
          <w:i w:val="0"/>
          <w:iCs w:val="0"/>
          <w:color w:val="auto"/>
          <w:lang w:eastAsia="ar-SA"/>
        </w:rPr>
        <w:t>especialmente quanto à existência de sanção que impeça a participação no certame ou a futura contratação, mediante a consulta aos seguintes cadastros:</w:t>
      </w:r>
    </w:p>
    <w:p w14:paraId="35E5A17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lang w:eastAsia="ar-SA"/>
        </w:rPr>
        <w:t>Cadastro Nacional de Empresas Inidôneas e Suspensas – CEIS, mantido pela Controladoria-Geral da União (</w:t>
      </w:r>
      <w:hyperlink r:id="rId18" w:tooltip="https://www.portaltransparencia.gov.br/sancoes/ceis">
        <w:r>
          <w:rPr>
            <w:rFonts w:ascii="Times New Roman" w:hAnsi="Times New Roman" w:cs="Times New Roman"/>
            <w:i w:val="0"/>
            <w:iCs w:val="0"/>
            <w:color w:val="auto"/>
            <w:u w:val="single"/>
            <w:lang w:eastAsia="ar-SA"/>
          </w:rPr>
          <w:t>https://www.portaltransparencia.gov.br/sancoes/ceis</w:t>
        </w:r>
      </w:hyperlink>
      <w:r>
        <w:rPr>
          <w:rFonts w:ascii="Times New Roman" w:hAnsi="Times New Roman" w:cs="Times New Roman"/>
          <w:i w:val="0"/>
          <w:iCs w:val="0"/>
          <w:color w:val="auto"/>
          <w:lang w:eastAsia="ar-SA"/>
        </w:rPr>
        <w:t xml:space="preserve">); e </w:t>
      </w:r>
    </w:p>
    <w:p w14:paraId="45712030" w14:textId="77777777" w:rsidR="00BC0049" w:rsidRDefault="002B07EE">
      <w:pPr>
        <w:pStyle w:val="Nvel2-Red"/>
        <w:numPr>
          <w:ilvl w:val="3"/>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lang w:eastAsia="ar-SA"/>
        </w:rPr>
        <w:t>Cadastro Nacional de Empresas Punidas – CNEP, mantido pela Controladoria-Geral da União (</w:t>
      </w:r>
      <w:hyperlink r:id="rId19" w:tooltip="https://www.portaltransparencia.gov.br/sancoes/cnep">
        <w:r>
          <w:rPr>
            <w:rFonts w:ascii="Times New Roman" w:hAnsi="Times New Roman" w:cs="Times New Roman"/>
            <w:i w:val="0"/>
            <w:iCs w:val="0"/>
            <w:color w:val="auto"/>
            <w:u w:val="single"/>
            <w:lang w:eastAsia="ar-SA"/>
          </w:rPr>
          <w:t>https://www.portaltransparencia.gov.br/sancoes/cnep</w:t>
        </w:r>
      </w:hyperlink>
      <w:r>
        <w:rPr>
          <w:rFonts w:ascii="Times New Roman" w:hAnsi="Times New Roman" w:cs="Times New Roman"/>
          <w:i w:val="0"/>
          <w:iCs w:val="0"/>
          <w:color w:val="auto"/>
          <w:lang w:eastAsia="ar-SA"/>
        </w:rPr>
        <w:t>).</w:t>
      </w:r>
    </w:p>
    <w:p w14:paraId="1FEC9ADF"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Fonts w:ascii="Times New Roman" w:hAnsi="Times New Roman" w:cs="Times New Roman"/>
            <w:i w:val="0"/>
            <w:iCs w:val="0"/>
            <w:color w:val="auto"/>
            <w:u w:val="single"/>
          </w:rPr>
          <w:t>artigo 12 da Lei n° 8.429, de 1992</w:t>
        </w:r>
      </w:hyperlink>
      <w:r>
        <w:rPr>
          <w:rFonts w:ascii="Times New Roman" w:hAnsi="Times New Roman" w:cs="Times New Roman"/>
          <w:i w:val="0"/>
          <w:iCs w:val="0"/>
          <w:color w:val="auto"/>
        </w:rPr>
        <w:t>.</w:t>
      </w:r>
    </w:p>
    <w:p w14:paraId="52FE10C9"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Caso conste na Consulta de Situação do licitante a existência de Ocorrências Impeditivas Indiretas, o Pregoeiro diligenciará para verificar se houve fraude por parte das empresas apontadas no Relatório de Ocorrências Impeditivas Indiretas.</w:t>
      </w:r>
    </w:p>
    <w:p w14:paraId="77D6DC90" w14:textId="77777777" w:rsidR="00BC0049" w:rsidRDefault="002B07EE">
      <w:pPr>
        <w:pStyle w:val="Nvel2-Red"/>
        <w:numPr>
          <w:ilvl w:val="3"/>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tentativa de burla será verificada por meio dos vínculos societários, linhas de fornecimento similares, dentre outros.</w:t>
      </w:r>
    </w:p>
    <w:p w14:paraId="08D86F96" w14:textId="77777777" w:rsidR="00BC0049" w:rsidRDefault="002B07EE">
      <w:pPr>
        <w:pStyle w:val="Nvel2-Red"/>
        <w:numPr>
          <w:ilvl w:val="3"/>
          <w:numId w:val="2"/>
        </w:numPr>
        <w:tabs>
          <w:tab w:val="left" w:pos="1188"/>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O licitante será convocado para manifestação previamente a uma eventual desclassificação. </w:t>
      </w:r>
    </w:p>
    <w:p w14:paraId="723D76ED" w14:textId="77777777" w:rsidR="00BC0049" w:rsidRDefault="002B07EE">
      <w:pPr>
        <w:pStyle w:val="Nvel2-Red"/>
        <w:numPr>
          <w:ilvl w:val="3"/>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Constatada a existência de sanção, o licitante será reputado inabilitado, por falta de condição de participação.</w:t>
      </w:r>
    </w:p>
    <w:p w14:paraId="3B084D19" w14:textId="77777777" w:rsidR="00BC0049" w:rsidRDefault="002B07EE">
      <w:pPr>
        <w:pStyle w:val="Nvel2-Red"/>
        <w:numPr>
          <w:ilvl w:val="3"/>
          <w:numId w:val="2"/>
        </w:numPr>
        <w:tabs>
          <w:tab w:val="left" w:pos="1165"/>
        </w:tabs>
        <w:spacing w:before="0" w:after="0" w:line="240" w:lineRule="auto"/>
        <w:ind w:left="999" w:hanging="432"/>
        <w:rPr>
          <w:rFonts w:ascii="Times New Roman" w:hAnsi="Times New Roman" w:cs="Times New Roman"/>
          <w:b/>
          <w:i w:val="0"/>
          <w:color w:val="auto"/>
        </w:rPr>
      </w:pPr>
      <w:bookmarkStart w:id="12" w:name="_Hlk135317550"/>
      <w:r>
        <w:rPr>
          <w:rFonts w:ascii="Times New Roman" w:hAnsi="Times New Roman" w:cs="Times New Roman"/>
          <w:i w:val="0"/>
          <w:iCs w:val="0"/>
          <w:color w:val="auto"/>
        </w:rPr>
        <w:lastRenderedPageBreak/>
        <w:t>Na hipótese de inversão das fases de habilitação e julgamento, caso atendidas as condições de participação, será iniciado o procedimento de habilitação.</w:t>
      </w:r>
      <w:bookmarkEnd w:id="12"/>
    </w:p>
    <w:p w14:paraId="48827A3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Caso o licitante provisoriamente classificado em primeiro lugar tenha se utilizado de algum tratamento favorecido às ME/EPP, o pregoeiro verificará se faz jus ao benefício.</w:t>
      </w:r>
    </w:p>
    <w:p w14:paraId="50988546"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63DA5B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Será desclassificada a proposta vencedora que: </w:t>
      </w:r>
    </w:p>
    <w:p w14:paraId="060B7524"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Contiver vícios insanáveis;</w:t>
      </w:r>
    </w:p>
    <w:p w14:paraId="00998BC5"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Não obedecer às especificações técnicas contidas no Termo de Referência;</w:t>
      </w:r>
    </w:p>
    <w:p w14:paraId="1D93C60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Apresentar preços inexequíveis ou permanecerem acima do preço máximo definido para a contratação;</w:t>
      </w:r>
    </w:p>
    <w:p w14:paraId="4921D77C"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Não tiverem sua exequibilidade demonstrada, quando exigido pela Administração;</w:t>
      </w:r>
    </w:p>
    <w:p w14:paraId="32549191"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Apresentar desconformidade com quaisquer outras exigências deste Edital ou seus anexos, desde que insanável</w:t>
      </w:r>
    </w:p>
    <w:p w14:paraId="71613DD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caso de bens e serviços em geral, é indício de inexequibilidade das propostas valores inferiores a 50% (cinquenta por cento) do valor orçado pela Administração.</w:t>
      </w:r>
    </w:p>
    <w:p w14:paraId="3A8E5CF6"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inexequibilidade, na hipótese de que trata o caput, só será considerada após diligência do pregoeiro, que comprove:</w:t>
      </w:r>
    </w:p>
    <w:p w14:paraId="02912CF3" w14:textId="77777777" w:rsidR="00BC0049" w:rsidRDefault="002B07EE">
      <w:pPr>
        <w:pStyle w:val="Nvel2-Red"/>
        <w:numPr>
          <w:ilvl w:val="3"/>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Que o custo do licitante ultrapassa o valor da proposta; e</w:t>
      </w:r>
    </w:p>
    <w:p w14:paraId="1676291E" w14:textId="77777777" w:rsidR="00BC0049" w:rsidRDefault="002B07EE">
      <w:pPr>
        <w:pStyle w:val="Nvel2-Red"/>
        <w:numPr>
          <w:ilvl w:val="3"/>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Inexistirem custos de oportunidade capazes de justificar o vulto da oferta.</w:t>
      </w:r>
    </w:p>
    <w:p w14:paraId="4E14184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 houver indícios de inexequibilidade da proposta de preço, ou em caso da necessidade de esclarecimentos complementares, poderão ser efetuadas diligências, para que a empresa comprove a exequibilidade da proposta.</w:t>
      </w:r>
    </w:p>
    <w:p w14:paraId="783C363B" w14:textId="39D934FF" w:rsidR="00BC0049" w:rsidRPr="001C3D24" w:rsidRDefault="002B07EE" w:rsidP="001C3D24">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Caso o custo global estimado do objeto licitado tenha sido decomposto em seus respectivos custos unitários </w:t>
      </w:r>
    </w:p>
    <w:p w14:paraId="38F96F58" w14:textId="77777777" w:rsidR="00BC0049" w:rsidRDefault="002B07EE" w:rsidP="001C3D24">
      <w:pPr>
        <w:pStyle w:val="Nvel2-Red"/>
        <w:numPr>
          <w:ilvl w:val="0"/>
          <w:numId w:val="0"/>
        </w:numPr>
        <w:spacing w:before="0" w:after="0" w:line="240" w:lineRule="auto"/>
        <w:ind w:left="567"/>
        <w:rPr>
          <w:rFonts w:ascii="Times New Roman" w:hAnsi="Times New Roman" w:cs="Times New Roman"/>
          <w:i w:val="0"/>
          <w:color w:val="auto"/>
        </w:rPr>
      </w:pPr>
      <w:r>
        <w:rPr>
          <w:rFonts w:ascii="Times New Roman" w:hAnsi="Times New Roman" w:cs="Times New Roman"/>
          <w:i w:val="0"/>
          <w:iCs w:val="0"/>
          <w:color w:val="auto"/>
        </w:rPr>
        <w:t>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314AD3"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bookmarkStart w:id="13" w:name="_Hlk126568356"/>
      <w:r>
        <w:rPr>
          <w:rFonts w:ascii="Times New Roman" w:hAnsi="Times New Roman" w:cs="Times New Roman"/>
          <w:i w:val="0"/>
          <w:iCs w:val="0"/>
          <w:color w:val="auto"/>
        </w:rPr>
        <w:t>Em se tratando de serviços de engenharia, o licitante vencedor será convocado a apresentar à Administração, por meio eletrônico, as planilhas com indicação dos quantitativos e dos custos unitários</w:t>
      </w:r>
      <w:bookmarkEnd w:id="13"/>
      <w:r>
        <w:rPr>
          <w:rFonts w:ascii="Times New Roman" w:hAnsi="Times New Roman" w:cs="Times New Roman"/>
          <w:i w:val="0"/>
          <w:iCs w:val="0"/>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Times New Roman" w:hAnsi="Times New Roman" w:cs="Times New Roman"/>
          <w:i w:val="0"/>
          <w:iCs w:val="0"/>
          <w:color w:val="auto"/>
        </w:rPr>
        <w:t>semi</w:t>
      </w:r>
      <w:proofErr w:type="spellEnd"/>
      <w:r>
        <w:rPr>
          <w:rFonts w:ascii="Times New Roman" w:hAnsi="Times New Roman" w:cs="Times New Roman"/>
          <w:i w:val="0"/>
          <w:iCs w:val="0"/>
          <w:color w:val="auto"/>
        </w:rPr>
        <w:t xml:space="preserve"> integrada e contratação integrada, exclusivamente para eventuais adequações indispensáveis no cronograma físico-financeiro e para balizar excepcional aditamento posterior do contrato.</w:t>
      </w:r>
    </w:p>
    <w:p w14:paraId="021061E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8F8A4"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ajuste de que trata este dispositivo se limita a sanar erros ou falhas que não alterem a substância das propostas;</w:t>
      </w:r>
    </w:p>
    <w:p w14:paraId="26B792FC"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Considera-se erro no preenchimento da planilha passível de correção a indicação de recolhimento de impostos e contribuições na forma do Simples Nacional, quando não cabível esse regime.</w:t>
      </w:r>
    </w:p>
    <w:p w14:paraId="6B8E8B2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lang w:eastAsia="en-US"/>
        </w:rPr>
        <w:t xml:space="preserve">Para </w:t>
      </w:r>
      <w:r>
        <w:rPr>
          <w:rFonts w:ascii="Times New Roman" w:hAnsi="Times New Roman" w:cs="Times New Roman"/>
          <w:i w:val="0"/>
          <w:iCs w:val="0"/>
          <w:color w:val="auto"/>
        </w:rPr>
        <w:t>fins</w:t>
      </w:r>
      <w:r>
        <w:rPr>
          <w:rFonts w:ascii="Times New Roman" w:hAnsi="Times New Roman" w:cs="Times New Roman"/>
          <w:i w:val="0"/>
          <w:iCs w:val="0"/>
          <w:color w:val="auto"/>
          <w:lang w:eastAsia="en-US"/>
        </w:rPr>
        <w:t xml:space="preserve"> de análise da proposta quanto ao cumprimento </w:t>
      </w:r>
      <w:r>
        <w:rPr>
          <w:rFonts w:ascii="Times New Roman" w:hAnsi="Times New Roman" w:cs="Times New Roman"/>
          <w:i w:val="0"/>
          <w:iCs w:val="0"/>
          <w:color w:val="auto"/>
        </w:rPr>
        <w:t>das</w:t>
      </w:r>
      <w:r>
        <w:rPr>
          <w:rFonts w:ascii="Times New Roman" w:hAnsi="Times New Roman" w:cs="Times New Roman"/>
          <w:i w:val="0"/>
          <w:iCs w:val="0"/>
          <w:color w:val="auto"/>
          <w:lang w:eastAsia="en-US"/>
        </w:rPr>
        <w:t xml:space="preserve"> especificações do objeto, poderá ser colhida a </w:t>
      </w:r>
      <w:r>
        <w:rPr>
          <w:rFonts w:ascii="Times New Roman" w:hAnsi="Times New Roman" w:cs="Times New Roman"/>
          <w:i w:val="0"/>
          <w:iCs w:val="0"/>
          <w:color w:val="auto"/>
        </w:rPr>
        <w:t>manifestação</w:t>
      </w:r>
      <w:r>
        <w:rPr>
          <w:rFonts w:ascii="Times New Roman" w:hAnsi="Times New Roman" w:cs="Times New Roman"/>
          <w:i w:val="0"/>
          <w:iCs w:val="0"/>
          <w:color w:val="auto"/>
          <w:lang w:eastAsia="en-US"/>
        </w:rPr>
        <w:t xml:space="preserve"> escrita do setor requisitante do serviço ou da área especializada no objeto.</w:t>
      </w:r>
    </w:p>
    <w:p w14:paraId="567CA364" w14:textId="77777777" w:rsidR="00BC0049" w:rsidRDefault="00BC0049">
      <w:pPr>
        <w:pStyle w:val="Nvel2-Red"/>
        <w:numPr>
          <w:ilvl w:val="0"/>
          <w:numId w:val="0"/>
        </w:numPr>
        <w:spacing w:before="0" w:after="0" w:line="240" w:lineRule="auto"/>
        <w:ind w:left="999"/>
        <w:rPr>
          <w:rFonts w:ascii="Times New Roman" w:hAnsi="Times New Roman" w:cs="Times New Roman"/>
          <w:i w:val="0"/>
          <w:color w:val="auto"/>
        </w:rPr>
      </w:pPr>
    </w:p>
    <w:p w14:paraId="06951FE7"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4" w:name="_Toc135469230"/>
      <w:r>
        <w:rPr>
          <w:rFonts w:ascii="Times New Roman" w:hAnsi="Times New Roman" w:cs="Times New Roman"/>
          <w:b/>
          <w:bCs/>
          <w:i w:val="0"/>
          <w:iCs w:val="0"/>
          <w:color w:val="auto"/>
        </w:rPr>
        <w:t>DA FASE DE HABILITAÇÃO</w:t>
      </w:r>
      <w:bookmarkEnd w:id="14"/>
    </w:p>
    <w:p w14:paraId="21F59BF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proofErr w:type="spellStart"/>
        <w:r>
          <w:rPr>
            <w:rFonts w:ascii="Times New Roman" w:hAnsi="Times New Roman" w:cs="Times New Roman"/>
            <w:i w:val="0"/>
            <w:iCs w:val="0"/>
            <w:color w:val="auto"/>
            <w:u w:val="single"/>
          </w:rPr>
          <w:t>arts</w:t>
        </w:r>
        <w:proofErr w:type="spellEnd"/>
        <w:r>
          <w:rPr>
            <w:rFonts w:ascii="Times New Roman" w:hAnsi="Times New Roman" w:cs="Times New Roman"/>
            <w:i w:val="0"/>
            <w:iCs w:val="0"/>
            <w:color w:val="auto"/>
            <w:u w:val="single"/>
          </w:rPr>
          <w:t>. 62 a 70 da Lei nº 14.133, de 2021</w:t>
        </w:r>
      </w:hyperlink>
      <w:r>
        <w:rPr>
          <w:rFonts w:ascii="Times New Roman" w:hAnsi="Times New Roman" w:cs="Times New Roman"/>
          <w:i w:val="0"/>
          <w:iCs w:val="0"/>
          <w:color w:val="auto"/>
        </w:rPr>
        <w:t>.</w:t>
      </w:r>
    </w:p>
    <w:p w14:paraId="666D0B4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permitida a participação de empresas estrangeiras que não funcionem no País, as exigências de habilitação serão atendidas mediante documentos equivalentes, inicialmente apresentados em tradução livre.</w:t>
      </w:r>
    </w:p>
    <w:p w14:paraId="0057682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Na hipótese de o licitante vencedor ser empresa estrangeira que não funcione no País, para </w:t>
      </w:r>
      <w:proofErr w:type="spellStart"/>
      <w:r>
        <w:rPr>
          <w:rFonts w:ascii="Times New Roman" w:hAnsi="Times New Roman" w:cs="Times New Roman"/>
          <w:i w:val="0"/>
          <w:iCs w:val="0"/>
          <w:color w:val="auto"/>
        </w:rPr>
        <w:t>ﬁns</w:t>
      </w:r>
      <w:proofErr w:type="spellEnd"/>
      <w:r>
        <w:rPr>
          <w:rFonts w:ascii="Times New Roman" w:hAnsi="Times New Roman" w:cs="Times New Roman"/>
          <w:i w:val="0"/>
          <w:iCs w:val="0"/>
          <w:color w:val="auto"/>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14:paraId="3442AE0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D1C106C"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38AEF67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documentos exigidos para fins de habilitação poderão ser apresentados em original, por cópia.</w:t>
      </w:r>
    </w:p>
    <w:p w14:paraId="2B314CF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Fonts w:ascii="Times New Roman" w:hAnsi="Times New Roman" w:cs="Times New Roman"/>
            <w:i w:val="0"/>
            <w:iCs w:val="0"/>
            <w:color w:val="auto"/>
            <w:u w:val="single"/>
          </w:rPr>
          <w:t>art. 63, I, da Lei nº 14.133/2021</w:t>
        </w:r>
      </w:hyperlink>
      <w:r>
        <w:rPr>
          <w:rFonts w:ascii="Times New Roman" w:hAnsi="Times New Roman" w:cs="Times New Roman"/>
          <w:i w:val="0"/>
          <w:iCs w:val="0"/>
          <w:color w:val="auto"/>
        </w:rPr>
        <w:t>).</w:t>
      </w:r>
    </w:p>
    <w:p w14:paraId="1D6208C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F88A58"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5DE0450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Somente haverá a necessidade de comprovação do preenchimento de requisitos mediante apresentação dos documentos de habilitação originais </w:t>
      </w:r>
      <w:proofErr w:type="spellStart"/>
      <w:r>
        <w:rPr>
          <w:rFonts w:ascii="Times New Roman" w:hAnsi="Times New Roman" w:cs="Times New Roman"/>
          <w:i w:val="0"/>
          <w:iCs w:val="0"/>
          <w:color w:val="auto"/>
        </w:rPr>
        <w:t>não-digitais</w:t>
      </w:r>
      <w:proofErr w:type="spellEnd"/>
      <w:r>
        <w:rPr>
          <w:rFonts w:ascii="Times New Roman" w:hAnsi="Times New Roman" w:cs="Times New Roman"/>
          <w:i w:val="0"/>
          <w:iCs w:val="0"/>
          <w:color w:val="auto"/>
        </w:rPr>
        <w:t xml:space="preserve"> quando houver dúvida em relação à integridade do documento digital ou quando a lei expressamente o exigir. </w:t>
      </w:r>
    </w:p>
    <w:p w14:paraId="7FC62A49"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0512A8D"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 não observância do disposto no item anterior poderá ensejar desclassificação no momento da habilitação. </w:t>
      </w:r>
    </w:p>
    <w:p w14:paraId="74DA631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verificação pelo pregoeiro, em sítios eletrônicos oficiais de órgãos e entidades emissores de certidões constitui meio legal de prova, para fins de habilitação.</w:t>
      </w:r>
    </w:p>
    <w:p w14:paraId="79199EDC"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Os documentos exigidos para habilitação serão enviados por meio do sistema, em formato digital, no prazo</w:t>
      </w:r>
      <w:r>
        <w:rPr>
          <w:rFonts w:ascii="Times New Roman" w:hAnsi="Times New Roman" w:cs="Times New Roman"/>
          <w:b/>
          <w:bCs/>
          <w:i w:val="0"/>
          <w:iCs w:val="0"/>
          <w:color w:val="auto"/>
        </w:rPr>
        <w:t xml:space="preserve"> 120 (cento e vinte) minutos</w:t>
      </w:r>
      <w:r>
        <w:rPr>
          <w:rFonts w:ascii="Times New Roman" w:hAnsi="Times New Roman" w:cs="Times New Roman"/>
          <w:i w:val="0"/>
          <w:iCs w:val="0"/>
          <w:color w:val="auto"/>
        </w:rPr>
        <w:t>, sem prorrogação de deste prazo.</w:t>
      </w:r>
    </w:p>
    <w:p w14:paraId="66F04ED6" w14:textId="77777777" w:rsidR="00BC0049" w:rsidRDefault="002B07EE">
      <w:pPr>
        <w:pStyle w:val="Nvel2-Red"/>
        <w:numPr>
          <w:ilvl w:val="2"/>
          <w:numId w:val="2"/>
        </w:numPr>
        <w:tabs>
          <w:tab w:val="left" w:pos="1154"/>
          <w:tab w:val="left" w:pos="1177"/>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 xml:space="preserve"> </w:t>
      </w:r>
      <w:r>
        <w:rPr>
          <w:rFonts w:ascii="Times New Roman" w:hAnsi="Times New Roman" w:cs="Times New Roman"/>
          <w:b/>
          <w:bCs/>
          <w:color w:val="auto"/>
          <w:u w:val="single"/>
        </w:rPr>
        <w:t>É facultado ao pregoeiro prorrogar o prazo estabelecido, a partir de solicitação fundamentada feita no chat ou através de e-mail, pelo licitante, antes de findo o prazo.</w:t>
      </w:r>
    </w:p>
    <w:p w14:paraId="2C0D5DC1"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Na hipótese de a fase de habilitação anteceder a fase de apresentação de propostas e lances, os licitantes encaminharão, por meio do sistema, simultaneamente os documentos de habilitação e a proposta com o preço ou o percentual de desconto.</w:t>
      </w:r>
    </w:p>
    <w:p w14:paraId="17D2922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verificação da habilitação somente será feita em relação ao licitante vencedor.</w:t>
      </w:r>
    </w:p>
    <w:p w14:paraId="043E92C1"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Os documentos relativos à regularidade fiscal que constem do Termo de Referência somente serão exigidos, em qualquer caso, em momento posterior ao julgamento das propostas, e apenas do licitante mais bem classificado.</w:t>
      </w:r>
    </w:p>
    <w:p w14:paraId="6F90B7BF"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DE61F1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Fonts w:ascii="Times New Roman" w:hAnsi="Times New Roman" w:cs="Times New Roman"/>
            <w:i w:val="0"/>
            <w:iCs w:val="0"/>
            <w:color w:val="auto"/>
            <w:u w:val="single"/>
          </w:rPr>
          <w:t>Lei 14.133/21, art. 64</w:t>
        </w:r>
      </w:hyperlink>
      <w:r>
        <w:rPr>
          <w:rStyle w:val="Hyperlink1"/>
          <w:rFonts w:ascii="Times New Roman" w:hAnsi="Times New Roman" w:cs="Times New Roman"/>
          <w:i w:val="0"/>
          <w:iCs w:val="0"/>
          <w:color w:val="auto"/>
        </w:rPr>
        <w:t>)</w:t>
      </w:r>
      <w:r>
        <w:rPr>
          <w:rFonts w:ascii="Times New Roman" w:hAnsi="Times New Roman" w:cs="Times New Roman"/>
          <w:i w:val="0"/>
          <w:iCs w:val="0"/>
          <w:color w:val="auto"/>
        </w:rPr>
        <w:t>.</w:t>
      </w:r>
    </w:p>
    <w:p w14:paraId="20435CD8" w14:textId="77777777" w:rsidR="00BC0049" w:rsidRDefault="002B07EE">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Complementação de informações acerca dos documentos já apresentados pelos licitantes e desde que necessária para apurar fatos existentes à época da abertura do certame; e</w:t>
      </w:r>
    </w:p>
    <w:p w14:paraId="534D99BE" w14:textId="77777777" w:rsidR="00BC0049" w:rsidRDefault="002B07EE">
      <w:pPr>
        <w:pStyle w:val="Nvel2-Red"/>
        <w:numPr>
          <w:ilvl w:val="2"/>
          <w:numId w:val="2"/>
        </w:numPr>
        <w:tabs>
          <w:tab w:val="left" w:pos="1154"/>
          <w:tab w:val="left" w:pos="1188"/>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Atualização de documentos cuja validade tenha expirado após a data de recebimento das propostas;</w:t>
      </w:r>
    </w:p>
    <w:p w14:paraId="630FEE9B" w14:textId="77777777" w:rsidR="00BC0049" w:rsidRDefault="002B07EE">
      <w:pPr>
        <w:pStyle w:val="Nvel2-Red"/>
        <w:spacing w:before="0" w:after="0" w:line="240" w:lineRule="auto"/>
        <w:rPr>
          <w:rFonts w:ascii="Times New Roman" w:hAnsi="Times New Roman" w:cs="Times New Roman"/>
          <w:i w:val="0"/>
          <w:color w:val="auto"/>
        </w:rPr>
      </w:pPr>
      <w:bookmarkStart w:id="15" w:name="_Ref114670319"/>
      <w:r>
        <w:rPr>
          <w:rFonts w:ascii="Times New Roman" w:hAnsi="Times New Roman" w:cs="Times New Roman"/>
          <w:i w:val="0"/>
          <w:iCs w:val="0"/>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5"/>
    </w:p>
    <w:p w14:paraId="75418F51" w14:textId="77777777" w:rsidR="00BC0049" w:rsidRDefault="002B07EE">
      <w:pPr>
        <w:pStyle w:val="Nvel2-Red"/>
        <w:spacing w:before="0" w:after="0" w:line="240" w:lineRule="auto"/>
        <w:rPr>
          <w:rFonts w:ascii="Times New Roman" w:hAnsi="Times New Roman" w:cs="Times New Roman"/>
          <w:i w:val="0"/>
          <w:color w:val="auto"/>
        </w:rPr>
      </w:pPr>
      <w:bookmarkStart w:id="16" w:name="_Ref114665528"/>
      <w:r>
        <w:rPr>
          <w:rFonts w:ascii="Times New Roman" w:hAnsi="Times New Roman" w:cs="Times New Roman"/>
          <w:i w:val="0"/>
          <w:iCs w:val="0"/>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16"/>
      <w:r>
        <w:rPr>
          <w:rFonts w:ascii="Times New Roman" w:hAnsi="Times New Roman" w:cs="Times New Roman"/>
          <w:i w:val="0"/>
          <w:iCs w:val="0"/>
          <w:color w:val="auto"/>
        </w:rPr>
        <w:t>.</w:t>
      </w:r>
    </w:p>
    <w:p w14:paraId="6F23FC8D" w14:textId="77777777" w:rsidR="00BC0049" w:rsidRDefault="002B07EE">
      <w:pPr>
        <w:pStyle w:val="Nvel2-Red"/>
        <w:spacing w:before="0" w:after="0" w:line="240" w:lineRule="auto"/>
        <w:rPr>
          <w:rFonts w:ascii="Times New Roman" w:hAnsi="Times New Roman" w:cs="Times New Roman"/>
          <w:i w:val="0"/>
          <w:color w:val="auto"/>
        </w:rPr>
      </w:pPr>
      <w:bookmarkStart w:id="17" w:name="_Ref114665515"/>
      <w:r>
        <w:rPr>
          <w:rFonts w:ascii="Times New Roman" w:hAnsi="Times New Roman" w:cs="Times New Roman"/>
          <w:i w:val="0"/>
          <w:iCs w:val="0"/>
          <w:color w:val="auto"/>
        </w:rPr>
        <w:t>Somente serão disponibilizados para acesso público os documentos de habilitação do licitante cuja proposta atenda ao edital de licitação, após concluídos os procedimentos de que trata o subitem anterior</w:t>
      </w:r>
      <w:bookmarkEnd w:id="17"/>
      <w:r>
        <w:rPr>
          <w:rFonts w:ascii="Times New Roman" w:hAnsi="Times New Roman" w:cs="Times New Roman"/>
          <w:i w:val="0"/>
          <w:iCs w:val="0"/>
          <w:color w:val="auto"/>
        </w:rPr>
        <w:t>.</w:t>
      </w:r>
    </w:p>
    <w:p w14:paraId="529C9D3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comprovação de regularidade fiscal e trabalhista das microempresas e das empresas de pequeno porte somente será exigida para efeito de contratação, e não como condição para participação na licitação.</w:t>
      </w:r>
    </w:p>
    <w:p w14:paraId="5D491C4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58CEB7F1" w14:textId="77777777" w:rsidR="00BC0049" w:rsidRDefault="00BC0049">
      <w:pPr>
        <w:pStyle w:val="Nvel2-Red"/>
        <w:numPr>
          <w:ilvl w:val="0"/>
          <w:numId w:val="0"/>
        </w:numPr>
        <w:spacing w:before="0" w:after="0" w:line="240" w:lineRule="auto"/>
        <w:ind w:left="999"/>
        <w:rPr>
          <w:rFonts w:ascii="Times New Roman" w:hAnsi="Times New Roman" w:cs="Times New Roman"/>
          <w:i w:val="0"/>
          <w:color w:val="auto"/>
        </w:rPr>
      </w:pPr>
    </w:p>
    <w:p w14:paraId="0D7384D3"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8" w:name="_Toc135469231"/>
      <w:r>
        <w:rPr>
          <w:rFonts w:ascii="Times New Roman" w:hAnsi="Times New Roman" w:cs="Times New Roman"/>
          <w:b/>
          <w:bCs/>
          <w:i w:val="0"/>
          <w:iCs w:val="0"/>
          <w:color w:val="auto"/>
        </w:rPr>
        <w:t>DA ATA DE REGISTRO DE PREÇOS</w:t>
      </w:r>
      <w:bookmarkEnd w:id="18"/>
    </w:p>
    <w:p w14:paraId="23BB5830"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6532F27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prazo de convocação poderá ser prorrogado uma vez, por igual período, mediante solicitação do licitante mais bem classificado ou do fornecedor convocado, desde que:</w:t>
      </w:r>
    </w:p>
    <w:p w14:paraId="6E8DA96E" w14:textId="77777777" w:rsidR="00BC0049" w:rsidRDefault="002B07EE">
      <w:pPr>
        <w:pStyle w:val="Nivel2"/>
        <w:numPr>
          <w:ilvl w:val="0"/>
          <w:numId w:val="0"/>
        </w:numPr>
        <w:spacing w:before="0" w:after="0" w:line="240" w:lineRule="auto"/>
        <w:ind w:left="2126"/>
        <w:rPr>
          <w:rFonts w:ascii="Times New Roman" w:hAnsi="Times New Roman" w:cs="Times New Roman"/>
          <w:color w:val="auto"/>
        </w:rPr>
      </w:pPr>
      <w:r>
        <w:rPr>
          <w:rFonts w:ascii="Times New Roman" w:hAnsi="Times New Roman" w:cs="Times New Roman"/>
          <w:color w:val="auto"/>
        </w:rPr>
        <w:t>(a) a solicitação seja devidamente justificada e apresentada dentro do prazo; e</w:t>
      </w:r>
    </w:p>
    <w:p w14:paraId="4BA9E31C" w14:textId="77777777" w:rsidR="00BC0049" w:rsidRDefault="002B07EE">
      <w:pPr>
        <w:pStyle w:val="Nivel2"/>
        <w:numPr>
          <w:ilvl w:val="0"/>
          <w:numId w:val="0"/>
        </w:numPr>
        <w:spacing w:before="0" w:after="0" w:line="240" w:lineRule="auto"/>
        <w:ind w:left="2126"/>
        <w:rPr>
          <w:rFonts w:ascii="Times New Roman" w:hAnsi="Times New Roman" w:cs="Times New Roman"/>
          <w:color w:val="auto"/>
        </w:rPr>
      </w:pPr>
      <w:r>
        <w:rPr>
          <w:rFonts w:ascii="Times New Roman" w:hAnsi="Times New Roman" w:cs="Times New Roman"/>
          <w:color w:val="auto"/>
        </w:rPr>
        <w:t>(b) a justificativa apresentada seja aceita pela Administração.</w:t>
      </w:r>
    </w:p>
    <w:p w14:paraId="4F7A96A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ata de registro de preços será assinada por meio de assinatura digital e disponibilizada no sistema de registro de preços.</w:t>
      </w:r>
    </w:p>
    <w:p w14:paraId="2CF1F9E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Serão formalizadas tantas Atas de Registro de Preços quantas forem necessárias para o registro de todos os itens constantes no Termo de Referência, com a indicação do licitante vencedor, a descrição do(s) item(</w:t>
      </w:r>
      <w:proofErr w:type="spellStart"/>
      <w:r>
        <w:rPr>
          <w:rFonts w:ascii="Times New Roman" w:hAnsi="Times New Roman" w:cs="Times New Roman"/>
          <w:i w:val="0"/>
          <w:iCs w:val="0"/>
          <w:color w:val="auto"/>
        </w:rPr>
        <w:t>ns</w:t>
      </w:r>
      <w:proofErr w:type="spellEnd"/>
      <w:r>
        <w:rPr>
          <w:rFonts w:ascii="Times New Roman" w:hAnsi="Times New Roman" w:cs="Times New Roman"/>
          <w:i w:val="0"/>
          <w:iCs w:val="0"/>
          <w:color w:val="auto"/>
        </w:rPr>
        <w:t>), as respectivas quantidades, preços registrados e demais condições.</w:t>
      </w:r>
    </w:p>
    <w:p w14:paraId="5A0C009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preço registrado, com a indicação dos fornecedores, será divulgado no PNCP e disponibilizado durante a vigência da ata de registro de preços.</w:t>
      </w:r>
    </w:p>
    <w:p w14:paraId="197F37C9"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08BE3D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1AFEC45" w14:textId="77777777" w:rsidR="00BC0049" w:rsidRDefault="00BC0049">
      <w:pPr>
        <w:pStyle w:val="Nvel2-Red"/>
        <w:numPr>
          <w:ilvl w:val="0"/>
          <w:numId w:val="0"/>
        </w:numPr>
        <w:spacing w:before="0" w:after="0" w:line="240" w:lineRule="auto"/>
        <w:ind w:left="999"/>
        <w:rPr>
          <w:rFonts w:ascii="Times New Roman" w:hAnsi="Times New Roman" w:cs="Times New Roman"/>
          <w:b/>
          <w:i w:val="0"/>
          <w:color w:val="auto"/>
        </w:rPr>
      </w:pPr>
    </w:p>
    <w:p w14:paraId="6507EC01"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9" w:name="_Toc135469232"/>
      <w:r>
        <w:rPr>
          <w:rFonts w:ascii="Times New Roman" w:hAnsi="Times New Roman" w:cs="Times New Roman"/>
          <w:b/>
          <w:bCs/>
          <w:i w:val="0"/>
          <w:iCs w:val="0"/>
          <w:color w:val="auto"/>
        </w:rPr>
        <w:t>DA FORMAÇÃO DO CADASTRO DE RESERVA</w:t>
      </w:r>
      <w:bookmarkEnd w:id="19"/>
      <w:r>
        <w:rPr>
          <w:rFonts w:ascii="Times New Roman" w:hAnsi="Times New Roman" w:cs="Times New Roman"/>
          <w:b/>
          <w:bCs/>
          <w:i w:val="0"/>
          <w:iCs w:val="0"/>
          <w:color w:val="auto"/>
        </w:rPr>
        <w:t xml:space="preserve"> </w:t>
      </w:r>
    </w:p>
    <w:p w14:paraId="7BF5D380"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a homologação da licitação, será incluído na ata, na forma de anexo, o registro:</w:t>
      </w:r>
    </w:p>
    <w:p w14:paraId="20BFE058" w14:textId="77777777" w:rsidR="00BC0049" w:rsidRDefault="002B07EE">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Dos licitantes </w:t>
      </w:r>
      <w:bookmarkStart w:id="20" w:name="_Hlk132991372"/>
      <w:r>
        <w:rPr>
          <w:rFonts w:ascii="Times New Roman" w:hAnsi="Times New Roman" w:cs="Times New Roman"/>
          <w:i w:val="0"/>
          <w:iCs w:val="0"/>
          <w:color w:val="auto"/>
        </w:rPr>
        <w:t xml:space="preserve">que </w:t>
      </w:r>
      <w:bookmarkStart w:id="21" w:name="_Hlk132989696"/>
      <w:r>
        <w:rPr>
          <w:rFonts w:ascii="Times New Roman" w:hAnsi="Times New Roman" w:cs="Times New Roman"/>
          <w:i w:val="0"/>
          <w:iCs w:val="0"/>
          <w:color w:val="auto"/>
        </w:rPr>
        <w:t>aceitarem cotar o objeto com preço igual ao do adjudicatári</w:t>
      </w:r>
      <w:bookmarkEnd w:id="20"/>
      <w:r>
        <w:rPr>
          <w:rFonts w:ascii="Times New Roman" w:hAnsi="Times New Roman" w:cs="Times New Roman"/>
          <w:i w:val="0"/>
          <w:iCs w:val="0"/>
          <w:color w:val="auto"/>
        </w:rPr>
        <w:t>o</w:t>
      </w:r>
      <w:bookmarkEnd w:id="21"/>
      <w:r>
        <w:rPr>
          <w:rFonts w:ascii="Times New Roman" w:hAnsi="Times New Roman" w:cs="Times New Roman"/>
          <w:i w:val="0"/>
          <w:iCs w:val="0"/>
          <w:color w:val="auto"/>
        </w:rPr>
        <w:t xml:space="preserve">, observada a classificação na licitação; e </w:t>
      </w:r>
    </w:p>
    <w:p w14:paraId="7C0E59C5"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Dos licitantes que mantiverem sua proposta original</w:t>
      </w:r>
    </w:p>
    <w:p w14:paraId="4D96D78C"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respeitada, nas contratações, a ordem de classificação dos licitantes ou fornecedores registrados na ata.</w:t>
      </w:r>
    </w:p>
    <w:p w14:paraId="2ED7EECD"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apresentação de novas propostas na forma deste item não prejudicará o resultado do certame em relação ao licitante mais bem classificado.</w:t>
      </w:r>
    </w:p>
    <w:p w14:paraId="2CF0F941"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Para fins da ordem de classificação, os licitantes ou fornecedores que aceitarem cotar o objeto com preço igual ao do adjudicatário antecederão aqueles que mantiverem sua proposta original.</w:t>
      </w:r>
    </w:p>
    <w:p w14:paraId="3396F0B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 A habilitação dos licitantes que comporão o cadastro de reserva será efetuada quando houver necessidade de contratação dos licitantes remanescentes, nas seguintes hipóteses:</w:t>
      </w:r>
    </w:p>
    <w:p w14:paraId="409DFFAA"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Quando o licitante vencedor não assinar a ata de registro de preços no prazo e nas condições estabelecidos no edital; ou</w:t>
      </w:r>
    </w:p>
    <w:p w14:paraId="0865EC69"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quando houver o cancelamento do registro do fornecedor ou do registro de preços, nas hipóteses previstas nos art. 28 e art. 29 do Decreto nº 11.462/23.</w:t>
      </w:r>
    </w:p>
    <w:p w14:paraId="492B2ED8"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8B0DEE0" w14:textId="77777777" w:rsidR="00BC0049" w:rsidRDefault="002B07EE">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convocar os licitantes que mantiveram sua proposta original para negociação, na ordem de classificação, com vistas à obtenção de preço melhor, mesmo que acima do preço do adjudicatário; ou</w:t>
      </w:r>
    </w:p>
    <w:p w14:paraId="5462F903"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color w:val="auto"/>
        </w:rPr>
      </w:pPr>
      <w:r>
        <w:rPr>
          <w:rFonts w:ascii="Times New Roman" w:hAnsi="Times New Roman" w:cs="Times New Roman"/>
          <w:i w:val="0"/>
          <w:iCs w:val="0"/>
          <w:color w:val="auto"/>
        </w:rPr>
        <w:t>Adjudicar e firmar o contrato nas condições ofertadas pelos licitantes remanescentes, observada a ordem de classificação, quando frustrada a negociação de melhor condição</w:t>
      </w:r>
      <w:r>
        <w:rPr>
          <w:rFonts w:ascii="Times New Roman" w:hAnsi="Times New Roman" w:cs="Times New Roman"/>
          <w:color w:val="auto"/>
        </w:rPr>
        <w:t>.</w:t>
      </w:r>
    </w:p>
    <w:p w14:paraId="73F7C66C" w14:textId="77777777" w:rsidR="00BC0049" w:rsidRDefault="00BC0049">
      <w:pPr>
        <w:pStyle w:val="Nvel2-Red"/>
        <w:numPr>
          <w:ilvl w:val="0"/>
          <w:numId w:val="0"/>
        </w:numPr>
        <w:spacing w:before="0" w:after="0" w:line="240" w:lineRule="auto"/>
        <w:ind w:left="999"/>
        <w:rPr>
          <w:rFonts w:ascii="Times New Roman" w:hAnsi="Times New Roman" w:cs="Times New Roman"/>
          <w:color w:val="auto"/>
        </w:rPr>
      </w:pPr>
    </w:p>
    <w:p w14:paraId="03841161"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22" w:name="_Toc135469233"/>
      <w:r>
        <w:rPr>
          <w:rFonts w:ascii="Times New Roman" w:hAnsi="Times New Roman" w:cs="Times New Roman"/>
          <w:b/>
          <w:bCs/>
          <w:i w:val="0"/>
          <w:iCs w:val="0"/>
          <w:color w:val="auto"/>
        </w:rPr>
        <w:t>DOS RECURSOS</w:t>
      </w:r>
      <w:bookmarkEnd w:id="22"/>
    </w:p>
    <w:p w14:paraId="7C9B585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Fonts w:ascii="Times New Roman" w:hAnsi="Times New Roman" w:cs="Times New Roman"/>
            <w:i w:val="0"/>
            <w:iCs w:val="0"/>
            <w:color w:val="auto"/>
          </w:rPr>
          <w:t>art. 165 da Lei nº 14.133, de 2021</w:t>
        </w:r>
      </w:hyperlink>
      <w:r>
        <w:rPr>
          <w:rFonts w:ascii="Times New Roman" w:hAnsi="Times New Roman" w:cs="Times New Roman"/>
          <w:i w:val="0"/>
          <w:iCs w:val="0"/>
          <w:color w:val="auto"/>
        </w:rPr>
        <w:t>.</w:t>
      </w:r>
    </w:p>
    <w:p w14:paraId="6E988127" w14:textId="77777777" w:rsidR="00BC0049" w:rsidRDefault="002B07EE">
      <w:pPr>
        <w:pStyle w:val="Nvel2-Red"/>
        <w:numPr>
          <w:ilvl w:val="2"/>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prazo recursal é de 3 (três) dias úteis, contados da data de intimação ou de lavratura da ata.</w:t>
      </w:r>
    </w:p>
    <w:p w14:paraId="6B9FB21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o recurso apresentado impugnar o julgamento das propostas ou o ato de habilitação ou inabilitação do licitante:</w:t>
      </w:r>
    </w:p>
    <w:p w14:paraId="687F54F2"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lastRenderedPageBreak/>
        <w:t>A intenção de recorrer deverá ser manifestada imediatamente, sob pena de preclusão;</w:t>
      </w:r>
    </w:p>
    <w:p w14:paraId="77EAC438"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bookmarkStart w:id="23" w:name="_Hlk135315794"/>
      <w:bookmarkStart w:id="24" w:name="_Hlk135318381"/>
      <w:r>
        <w:rPr>
          <w:rFonts w:ascii="Times New Roman" w:hAnsi="Times New Roman" w:cs="Times New Roman"/>
          <w:i w:val="0"/>
          <w:iCs w:val="0"/>
          <w:color w:val="auto"/>
        </w:rPr>
        <w:t>o prazo para a manifestação da intenção de recorrer não será inferior a 15 (quinze) minutos.</w:t>
      </w:r>
      <w:bookmarkEnd w:id="23"/>
      <w:bookmarkEnd w:id="24"/>
    </w:p>
    <w:p w14:paraId="04767F4D"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prazo para apresentação das razões recursais será iniciado na data de intimação ou de lavratura da ata de habilitação ou inabilitação;</w:t>
      </w:r>
    </w:p>
    <w:p w14:paraId="50FE5043"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Na hipótese de adoção da inversão de fases prevista no </w:t>
      </w:r>
      <w:hyperlink r:id="rId25" w:tooltip="http://www.planalto.gov.br/ccivil_03/_ato2019-2022/2021/lei/L14133.htm#art17§1&quot; l &quot;art17§1">
        <w:r>
          <w:rPr>
            <w:rFonts w:ascii="Times New Roman" w:hAnsi="Times New Roman" w:cs="Times New Roman"/>
            <w:i w:val="0"/>
            <w:iCs w:val="0"/>
            <w:color w:val="auto"/>
          </w:rPr>
          <w:t>§ 1º do art. 17 da Lei nº 14.133, de 2021</w:t>
        </w:r>
      </w:hyperlink>
      <w:r>
        <w:rPr>
          <w:rFonts w:ascii="Times New Roman" w:hAnsi="Times New Roman" w:cs="Times New Roman"/>
          <w:i w:val="0"/>
          <w:iCs w:val="0"/>
          <w:color w:val="auto"/>
        </w:rPr>
        <w:t>, o prazo para apresentação das razões recursais será iniciado na data de intimação da ata de julgamento.</w:t>
      </w:r>
    </w:p>
    <w:p w14:paraId="475A096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recursos deverão ser encaminhados exclusivamente em campo próprio do sistema.</w:t>
      </w:r>
    </w:p>
    <w:p w14:paraId="6426D5C8"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40E44A0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recursos interpostos fora do prazo não serão conhecidos. </w:t>
      </w:r>
    </w:p>
    <w:p w14:paraId="10F999E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2913FA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recurso e o pedido de reconsideração terão efeito suspensivo do ato ou da decisão recorrida até que sobrevenha decisão final da autoridade competente. </w:t>
      </w:r>
    </w:p>
    <w:p w14:paraId="2944C21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acolhimento do recurso invalida tão somente os atos insuscetíveis de aproveitamento. </w:t>
      </w:r>
    </w:p>
    <w:p w14:paraId="4DD7AC7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autos do processo permanecerão com vista franqueada aos interessados no sítio eletrônico </w:t>
      </w:r>
      <w:hyperlink r:id="rId26">
        <w:r>
          <w:rPr>
            <w:rFonts w:ascii="Times New Roman" w:hAnsi="Times New Roman" w:cs="Times New Roman"/>
            <w:i w:val="0"/>
            <w:iCs w:val="0"/>
            <w:color w:val="auto"/>
            <w:u w:val="single"/>
          </w:rPr>
          <w:t>www.santabarbaradosul.rs.gov.br</w:t>
        </w:r>
      </w:hyperlink>
      <w:r>
        <w:rPr>
          <w:rFonts w:ascii="Times New Roman" w:hAnsi="Times New Roman" w:cs="Times New Roman"/>
          <w:i w:val="0"/>
          <w:iCs w:val="0"/>
          <w:color w:val="auto"/>
        </w:rPr>
        <w:t xml:space="preserve"> </w:t>
      </w:r>
    </w:p>
    <w:p w14:paraId="65FF906A" w14:textId="77777777" w:rsidR="00BC0049" w:rsidRDefault="00BC0049">
      <w:pPr>
        <w:pStyle w:val="Nvel2-Red"/>
        <w:numPr>
          <w:ilvl w:val="0"/>
          <w:numId w:val="0"/>
        </w:numPr>
        <w:spacing w:before="0" w:after="0" w:line="240" w:lineRule="auto"/>
        <w:rPr>
          <w:rFonts w:ascii="Times New Roman" w:hAnsi="Times New Roman" w:cs="Times New Roman"/>
          <w:i w:val="0"/>
          <w:color w:val="auto"/>
        </w:rPr>
      </w:pPr>
    </w:p>
    <w:p w14:paraId="18542E24"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25" w:name="_Toc135469234"/>
      <w:r>
        <w:rPr>
          <w:rFonts w:ascii="Times New Roman" w:hAnsi="Times New Roman" w:cs="Times New Roman"/>
          <w:b/>
          <w:bCs/>
          <w:i w:val="0"/>
          <w:iCs w:val="0"/>
          <w:color w:val="auto"/>
        </w:rPr>
        <w:t>DAS INFRAÇÕES ADMINISTRATIVAS E SANÇÕES</w:t>
      </w:r>
      <w:bookmarkEnd w:id="25"/>
    </w:p>
    <w:p w14:paraId="707AE9A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Comete infração administrativa, nos termos da lei, o licitante que, com dolo ou culpa: </w:t>
      </w:r>
    </w:p>
    <w:p w14:paraId="36638071"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bookmarkStart w:id="26" w:name="_Ref114668085"/>
      <w:bookmarkStart w:id="27" w:name="_Hlk114652595"/>
      <w:r>
        <w:rPr>
          <w:rFonts w:ascii="Times New Roman" w:hAnsi="Times New Roman" w:cs="Times New Roman"/>
          <w:i w:val="0"/>
          <w:iCs w:val="0"/>
          <w:color w:val="auto"/>
        </w:rPr>
        <w:t>Deixar de entregar a documentação exigida para o certame ou não entregar qualquer documento que tenha sido solicitado pelo/a pregoeiro/a durante o certame;</w:t>
      </w:r>
      <w:bookmarkEnd w:id="26"/>
    </w:p>
    <w:p w14:paraId="22434CCA"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bookmarkStart w:id="28" w:name="_Ref114668108"/>
      <w:r>
        <w:rPr>
          <w:rFonts w:ascii="Times New Roman" w:hAnsi="Times New Roman" w:cs="Times New Roman"/>
          <w:i w:val="0"/>
          <w:iCs w:val="0"/>
          <w:color w:val="auto"/>
        </w:rPr>
        <w:t>Salvo em decorrência de fato superveniente devidamente justificado, não mantiver a proposta em especial quando:</w:t>
      </w:r>
      <w:bookmarkEnd w:id="28"/>
    </w:p>
    <w:p w14:paraId="0AE59DC7" w14:textId="77777777" w:rsidR="00BC0049" w:rsidRDefault="002B07EE">
      <w:pPr>
        <w:pStyle w:val="Nvel2-Red"/>
        <w:numPr>
          <w:ilvl w:val="3"/>
          <w:numId w:val="2"/>
        </w:numPr>
        <w:tabs>
          <w:tab w:val="left" w:pos="124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Não enviar a proposta adequada ao último lance ofertado ou após a negociação; </w:t>
      </w:r>
    </w:p>
    <w:p w14:paraId="25E29E35"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Recusar-se a enviar o detalhamento da proposta quando exigível; </w:t>
      </w:r>
    </w:p>
    <w:p w14:paraId="01DC129A"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Pedir para ser desclassificado quando encerrada a etapa competitiva; ou </w:t>
      </w:r>
    </w:p>
    <w:p w14:paraId="72C24C06"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Deixar de apresentar amostra;</w:t>
      </w:r>
    </w:p>
    <w:p w14:paraId="22EB7739"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Apresentar proposta ou amostra em desacordo com as especificações do edital; </w:t>
      </w:r>
    </w:p>
    <w:p w14:paraId="3E49859F" w14:textId="77777777"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bookmarkStart w:id="29" w:name="_Ref114668139"/>
      <w:r>
        <w:rPr>
          <w:rFonts w:ascii="Times New Roman" w:hAnsi="Times New Roman" w:cs="Times New Roman"/>
          <w:i w:val="0"/>
          <w:iCs w:val="0"/>
          <w:color w:val="auto"/>
        </w:rPr>
        <w:t>Não celebrar o contrato ou não entregar a documentação exigida para a contratação, quando convocado dentro do prazo de validade de sua proposta;</w:t>
      </w:r>
      <w:bookmarkEnd w:id="29"/>
    </w:p>
    <w:p w14:paraId="2597FC48"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Recusar-se, sem justificativa, a assinar o contrato ou a ata de registro de preço, ou a aceitar ou retirar o instrumento equivalente no prazo estabelecido pela Administração;</w:t>
      </w:r>
    </w:p>
    <w:p w14:paraId="52B60FA0"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bookmarkStart w:id="30" w:name="_Ref114668249"/>
      <w:r>
        <w:rPr>
          <w:rFonts w:ascii="Times New Roman" w:hAnsi="Times New Roman" w:cs="Times New Roman"/>
          <w:i w:val="0"/>
          <w:iCs w:val="0"/>
          <w:color w:val="auto"/>
        </w:rPr>
        <w:t>Apresentar declaração ou documentação falsa exigida para o certame ou prestar declaração falsa durante a licitação</w:t>
      </w:r>
      <w:bookmarkEnd w:id="30"/>
      <w:r>
        <w:rPr>
          <w:rFonts w:ascii="Times New Roman" w:hAnsi="Times New Roman" w:cs="Times New Roman"/>
          <w:i w:val="0"/>
          <w:iCs w:val="0"/>
          <w:color w:val="auto"/>
        </w:rPr>
        <w:t>;</w:t>
      </w:r>
    </w:p>
    <w:p w14:paraId="2D82532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bookmarkStart w:id="31" w:name="_Ref114668245"/>
      <w:r>
        <w:rPr>
          <w:rFonts w:ascii="Times New Roman" w:hAnsi="Times New Roman" w:cs="Times New Roman"/>
          <w:i w:val="0"/>
          <w:iCs w:val="0"/>
          <w:color w:val="auto"/>
        </w:rPr>
        <w:t>Fraudar a licitação</w:t>
      </w:r>
      <w:bookmarkEnd w:id="31"/>
      <w:r>
        <w:rPr>
          <w:rFonts w:ascii="Times New Roman" w:hAnsi="Times New Roman" w:cs="Times New Roman"/>
          <w:i w:val="0"/>
          <w:iCs w:val="0"/>
          <w:color w:val="auto"/>
        </w:rPr>
        <w:t>,</w:t>
      </w:r>
    </w:p>
    <w:p w14:paraId="7BBDCE52" w14:textId="77777777"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bookmarkStart w:id="32" w:name="_Ref114668247"/>
      <w:r>
        <w:rPr>
          <w:rFonts w:ascii="Times New Roman" w:hAnsi="Times New Roman" w:cs="Times New Roman"/>
          <w:i w:val="0"/>
          <w:iCs w:val="0"/>
          <w:color w:val="auto"/>
        </w:rPr>
        <w:t>Comportar-se de modo inidôneo ou cometer fraude de qualquer natureza, em especial quando:</w:t>
      </w:r>
      <w:bookmarkEnd w:id="32"/>
    </w:p>
    <w:p w14:paraId="3BA10BFC"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Agir em conluio ou em desconformidade com a lei; </w:t>
      </w:r>
    </w:p>
    <w:p w14:paraId="2C55A77A"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Induzir deliberadamente a erro no julgamento; </w:t>
      </w:r>
    </w:p>
    <w:p w14:paraId="6D06C07E"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Apresentar amostra falsificada ou deteriorada; </w:t>
      </w:r>
    </w:p>
    <w:p w14:paraId="3713A56C" w14:textId="77777777" w:rsidR="00BC0049" w:rsidRDefault="002B07EE">
      <w:pPr>
        <w:pStyle w:val="Nvel2-Red"/>
        <w:numPr>
          <w:ilvl w:val="3"/>
          <w:numId w:val="2"/>
        </w:numPr>
        <w:spacing w:before="0" w:after="0" w:line="240" w:lineRule="auto"/>
        <w:ind w:left="999" w:hanging="432"/>
        <w:rPr>
          <w:rFonts w:ascii="Times New Roman" w:hAnsi="Times New Roman" w:cs="Times New Roman"/>
          <w:b/>
          <w:i w:val="0"/>
          <w:color w:val="auto"/>
        </w:rPr>
      </w:pPr>
      <w:bookmarkStart w:id="33" w:name="_Ref114668251"/>
      <w:r>
        <w:rPr>
          <w:rFonts w:ascii="Times New Roman" w:hAnsi="Times New Roman" w:cs="Times New Roman"/>
          <w:i w:val="0"/>
          <w:iCs w:val="0"/>
          <w:color w:val="auto"/>
        </w:rPr>
        <w:t>Praticar atos ilícitos com vistas a frustrar os objetivos da licitação</w:t>
      </w:r>
      <w:bookmarkEnd w:id="33"/>
    </w:p>
    <w:p w14:paraId="07BDFF9F" w14:textId="77777777" w:rsidR="00BC0049" w:rsidRDefault="002B07EE">
      <w:pPr>
        <w:pStyle w:val="Nvel2-Red"/>
        <w:numPr>
          <w:ilvl w:val="3"/>
          <w:numId w:val="2"/>
        </w:numPr>
        <w:spacing w:before="0" w:after="0" w:line="240" w:lineRule="auto"/>
        <w:ind w:left="999" w:hanging="432"/>
        <w:rPr>
          <w:rFonts w:ascii="Times New Roman" w:hAnsi="Times New Roman" w:cs="Times New Roman"/>
          <w:b/>
          <w:i w:val="0"/>
          <w:color w:val="auto"/>
        </w:rPr>
      </w:pPr>
      <w:bookmarkStart w:id="34" w:name="_Ref114668252"/>
      <w:r>
        <w:rPr>
          <w:rFonts w:ascii="Times New Roman" w:hAnsi="Times New Roman" w:cs="Times New Roman"/>
          <w:i w:val="0"/>
          <w:iCs w:val="0"/>
          <w:color w:val="auto"/>
        </w:rPr>
        <w:t xml:space="preserve">Praticar ato lesivo previsto no </w:t>
      </w:r>
      <w:hyperlink r:id="rId27" w:tooltip="https://www.planalto.gov.br/ccivil_03/_ato2011-2014/2013/lei/l12846.htm#art5&quot; l &quot;art5">
        <w:r>
          <w:rPr>
            <w:rFonts w:ascii="Times New Roman" w:hAnsi="Times New Roman" w:cs="Times New Roman"/>
            <w:i w:val="0"/>
            <w:iCs w:val="0"/>
            <w:color w:val="auto"/>
          </w:rPr>
          <w:t>art. 5º da Lei n.º 12.846, de 2013</w:t>
        </w:r>
      </w:hyperlink>
      <w:r>
        <w:rPr>
          <w:rFonts w:ascii="Times New Roman" w:hAnsi="Times New Roman" w:cs="Times New Roman"/>
          <w:i w:val="0"/>
          <w:iCs w:val="0"/>
          <w:color w:val="auto"/>
        </w:rPr>
        <w:t>.</w:t>
      </w:r>
      <w:bookmarkEnd w:id="27"/>
      <w:bookmarkEnd w:id="34"/>
    </w:p>
    <w:p w14:paraId="1F04330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Com fulcro na </w:t>
      </w:r>
      <w:hyperlink r:id="rId28" w:tooltip="http://www.planalto.gov.br/ccivil_03/_ato2019-2022/2021/lei/L14133.htm">
        <w:r>
          <w:rPr>
            <w:rFonts w:ascii="Times New Roman" w:hAnsi="Times New Roman" w:cs="Times New Roman"/>
            <w:i w:val="0"/>
            <w:iCs w:val="0"/>
            <w:color w:val="auto"/>
            <w:u w:val="single"/>
          </w:rPr>
          <w:t>Lei nº 14.133, de 2021</w:t>
        </w:r>
      </w:hyperlink>
      <w:r>
        <w:rPr>
          <w:rFonts w:ascii="Times New Roman" w:hAnsi="Times New Roman" w:cs="Times New Roman"/>
          <w:i w:val="0"/>
          <w:iCs w:val="0"/>
          <w:color w:val="auto"/>
        </w:rPr>
        <w:t xml:space="preserve">, a Administração poderá, garantida a prévia defesa, aplicar aos licitantes e/ou adjudicatários as seguintes sanções, sem prejuízo das responsabilidades civil e criminal: </w:t>
      </w:r>
    </w:p>
    <w:p w14:paraId="7F2588B3"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Advertência;</w:t>
      </w:r>
    </w:p>
    <w:p w14:paraId="5DFA24F9"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Multa;</w:t>
      </w:r>
    </w:p>
    <w:p w14:paraId="60695EAA"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Impedimento de licitar e contratar e</w:t>
      </w:r>
    </w:p>
    <w:p w14:paraId="4561836A"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Declaração de inidoneidade para licitar ou contratar, enquanto perdurarem os motivos determinantes da punição ou até que seja promovida sua reabilitação perante a própria autoridade que aplicou a penalidade</w:t>
      </w:r>
    </w:p>
    <w:p w14:paraId="48FB4350"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aplicação das sanções serão considerados:</w:t>
      </w:r>
    </w:p>
    <w:p w14:paraId="6A522AAD"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natureza e a gravidade da infração cometida.</w:t>
      </w:r>
    </w:p>
    <w:p w14:paraId="6D3C2E26"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As peculiaridades do caso concreto</w:t>
      </w:r>
    </w:p>
    <w:p w14:paraId="38C358F2"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As circunstâncias agravantes ou atenuantes</w:t>
      </w:r>
    </w:p>
    <w:p w14:paraId="3938208B"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Os danos que dela provierem para a Administração Pública</w:t>
      </w:r>
    </w:p>
    <w:p w14:paraId="39454C2A"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lastRenderedPageBreak/>
        <w:t>A implantação ou o aperfeiçoamento de programa de integridade, conforme normas e orientações dos órgãos de controle.</w:t>
      </w:r>
    </w:p>
    <w:p w14:paraId="3287AEA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multa será recolhida em percentual de 30% incidente sobre o valor do contrato licitado, recolhida no prazo máximo de 05 (dias) úteis, a contar da comunicação oficial. </w:t>
      </w:r>
    </w:p>
    <w:p w14:paraId="1A448D92" w14:textId="7FDCFEBA"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bookmarkStart w:id="35" w:name="_Hlk113876035"/>
      <w:r>
        <w:rPr>
          <w:rFonts w:ascii="Times New Roman" w:hAnsi="Times New Roman" w:cs="Times New Roman"/>
          <w:i w:val="0"/>
          <w:iCs w:val="0"/>
          <w:color w:val="auto"/>
        </w:rPr>
        <w:t xml:space="preserve">Para as infrações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a multa será de 15% do valor do contrato licitado.</w:t>
      </w:r>
      <w:bookmarkEnd w:id="35"/>
    </w:p>
    <w:p w14:paraId="52F7DD66" w14:textId="4A3FC898"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Para as infrações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_Ref114668247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_Ref114668251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_Ref114668252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12.1.6.5</w:t>
      </w:r>
      <w:r>
        <w:rPr>
          <w:rFonts w:ascii="Times New Roman" w:hAnsi="Times New Roman" w:cs="Times New Roman"/>
          <w:i w:val="0"/>
          <w:iCs w:val="0"/>
          <w:color w:val="auto"/>
        </w:rPr>
        <w:fldChar w:fldCharType="end"/>
      </w:r>
      <w:r>
        <w:rPr>
          <w:rFonts w:ascii="Times New Roman" w:hAnsi="Times New Roman" w:cs="Times New Roman"/>
          <w:i w:val="0"/>
          <w:iCs w:val="0"/>
          <w:color w:val="auto"/>
        </w:rPr>
        <w:t>, a multa será de 30% do valor do contrato licitado.</w:t>
      </w:r>
    </w:p>
    <w:p w14:paraId="09F5773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As sanções de advertência, impedimento de licitar e contratar e declaração de inidoneidade para licitar ou contratar poderão ser aplicadas, cumulativamente ou não, à penalidade de multa</w:t>
      </w:r>
    </w:p>
    <w:p w14:paraId="28EB0E5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aplicação da sanção de multa será facultada a defesa do interessado no prazo de 15 (quinze) dias úteis, contado da data de sua intimação.</w:t>
      </w:r>
    </w:p>
    <w:p w14:paraId="5C91CA2A" w14:textId="55A32DCC"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sanção de impedimento de licitar e contratar será aplicada ao responsável em decorrência das infrações administrativas relacionadas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FC47AE1" w14:textId="7966718A" w:rsidR="00BC0049" w:rsidRPr="001C3D24" w:rsidRDefault="002B07EE" w:rsidP="001C3D24">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Poderá ser aplicada ao responsável a sanção de declaração de inidoneidade para licitar ou contratar, em decorrência da prática das infrações dispostas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_Ref114668247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_Ref114668251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_Ref114668252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bem como pelas infrações administrativas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que justifiquem a imposição de penalidade mais grave que a sanção de impedimento de licitar e contratar, cuja duração observará o</w:t>
      </w:r>
      <w:r w:rsidR="001C3D24">
        <w:rPr>
          <w:rFonts w:ascii="Times New Roman" w:hAnsi="Times New Roman" w:cs="Times New Roman"/>
          <w:i w:val="0"/>
          <w:color w:val="auto"/>
        </w:rPr>
        <w:t xml:space="preserve"> </w:t>
      </w:r>
      <w:r w:rsidRPr="001C3D24">
        <w:rPr>
          <w:rFonts w:ascii="Times New Roman" w:hAnsi="Times New Roman" w:cs="Times New Roman"/>
          <w:i w:val="0"/>
          <w:iCs w:val="0"/>
          <w:color w:val="auto"/>
        </w:rPr>
        <w:t xml:space="preserve">prazo previsto no </w:t>
      </w:r>
      <w:hyperlink r:id="rId29" w:tooltip="http://www.planalto.gov.br/ccivil_03/_ato2019-2022/2021/lei/L14133.htm#art156§5&quot; l &quot;art156§5">
        <w:r w:rsidRPr="001C3D24">
          <w:rPr>
            <w:rFonts w:ascii="Times New Roman" w:hAnsi="Times New Roman" w:cs="Times New Roman"/>
            <w:i w:val="0"/>
            <w:iCs w:val="0"/>
            <w:color w:val="auto"/>
          </w:rPr>
          <w:t>art. 156, §5º, da Lei n.º 14.133/2021</w:t>
        </w:r>
      </w:hyperlink>
      <w:r w:rsidRPr="001C3D24">
        <w:rPr>
          <w:rFonts w:ascii="Times New Roman" w:hAnsi="Times New Roman" w:cs="Times New Roman"/>
          <w:i w:val="0"/>
          <w:iCs w:val="0"/>
          <w:color w:val="auto"/>
        </w:rPr>
        <w:t>.</w:t>
      </w:r>
    </w:p>
    <w:p w14:paraId="2FAAF8EF" w14:textId="347F0C99"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caracterizará o descumprimento total da obrigação assumida e o sujeitará às penalidades e à imediata perda da garantia de proposta em favor do órgão ou entidade promotora da licitação.</w:t>
      </w:r>
    </w:p>
    <w:p w14:paraId="4D1CB194" w14:textId="77777777" w:rsidR="00BC0049" w:rsidRDefault="002B07EE">
      <w:pPr>
        <w:pStyle w:val="Nvel2-Red"/>
        <w:tabs>
          <w:tab w:val="left" w:pos="1119"/>
          <w:tab w:val="left" w:pos="1177"/>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0D562EA" w14:textId="77777777" w:rsidR="00BC0049" w:rsidRDefault="002B07EE">
      <w:pPr>
        <w:pStyle w:val="Nvel2-Red"/>
        <w:tabs>
          <w:tab w:val="left" w:pos="11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409747" w14:textId="77777777" w:rsidR="00BC0049" w:rsidRDefault="002B07EE">
      <w:pPr>
        <w:pStyle w:val="Nvel2-Red"/>
        <w:tabs>
          <w:tab w:val="left" w:pos="11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F86AB0" w14:textId="77777777" w:rsidR="00BC0049" w:rsidRDefault="002B07EE">
      <w:pPr>
        <w:pStyle w:val="Nvel2-Red"/>
        <w:tabs>
          <w:tab w:val="left" w:pos="114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recurso e o pedido de reconsideração terão efeito suspensivo do ato ou da decisão recorrida até que sobrevenha decisão final da autoridade competente.</w:t>
      </w:r>
    </w:p>
    <w:p w14:paraId="5A21D15B" w14:textId="77777777" w:rsidR="00BC0049" w:rsidRDefault="002B07EE">
      <w:pPr>
        <w:pStyle w:val="Nvel2-Red"/>
        <w:tabs>
          <w:tab w:val="left" w:pos="1119"/>
        </w:tabs>
        <w:spacing w:before="0" w:after="0" w:line="240" w:lineRule="auto"/>
        <w:rPr>
          <w:rFonts w:ascii="Times New Roman" w:hAnsi="Times New Roman" w:cs="Times New Roman"/>
          <w:color w:val="auto"/>
        </w:rPr>
      </w:pPr>
      <w:r>
        <w:rPr>
          <w:rFonts w:ascii="Times New Roman" w:hAnsi="Times New Roman" w:cs="Times New Roman"/>
          <w:i w:val="0"/>
          <w:iCs w:val="0"/>
          <w:color w:val="auto"/>
        </w:rPr>
        <w:t>A aplicação das sanções previstas neste edital não exclui, em hipótese alguma, a obrigação de reparação integral dos danos causados</w:t>
      </w:r>
      <w:r>
        <w:rPr>
          <w:rFonts w:ascii="Times New Roman" w:hAnsi="Times New Roman" w:cs="Times New Roman"/>
          <w:color w:val="auto"/>
        </w:rPr>
        <w:t>.</w:t>
      </w:r>
    </w:p>
    <w:p w14:paraId="5E696DB8" w14:textId="77777777" w:rsidR="00BC0049" w:rsidRDefault="00BC0049">
      <w:pPr>
        <w:pStyle w:val="Nvel2-Red"/>
        <w:numPr>
          <w:ilvl w:val="0"/>
          <w:numId w:val="0"/>
        </w:numPr>
        <w:spacing w:before="0" w:after="0" w:line="240" w:lineRule="auto"/>
        <w:rPr>
          <w:rFonts w:ascii="Times New Roman" w:hAnsi="Times New Roman" w:cs="Times New Roman"/>
          <w:color w:val="auto"/>
        </w:rPr>
      </w:pPr>
    </w:p>
    <w:p w14:paraId="0DA307A2"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36" w:name="_Toc135469235"/>
      <w:r>
        <w:rPr>
          <w:rFonts w:ascii="Times New Roman" w:hAnsi="Times New Roman" w:cs="Times New Roman"/>
          <w:b/>
          <w:bCs/>
          <w:i w:val="0"/>
          <w:iCs w:val="0"/>
          <w:color w:val="auto"/>
        </w:rPr>
        <w:t>DA IMPUGNAÇÃO AO EDITAL E DO PEDIDO DE ESCLARECIMENTO</w:t>
      </w:r>
      <w:bookmarkEnd w:id="36"/>
    </w:p>
    <w:p w14:paraId="426898E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Qualquer pessoa é parte legítima para impugnar este Edital por irregularidade na aplicação da </w:t>
      </w:r>
      <w:hyperlink r:id="rId30" w:tooltip="http://www.planalto.gov.br/ccivil_03/_ato2019-2022/2021/lei/L14133.htm">
        <w:r>
          <w:rPr>
            <w:rFonts w:ascii="Times New Roman" w:hAnsi="Times New Roman" w:cs="Times New Roman"/>
            <w:i w:val="0"/>
            <w:iCs w:val="0"/>
            <w:color w:val="auto"/>
          </w:rPr>
          <w:t>Lei nº 14.133, de 2021</w:t>
        </w:r>
      </w:hyperlink>
      <w:r>
        <w:rPr>
          <w:rFonts w:ascii="Times New Roman" w:hAnsi="Times New Roman" w:cs="Times New Roman"/>
          <w:i w:val="0"/>
          <w:iCs w:val="0"/>
          <w:color w:val="auto"/>
        </w:rPr>
        <w:t>, devendo protocolar o pedido até 3 (três) dias úteis antes da data da abertura do certame.</w:t>
      </w:r>
    </w:p>
    <w:p w14:paraId="41BDF76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resposta à impugnação ou ao pedido de esclarecimento será divulgado em sítio eletrônico oficial no prazo de até 3 (três) dias úteis, limitado ao último dia útil anterior à data da abertura do certame.</w:t>
      </w:r>
    </w:p>
    <w:p w14:paraId="2FCA354B" w14:textId="77777777" w:rsidR="00BC0049" w:rsidRDefault="002B07EE">
      <w:pPr>
        <w:ind w:firstLine="426"/>
        <w:jc w:val="center"/>
        <w:rPr>
          <w:rFonts w:ascii="Times New Roman" w:hAnsi="Times New Roman" w:cs="Times New Roman"/>
          <w:sz w:val="20"/>
          <w:szCs w:val="20"/>
        </w:rPr>
      </w:pPr>
      <w:r>
        <w:rPr>
          <w:rFonts w:ascii="Times New Roman" w:hAnsi="Times New Roman" w:cs="Times New Roman"/>
          <w:sz w:val="20"/>
          <w:szCs w:val="20"/>
        </w:rPr>
        <w:t xml:space="preserve">A impugnação e o pedido de esclarecimento poderão ser realizados por EXCLUSIVAMENTE na forma eletrônica, pelos seguintes meios: </w:t>
      </w:r>
      <w:hyperlink r:id="rId31">
        <w:r>
          <w:rPr>
            <w:rFonts w:ascii="Times New Roman" w:hAnsi="Times New Roman" w:cs="Times New Roman"/>
            <w:sz w:val="20"/>
            <w:szCs w:val="20"/>
            <w:u w:val="single"/>
          </w:rPr>
          <w:t>licita@santabarbaradosul.rs.gov.br</w:t>
        </w:r>
      </w:hyperlink>
      <w:r>
        <w:rPr>
          <w:rStyle w:val="Hyperlink1"/>
          <w:rFonts w:ascii="Times New Roman" w:hAnsi="Times New Roman" w:cs="Times New Roman"/>
          <w:color w:val="auto"/>
          <w:sz w:val="20"/>
          <w:szCs w:val="20"/>
        </w:rPr>
        <w:t xml:space="preserve"> </w:t>
      </w:r>
      <w:r>
        <w:rPr>
          <w:rStyle w:val="Hyperlink1"/>
          <w:rFonts w:ascii="Times New Roman" w:hAnsi="Times New Roman" w:cs="Times New Roman"/>
          <w:color w:val="auto"/>
          <w:sz w:val="20"/>
          <w:szCs w:val="20"/>
          <w:u w:val="none"/>
        </w:rPr>
        <w:t xml:space="preserve">ou </w:t>
      </w:r>
      <w:hyperlink r:id="rId32">
        <w:r>
          <w:rPr>
            <w:rStyle w:val="Hyperlink"/>
            <w:rFonts w:ascii="Times New Roman" w:hAnsi="Times New Roman" w:cs="Times New Roman"/>
            <w:sz w:val="20"/>
            <w:szCs w:val="20"/>
          </w:rPr>
          <w:t>https://pregaobanrisul.com.br</w:t>
        </w:r>
      </w:hyperlink>
      <w:r>
        <w:rPr>
          <w:rFonts w:ascii="Times New Roman" w:hAnsi="Times New Roman" w:cs="Times New Roman"/>
          <w:sz w:val="20"/>
          <w:szCs w:val="20"/>
        </w:rPr>
        <w:t xml:space="preserve"> </w:t>
      </w:r>
    </w:p>
    <w:p w14:paraId="7B6B3B29"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As impugnações e pedidos de esclarecimentos não suspendem os prazos previstos no certame.</w:t>
      </w:r>
    </w:p>
    <w:p w14:paraId="5BC98795" w14:textId="77777777" w:rsidR="00BC0049" w:rsidRDefault="002B07EE">
      <w:pPr>
        <w:pStyle w:val="Nvel2-Red"/>
        <w:numPr>
          <w:ilvl w:val="2"/>
          <w:numId w:val="2"/>
        </w:numPr>
        <w:tabs>
          <w:tab w:val="left" w:pos="1119"/>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concessão de efeito suspensivo à impugnação é medida excepcional e deverá ser motivada pelo agente de contratação, nos autos do processo de licitação.</w:t>
      </w:r>
    </w:p>
    <w:p w14:paraId="5D634A5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Acolhida a impugnação, será definida e publicada nova data para a realização do certame.</w:t>
      </w:r>
    </w:p>
    <w:p w14:paraId="452835C3" w14:textId="77777777" w:rsidR="00BC0049" w:rsidRDefault="00BC0049">
      <w:pPr>
        <w:pStyle w:val="Nvel2-Red"/>
        <w:numPr>
          <w:ilvl w:val="0"/>
          <w:numId w:val="0"/>
        </w:numPr>
        <w:spacing w:before="0" w:after="0" w:line="240" w:lineRule="auto"/>
        <w:rPr>
          <w:rFonts w:ascii="Times New Roman" w:hAnsi="Times New Roman" w:cs="Times New Roman"/>
          <w:b/>
          <w:i w:val="0"/>
          <w:color w:val="auto"/>
        </w:rPr>
      </w:pPr>
    </w:p>
    <w:p w14:paraId="32A3563A"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r>
        <w:rPr>
          <w:rFonts w:ascii="Times New Roman" w:hAnsi="Times New Roman" w:cs="Times New Roman"/>
          <w:b/>
          <w:bCs/>
          <w:i w:val="0"/>
          <w:iCs w:val="0"/>
          <w:color w:val="auto"/>
        </w:rPr>
        <w:t>DO REAJUSTE CONTRATUAL</w:t>
      </w:r>
    </w:p>
    <w:p w14:paraId="3F2FC77C" w14:textId="77777777" w:rsidR="00BC0049" w:rsidRDefault="002B07EE">
      <w:pPr>
        <w:pStyle w:val="Nvel2-Red"/>
        <w:numPr>
          <w:ilvl w:val="0"/>
          <w:numId w:val="0"/>
        </w:numPr>
        <w:spacing w:before="0" w:after="0" w:line="240" w:lineRule="auto"/>
        <w:ind w:left="567"/>
        <w:rPr>
          <w:rFonts w:ascii="Times New Roman" w:hAnsi="Times New Roman" w:cs="Times New Roman"/>
          <w:b/>
          <w:i w:val="0"/>
          <w:color w:val="auto"/>
        </w:rPr>
      </w:pPr>
      <w:r>
        <w:rPr>
          <w:rFonts w:ascii="Times New Roman" w:eastAsia="Times New Roman" w:hAnsi="Times New Roman" w:cs="Times New Roman"/>
          <w:i w:val="0"/>
          <w:iCs w:val="0"/>
          <w:color w:val="auto"/>
        </w:rPr>
        <w:lastRenderedPageBreak/>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ascii="Times New Roman" w:eastAsia="Times New Roman" w:hAnsi="Times New Roman" w:cs="Times New Roman"/>
          <w:b/>
          <w:color w:val="auto"/>
        </w:rPr>
        <w:br/>
      </w:r>
      <w:r>
        <w:rPr>
          <w:rFonts w:ascii="Times New Roman" w:eastAsia="Times New Roman" w:hAnsi="Times New Roman" w:cs="Times New Roman"/>
          <w:i w:val="0"/>
          <w:iCs w:val="0"/>
          <w:color w:val="auto"/>
        </w:rPr>
        <w:t>14.2. O reajuste será realizado com base no Índice Nacional de Preços ao Consumidor Amplo (IPCA), publicado pelo Instituto Brasileiro de Geografia e Estatística (IBGE), ou outro índice oficial que venha a substituí-lo.</w:t>
      </w:r>
    </w:p>
    <w:p w14:paraId="2704C6C7" w14:textId="77777777" w:rsidR="00BC0049" w:rsidRDefault="002B07EE">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14.3. Caso o índice estipulado esteja extinto ou indisponível na data do reajuste, será adotado outro índice que melhor reflita a variação dos custos do contrato, mediante justificativa técnica da Administração e anuência da contratada</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 xml:space="preserve"> 14.4. O reajuste será aplicado automaticamente após a periodicidade mínima de um ano, salvo disposição contratual em contrário, e incidirá sobre o valor original do contrato ou, se for o caso, sobre o último valor reajustado.</w:t>
      </w:r>
    </w:p>
    <w:p w14:paraId="7D4A74E4" w14:textId="77777777" w:rsidR="00BC0049" w:rsidRDefault="002B07EE">
      <w:pPr>
        <w:ind w:left="567"/>
        <w:rPr>
          <w:rFonts w:ascii="Times New Roman" w:hAnsi="Times New Roman" w:cs="Times New Roman"/>
          <w:sz w:val="20"/>
          <w:szCs w:val="20"/>
        </w:rPr>
      </w:pPr>
      <w:r>
        <w:rPr>
          <w:rFonts w:ascii="Times New Roman" w:eastAsia="Times New Roman" w:hAnsi="Times New Roman" w:cs="Times New Roman"/>
          <w:sz w:val="20"/>
          <w:szCs w:val="20"/>
        </w:rPr>
        <w:t>14.5. A contratada poderá solicitar a aplicação do reajuste mediante requerimento formal, acompanhado dos cálculos e da documentação necessária para comprovação do índice adotado.</w:t>
      </w:r>
    </w:p>
    <w:p w14:paraId="2C733C4D" w14:textId="77777777" w:rsidR="00BC0049" w:rsidRDefault="002B07EE">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14.6. A Administração Pública terá o prazo de até </w:t>
      </w:r>
      <w:r>
        <w:rPr>
          <w:rFonts w:ascii="Times New Roman" w:eastAsia="Times New Roman" w:hAnsi="Times New Roman" w:cs="Times New Roman"/>
          <w:b/>
          <w:sz w:val="20"/>
          <w:szCs w:val="20"/>
        </w:rPr>
        <w:t xml:space="preserve">15 (quinze) </w:t>
      </w:r>
      <w:r>
        <w:rPr>
          <w:rFonts w:ascii="Times New Roman" w:eastAsia="Times New Roman" w:hAnsi="Times New Roman" w:cs="Times New Roman"/>
          <w:sz w:val="20"/>
          <w:szCs w:val="20"/>
        </w:rPr>
        <w:t>dias úteis para analisar e validar os cálculos apresentados e proceder com a atualização do valor contratual.</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5BDD17FC" w14:textId="77777777" w:rsidR="00BC0049" w:rsidRDefault="002B07EE">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14.8. O não cumprimento da aplicação do reajuste dentro do prazo estipulado não exime a Administração da obrigação de pagá-lo, sendo devido desde a data do aniversário do contrato</w:t>
      </w:r>
    </w:p>
    <w:p w14:paraId="4BEDF95C" w14:textId="77777777" w:rsidR="00BC0049" w:rsidRDefault="00BC0049">
      <w:pPr>
        <w:ind w:left="567"/>
        <w:rPr>
          <w:rFonts w:ascii="Times New Roman" w:eastAsia="Times New Roman" w:hAnsi="Times New Roman" w:cs="Times New Roman"/>
          <w:sz w:val="20"/>
          <w:szCs w:val="20"/>
        </w:rPr>
      </w:pPr>
    </w:p>
    <w:p w14:paraId="03841DF6"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37" w:name="_Toc135469236"/>
      <w:r>
        <w:rPr>
          <w:rFonts w:ascii="Times New Roman" w:hAnsi="Times New Roman" w:cs="Times New Roman"/>
          <w:b/>
          <w:bCs/>
          <w:i w:val="0"/>
          <w:iCs w:val="0"/>
          <w:color w:val="auto"/>
        </w:rPr>
        <w:t>DAS DISPOSIÇÕES GERAIS</w:t>
      </w:r>
      <w:bookmarkEnd w:id="37"/>
    </w:p>
    <w:p w14:paraId="7E7E0A2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divulgada ata da sessão pública no sistema eletrônico.</w:t>
      </w:r>
    </w:p>
    <w:p w14:paraId="4459802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896DC6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Todas as referências de tempo no Edital, no aviso e durante a sessão pública observarão o horário de Brasília/ DF.</w:t>
      </w:r>
    </w:p>
    <w:p w14:paraId="0E91E25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homologação do resultado desta licitação não implicará direito à contratação.</w:t>
      </w:r>
    </w:p>
    <w:p w14:paraId="0DA3E5D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B432B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130B056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contagem dos prazos estabelecidos neste Edital e seus Anexos, excluir-se-á o dia do início e incluir-se-á o do vencimento. Só se iniciam e vencem os prazos em dias de expediente na Administração.</w:t>
      </w:r>
    </w:p>
    <w:p w14:paraId="28DC0A1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desatendimento de exigências formais não essenciais não importará o afastamento do licitante, desde que seja possível o aproveitamento do ato, observados os princípios da isonomia e do interesse público.</w:t>
      </w:r>
    </w:p>
    <w:p w14:paraId="1C7C69A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 caso de divergência entre disposições deste Edital e de seus anexos ou demais peças que compõem o processo, prevalecerá as deste Edital.</w:t>
      </w:r>
    </w:p>
    <w:p w14:paraId="6BEEF0B4" w14:textId="77777777" w:rsidR="00BC0049" w:rsidRDefault="002B07EE">
      <w:pPr>
        <w:pStyle w:val="Nvel2-Red"/>
        <w:tabs>
          <w:tab w:val="left" w:pos="107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Edital e seus anexos estão disponíveis, na íntegra, no Portal Nacional de Contratações Públicas (PNCP) e endereço eletrônico </w:t>
      </w:r>
      <w:hyperlink r:id="rId33">
        <w:r>
          <w:rPr>
            <w:rFonts w:ascii="Times New Roman" w:hAnsi="Times New Roman" w:cs="Times New Roman"/>
            <w:i w:val="0"/>
            <w:iCs w:val="0"/>
            <w:color w:val="auto"/>
            <w:u w:val="single"/>
          </w:rPr>
          <w:t>www.santabarbaradosul.rs.gov.br</w:t>
        </w:r>
      </w:hyperlink>
      <w:r>
        <w:rPr>
          <w:rStyle w:val="Hyperlink1"/>
          <w:rFonts w:ascii="Times New Roman" w:hAnsi="Times New Roman" w:cs="Times New Roman"/>
          <w:i w:val="0"/>
          <w:iCs w:val="0"/>
          <w:color w:val="auto"/>
        </w:rPr>
        <w:t xml:space="preserve"> </w:t>
      </w:r>
    </w:p>
    <w:p w14:paraId="489527F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Integram este Edital, para todos os fins e efeitos, os seguintes anexos:</w:t>
      </w:r>
    </w:p>
    <w:p w14:paraId="1D2A40D0"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 – Termo de Referência.</w:t>
      </w:r>
    </w:p>
    <w:p w14:paraId="7905337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Apêndice do Anexo I – Estudo Técnico Preliminar.</w:t>
      </w:r>
    </w:p>
    <w:p w14:paraId="579550FF"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II – Modelo Proposta</w:t>
      </w:r>
    </w:p>
    <w:p w14:paraId="165139F4"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III – Minuta de Ata de Registro de Preço</w:t>
      </w:r>
    </w:p>
    <w:p w14:paraId="45290E05"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IV – Minuta Cadastro Reserva</w:t>
      </w:r>
    </w:p>
    <w:p w14:paraId="530BC17D"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V – Extrato de Aviso de Edital</w:t>
      </w:r>
    </w:p>
    <w:p w14:paraId="050AB2ED" w14:textId="77777777"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ANEXO VI – Autorização Autoridade Competente</w:t>
      </w:r>
    </w:p>
    <w:p w14:paraId="59A78E34" w14:textId="77777777" w:rsidR="00BC0049" w:rsidRDefault="00BC0049" w:rsidP="001C3D24">
      <w:pPr>
        <w:rPr>
          <w:rFonts w:ascii="Times New Roman" w:eastAsia="MS Mincho" w:hAnsi="Times New Roman" w:cs="Times New Roman"/>
          <w:sz w:val="20"/>
          <w:szCs w:val="20"/>
        </w:rPr>
      </w:pPr>
    </w:p>
    <w:p w14:paraId="1D491EA3" w14:textId="7F2D2579" w:rsidR="00BC0049" w:rsidRPr="001C3D24" w:rsidRDefault="002B07EE" w:rsidP="001C3D24">
      <w:pPr>
        <w:jc w:val="right"/>
        <w:rPr>
          <w:rFonts w:ascii="Times New Roman" w:eastAsia="MS Mincho" w:hAnsi="Times New Roman" w:cs="Times New Roman"/>
          <w:sz w:val="20"/>
          <w:szCs w:val="20"/>
        </w:rPr>
      </w:pPr>
      <w:r>
        <w:rPr>
          <w:rFonts w:ascii="Times New Roman" w:eastAsia="MS Mincho" w:hAnsi="Times New Roman" w:cs="Times New Roman"/>
          <w:sz w:val="20"/>
          <w:szCs w:val="20"/>
        </w:rPr>
        <w:t xml:space="preserve">Santa Bárbara do Sul/RS, </w:t>
      </w:r>
      <w:r w:rsidR="00371FB2">
        <w:rPr>
          <w:rFonts w:ascii="Times New Roman" w:eastAsia="MS Mincho" w:hAnsi="Times New Roman" w:cs="Times New Roman"/>
          <w:sz w:val="20"/>
          <w:szCs w:val="20"/>
        </w:rPr>
        <w:t>04 de maio de 2026.</w:t>
      </w:r>
    </w:p>
    <w:p w14:paraId="5950DF2C" w14:textId="77777777" w:rsidR="00BC0049" w:rsidRDefault="00BC0049" w:rsidP="001C3D24">
      <w:pPr>
        <w:rPr>
          <w:rFonts w:ascii="Times New Roman" w:hAnsi="Times New Roman" w:cs="Times New Roman"/>
          <w:sz w:val="20"/>
          <w:szCs w:val="20"/>
        </w:rPr>
      </w:pPr>
    </w:p>
    <w:p w14:paraId="780D14F7" w14:textId="77777777" w:rsidR="001C3D24" w:rsidRDefault="001C3D24" w:rsidP="001C3D24">
      <w:pPr>
        <w:rPr>
          <w:rFonts w:ascii="Times New Roman" w:hAnsi="Times New Roman" w:cs="Times New Roman"/>
          <w:sz w:val="20"/>
          <w:szCs w:val="20"/>
        </w:rPr>
      </w:pPr>
    </w:p>
    <w:p w14:paraId="0A30BD04" w14:textId="0249684B" w:rsidR="001C3D24" w:rsidRDefault="002B07EE" w:rsidP="001C3D24">
      <w:pPr>
        <w:pStyle w:val="Cabealho"/>
        <w:rPr>
          <w:rFonts w:ascii="Times New Roman" w:hAnsi="Times New Roman" w:cs="Times New Roman"/>
          <w:i/>
          <w:iCs/>
          <w:sz w:val="20"/>
          <w:szCs w:val="20"/>
        </w:rPr>
      </w:pPr>
      <w:r>
        <w:rPr>
          <w:rFonts w:ascii="Times New Roman" w:hAnsi="Times New Roman" w:cs="Times New Roman"/>
          <w:i/>
          <w:iCs/>
          <w:sz w:val="20"/>
          <w:szCs w:val="20"/>
        </w:rPr>
        <w:t xml:space="preserve">Leandro </w:t>
      </w:r>
      <w:proofErr w:type="spellStart"/>
      <w:r>
        <w:rPr>
          <w:rFonts w:ascii="Times New Roman" w:hAnsi="Times New Roman" w:cs="Times New Roman"/>
          <w:i/>
          <w:iCs/>
          <w:sz w:val="20"/>
          <w:szCs w:val="20"/>
        </w:rPr>
        <w:t>Caraffini</w:t>
      </w:r>
      <w:proofErr w:type="spellEnd"/>
      <w:r>
        <w:rPr>
          <w:rFonts w:ascii="Times New Roman" w:hAnsi="Times New Roman" w:cs="Times New Roman"/>
          <w:i/>
          <w:iCs/>
          <w:sz w:val="20"/>
          <w:szCs w:val="20"/>
        </w:rPr>
        <w:t xml:space="preserve"> </w:t>
      </w:r>
      <w:proofErr w:type="spellStart"/>
      <w:r>
        <w:rPr>
          <w:rFonts w:ascii="Times New Roman" w:hAnsi="Times New Roman" w:cs="Times New Roman"/>
          <w:i/>
          <w:iCs/>
          <w:sz w:val="20"/>
          <w:szCs w:val="20"/>
        </w:rPr>
        <w:t>Veneral</w:t>
      </w:r>
      <w:proofErr w:type="spellEnd"/>
      <w:r w:rsidR="001C3D24" w:rsidRPr="001C3D24">
        <w:rPr>
          <w:rFonts w:ascii="Times New Roman" w:hAnsi="Times New Roman" w:cs="Times New Roman"/>
          <w:i/>
          <w:iCs/>
          <w:sz w:val="20"/>
          <w:szCs w:val="20"/>
        </w:rPr>
        <w:t xml:space="preserve"> </w:t>
      </w:r>
      <w:r w:rsidR="001C3D24">
        <w:rPr>
          <w:rFonts w:ascii="Times New Roman" w:hAnsi="Times New Roman" w:cs="Times New Roman"/>
          <w:i/>
          <w:iCs/>
          <w:sz w:val="20"/>
          <w:szCs w:val="20"/>
        </w:rPr>
        <w:t xml:space="preserve">                                                                                                            Vivian Lima Vargas</w:t>
      </w:r>
    </w:p>
    <w:p w14:paraId="0ACFEF0A" w14:textId="0E837651" w:rsidR="001C3D24" w:rsidRDefault="001C3D24" w:rsidP="001C3D24">
      <w:pPr>
        <w:rPr>
          <w:rFonts w:ascii="Times New Roman" w:hAnsi="Times New Roman" w:cs="Times New Roman"/>
          <w:i/>
          <w:iCs/>
          <w:sz w:val="20"/>
          <w:szCs w:val="20"/>
        </w:rPr>
      </w:pPr>
      <w:r>
        <w:rPr>
          <w:rFonts w:ascii="Times New Roman" w:hAnsi="Times New Roman" w:cs="Times New Roman"/>
          <w:i/>
          <w:iCs/>
          <w:sz w:val="20"/>
          <w:szCs w:val="20"/>
        </w:rPr>
        <w:t xml:space="preserve">         Prefeito                                                                                                                                   Setor de Licitações</w:t>
      </w:r>
    </w:p>
    <w:p w14:paraId="2BE5B07C" w14:textId="77777777" w:rsidR="001C3D24" w:rsidRDefault="001C3D24" w:rsidP="001C3D24">
      <w:pPr>
        <w:rPr>
          <w:rFonts w:ascii="Times New Roman" w:hAnsi="Times New Roman" w:cs="Times New Roman"/>
          <w:i/>
          <w:iCs/>
          <w:sz w:val="20"/>
          <w:szCs w:val="20"/>
        </w:rPr>
      </w:pPr>
    </w:p>
    <w:p w14:paraId="1A260F07" w14:textId="77777777" w:rsidR="001C3D24" w:rsidRPr="001C3D24" w:rsidRDefault="001C3D24" w:rsidP="001C3D24">
      <w:pPr>
        <w:jc w:val="center"/>
        <w:rPr>
          <w:rFonts w:ascii="Times New Roman" w:hAnsi="Times New Roman" w:cs="Times New Roman"/>
          <w:i/>
          <w:iCs/>
          <w:sz w:val="20"/>
          <w:szCs w:val="20"/>
        </w:rPr>
      </w:pPr>
    </w:p>
    <w:p w14:paraId="4ED9925B" w14:textId="77777777" w:rsidR="00BC0049" w:rsidRDefault="002B07EE">
      <w:pPr>
        <w:pStyle w:val="Cabealho"/>
        <w:jc w:val="center"/>
        <w:rPr>
          <w:rFonts w:ascii="Times New Roman" w:hAnsi="Times New Roman" w:cs="Times New Roman"/>
          <w:b/>
          <w:bCs/>
          <w:sz w:val="20"/>
          <w:szCs w:val="20"/>
        </w:rPr>
      </w:pPr>
      <w:r>
        <w:rPr>
          <w:rFonts w:ascii="Times New Roman" w:hAnsi="Times New Roman" w:cs="Times New Roman"/>
          <w:b/>
          <w:bCs/>
          <w:sz w:val="20"/>
          <w:szCs w:val="20"/>
        </w:rPr>
        <w:t>ANEXO I</w:t>
      </w:r>
    </w:p>
    <w:p w14:paraId="0BD08421" w14:textId="77777777" w:rsidR="00BC0049" w:rsidRDefault="002B07EE">
      <w:pPr>
        <w:pStyle w:val="Cabealho"/>
        <w:jc w:val="center"/>
        <w:rPr>
          <w:rFonts w:ascii="Times New Roman" w:hAnsi="Times New Roman" w:cs="Times New Roman"/>
          <w:sz w:val="20"/>
          <w:szCs w:val="20"/>
        </w:rPr>
      </w:pPr>
      <w:r>
        <w:rPr>
          <w:rFonts w:ascii="Times New Roman" w:hAnsi="Times New Roman" w:cs="Times New Roman"/>
          <w:b/>
          <w:bCs/>
          <w:sz w:val="20"/>
          <w:szCs w:val="20"/>
        </w:rPr>
        <w:t>TERMO DE REFERÊNCIA</w:t>
      </w:r>
    </w:p>
    <w:p w14:paraId="781F7FF3" w14:textId="77777777" w:rsidR="0099522B" w:rsidRPr="001C3D24" w:rsidRDefault="0099522B">
      <w:pPr>
        <w:jc w:val="center"/>
        <w:rPr>
          <w:rFonts w:ascii="Times New Roman" w:hAnsi="Times New Roman" w:cs="Times New Roman"/>
          <w:b/>
          <w:bCs/>
          <w:i/>
          <w:iCs/>
          <w:sz w:val="20"/>
          <w:szCs w:val="20"/>
        </w:rPr>
      </w:pPr>
      <w:r w:rsidRPr="001C3D24">
        <w:rPr>
          <w:rFonts w:ascii="Gadugi" w:hAnsi="Gadugi" w:cs="Gadugi"/>
          <w:b/>
          <w:bCs/>
          <w:i/>
          <w:iCs/>
          <w:sz w:val="18"/>
          <w:szCs w:val="18"/>
        </w:rPr>
        <w:t>AQUISIÇÃO DE CESTAS BÁSICAS</w:t>
      </w:r>
      <w:r w:rsidRPr="001C3D24">
        <w:rPr>
          <w:rFonts w:ascii="Times New Roman" w:hAnsi="Times New Roman" w:cs="Times New Roman"/>
          <w:b/>
          <w:bCs/>
          <w:i/>
          <w:iCs/>
          <w:sz w:val="20"/>
          <w:szCs w:val="20"/>
        </w:rPr>
        <w:t xml:space="preserve"> </w:t>
      </w:r>
    </w:p>
    <w:p w14:paraId="4392F781" w14:textId="61D6E356" w:rsidR="00BC0049" w:rsidRDefault="002B07EE">
      <w:pPr>
        <w:jc w:val="center"/>
        <w:rPr>
          <w:rFonts w:ascii="Times New Roman" w:hAnsi="Times New Roman" w:cs="Times New Roman"/>
          <w:sz w:val="20"/>
          <w:szCs w:val="20"/>
        </w:rPr>
      </w:pPr>
      <w:r>
        <w:rPr>
          <w:rFonts w:ascii="Times New Roman" w:hAnsi="Times New Roman" w:cs="Times New Roman"/>
          <w:sz w:val="20"/>
          <w:szCs w:val="20"/>
        </w:rPr>
        <w:t xml:space="preserve">(Processo Administrativo n° </w:t>
      </w:r>
      <w:r w:rsidR="001C3D24">
        <w:rPr>
          <w:rFonts w:ascii="Times New Roman" w:hAnsi="Times New Roman" w:cs="Times New Roman"/>
          <w:sz w:val="20"/>
          <w:szCs w:val="20"/>
        </w:rPr>
        <w:t>78</w:t>
      </w:r>
      <w:r>
        <w:rPr>
          <w:rFonts w:ascii="Times New Roman" w:hAnsi="Times New Roman" w:cs="Times New Roman"/>
          <w:sz w:val="20"/>
          <w:szCs w:val="20"/>
        </w:rPr>
        <w:t>/2025)</w:t>
      </w:r>
    </w:p>
    <w:p w14:paraId="782DF696"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 – CONDIÇÕES GERAIS DA CONTRATAÇÃO</w:t>
      </w:r>
    </w:p>
    <w:p w14:paraId="1659D9D2" w14:textId="332476B2" w:rsidR="00BC0049" w:rsidRDefault="002B07EE">
      <w:pPr>
        <w:pStyle w:val="Cabealho"/>
        <w:rPr>
          <w:rFonts w:ascii="Times New Roman" w:hAnsi="Times New Roman" w:cs="Times New Roman"/>
          <w:sz w:val="20"/>
          <w:szCs w:val="20"/>
        </w:rPr>
      </w:pPr>
      <w:r>
        <w:rPr>
          <w:rFonts w:ascii="Times New Roman" w:hAnsi="Times New Roman" w:cs="Times New Roman"/>
          <w:sz w:val="20"/>
          <w:szCs w:val="20"/>
        </w:rPr>
        <w:t xml:space="preserve">1.1 – O objeto do presente termo é o Registro de Preço para </w:t>
      </w:r>
      <w:r w:rsidR="0099522B" w:rsidRPr="001C3D24">
        <w:rPr>
          <w:rFonts w:ascii="Gadugi" w:hAnsi="Gadugi" w:cs="Gadugi"/>
          <w:b/>
          <w:bCs/>
          <w:sz w:val="18"/>
          <w:szCs w:val="18"/>
        </w:rPr>
        <w:t>AQUISIÇÃO DE CESTAS BÁSICAS</w:t>
      </w:r>
      <w:r w:rsidR="0099522B">
        <w:rPr>
          <w:rFonts w:ascii="Times New Roman" w:hAnsi="Times New Roman" w:cs="Times New Roman"/>
          <w:sz w:val="20"/>
          <w:szCs w:val="20"/>
        </w:rPr>
        <w:t xml:space="preserve"> </w:t>
      </w:r>
      <w:r>
        <w:rPr>
          <w:rFonts w:ascii="Times New Roman" w:hAnsi="Times New Roman" w:cs="Times New Roman"/>
          <w:sz w:val="20"/>
          <w:szCs w:val="20"/>
        </w:rPr>
        <w:t>nos termos da tabela abaixo, conforme condições e exigências estabelecidas neste instrumento.</w:t>
      </w:r>
    </w:p>
    <w:tbl>
      <w:tblPr>
        <w:tblW w:w="9805" w:type="dxa"/>
        <w:tblInd w:w="75" w:type="dxa"/>
        <w:tblCellMar>
          <w:left w:w="70" w:type="dxa"/>
          <w:right w:w="70" w:type="dxa"/>
        </w:tblCellMar>
        <w:tblLook w:val="04A0" w:firstRow="1" w:lastRow="0" w:firstColumn="1" w:lastColumn="0" w:noHBand="0" w:noVBand="1"/>
      </w:tblPr>
      <w:tblGrid>
        <w:gridCol w:w="790"/>
        <w:gridCol w:w="5726"/>
        <w:gridCol w:w="709"/>
        <w:gridCol w:w="992"/>
        <w:gridCol w:w="1588"/>
      </w:tblGrid>
      <w:tr w:rsidR="001C3D24" w14:paraId="259ABFA9" w14:textId="77777777" w:rsidTr="00162B25">
        <w:trPr>
          <w:trHeight w:val="315"/>
        </w:trPr>
        <w:tc>
          <w:tcPr>
            <w:tcW w:w="79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746A84A3" w14:textId="77777777" w:rsidR="001C3D24" w:rsidRDefault="001C3D24" w:rsidP="00162B25">
            <w:pPr>
              <w:rPr>
                <w:rFonts w:ascii="Calibri" w:eastAsia="Times New Roman" w:hAnsi="Calibri" w:cs="Calibri"/>
                <w:b/>
                <w:bCs/>
                <w:color w:val="000000"/>
                <w:sz w:val="16"/>
                <w:szCs w:val="16"/>
              </w:rPr>
            </w:pPr>
            <w:r>
              <w:rPr>
                <w:rFonts w:ascii="Calibri" w:hAnsi="Calibri" w:cs="Calibri"/>
                <w:b/>
                <w:bCs/>
                <w:color w:val="000000"/>
                <w:sz w:val="16"/>
                <w:szCs w:val="16"/>
              </w:rPr>
              <w:t>Item</w:t>
            </w:r>
          </w:p>
        </w:tc>
        <w:tc>
          <w:tcPr>
            <w:tcW w:w="5726" w:type="dxa"/>
            <w:tcBorders>
              <w:top w:val="single" w:sz="4" w:space="0" w:color="auto"/>
              <w:left w:val="nil"/>
              <w:bottom w:val="single" w:sz="4" w:space="0" w:color="auto"/>
              <w:right w:val="single" w:sz="4" w:space="0" w:color="auto"/>
            </w:tcBorders>
            <w:shd w:val="clear" w:color="000000" w:fill="F0FFFF"/>
            <w:noWrap/>
            <w:vAlign w:val="bottom"/>
            <w:hideMark/>
          </w:tcPr>
          <w:p w14:paraId="356F64CA" w14:textId="77777777" w:rsidR="001C3D24" w:rsidRDefault="001C3D24" w:rsidP="00162B25">
            <w:pPr>
              <w:rPr>
                <w:rFonts w:ascii="Calibri" w:hAnsi="Calibri" w:cs="Calibri"/>
                <w:b/>
                <w:bCs/>
                <w:color w:val="000000"/>
                <w:sz w:val="16"/>
                <w:szCs w:val="16"/>
              </w:rPr>
            </w:pPr>
            <w:r>
              <w:rPr>
                <w:rFonts w:ascii="Calibri" w:hAnsi="Calibri" w:cs="Calibri"/>
                <w:b/>
                <w:bCs/>
                <w:color w:val="000000"/>
                <w:sz w:val="16"/>
                <w:szCs w:val="16"/>
              </w:rPr>
              <w:t>Descrição</w:t>
            </w:r>
          </w:p>
        </w:tc>
        <w:tc>
          <w:tcPr>
            <w:tcW w:w="709" w:type="dxa"/>
            <w:tcBorders>
              <w:top w:val="single" w:sz="4" w:space="0" w:color="auto"/>
              <w:left w:val="nil"/>
              <w:bottom w:val="single" w:sz="4" w:space="0" w:color="auto"/>
              <w:right w:val="single" w:sz="4" w:space="0" w:color="auto"/>
            </w:tcBorders>
            <w:shd w:val="clear" w:color="000000" w:fill="F0FFFF"/>
            <w:noWrap/>
            <w:vAlign w:val="bottom"/>
            <w:hideMark/>
          </w:tcPr>
          <w:p w14:paraId="0D7A71BA" w14:textId="77777777" w:rsidR="001C3D24" w:rsidRDefault="001C3D24" w:rsidP="00162B25">
            <w:pPr>
              <w:rPr>
                <w:rFonts w:ascii="Calibri" w:hAnsi="Calibri" w:cs="Calibri"/>
                <w:b/>
                <w:bCs/>
                <w:color w:val="000000"/>
                <w:sz w:val="16"/>
                <w:szCs w:val="16"/>
              </w:rPr>
            </w:pPr>
            <w:r>
              <w:rPr>
                <w:rFonts w:ascii="Calibri" w:hAnsi="Calibri" w:cs="Calibri"/>
                <w:b/>
                <w:bCs/>
                <w:color w:val="000000"/>
                <w:sz w:val="16"/>
                <w:szCs w:val="16"/>
              </w:rPr>
              <w:t>Unidade</w:t>
            </w:r>
          </w:p>
        </w:tc>
        <w:tc>
          <w:tcPr>
            <w:tcW w:w="992" w:type="dxa"/>
            <w:tcBorders>
              <w:top w:val="single" w:sz="4" w:space="0" w:color="auto"/>
              <w:left w:val="nil"/>
              <w:bottom w:val="single" w:sz="4" w:space="0" w:color="auto"/>
              <w:right w:val="single" w:sz="4" w:space="0" w:color="auto"/>
            </w:tcBorders>
            <w:shd w:val="clear" w:color="000000" w:fill="F0FFFF"/>
            <w:noWrap/>
            <w:vAlign w:val="bottom"/>
            <w:hideMark/>
          </w:tcPr>
          <w:p w14:paraId="2D69A5F8" w14:textId="77777777" w:rsidR="001C3D24" w:rsidRDefault="001C3D24" w:rsidP="00162B25">
            <w:pPr>
              <w:jc w:val="right"/>
              <w:rPr>
                <w:rFonts w:ascii="Calibri" w:hAnsi="Calibri" w:cs="Calibri"/>
                <w:b/>
                <w:bCs/>
                <w:color w:val="000000"/>
                <w:sz w:val="16"/>
                <w:szCs w:val="16"/>
              </w:rPr>
            </w:pPr>
            <w:r>
              <w:rPr>
                <w:rFonts w:ascii="Calibri" w:hAnsi="Calibri" w:cs="Calibri"/>
                <w:b/>
                <w:bCs/>
                <w:color w:val="000000"/>
                <w:sz w:val="16"/>
                <w:szCs w:val="16"/>
              </w:rPr>
              <w:t>Quant. Max.</w:t>
            </w:r>
          </w:p>
        </w:tc>
        <w:tc>
          <w:tcPr>
            <w:tcW w:w="1588" w:type="dxa"/>
            <w:tcBorders>
              <w:top w:val="single" w:sz="4" w:space="0" w:color="auto"/>
              <w:left w:val="nil"/>
              <w:bottom w:val="single" w:sz="4" w:space="0" w:color="auto"/>
              <w:right w:val="single" w:sz="4" w:space="0" w:color="auto"/>
            </w:tcBorders>
            <w:shd w:val="clear" w:color="000000" w:fill="F0FFFF"/>
            <w:noWrap/>
            <w:vAlign w:val="bottom"/>
            <w:hideMark/>
          </w:tcPr>
          <w:p w14:paraId="4910D3D0" w14:textId="77777777" w:rsidR="001C3D24" w:rsidRDefault="001C3D24" w:rsidP="00162B25">
            <w:pPr>
              <w:jc w:val="right"/>
              <w:rPr>
                <w:rFonts w:ascii="Calibri" w:hAnsi="Calibri" w:cs="Calibri"/>
                <w:b/>
                <w:bCs/>
                <w:color w:val="000000"/>
                <w:sz w:val="16"/>
                <w:szCs w:val="16"/>
              </w:rPr>
            </w:pPr>
            <w:r>
              <w:rPr>
                <w:rFonts w:ascii="Calibri" w:hAnsi="Calibri" w:cs="Calibri"/>
                <w:b/>
                <w:bCs/>
                <w:color w:val="000000"/>
                <w:sz w:val="16"/>
                <w:szCs w:val="16"/>
              </w:rPr>
              <w:t>Preço Unit. Estimado</w:t>
            </w:r>
          </w:p>
        </w:tc>
      </w:tr>
      <w:tr w:rsidR="001C3D24" w14:paraId="484A58C2" w14:textId="77777777" w:rsidTr="00162B25">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14:paraId="3CB77BDB" w14:textId="77777777" w:rsidR="001C3D24" w:rsidRDefault="001C3D24" w:rsidP="00162B25">
            <w:pPr>
              <w:rPr>
                <w:rFonts w:ascii="Calibri" w:hAnsi="Calibri" w:cs="Calibri"/>
                <w:color w:val="000000"/>
                <w:sz w:val="16"/>
                <w:szCs w:val="16"/>
              </w:rPr>
            </w:pPr>
            <w:r>
              <w:rPr>
                <w:rFonts w:ascii="Calibri" w:hAnsi="Calibri" w:cs="Calibri"/>
                <w:color w:val="000000"/>
                <w:sz w:val="16"/>
                <w:szCs w:val="16"/>
              </w:rPr>
              <w:t>1</w:t>
            </w:r>
          </w:p>
        </w:tc>
        <w:tc>
          <w:tcPr>
            <w:tcW w:w="5726" w:type="dxa"/>
            <w:tcBorders>
              <w:top w:val="nil"/>
              <w:left w:val="nil"/>
              <w:bottom w:val="single" w:sz="4" w:space="0" w:color="auto"/>
              <w:right w:val="single" w:sz="4" w:space="0" w:color="auto"/>
            </w:tcBorders>
            <w:shd w:val="clear" w:color="auto" w:fill="auto"/>
            <w:noWrap/>
            <w:vAlign w:val="bottom"/>
            <w:hideMark/>
          </w:tcPr>
          <w:p w14:paraId="661742A5" w14:textId="77777777" w:rsidR="001C3D24" w:rsidRDefault="001C3D24" w:rsidP="00162B25">
            <w:pPr>
              <w:rPr>
                <w:rFonts w:ascii="Calibri" w:hAnsi="Calibri" w:cs="Calibri"/>
                <w:color w:val="000000"/>
                <w:sz w:val="16"/>
                <w:szCs w:val="16"/>
              </w:rPr>
            </w:pPr>
            <w:r>
              <w:rPr>
                <w:rFonts w:ascii="Calibri" w:hAnsi="Calibri" w:cs="Calibri"/>
                <w:color w:val="000000"/>
                <w:sz w:val="16"/>
                <w:szCs w:val="16"/>
              </w:rPr>
              <w:t xml:space="preserve">CESTA BASICA </w:t>
            </w:r>
          </w:p>
          <w:p w14:paraId="256495BA"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*01 PACOTE AÇUCAR 5 KG; (c</w:t>
            </w:r>
            <w:r w:rsidRPr="001C3D24">
              <w:rPr>
                <w:rFonts w:asciiTheme="majorHAnsi" w:hAnsiTheme="majorHAnsi" w:cstheme="majorHAnsi"/>
                <w:sz w:val="16"/>
                <w:szCs w:val="16"/>
              </w:rPr>
              <w:t>ristal, especial, cor clara, embalagem plástica de 5,0 Kg, contendo identificação do produto, marca do fabricante, prazo de validade)</w:t>
            </w:r>
          </w:p>
          <w:p w14:paraId="1ED0B59F" w14:textId="77777777" w:rsidR="001C3D24" w:rsidRPr="001C3D24" w:rsidRDefault="001C3D24" w:rsidP="00162B25">
            <w:pPr>
              <w:pStyle w:val="Standard"/>
              <w:rPr>
                <w:rFonts w:asciiTheme="majorHAnsi" w:hAnsiTheme="majorHAnsi" w:cstheme="majorHAnsi"/>
                <w:b/>
                <w:bCs/>
                <w:sz w:val="16"/>
                <w:szCs w:val="16"/>
              </w:rPr>
            </w:pPr>
          </w:p>
          <w:p w14:paraId="47D45F51"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*01 ACHOCOLATADO 400 GR;</w:t>
            </w:r>
            <w:r w:rsidRPr="001C3D24">
              <w:rPr>
                <w:rFonts w:asciiTheme="majorHAnsi" w:hAnsiTheme="majorHAnsi" w:cstheme="majorHAnsi"/>
                <w:sz w:val="16"/>
                <w:szCs w:val="16"/>
              </w:rPr>
              <w:t xml:space="preserve"> (Produto desidratado constituído por cacau em pó, açúcar, </w:t>
            </w:r>
            <w:proofErr w:type="spellStart"/>
            <w:r w:rsidRPr="001C3D24">
              <w:rPr>
                <w:rFonts w:asciiTheme="majorHAnsi" w:hAnsiTheme="majorHAnsi" w:cstheme="majorHAnsi"/>
                <w:sz w:val="16"/>
                <w:szCs w:val="16"/>
              </w:rPr>
              <w:t>maltodextrina</w:t>
            </w:r>
            <w:proofErr w:type="spellEnd"/>
            <w:r w:rsidRPr="001C3D24">
              <w:rPr>
                <w:rFonts w:asciiTheme="majorHAnsi" w:hAnsiTheme="majorHAnsi" w:cstheme="majorHAnsi"/>
                <w:sz w:val="16"/>
                <w:szCs w:val="16"/>
              </w:rPr>
              <w:t xml:space="preserve">, leite em pó, emulsificante lecitina de soja, sal refinado, aroma natural de baunilha e chocolate e no mínimo as seguintes vitaminas e minerais: Vitaminas A, D, C, Tiamina, Riboflavina, Niacina, Piridoxina, Ácido Fólico, B12, Ferro, Iodo e Zinco. O produto não poderá conter glúten, óleo ou gordura vegetal hidrogenada, corantes artificiais e aromatizantes artificiais. Deverá ser preparada com ingredientes limpos, de primeira qualidade, ser de fácil preparo por dissolução em água potável e apresentar a fluidez característica de bebida1 Achocolatado 400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xml:space="preserve">; (Produto desidratado constituído por cacau em pó, açúcar, </w:t>
            </w:r>
            <w:proofErr w:type="spellStart"/>
            <w:r w:rsidRPr="001C3D24">
              <w:rPr>
                <w:rFonts w:asciiTheme="majorHAnsi" w:hAnsiTheme="majorHAnsi" w:cstheme="majorHAnsi"/>
                <w:sz w:val="16"/>
                <w:szCs w:val="16"/>
              </w:rPr>
              <w:t>maltodextrina</w:t>
            </w:r>
            <w:proofErr w:type="spellEnd"/>
            <w:r w:rsidRPr="001C3D24">
              <w:rPr>
                <w:rFonts w:asciiTheme="majorHAnsi" w:hAnsiTheme="majorHAnsi" w:cstheme="majorHAnsi"/>
                <w:sz w:val="16"/>
                <w:szCs w:val="16"/>
              </w:rPr>
              <w:t>, leite em pó, emulsificante lecitina de soja, sal refinado, aroma natural de baunilha e chocolate e no mínimo as seguintes vitaminas e minerais: Vitaminas A, D, C, Tiamina, Riboflavina, Niacina, Piridoxina, Ácido Fólico, B12, Ferro, Iodo e Zinco. O produto não poderá conter glúten, óleo ou gordura vegetal hidrogenada, corantes artificiais e aromatizantes artificiais. Deverá ser preparada com ingredientes limpos, de primeira qualidade, ser de fácil preparo por dissolução em água potável e apresentar a fluidez característica de bebida *</w:t>
            </w:r>
          </w:p>
          <w:p w14:paraId="39597600" w14:textId="77777777" w:rsidR="001C3D24" w:rsidRPr="001C3D24" w:rsidRDefault="001C3D24" w:rsidP="00162B25">
            <w:pPr>
              <w:pStyle w:val="Standard"/>
              <w:rPr>
                <w:rFonts w:asciiTheme="majorHAnsi" w:hAnsiTheme="majorHAnsi" w:cstheme="majorHAnsi"/>
                <w:b/>
                <w:bCs/>
                <w:sz w:val="16"/>
                <w:szCs w:val="16"/>
              </w:rPr>
            </w:pPr>
          </w:p>
          <w:p w14:paraId="3810B418"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*01 PACOTE ARROZ BRANCO 5KG</w:t>
            </w:r>
            <w:r w:rsidRPr="001C3D24">
              <w:rPr>
                <w:rFonts w:asciiTheme="majorHAnsi" w:hAnsiTheme="majorHAnsi" w:cstheme="majorHAnsi"/>
                <w:sz w:val="16"/>
                <w:szCs w:val="16"/>
              </w:rPr>
              <w:t>;(grupo beneficiado, classe longo fino, tipo 1, isento de mofo, odores estranhos, substâncias nocivas, coloração uniforme e característica do arroz tipo 1, embalado em saco plástico de 5 Kg contendo identificação do produto, marca do fabricante, prazo de validade)1 Pacote Arroz Branco 5kg;(grupo beneficiado, classe longo fino, tipo 1, isento de mofo, odores estranhos, substâncias nocivas, coloração uniforme e característica do arroz tipo 1, embalado em saco plástico de 5 Kg contendo identificação do produto, marca do fabricante, prazo de validade)</w:t>
            </w:r>
          </w:p>
          <w:p w14:paraId="73D9CB3E" w14:textId="77777777" w:rsidR="001C3D24" w:rsidRPr="001C3D24" w:rsidRDefault="001C3D24" w:rsidP="00162B25">
            <w:pPr>
              <w:pStyle w:val="Standard"/>
              <w:rPr>
                <w:rFonts w:asciiTheme="majorHAnsi" w:hAnsiTheme="majorHAnsi" w:cstheme="majorHAnsi"/>
                <w:b/>
                <w:bCs/>
                <w:sz w:val="16"/>
                <w:szCs w:val="16"/>
              </w:rPr>
            </w:pPr>
          </w:p>
          <w:p w14:paraId="0556F127"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*01 PACOTE BOLACHA ÁGUA E SAL 345G; </w:t>
            </w:r>
            <w:r w:rsidRPr="001C3D24">
              <w:rPr>
                <w:rFonts w:asciiTheme="majorHAnsi" w:hAnsiTheme="majorHAnsi" w:cstheme="majorHAnsi"/>
                <w:sz w:val="16"/>
                <w:szCs w:val="16"/>
              </w:rPr>
              <w:t>(em sua composição apresenta entre outros ingredientes farinha de trigo fortificada com ferro e ácido fálico, embalagem de no mínimo 345g contendo identificação do produto, marca do fabricante, prazo de validade, peso líquido. Serão rejeitados biscoitos malcozidos, queimados, não podendo apresentar excesso de dureza e nem se apresentar quebradiço)1 Pacote bolacha água e sal 345g; (em sua composição apresenta entre outros ingredientes farinha de trigo fortificada com ferro e ácido fálico, embalagem de no mínimo 345g contendo identificação do produto, marca do fabricante, prazo de validade, peso líquido. Serão rejeitados biscoitos malcozidos, queimados, não podendo apresentar excesso de dureza e nem se apresentar quebradiço)</w:t>
            </w:r>
          </w:p>
          <w:p w14:paraId="736E20BC" w14:textId="77777777" w:rsidR="001C3D24" w:rsidRPr="001C3D24" w:rsidRDefault="001C3D24" w:rsidP="00162B25">
            <w:pPr>
              <w:pStyle w:val="Standard"/>
              <w:rPr>
                <w:rFonts w:asciiTheme="majorHAnsi" w:hAnsiTheme="majorHAnsi" w:cstheme="majorHAnsi"/>
                <w:b/>
                <w:bCs/>
                <w:sz w:val="16"/>
                <w:szCs w:val="16"/>
              </w:rPr>
            </w:pPr>
          </w:p>
          <w:p w14:paraId="62EAB5A5"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 01 PACOTE BOLACHA DOCE TIPO MARIA 345G; </w:t>
            </w:r>
            <w:r w:rsidRPr="001C3D24">
              <w:rPr>
                <w:rFonts w:asciiTheme="majorHAnsi" w:hAnsiTheme="majorHAnsi" w:cstheme="majorHAnsi"/>
                <w:sz w:val="16"/>
                <w:szCs w:val="16"/>
              </w:rPr>
              <w:t xml:space="preserve">(Biscoito Doce tipo maria, de sabor, cor e odor característicos, textura crocante, sem gordura trans, acondicionado em embalagem resistente de polietileno atóxico transparente de dupla face, contendo no </w:t>
            </w:r>
            <w:proofErr w:type="spellStart"/>
            <w:r w:rsidRPr="001C3D24">
              <w:rPr>
                <w:rFonts w:asciiTheme="majorHAnsi" w:hAnsiTheme="majorHAnsi" w:cstheme="majorHAnsi"/>
                <w:sz w:val="16"/>
                <w:szCs w:val="16"/>
              </w:rPr>
              <w:t>minimo</w:t>
            </w:r>
            <w:proofErr w:type="spellEnd"/>
            <w:r w:rsidRPr="001C3D24">
              <w:rPr>
                <w:rFonts w:asciiTheme="majorHAnsi" w:hAnsiTheme="majorHAnsi" w:cstheme="majorHAnsi"/>
                <w:sz w:val="16"/>
                <w:szCs w:val="16"/>
              </w:rPr>
              <w:t xml:space="preserve"> 345 g, com identificação na embalagem (rótulo) dos ingredientes, valor nutricional, peso, fornecedor, data de fabricação e validade. Isento de sujidades, parasitas, larvas, material estranho, umidade e bolor. O produto deve estar de acordo com as normas da Vigilância Sanitária quanto produção, embalagem, rotulagem e informação nutricional)</w:t>
            </w:r>
          </w:p>
          <w:p w14:paraId="614763C4" w14:textId="77777777" w:rsidR="001C3D24" w:rsidRPr="001C3D24" w:rsidRDefault="001C3D24" w:rsidP="00162B25">
            <w:pPr>
              <w:pStyle w:val="Standard"/>
              <w:rPr>
                <w:rFonts w:asciiTheme="majorHAnsi" w:hAnsiTheme="majorHAnsi" w:cstheme="majorHAnsi"/>
                <w:b/>
                <w:bCs/>
                <w:sz w:val="16"/>
                <w:szCs w:val="16"/>
              </w:rPr>
            </w:pPr>
          </w:p>
          <w:p w14:paraId="0ACB3477"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*02 PACOTES FARINHA DE MILHO MÉDIA1KG; </w:t>
            </w:r>
            <w:r w:rsidRPr="001C3D24">
              <w:rPr>
                <w:rFonts w:asciiTheme="majorHAnsi" w:hAnsiTheme="majorHAnsi" w:cstheme="majorHAnsi"/>
                <w:sz w:val="16"/>
                <w:szCs w:val="16"/>
              </w:rPr>
              <w:t>(produzido a partir de grão de milho de primeira qualidade, produto amarelo, de aspecto fino, livre de umidade, contendo ferro e ácido fálico, embalagem plástica transparente de 1kg contendo identificação do produto, marca do fabricante, prazo de validade)2 pacotes farinha de milho média 1kg; (produzido a partir de grão de milho de primeira qualidade, produto amarelo, de aspecto fino, livre de umidade, contendo ferro e ácido fálico, embalagem plástica transparente de 1kg contendo identificação do produto, marca do fabricante, prazo de validade)</w:t>
            </w:r>
          </w:p>
          <w:p w14:paraId="30A8800A" w14:textId="77777777" w:rsidR="001C3D24" w:rsidRPr="001C3D24" w:rsidRDefault="001C3D24" w:rsidP="00162B25">
            <w:pPr>
              <w:pStyle w:val="Standard"/>
              <w:rPr>
                <w:rFonts w:asciiTheme="majorHAnsi" w:hAnsiTheme="majorHAnsi" w:cstheme="majorHAnsi"/>
                <w:b/>
                <w:bCs/>
                <w:sz w:val="16"/>
                <w:szCs w:val="16"/>
              </w:rPr>
            </w:pPr>
          </w:p>
          <w:p w14:paraId="4B44CC0F"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01 PACOTE FARINHA DE TRIGO BRANCA 5 KG;(e</w:t>
            </w:r>
            <w:r w:rsidRPr="001C3D24">
              <w:rPr>
                <w:rFonts w:asciiTheme="majorHAnsi" w:hAnsiTheme="majorHAnsi" w:cstheme="majorHAnsi"/>
                <w:sz w:val="16"/>
                <w:szCs w:val="16"/>
              </w:rPr>
              <w:t>special, enriquecida com ferro e ácido fálico. Produto obtido pela moagem exclusiva do grão de trigo, isento de terra, sem umidade, (tolerado máximo 14% de umidade), embalagem de 5 Kg contendo identificação do produto, marca do fabricante, prazo de validade, peso líquido. O produto deverá ter aspecto de pó fino branco, com cheiro e sabor próprios)1 pacote farinha de trigo branca 5 kg;(especial, enriquecida com ferro e ácido fálico. Produto obtido pela moagem exclusiva do grão de trigo, isento de terra, sem umidade, (tolerado máximo 14% de umidade), embalagem de 5 Kg contendo identificação do produto, marca do fabricante, prazo de validade, peso líquido. O produto deverá ter aspecto de pó fino branco, com cheiro e sabor próprios)</w:t>
            </w:r>
          </w:p>
          <w:p w14:paraId="29553FC8" w14:textId="77777777" w:rsidR="001C3D24" w:rsidRPr="001C3D24" w:rsidRDefault="001C3D24" w:rsidP="00162B25">
            <w:pPr>
              <w:pStyle w:val="Standard"/>
              <w:rPr>
                <w:rFonts w:asciiTheme="majorHAnsi" w:hAnsiTheme="majorHAnsi" w:cstheme="majorHAnsi"/>
                <w:b/>
                <w:bCs/>
                <w:sz w:val="16"/>
                <w:szCs w:val="16"/>
              </w:rPr>
            </w:pPr>
          </w:p>
          <w:p w14:paraId="467C9773"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 01 SACHÊ CAFÉ SOLÚVEL 50 GR; </w:t>
            </w:r>
            <w:r w:rsidRPr="001C3D24">
              <w:rPr>
                <w:rFonts w:asciiTheme="majorHAnsi" w:hAnsiTheme="majorHAnsi" w:cstheme="majorHAnsi"/>
                <w:sz w:val="16"/>
                <w:szCs w:val="16"/>
              </w:rPr>
              <w:t xml:space="preserve">(100% puro, registro no Ministério da Saúde e/ou Agricultura, com apresentação em embalagem com 50g)1 sachê café solúvel 50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(100% puro, registro no Ministério da Saúde e/ou Agricultura, com apresentação em embalagem com 50g)</w:t>
            </w:r>
          </w:p>
          <w:p w14:paraId="34CAEEAB" w14:textId="77777777" w:rsidR="001C3D24" w:rsidRPr="001C3D24" w:rsidRDefault="001C3D24" w:rsidP="00162B25">
            <w:pPr>
              <w:pStyle w:val="Standard"/>
              <w:rPr>
                <w:rFonts w:asciiTheme="majorHAnsi" w:hAnsiTheme="majorHAnsi" w:cstheme="majorHAnsi"/>
                <w:b/>
                <w:bCs/>
                <w:sz w:val="16"/>
                <w:szCs w:val="16"/>
              </w:rPr>
            </w:pPr>
          </w:p>
          <w:p w14:paraId="6832F26E"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02 PACOTES DE FEIJÃO PRETO 1 KG;</w:t>
            </w:r>
            <w:r w:rsidRPr="001C3D24">
              <w:rPr>
                <w:rFonts w:asciiTheme="majorHAnsi" w:hAnsiTheme="majorHAnsi" w:cstheme="majorHAnsi"/>
                <w:sz w:val="16"/>
                <w:szCs w:val="16"/>
              </w:rPr>
              <w:t>( in natura, novo, grãos inteiros, aspecto brilhoso, liso, isento de matéria terrosa, pedras ou corpos estranhos, fungos ou parasitas, livre de umidade, secos, embalagem plástica de 1,0Kg contendo identificação do produto, marca do fabricante, prazo de validade, peso liquido)2 pacotes de feijão preto 1 kg;( in natura, novo, grãos inteiros, aspecto brilhoso, liso, isento de matéria terrosa, pedras ou corpos estranhos, fungos ou parasitas, livre de umidade, secos, embalagem plástica de 1,0Kg contendo identificação do produto, marca do fabricante, prazo de validade, peso liquido)</w:t>
            </w:r>
          </w:p>
          <w:p w14:paraId="058B5DC6" w14:textId="77777777" w:rsidR="001C3D24" w:rsidRPr="001C3D24" w:rsidRDefault="001C3D24" w:rsidP="00162B25">
            <w:pPr>
              <w:pStyle w:val="Standard"/>
              <w:rPr>
                <w:rFonts w:asciiTheme="majorHAnsi" w:hAnsiTheme="majorHAnsi" w:cstheme="majorHAnsi"/>
                <w:b/>
                <w:bCs/>
                <w:sz w:val="16"/>
                <w:szCs w:val="16"/>
              </w:rPr>
            </w:pPr>
          </w:p>
          <w:p w14:paraId="4E99396A"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01 FERMENTO BIOLÓGICO SECO 125G;</w:t>
            </w:r>
            <w:r w:rsidRPr="001C3D24">
              <w:rPr>
                <w:rFonts w:asciiTheme="majorHAnsi" w:hAnsiTheme="majorHAnsi" w:cstheme="majorHAnsi"/>
                <w:sz w:val="16"/>
                <w:szCs w:val="16"/>
              </w:rPr>
              <w:t xml:space="preserve"> (características técnicas: fermento biológico, seco, instantâneo, para pão. Isento de mofo e substâncias nocivas. Embalagem: hermeticamente fechada (vácuo))1 Fermento biológico seco 125g; (características técnicas: fermento biológico, seco, instantâneo, para pão. Isento de mofo e substâncias nocivas. Embalagem: hermeticamente fechada (vácuo)</w:t>
            </w:r>
          </w:p>
          <w:p w14:paraId="673C7218" w14:textId="77777777" w:rsidR="001C3D24" w:rsidRPr="001C3D24" w:rsidRDefault="001C3D24" w:rsidP="00162B25">
            <w:pPr>
              <w:pStyle w:val="Standard"/>
              <w:rPr>
                <w:rFonts w:asciiTheme="majorHAnsi" w:hAnsiTheme="majorHAnsi" w:cstheme="majorHAnsi"/>
                <w:b/>
                <w:bCs/>
                <w:sz w:val="16"/>
                <w:szCs w:val="16"/>
              </w:rPr>
            </w:pPr>
          </w:p>
          <w:p w14:paraId="14F1F3B7"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01 PACOTE LEITE EM PÓ INTEGRAL 400 GR;</w:t>
            </w:r>
            <w:r w:rsidRPr="001C3D24">
              <w:rPr>
                <w:rFonts w:asciiTheme="majorHAnsi" w:hAnsiTheme="majorHAnsi" w:cstheme="majorHAnsi"/>
                <w:sz w:val="16"/>
                <w:szCs w:val="16"/>
              </w:rPr>
              <w:t xml:space="preserve"> (Leite obtido por desidratação do leite de vaca integral, mediante processos tecnológicos adequados. Não deve ser adicionado de lecitina de soja. Ingrediente básico: Leite integral. Apresenta aspecto de pó, cor branco, odor e sabor característicos. Embalado em embalagem plástica (polietileno) aluminizada, atóxico, contendo 400 gramas, com identificação na embalagem (rótulo) dos ingredientes, peso, fornecedor, data de fabricação, validade, número do registro no Ministério da Agricultura/SIF/DISPOA1 pacote leite em pó integral 400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(Leite obtido por desidratação do leite de vaca integral, mediante processos tecnológicos adequados. Não deve ser adicionado de lecitina de soja. Ingrediente básico: Leite integral. Apresenta aspecto de pó, cor branco, odor e sabor característicos. Embalado em embalagem plástica (polietileno) aluminizada, atóxico, contendo 400 gramas, com identificação na embalagem (rótulo) dos ingredientes, peso, fornecedor, data de fabricação, validade, número do registro no Ministério da Agricultura/SIF/DISPOA</w:t>
            </w:r>
          </w:p>
          <w:p w14:paraId="211F63A9" w14:textId="77777777" w:rsidR="001C3D24" w:rsidRPr="001C3D24" w:rsidRDefault="001C3D24" w:rsidP="00162B25">
            <w:pPr>
              <w:pStyle w:val="Standard"/>
              <w:rPr>
                <w:rFonts w:asciiTheme="majorHAnsi" w:hAnsiTheme="majorHAnsi" w:cstheme="majorHAnsi"/>
                <w:b/>
                <w:bCs/>
                <w:sz w:val="16"/>
                <w:szCs w:val="16"/>
              </w:rPr>
            </w:pPr>
          </w:p>
          <w:p w14:paraId="4C3F1C5E"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02 PACOTE MASSA TIPO ESPAGUETE 500 GR</w:t>
            </w:r>
            <w:r w:rsidRPr="001C3D24">
              <w:rPr>
                <w:rFonts w:asciiTheme="majorHAnsi" w:hAnsiTheme="majorHAnsi" w:cstheme="majorHAnsi"/>
                <w:sz w:val="16"/>
                <w:szCs w:val="16"/>
              </w:rPr>
              <w:t xml:space="preserve">; (massa de sêmola com ovos, </w:t>
            </w:r>
            <w:proofErr w:type="spellStart"/>
            <w:r w:rsidRPr="001C3D24">
              <w:rPr>
                <w:rFonts w:asciiTheme="majorHAnsi" w:hAnsiTheme="majorHAnsi" w:cstheme="majorHAnsi"/>
                <w:sz w:val="16"/>
                <w:szCs w:val="16"/>
              </w:rPr>
              <w:t>emabalagem</w:t>
            </w:r>
            <w:proofErr w:type="spellEnd"/>
            <w:r w:rsidRPr="001C3D24">
              <w:rPr>
                <w:rFonts w:asciiTheme="majorHAnsi" w:hAnsiTheme="majorHAnsi" w:cstheme="majorHAnsi"/>
                <w:sz w:val="16"/>
                <w:szCs w:val="16"/>
              </w:rPr>
              <w:t xml:space="preserve"> de 500gr, contendo identificação do produto, marca do fabricante e data de validade)</w:t>
            </w:r>
          </w:p>
          <w:p w14:paraId="2C30110D" w14:textId="77777777" w:rsidR="001C3D24" w:rsidRPr="001C3D24" w:rsidRDefault="001C3D24" w:rsidP="00162B25">
            <w:pPr>
              <w:pStyle w:val="Standard"/>
              <w:rPr>
                <w:rFonts w:asciiTheme="majorHAnsi" w:hAnsiTheme="majorHAnsi" w:cstheme="majorHAnsi"/>
                <w:b/>
                <w:bCs/>
                <w:sz w:val="16"/>
                <w:szCs w:val="16"/>
              </w:rPr>
            </w:pPr>
          </w:p>
          <w:p w14:paraId="4B0ADD77"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02 UNIDADE DE ÓLEO DE SOJA900 ML</w:t>
            </w:r>
            <w:r w:rsidRPr="001C3D24">
              <w:rPr>
                <w:rFonts w:asciiTheme="majorHAnsi" w:hAnsiTheme="majorHAnsi" w:cstheme="majorHAnsi"/>
                <w:sz w:val="16"/>
                <w:szCs w:val="16"/>
              </w:rPr>
              <w:t xml:space="preserve">;( tipo 1, classe refinado, embalagem plástica de 900 </w:t>
            </w:r>
            <w:proofErr w:type="spellStart"/>
            <w:r w:rsidRPr="001C3D24">
              <w:rPr>
                <w:rFonts w:asciiTheme="majorHAnsi" w:hAnsiTheme="majorHAnsi" w:cstheme="majorHAnsi"/>
                <w:sz w:val="16"/>
                <w:szCs w:val="16"/>
              </w:rPr>
              <w:t>mi</w:t>
            </w:r>
            <w:proofErr w:type="spellEnd"/>
            <w:r w:rsidRPr="001C3D24">
              <w:rPr>
                <w:rFonts w:asciiTheme="majorHAnsi" w:hAnsiTheme="majorHAnsi" w:cstheme="majorHAnsi"/>
                <w:sz w:val="16"/>
                <w:szCs w:val="16"/>
              </w:rPr>
              <w:t xml:space="preserve"> cada, contendo identificação do produto, marca do fabricante, prazo de validade com pelo menos 90 dias após a entrega</w:t>
            </w:r>
          </w:p>
          <w:p w14:paraId="7ADEEB7A" w14:textId="77777777" w:rsidR="001C3D24" w:rsidRPr="001C3D24" w:rsidRDefault="001C3D24" w:rsidP="00162B25">
            <w:pPr>
              <w:pStyle w:val="Standard"/>
              <w:rPr>
                <w:rFonts w:asciiTheme="majorHAnsi" w:hAnsiTheme="majorHAnsi" w:cstheme="majorHAnsi"/>
                <w:b/>
                <w:bCs/>
                <w:sz w:val="16"/>
                <w:szCs w:val="16"/>
              </w:rPr>
            </w:pPr>
          </w:p>
          <w:p w14:paraId="54FCB1F0"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01 PACOTE SAL MOIDO, IODADO1 KG</w:t>
            </w:r>
            <w:r w:rsidRPr="001C3D24">
              <w:rPr>
                <w:rFonts w:asciiTheme="majorHAnsi" w:hAnsiTheme="majorHAnsi" w:cstheme="majorHAnsi"/>
                <w:sz w:val="16"/>
                <w:szCs w:val="16"/>
              </w:rPr>
              <w:t xml:space="preserve">. (refinado, iodado, com granulação uniforme e com cristais brancos. A </w:t>
            </w:r>
            <w:proofErr w:type="spellStart"/>
            <w:r w:rsidRPr="001C3D24">
              <w:rPr>
                <w:rFonts w:asciiTheme="majorHAnsi" w:hAnsiTheme="majorHAnsi" w:cstheme="majorHAnsi"/>
                <w:sz w:val="16"/>
                <w:szCs w:val="16"/>
              </w:rPr>
              <w:t>iodação</w:t>
            </w:r>
            <w:proofErr w:type="spellEnd"/>
            <w:r w:rsidRPr="001C3D24">
              <w:rPr>
                <w:rFonts w:asciiTheme="majorHAnsi" w:hAnsiTheme="majorHAnsi" w:cstheme="majorHAnsi"/>
                <w:sz w:val="16"/>
                <w:szCs w:val="16"/>
              </w:rPr>
              <w:t xml:space="preserve"> do sal deve seguir a legislação especifica embalagem de polietileno de 1,0 Kg, contendo identificação do produto, marca do fabricante, prazo de validade)1 pacote sal </w:t>
            </w:r>
            <w:proofErr w:type="spellStart"/>
            <w:r w:rsidRPr="001C3D24">
              <w:rPr>
                <w:rFonts w:asciiTheme="majorHAnsi" w:hAnsiTheme="majorHAnsi" w:cstheme="majorHAnsi"/>
                <w:sz w:val="16"/>
                <w:szCs w:val="16"/>
              </w:rPr>
              <w:t>moido</w:t>
            </w:r>
            <w:proofErr w:type="spellEnd"/>
            <w:r w:rsidRPr="001C3D24">
              <w:rPr>
                <w:rFonts w:asciiTheme="majorHAnsi" w:hAnsiTheme="majorHAnsi" w:cstheme="majorHAnsi"/>
                <w:sz w:val="16"/>
                <w:szCs w:val="16"/>
              </w:rPr>
              <w:t xml:space="preserve">, iodado 1 kg. (refinado, iodado, com granulação uniforme e com cristais brancos. A </w:t>
            </w:r>
            <w:proofErr w:type="spellStart"/>
            <w:r w:rsidRPr="001C3D24">
              <w:rPr>
                <w:rFonts w:asciiTheme="majorHAnsi" w:hAnsiTheme="majorHAnsi" w:cstheme="majorHAnsi"/>
                <w:sz w:val="16"/>
                <w:szCs w:val="16"/>
              </w:rPr>
              <w:t>iodação</w:t>
            </w:r>
            <w:proofErr w:type="spellEnd"/>
            <w:r w:rsidRPr="001C3D24">
              <w:rPr>
                <w:rFonts w:asciiTheme="majorHAnsi" w:hAnsiTheme="majorHAnsi" w:cstheme="majorHAnsi"/>
                <w:sz w:val="16"/>
                <w:szCs w:val="16"/>
              </w:rPr>
              <w:t xml:space="preserve"> do sal deve seguir a legislação especifica embalagem de polietileno de 1,0 Kg, contendo identificação do produto, marca do fabricante, prazo de validade)</w:t>
            </w:r>
          </w:p>
          <w:p w14:paraId="7D431F86" w14:textId="77777777" w:rsidR="001C3D24" w:rsidRPr="001C3D24" w:rsidRDefault="001C3D24" w:rsidP="00162B25">
            <w:pPr>
              <w:pStyle w:val="Standard"/>
              <w:rPr>
                <w:rFonts w:asciiTheme="majorHAnsi" w:hAnsiTheme="majorHAnsi" w:cstheme="majorHAnsi"/>
                <w:b/>
                <w:bCs/>
                <w:sz w:val="16"/>
                <w:szCs w:val="16"/>
              </w:rPr>
            </w:pPr>
          </w:p>
          <w:p w14:paraId="131D41A2" w14:textId="77777777" w:rsidR="001C3D24" w:rsidRPr="001C3D24" w:rsidRDefault="001C3D24" w:rsidP="00162B25">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*01 DOCE DE </w:t>
            </w:r>
            <w:proofErr w:type="gramStart"/>
            <w:r w:rsidRPr="001C3D24">
              <w:rPr>
                <w:rFonts w:asciiTheme="majorHAnsi" w:hAnsiTheme="majorHAnsi" w:cstheme="majorHAnsi"/>
                <w:b/>
                <w:bCs/>
                <w:sz w:val="16"/>
                <w:szCs w:val="16"/>
              </w:rPr>
              <w:t>FRUTAS</w:t>
            </w:r>
            <w:r w:rsidRPr="001C3D24">
              <w:rPr>
                <w:rFonts w:asciiTheme="majorHAnsi" w:hAnsiTheme="majorHAnsi" w:cstheme="majorHAnsi"/>
                <w:sz w:val="16"/>
                <w:szCs w:val="16"/>
              </w:rPr>
              <w:t xml:space="preserve"> :</w:t>
            </w:r>
            <w:proofErr w:type="gramEnd"/>
            <w:r w:rsidRPr="001C3D24">
              <w:rPr>
                <w:rFonts w:asciiTheme="majorHAnsi" w:hAnsiTheme="majorHAnsi" w:cstheme="majorHAnsi"/>
                <w:sz w:val="16"/>
                <w:szCs w:val="16"/>
              </w:rPr>
              <w:t xml:space="preserve"> Goiaba, morango, figo ou uva (</w:t>
            </w:r>
            <w:proofErr w:type="spellStart"/>
            <w:r w:rsidRPr="001C3D24">
              <w:rPr>
                <w:rFonts w:asciiTheme="majorHAnsi" w:hAnsiTheme="majorHAnsi" w:cstheme="majorHAnsi"/>
                <w:sz w:val="16"/>
                <w:szCs w:val="16"/>
              </w:rPr>
              <w:t>shimier</w:t>
            </w:r>
            <w:proofErr w:type="spellEnd"/>
            <w:r w:rsidRPr="001C3D24">
              <w:rPr>
                <w:rFonts w:asciiTheme="majorHAnsi" w:hAnsiTheme="majorHAnsi" w:cstheme="majorHAnsi"/>
                <w:sz w:val="16"/>
                <w:szCs w:val="16"/>
              </w:rPr>
              <w:t xml:space="preserve">), 300g. Produto processado, feito à base de frutas frescas, contendo no mínimo os seguintes ingredientes: polpa de goiaba, morango, figo, </w:t>
            </w:r>
            <w:proofErr w:type="spellStart"/>
            <w:r w:rsidRPr="001C3D24">
              <w:rPr>
                <w:rFonts w:asciiTheme="majorHAnsi" w:hAnsiTheme="majorHAnsi" w:cstheme="majorHAnsi"/>
                <w:sz w:val="16"/>
                <w:szCs w:val="16"/>
              </w:rPr>
              <w:t>pessego</w:t>
            </w:r>
            <w:proofErr w:type="spellEnd"/>
            <w:r w:rsidRPr="001C3D24">
              <w:rPr>
                <w:rFonts w:asciiTheme="majorHAnsi" w:hAnsiTheme="majorHAnsi" w:cstheme="majorHAnsi"/>
                <w:sz w:val="16"/>
                <w:szCs w:val="16"/>
              </w:rPr>
              <w:t xml:space="preserve"> ou uva, açúcar. Embalagem primária: pote plástico transparente ou vidro contendo no mínimo 300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xml:space="preserve"> do produto. Rótulo contendo identificação do produto, peso, tabela nutricional, fabricante, data de fabricação e validade, n.º lote. Produtos com no mínimo 90 (noventa) dias de validade, na data da entrega.</w:t>
            </w:r>
          </w:p>
          <w:p w14:paraId="646B9155" w14:textId="77777777" w:rsidR="001C3D24" w:rsidRDefault="001C3D24" w:rsidP="00162B25">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bottom"/>
            <w:hideMark/>
          </w:tcPr>
          <w:p w14:paraId="0DB34D89" w14:textId="77777777" w:rsidR="001C3D24" w:rsidRDefault="001C3D24" w:rsidP="00162B25">
            <w:pPr>
              <w:rPr>
                <w:rFonts w:ascii="Calibri" w:hAnsi="Calibri" w:cs="Calibri"/>
                <w:color w:val="000000"/>
                <w:sz w:val="16"/>
                <w:szCs w:val="16"/>
              </w:rPr>
            </w:pPr>
            <w:r>
              <w:rPr>
                <w:rFonts w:ascii="Calibri" w:hAnsi="Calibri" w:cs="Calibri"/>
                <w:color w:val="000000"/>
                <w:sz w:val="16"/>
                <w:szCs w:val="16"/>
              </w:rPr>
              <w:lastRenderedPageBreak/>
              <w:t>UN</w:t>
            </w:r>
          </w:p>
        </w:tc>
        <w:tc>
          <w:tcPr>
            <w:tcW w:w="992" w:type="dxa"/>
            <w:tcBorders>
              <w:top w:val="nil"/>
              <w:left w:val="nil"/>
              <w:bottom w:val="single" w:sz="4" w:space="0" w:color="auto"/>
              <w:right w:val="single" w:sz="4" w:space="0" w:color="auto"/>
            </w:tcBorders>
            <w:shd w:val="clear" w:color="auto" w:fill="auto"/>
            <w:noWrap/>
            <w:vAlign w:val="bottom"/>
            <w:hideMark/>
          </w:tcPr>
          <w:p w14:paraId="32B24A93" w14:textId="77777777" w:rsidR="001C3D24" w:rsidRDefault="001C3D24" w:rsidP="00162B25">
            <w:pPr>
              <w:jc w:val="right"/>
              <w:rPr>
                <w:rFonts w:ascii="Calibri" w:hAnsi="Calibri" w:cs="Calibri"/>
                <w:color w:val="000000"/>
                <w:sz w:val="16"/>
                <w:szCs w:val="16"/>
              </w:rPr>
            </w:pPr>
            <w:r>
              <w:rPr>
                <w:rFonts w:ascii="Calibri" w:hAnsi="Calibri" w:cs="Calibri"/>
                <w:color w:val="000000"/>
                <w:sz w:val="16"/>
                <w:szCs w:val="16"/>
              </w:rPr>
              <w:t>1.800</w:t>
            </w:r>
          </w:p>
        </w:tc>
        <w:tc>
          <w:tcPr>
            <w:tcW w:w="1588" w:type="dxa"/>
            <w:tcBorders>
              <w:top w:val="nil"/>
              <w:left w:val="nil"/>
              <w:bottom w:val="single" w:sz="4" w:space="0" w:color="auto"/>
              <w:right w:val="single" w:sz="4" w:space="0" w:color="auto"/>
            </w:tcBorders>
            <w:shd w:val="clear" w:color="auto" w:fill="auto"/>
            <w:noWrap/>
            <w:vAlign w:val="bottom"/>
            <w:hideMark/>
          </w:tcPr>
          <w:p w14:paraId="7CE3C004" w14:textId="77777777" w:rsidR="001C3D24" w:rsidRDefault="001C3D24" w:rsidP="00162B25">
            <w:pPr>
              <w:jc w:val="right"/>
              <w:rPr>
                <w:rFonts w:ascii="Calibri" w:hAnsi="Calibri" w:cs="Calibri"/>
                <w:color w:val="000000"/>
                <w:sz w:val="16"/>
                <w:szCs w:val="16"/>
              </w:rPr>
            </w:pPr>
            <w:r>
              <w:rPr>
                <w:rFonts w:ascii="Calibri" w:hAnsi="Calibri" w:cs="Calibri"/>
                <w:color w:val="000000"/>
                <w:sz w:val="16"/>
                <w:szCs w:val="16"/>
              </w:rPr>
              <w:t>R$ 156,04</w:t>
            </w:r>
          </w:p>
        </w:tc>
      </w:tr>
    </w:tbl>
    <w:p w14:paraId="5B8CFF06" w14:textId="77777777" w:rsidR="00BC0049" w:rsidRDefault="00BC0049">
      <w:pPr>
        <w:pStyle w:val="Cabealho"/>
        <w:rPr>
          <w:rFonts w:ascii="Times New Roman" w:hAnsi="Times New Roman" w:cs="Times New Roman"/>
          <w:sz w:val="20"/>
          <w:szCs w:val="20"/>
        </w:rPr>
      </w:pPr>
    </w:p>
    <w:p w14:paraId="4B207321" w14:textId="1E10E9E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 – O objeto desta contratação não se enquadra como sendo de bem de luxo, conforme Decreto Municipal nº 5.452, de 05 de setembro de 202</w:t>
      </w:r>
      <w:r w:rsidR="001C3D24">
        <w:rPr>
          <w:rFonts w:ascii="Times New Roman" w:hAnsi="Times New Roman" w:cs="Times New Roman"/>
          <w:color w:val="auto"/>
        </w:rPr>
        <w:t>3</w:t>
      </w:r>
      <w:r>
        <w:rPr>
          <w:rFonts w:ascii="Times New Roman" w:hAnsi="Times New Roman" w:cs="Times New Roman"/>
          <w:color w:val="auto"/>
        </w:rPr>
        <w:t>.</w:t>
      </w:r>
    </w:p>
    <w:p w14:paraId="36ED8CAF"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1.3 – Os bens objeto desta contratação são caracterizados como comuns, nos termos do art. 6º, inciso XIII, da Lei nº 14.133/2021.</w:t>
      </w:r>
    </w:p>
    <w:p w14:paraId="523AEB4B" w14:textId="77777777" w:rsidR="00BC0049" w:rsidRDefault="002B07EE">
      <w:pPr>
        <w:pStyle w:val="Nivel2"/>
        <w:numPr>
          <w:ilvl w:val="0"/>
          <w:numId w:val="0"/>
        </w:numPr>
        <w:spacing w:before="0" w:after="0" w:line="240" w:lineRule="auto"/>
        <w:rPr>
          <w:rFonts w:ascii="Times New Roman" w:hAnsi="Times New Roman" w:cs="Times New Roman"/>
          <w:b/>
          <w:color w:val="auto"/>
        </w:rPr>
      </w:pPr>
      <w:r>
        <w:rPr>
          <w:rFonts w:ascii="Times New Roman" w:hAnsi="Times New Roman" w:cs="Times New Roman"/>
          <w:b/>
          <w:color w:val="auto"/>
        </w:rPr>
        <w:t>2 – PRAZO DE VIGÊNCIA</w:t>
      </w:r>
    </w:p>
    <w:p w14:paraId="39616E4B"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2.1 – O prazo de vigência da Ata é de 12 (doze) meses contados da data de sua assinatura, podendo ser prorrogada, nos termos da Lei nº 14.133/2021.</w:t>
      </w:r>
    </w:p>
    <w:p w14:paraId="69D1091D" w14:textId="52556EC8" w:rsidR="00BC0049" w:rsidRDefault="002B07EE">
      <w:pPr>
        <w:pStyle w:val="Nvel2-Red"/>
        <w:numPr>
          <w:ilvl w:val="0"/>
          <w:numId w:val="0"/>
        </w:numPr>
        <w:shd w:val="clear" w:color="FFFFFF" w:themeColor="background1" w:fill="FFFFFF" w:themeFill="background1"/>
        <w:spacing w:before="0" w:after="0" w:line="240" w:lineRule="auto"/>
        <w:rPr>
          <w:rFonts w:ascii="Times New Roman" w:hAnsi="Times New Roman" w:cs="Times New Roman"/>
          <w:iCs w:val="0"/>
          <w:color w:val="auto"/>
        </w:rPr>
      </w:pPr>
      <w:r>
        <w:rPr>
          <w:rFonts w:ascii="Times New Roman" w:hAnsi="Times New Roman" w:cs="Times New Roman"/>
          <w:i w:val="0"/>
          <w:iCs w:val="0"/>
          <w:color w:val="auto"/>
        </w:rPr>
        <w:t xml:space="preserve">2.2 – </w:t>
      </w:r>
      <w:r>
        <w:rPr>
          <w:rFonts w:ascii="Times New Roman" w:hAnsi="Times New Roman" w:cs="Times New Roman"/>
          <w:i w:val="0"/>
          <w:iCs w:val="0"/>
          <w:color w:val="auto"/>
          <w:highlight w:val="white"/>
        </w:rPr>
        <w:t>O prazo de vigência dos contratos originados através da Ata de Registro de Preços até 31/12/202</w:t>
      </w:r>
      <w:r w:rsidR="001C3D24">
        <w:rPr>
          <w:rFonts w:ascii="Times New Roman" w:hAnsi="Times New Roman" w:cs="Times New Roman"/>
          <w:i w:val="0"/>
          <w:iCs w:val="0"/>
          <w:color w:val="auto"/>
          <w:highlight w:val="white"/>
        </w:rPr>
        <w:t>6</w:t>
      </w:r>
      <w:r>
        <w:rPr>
          <w:rFonts w:ascii="Times New Roman" w:hAnsi="Times New Roman" w:cs="Times New Roman"/>
          <w:i w:val="0"/>
          <w:iCs w:val="0"/>
          <w:color w:val="auto"/>
          <w:highlight w:val="white"/>
        </w:rPr>
        <w:t>, para o exercício de 202</w:t>
      </w:r>
      <w:r w:rsidR="001C3D24">
        <w:rPr>
          <w:rFonts w:ascii="Times New Roman" w:hAnsi="Times New Roman" w:cs="Times New Roman"/>
          <w:i w:val="0"/>
          <w:iCs w:val="0"/>
          <w:color w:val="auto"/>
          <w:highlight w:val="white"/>
        </w:rPr>
        <w:t>6</w:t>
      </w:r>
      <w:r>
        <w:rPr>
          <w:rFonts w:ascii="Times New Roman" w:hAnsi="Times New Roman" w:cs="Times New Roman"/>
          <w:i w:val="0"/>
          <w:iCs w:val="0"/>
          <w:color w:val="auto"/>
          <w:highlight w:val="white"/>
        </w:rPr>
        <w:t>, na forma do artigo 105 da Lei n° 14.133, de 2021.</w:t>
      </w:r>
    </w:p>
    <w:p w14:paraId="13577D85" w14:textId="77777777" w:rsidR="00BC0049" w:rsidRDefault="002B07EE">
      <w:pPr>
        <w:pStyle w:val="Nivel01"/>
        <w:numPr>
          <w:ilvl w:val="0"/>
          <w:numId w:val="0"/>
        </w:numPr>
        <w:tabs>
          <w:tab w:val="clear" w:pos="567"/>
          <w:tab w:val="left" w:pos="426"/>
        </w:tabs>
        <w:spacing w:before="0" w:after="0" w:line="240" w:lineRule="auto"/>
        <w:rPr>
          <w:rFonts w:ascii="Times New Roman" w:hAnsi="Times New Roman" w:cs="Times New Roman"/>
          <w:color w:val="auto"/>
        </w:rPr>
      </w:pPr>
      <w:r>
        <w:rPr>
          <w:rFonts w:ascii="Times New Roman" w:hAnsi="Times New Roman" w:cs="Times New Roman"/>
          <w:color w:val="auto"/>
        </w:rPr>
        <w:t>3 – FUNDAMENTAÇÃO E DESCRIÇÃO DA NECESSIDADE DA CONTRATAÇÃO</w:t>
      </w:r>
    </w:p>
    <w:p w14:paraId="1E7724F2" w14:textId="77777777" w:rsidR="00BC0049" w:rsidRDefault="002B07EE">
      <w:pPr>
        <w:pStyle w:val="Nivel2"/>
        <w:numPr>
          <w:ilvl w:val="0"/>
          <w:numId w:val="0"/>
        </w:numPr>
        <w:tabs>
          <w:tab w:val="left" w:pos="426"/>
        </w:tabs>
        <w:spacing w:before="0" w:after="0" w:line="240" w:lineRule="auto"/>
        <w:rPr>
          <w:rFonts w:ascii="Times New Roman" w:hAnsi="Times New Roman" w:cs="Times New Roman"/>
          <w:color w:val="auto"/>
        </w:rPr>
      </w:pPr>
      <w:r>
        <w:rPr>
          <w:rFonts w:ascii="Times New Roman" w:hAnsi="Times New Roman" w:cs="Times New Roman"/>
          <w:color w:val="auto"/>
        </w:rPr>
        <w:t>3.1 – A Fundamentação da Contratação e de seus quantitativos encontra-se pormenorizada em Tópico específico do ETP – Estudo Técnico Preliminar, anexo a esse edital</w:t>
      </w:r>
    </w:p>
    <w:p w14:paraId="5BD11248"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4 – DESCRIÇÃO DA SOLUÇÃO COMO UM TODO CONSIDERADO O CICLO DE VIDA DO OBJETO E ESPECIFICAÇÃO DO PRODUTO</w:t>
      </w:r>
    </w:p>
    <w:p w14:paraId="7EB74119" w14:textId="77777777" w:rsidR="00BC0049" w:rsidRDefault="002B07EE">
      <w:pPr>
        <w:pStyle w:val="Nivel01"/>
        <w:numPr>
          <w:ilvl w:val="0"/>
          <w:numId w:val="0"/>
        </w:numPr>
        <w:spacing w:before="0" w:after="0" w:line="240" w:lineRule="auto"/>
        <w:rPr>
          <w:rFonts w:ascii="Times New Roman" w:hAnsi="Times New Roman" w:cs="Times New Roman"/>
          <w:b w:val="0"/>
          <w:bCs w:val="0"/>
          <w:color w:val="auto"/>
        </w:rPr>
      </w:pPr>
      <w:r>
        <w:rPr>
          <w:rFonts w:ascii="Times New Roman" w:hAnsi="Times New Roman" w:cs="Times New Roman"/>
          <w:b w:val="0"/>
          <w:bCs w:val="0"/>
          <w:color w:val="auto"/>
        </w:rPr>
        <w:t>4.1 – A descrição da solução como um todo se encontra pormenorizada em tópico específico do ETP – Estudo Técnico Preliminar, anexo a esse edital.</w:t>
      </w:r>
    </w:p>
    <w:p w14:paraId="57496054"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5 – REQUISITOS DA CONTRATAÇÃO</w:t>
      </w:r>
    </w:p>
    <w:p w14:paraId="35016749" w14:textId="77777777" w:rsidR="00BC0049" w:rsidRDefault="002B07EE">
      <w:pPr>
        <w:tabs>
          <w:tab w:val="left" w:pos="284"/>
          <w:tab w:val="left" w:pos="426"/>
          <w:tab w:val="left" w:pos="567"/>
          <w:tab w:val="left" w:pos="851"/>
        </w:tabs>
        <w:jc w:val="both"/>
        <w:rPr>
          <w:rFonts w:ascii="Times New Roman" w:hAnsi="Times New Roman" w:cs="Times New Roman"/>
          <w:iCs/>
          <w:sz w:val="20"/>
          <w:szCs w:val="20"/>
        </w:rPr>
      </w:pPr>
      <w:r>
        <w:rPr>
          <w:rFonts w:ascii="Times New Roman" w:hAnsi="Times New Roman" w:cs="Times New Roman"/>
          <w:sz w:val="20"/>
          <w:szCs w:val="20"/>
        </w:rPr>
        <w:t>5.1 – A contratação deverá observar os requisitos constantes no ETP</w:t>
      </w:r>
    </w:p>
    <w:p w14:paraId="11E41D29" w14:textId="77777777" w:rsidR="00BC0049" w:rsidRDefault="002B07EE">
      <w:pPr>
        <w:pStyle w:val="Nvel1-SemNum"/>
        <w:spacing w:before="0" w:after="0" w:line="240" w:lineRule="auto"/>
        <w:ind w:left="0"/>
        <w:rPr>
          <w:rFonts w:ascii="Times New Roman" w:hAnsi="Times New Roman" w:cs="Times New Roman"/>
          <w:b w:val="0"/>
          <w:color w:val="auto"/>
        </w:rPr>
      </w:pPr>
      <w:r>
        <w:rPr>
          <w:rFonts w:ascii="Times New Roman" w:hAnsi="Times New Roman" w:cs="Times New Roman"/>
          <w:b w:val="0"/>
          <w:color w:val="auto"/>
        </w:rPr>
        <w:t>5.1.2 – SUBCONTRATAÇÃO</w:t>
      </w:r>
    </w:p>
    <w:p w14:paraId="773F65DD"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5.1.2.1 – Não é admitida a subcontratação do objeto contratual.</w:t>
      </w:r>
    </w:p>
    <w:p w14:paraId="5633C36C" w14:textId="77777777" w:rsidR="00BC0049" w:rsidRDefault="002B07EE">
      <w:pPr>
        <w:pStyle w:val="Nvel1-SemNum"/>
        <w:spacing w:before="0" w:after="0" w:line="240" w:lineRule="auto"/>
        <w:ind w:left="0"/>
        <w:rPr>
          <w:rFonts w:ascii="Times New Roman" w:hAnsi="Times New Roman" w:cs="Times New Roman"/>
          <w:b w:val="0"/>
          <w:color w:val="auto"/>
        </w:rPr>
      </w:pPr>
      <w:r>
        <w:rPr>
          <w:rFonts w:ascii="Times New Roman" w:hAnsi="Times New Roman" w:cs="Times New Roman"/>
          <w:b w:val="0"/>
          <w:color w:val="auto"/>
        </w:rPr>
        <w:t>5.1.3 – GARANTIA DA CONTRATAÇÃO</w:t>
      </w:r>
    </w:p>
    <w:p w14:paraId="1ADCF50E" w14:textId="77777777" w:rsidR="00BC0049" w:rsidRDefault="002B07EE">
      <w:pPr>
        <w:pStyle w:val="Nvel2-Red"/>
        <w:numPr>
          <w:ilvl w:val="0"/>
          <w:numId w:val="0"/>
        </w:numPr>
        <w:spacing w:before="0" w:after="0" w:line="240" w:lineRule="auto"/>
        <w:ind w:left="708"/>
        <w:rPr>
          <w:rFonts w:ascii="Times New Roman" w:hAnsi="Times New Roman" w:cs="Times New Roman"/>
          <w:iCs w:val="0"/>
          <w:color w:val="auto"/>
        </w:rPr>
      </w:pPr>
      <w:r>
        <w:rPr>
          <w:rFonts w:ascii="Times New Roman" w:hAnsi="Times New Roman" w:cs="Times New Roman"/>
          <w:i w:val="0"/>
          <w:iCs w:val="0"/>
          <w:color w:val="auto"/>
        </w:rPr>
        <w:t>5.1.3.1 – Garantia mínima dos serviços deverá observar os requisitos constantes no ETP.</w:t>
      </w:r>
    </w:p>
    <w:p w14:paraId="29B1E65D"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6 – </w:t>
      </w:r>
      <w:r>
        <w:rPr>
          <w:rFonts w:ascii="Times New Roman" w:eastAsia="Calibri" w:hAnsi="Times New Roman" w:cs="Times New Roman"/>
          <w:color w:val="auto"/>
        </w:rPr>
        <w:t>MODELO DE EXECUÇÃO DO OBJETO</w:t>
      </w:r>
    </w:p>
    <w:p w14:paraId="28DF542E" w14:textId="77777777" w:rsidR="00BC0049" w:rsidRDefault="002B07EE">
      <w:pPr>
        <w:pStyle w:val="PargrafodaLista"/>
        <w:numPr>
          <w:ilvl w:val="0"/>
          <w:numId w:val="5"/>
        </w:numPr>
        <w:spacing w:after="240"/>
        <w:rPr>
          <w:rFonts w:ascii="Times New Roman" w:hAnsi="Times New Roman" w:cs="Times New Roman"/>
          <w:sz w:val="20"/>
          <w:szCs w:val="20"/>
        </w:rPr>
      </w:pPr>
      <w:r>
        <w:rPr>
          <w:rFonts w:ascii="Times New Roman" w:hAnsi="Times New Roman" w:cs="Times New Roman"/>
          <w:sz w:val="20"/>
          <w:szCs w:val="20"/>
        </w:rPr>
        <w:t>Os serviços objeto deste Termo de Referência serão prestados de forma indireta.</w:t>
      </w:r>
    </w:p>
    <w:p w14:paraId="1AAD2CC0"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Os serviços deverão ser executados no prazo de vigência do contrato, que será de (X) meses, contados a partir da assinatura do contrato com a efetiva prestação dos serviços nos locais a serem definidos pela Administração, de forma parcelada, a partir das ordens de serviços.</w:t>
      </w:r>
    </w:p>
    <w:p w14:paraId="009A7288"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O Serviço prestado deve ser analisado e avalizado pelo fiscal do contrato, emitida autorização e devidamente assinada pela Autoridade Competente da CONTRATANTE.</w:t>
      </w:r>
    </w:p>
    <w:p w14:paraId="40288866"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A empresa vencedora obrigar-se-á a fornecer o objeto deste edital em conformidade com as especificações descritas, sendo de sua inteira responsabilidades substituições parciais ou totais.</w:t>
      </w:r>
    </w:p>
    <w:p w14:paraId="6E058559"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Caso o serviço não esteja de acordo com as especificações exigidas, a ADMINISTRAÇÃO não o aceitará e lavrará termo circunstanciado do fato, que deverá ser encaminhado à autoridade superior, sob pena de responsabilidade.</w:t>
      </w:r>
    </w:p>
    <w:p w14:paraId="64D999E5" w14:textId="77777777" w:rsidR="00BC0049" w:rsidRDefault="002B07EE">
      <w:pPr>
        <w:pStyle w:val="PargrafodaLista"/>
        <w:numPr>
          <w:ilvl w:val="0"/>
          <w:numId w:val="5"/>
        </w:numPr>
        <w:spacing w:before="240"/>
        <w:rPr>
          <w:rFonts w:ascii="Times New Roman" w:hAnsi="Times New Roman" w:cs="Times New Roman"/>
          <w:sz w:val="20"/>
          <w:szCs w:val="20"/>
        </w:rPr>
      </w:pPr>
      <w:r>
        <w:rPr>
          <w:rFonts w:ascii="Times New Roman" w:hAnsi="Times New Roman" w:cs="Times New Roman"/>
          <w:sz w:val="20"/>
          <w:szCs w:val="20"/>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0AF1DC0F" w14:textId="77777777" w:rsidR="00BC0049" w:rsidRDefault="002B07EE">
      <w:pPr>
        <w:widowControl w:val="0"/>
        <w:jc w:val="both"/>
        <w:rPr>
          <w:rFonts w:ascii="Times New Roman" w:hAnsi="Times New Roman" w:cs="Times New Roman"/>
          <w:b/>
          <w:sz w:val="20"/>
          <w:szCs w:val="20"/>
          <w:u w:val="single"/>
        </w:rPr>
      </w:pPr>
      <w:r>
        <w:rPr>
          <w:rFonts w:ascii="Times New Roman" w:eastAsia="Calibri" w:hAnsi="Times New Roman" w:cs="Times New Roman"/>
          <w:b/>
          <w:sz w:val="20"/>
          <w:szCs w:val="20"/>
          <w:u w:val="single"/>
        </w:rPr>
        <w:t>6.1 – PRAZO DE ENTREGA</w:t>
      </w:r>
    </w:p>
    <w:p w14:paraId="7B93D435" w14:textId="77777777" w:rsidR="00BC0049" w:rsidRDefault="002B07EE">
      <w:pPr>
        <w:pStyle w:val="Nvel2-Red"/>
        <w:numPr>
          <w:ilvl w:val="0"/>
          <w:numId w:val="0"/>
        </w:numPr>
        <w:spacing w:before="0" w:after="0" w:line="240" w:lineRule="auto"/>
        <w:rPr>
          <w:rFonts w:ascii="Times New Roman" w:hAnsi="Times New Roman" w:cs="Times New Roman"/>
          <w:i w:val="0"/>
          <w:iCs w:val="0"/>
          <w:color w:val="auto"/>
        </w:rPr>
      </w:pPr>
      <w:r>
        <w:rPr>
          <w:rFonts w:ascii="Times New Roman" w:hAnsi="Times New Roman" w:cs="Times New Roman"/>
          <w:i w:val="0"/>
          <w:iCs w:val="0"/>
          <w:color w:val="auto"/>
        </w:rPr>
        <w:t xml:space="preserve">6.1.1 – Conforme ETP, anexo ao edital. </w:t>
      </w:r>
    </w:p>
    <w:p w14:paraId="7140EE43" w14:textId="77777777" w:rsidR="00BC0049" w:rsidRDefault="002B07EE">
      <w:pPr>
        <w:widowControl w:val="0"/>
        <w:tabs>
          <w:tab w:val="left" w:pos="851"/>
        </w:tabs>
        <w:jc w:val="both"/>
        <w:rPr>
          <w:rFonts w:ascii="Times New Roman" w:hAnsi="Times New Roman" w:cs="Times New Roman"/>
          <w:b/>
          <w:bCs/>
          <w:sz w:val="20"/>
          <w:szCs w:val="20"/>
          <w:u w:val="single"/>
        </w:rPr>
      </w:pPr>
      <w:r>
        <w:rPr>
          <w:rFonts w:ascii="Times New Roman" w:eastAsia="Calibri" w:hAnsi="Times New Roman" w:cs="Times New Roman"/>
          <w:b/>
          <w:bCs/>
          <w:sz w:val="20"/>
          <w:szCs w:val="20"/>
          <w:u w:val="single"/>
        </w:rPr>
        <w:t>6.2 – LOCAL DE ENTREGA</w:t>
      </w:r>
    </w:p>
    <w:p w14:paraId="630167AA" w14:textId="77777777" w:rsidR="00BC0049" w:rsidRDefault="002B07EE">
      <w:pPr>
        <w:pStyle w:val="Nvel2-Red"/>
        <w:numPr>
          <w:ilvl w:val="0"/>
          <w:numId w:val="0"/>
        </w:numPr>
        <w:spacing w:before="0" w:after="0" w:line="240" w:lineRule="auto"/>
        <w:rPr>
          <w:rFonts w:ascii="Times New Roman" w:eastAsia="Calibri" w:hAnsi="Times New Roman" w:cs="Times New Roman"/>
          <w:i w:val="0"/>
          <w:color w:val="auto"/>
        </w:rPr>
      </w:pPr>
      <w:r>
        <w:rPr>
          <w:rFonts w:ascii="Times New Roman" w:hAnsi="Times New Roman" w:cs="Times New Roman"/>
          <w:i w:val="0"/>
          <w:color w:val="auto"/>
        </w:rPr>
        <w:t>6.2.1 – C</w:t>
      </w:r>
      <w:r>
        <w:rPr>
          <w:rFonts w:ascii="Times New Roman" w:eastAsia="Calibri" w:hAnsi="Times New Roman" w:cs="Times New Roman"/>
          <w:i w:val="0"/>
          <w:color w:val="auto"/>
        </w:rPr>
        <w:t xml:space="preserve">onforme ETP, </w:t>
      </w:r>
      <w:r>
        <w:rPr>
          <w:rFonts w:ascii="Times New Roman" w:eastAsia="Calibri" w:hAnsi="Times New Roman" w:cs="Times New Roman"/>
          <w:i w:val="0"/>
          <w:iCs w:val="0"/>
          <w:color w:val="auto"/>
        </w:rPr>
        <w:t>anexo ao edital.</w:t>
      </w:r>
      <w:r>
        <w:rPr>
          <w:rFonts w:ascii="Times New Roman" w:eastAsia="Calibri" w:hAnsi="Times New Roman" w:cs="Times New Roman"/>
          <w:i w:val="0"/>
          <w:color w:val="auto"/>
        </w:rPr>
        <w:t xml:space="preserve"> </w:t>
      </w:r>
    </w:p>
    <w:p w14:paraId="47F2D12E" w14:textId="77777777" w:rsidR="00BC0049" w:rsidRDefault="002B07EE">
      <w:pPr>
        <w:pStyle w:val="Nvel2-Red"/>
        <w:numPr>
          <w:ilvl w:val="0"/>
          <w:numId w:val="0"/>
        </w:numPr>
        <w:spacing w:before="0" w:after="0" w:line="240" w:lineRule="auto"/>
        <w:rPr>
          <w:rFonts w:ascii="Times New Roman" w:hAnsi="Times New Roman" w:cs="Times New Roman"/>
          <w:b/>
          <w:bCs/>
          <w:i w:val="0"/>
          <w:iCs w:val="0"/>
          <w:color w:val="auto"/>
          <w:u w:val="single"/>
        </w:rPr>
      </w:pPr>
      <w:r>
        <w:rPr>
          <w:rFonts w:ascii="Times New Roman" w:eastAsia="Calibri" w:hAnsi="Times New Roman" w:cs="Times New Roman"/>
          <w:b/>
          <w:bCs/>
          <w:i w:val="0"/>
          <w:iCs w:val="0"/>
          <w:color w:val="auto"/>
          <w:u w:val="single"/>
        </w:rPr>
        <w:t>6.3 – DO RECEBIMENTO</w:t>
      </w:r>
    </w:p>
    <w:p w14:paraId="494FA52E" w14:textId="77777777" w:rsidR="00BC0049" w:rsidRDefault="002B07EE">
      <w:pPr>
        <w:pStyle w:val="Nivel2"/>
        <w:numPr>
          <w:ilvl w:val="0"/>
          <w:numId w:val="0"/>
        </w:numPr>
        <w:tabs>
          <w:tab w:val="left" w:pos="284"/>
          <w:tab w:val="left" w:pos="426"/>
          <w:tab w:val="left" w:pos="567"/>
          <w:tab w:val="left" w:pos="851"/>
        </w:tabs>
        <w:spacing w:before="0" w:after="0" w:line="240" w:lineRule="auto"/>
        <w:rPr>
          <w:rFonts w:ascii="Times New Roman" w:hAnsi="Times New Roman" w:cs="Times New Roman"/>
          <w:bCs/>
          <w:color w:val="auto"/>
        </w:rPr>
      </w:pPr>
      <w:r>
        <w:rPr>
          <w:rFonts w:ascii="Times New Roman" w:hAnsi="Times New Roman" w:cs="Times New Roman"/>
          <w:bCs/>
          <w:color w:val="auto"/>
        </w:rPr>
        <w:t xml:space="preserve">6.3.1 – Conforme ETP, anexo ao edital. </w:t>
      </w:r>
    </w:p>
    <w:p w14:paraId="0F80BCE4"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7 – OBRIGAÇÕES DO CONTRATANTE (art. 92, incisos X, XI e XIV, da Lei nº 14.133/2021).</w:t>
      </w:r>
    </w:p>
    <w:p w14:paraId="58DB2EE0" w14:textId="77777777" w:rsidR="00BC0049" w:rsidRDefault="002B07EE">
      <w:pPr>
        <w:pStyle w:val="Nivel2"/>
        <w:numPr>
          <w:ilvl w:val="0"/>
          <w:numId w:val="0"/>
        </w:numPr>
        <w:spacing w:before="0" w:after="0" w:line="240" w:lineRule="auto"/>
        <w:rPr>
          <w:rFonts w:ascii="Times New Roman" w:hAnsi="Times New Roman" w:cs="Times New Roman"/>
          <w:b/>
          <w:bCs/>
          <w:color w:val="auto"/>
        </w:rPr>
      </w:pPr>
      <w:r>
        <w:rPr>
          <w:rFonts w:ascii="Times New Roman" w:hAnsi="Times New Roman" w:cs="Times New Roman"/>
          <w:color w:val="auto"/>
        </w:rPr>
        <w:t>7.1 São obrigações do Contratante:</w:t>
      </w:r>
    </w:p>
    <w:p w14:paraId="6BA21C1E"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 – Exigir o cumprimento de todas as obrigações assumidas pelo Contratado, de acordo com o contrato e seus anexos;</w:t>
      </w:r>
    </w:p>
    <w:p w14:paraId="451D9572"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7.1.2 – Receber o objeto no prazo e condições estabelecidas no TR – Termo de Referência;</w:t>
      </w:r>
    </w:p>
    <w:p w14:paraId="1AFB1BA5"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7.1.3 – Notificar o Contratado, por escrito, sobre vícios, defeitos ou incorreções verificadas no objeto fornecido, para que seja por ele substituído, reparado ou corrigido, no total ou em parte, às suas expensas;</w:t>
      </w:r>
    </w:p>
    <w:p w14:paraId="2E604BA1"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7.1.4 – Acompanhar e fiscalizar a execução do contrato e o cumprimento das obrigações pelo Contratado;</w:t>
      </w:r>
    </w:p>
    <w:p w14:paraId="3F422C4A" w14:textId="77777777" w:rsidR="00BC0049" w:rsidRDefault="002B07EE">
      <w:pPr>
        <w:pStyle w:val="Nivel2"/>
        <w:numPr>
          <w:ilvl w:val="0"/>
          <w:numId w:val="0"/>
        </w:numPr>
        <w:spacing w:before="0" w:after="0" w:line="240" w:lineRule="auto"/>
        <w:ind w:left="708"/>
        <w:rPr>
          <w:rFonts w:ascii="Times New Roman" w:hAnsi="Times New Roman" w:cs="Times New Roman"/>
          <w:bCs/>
          <w:color w:val="auto"/>
        </w:rPr>
      </w:pPr>
      <w:r>
        <w:rPr>
          <w:rFonts w:ascii="Times New Roman" w:hAnsi="Times New Roman" w:cs="Times New Roman"/>
          <w:color w:val="auto"/>
        </w:rPr>
        <w:t xml:space="preserve">7.1.5 – Comunicar a empresa para </w:t>
      </w:r>
      <w:r>
        <w:rPr>
          <w:rFonts w:ascii="Times New Roman" w:hAnsi="Times New Roman" w:cs="Times New Roman"/>
          <w:bCs/>
          <w:color w:val="auto"/>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68A9F3B0"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7.1.6 – Efetuar o pagamento ao Contratado do valor correspondente ao fornecimento do objeto, no prazo, forma e condições estabelecidos no Contrato;</w:t>
      </w:r>
    </w:p>
    <w:p w14:paraId="5AF69ADA"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7.1.7 – Aplicar ao Contratado as sanções previstas na lei e no Contrato; </w:t>
      </w:r>
    </w:p>
    <w:p w14:paraId="419F76F6"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lastRenderedPageBreak/>
        <w:t>7.1.8 – Cientificar o órgão de representação judicial da Prefeitura Municipal de Santa Bárbara do Sul/RS, para adoção das medidas cabíveis quando do descumprimento de obrigações pelo Contratado, quando esgotadas as vias administrativas.</w:t>
      </w:r>
    </w:p>
    <w:p w14:paraId="1DA38613"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5B3E0D"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7.1.10 – Responder eventuais pedidos de restabelecimento do equilíbrio econômico-financeiro feitos pelo contratado.</w:t>
      </w:r>
    </w:p>
    <w:p w14:paraId="38684693"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36844AE"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8 – OBRIGAÇÕES DO CONTRATADO (art. 92, incisos XIV, XVI e XVII, da Lei nº 14.133/2021).</w:t>
      </w:r>
    </w:p>
    <w:p w14:paraId="221F816F"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DB537F9"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 – Responsabilizar-se pelos vícios e danos decorrentes do objeto, de acordo com o Código de Defesa do Consumidor (Lei nº 8.078, de 1990);</w:t>
      </w:r>
    </w:p>
    <w:p w14:paraId="1C310B39"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8.1.2 – Comunicar ao contratante, no prazo máximo de 24 (vinte e quatro) horas que antecede a data da entrega, os motivos que impossibilitem o cumprimento do prazo previsto, com a devida comprovação;</w:t>
      </w:r>
    </w:p>
    <w:p w14:paraId="2088534A"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8.1.3 – Atender às determinações regulares emitidas pelo fiscal ou gestor do contrato ou autoridade superior (art. 137, II, da Lei n.º 14.133, de 2021) e prestar todo esclarecimento ou informação por eles solicitados;</w:t>
      </w:r>
    </w:p>
    <w:p w14:paraId="28EFFF99"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A2D4F86"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8.1.5 – O contratado deverá entregar ao setor responsável pela fiscalização do contrato, junto com a NF - Nota Fiscal para fins de pagamento, todos os documentos que comprovem a regularidade fiscal e trabalhista da empresa.</w:t>
      </w:r>
    </w:p>
    <w:p w14:paraId="57509155"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8E458EC"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8.1.7 – Comunicar ao Fiscal do contrato, no prazo de 24 (vinte e quatro) horas, qualquer ocorrência anormal ou acidente que se verifique no local da execução do objeto contratual.</w:t>
      </w:r>
    </w:p>
    <w:p w14:paraId="7B3436EA"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8.1.8 – Paralisar, por determinação do contratante, qualquer atividade que não esteja sendo executada de acordo com a boa técnica ou que ponha em risco a segurança de pessoas ou bens de terceiros.</w:t>
      </w:r>
    </w:p>
    <w:p w14:paraId="1D2B9F67"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8.1.9 – Manter durante toda a vigência do contrato, em compatibilidade com as obrigações assumidas, todas as condições exigidas para habilitação na licitação; </w:t>
      </w:r>
    </w:p>
    <w:p w14:paraId="2D8EF794"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8.1.10 – Guardar sigilo sobre todas as informações obtidas em decorrência do cumprimento do contrato; </w:t>
      </w:r>
    </w:p>
    <w:p w14:paraId="60BCB557"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4285BCDF"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8.1.12 – Cumprir, além dos postulados legais vigentes de âmbito federal, estadual ou municipal, as normas de segurança do contratante;</w:t>
      </w:r>
    </w:p>
    <w:p w14:paraId="1FAB90EE" w14:textId="77777777" w:rsidR="00BC0049" w:rsidRDefault="002B07EE">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8.1.13 – Orientar e treinar seus empregados sobre os deveres previstos na Lei nº 13.709, de 14 de agosto de 2018, adotando medidas eficazes para proteção de dados pessoais a que tenha acesso por força da execução deste contrato;</w:t>
      </w:r>
    </w:p>
    <w:p w14:paraId="13E3ACBE" w14:textId="77777777" w:rsidR="00BC0049" w:rsidRDefault="002B07EE">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8.1.14 –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lang w:eastAsia="en-US"/>
        </w:rPr>
        <w:t>e execução do objeto</w:t>
      </w:r>
      <w:r>
        <w:rPr>
          <w:rFonts w:ascii="Times New Roman" w:hAnsi="Times New Roman" w:cs="Times New Roman"/>
          <w:i w:val="0"/>
          <w:iCs w:val="0"/>
          <w:color w:val="auto"/>
        </w:rPr>
        <w:t xml:space="preserve"> e nas melhores condições de segurança, higiene e disciplina.</w:t>
      </w:r>
    </w:p>
    <w:p w14:paraId="2066A3EE" w14:textId="77777777" w:rsidR="00BC0049" w:rsidRDefault="002B07EE">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8.1.15 – Submeter previamente, por escrito, ao contratante, para análise e aprovação, quaisquer mudanças nos métodos executivos que fujam às especificações do memorial descritivo ou instrumento congênere.</w:t>
      </w:r>
    </w:p>
    <w:p w14:paraId="1CABB010" w14:textId="77777777" w:rsidR="00BC0049" w:rsidRDefault="002B07EE">
      <w:pPr>
        <w:pStyle w:val="Nvel2-Red"/>
        <w:numPr>
          <w:ilvl w:val="0"/>
          <w:numId w:val="0"/>
        </w:numPr>
        <w:spacing w:before="0" w:after="0" w:line="240" w:lineRule="auto"/>
        <w:ind w:left="708"/>
        <w:rPr>
          <w:rFonts w:ascii="Times New Roman" w:hAnsi="Times New Roman" w:cs="Times New Roman"/>
          <w:iCs w:val="0"/>
          <w:color w:val="auto"/>
        </w:rPr>
      </w:pPr>
      <w:bookmarkStart w:id="38" w:name="_Ref118293030"/>
      <w:r>
        <w:rPr>
          <w:rFonts w:ascii="Times New Roman" w:hAnsi="Times New Roman" w:cs="Times New Roman"/>
          <w:i w:val="0"/>
          <w:iCs w:val="0"/>
          <w:color w:val="auto"/>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38"/>
    </w:p>
    <w:p w14:paraId="018E1E0C" w14:textId="77777777" w:rsidR="00BC0049" w:rsidRDefault="002B07EE">
      <w:pPr>
        <w:pStyle w:val="Nvel2-Red"/>
        <w:numPr>
          <w:ilvl w:val="0"/>
          <w:numId w:val="0"/>
        </w:numPr>
        <w:tabs>
          <w:tab w:val="left" w:pos="5936"/>
        </w:tabs>
        <w:spacing w:before="0" w:after="0" w:line="240" w:lineRule="auto"/>
        <w:ind w:left="708"/>
        <w:rPr>
          <w:rFonts w:ascii="Times New Roman" w:hAnsi="Times New Roman" w:cs="Times New Roman"/>
          <w:i w:val="0"/>
          <w:color w:val="auto"/>
        </w:rPr>
      </w:pPr>
      <w:r>
        <w:rPr>
          <w:rFonts w:ascii="Times New Roman" w:hAnsi="Times New Roman" w:cs="Times New Roman"/>
          <w:i w:val="0"/>
          <w:iCs w:val="0"/>
          <w:color w:val="auto"/>
        </w:rPr>
        <w:t>8.1.17 – Permitir a fiscalização a qualquer tempo, pela contratante,</w:t>
      </w:r>
      <w:r>
        <w:rPr>
          <w:rFonts w:ascii="Times New Roman" w:hAnsi="Times New Roman" w:cs="Times New Roman"/>
          <w:i w:val="0"/>
          <w:color w:val="auto"/>
        </w:rPr>
        <w:tab/>
      </w:r>
    </w:p>
    <w:p w14:paraId="442369BB" w14:textId="77777777" w:rsidR="00BC0049" w:rsidRDefault="002B07EE">
      <w:pPr>
        <w:pStyle w:val="Nvel2-Red"/>
        <w:numPr>
          <w:ilvl w:val="0"/>
          <w:numId w:val="0"/>
        </w:numPr>
        <w:tabs>
          <w:tab w:val="left" w:pos="5936"/>
        </w:tabs>
        <w:spacing w:before="0" w:after="0" w:line="240" w:lineRule="auto"/>
        <w:ind w:left="708"/>
        <w:rPr>
          <w:rFonts w:ascii="Times New Roman" w:hAnsi="Times New Roman" w:cs="Times New Roman"/>
          <w:i w:val="0"/>
          <w:color w:val="auto"/>
        </w:rPr>
      </w:pPr>
      <w:r>
        <w:rPr>
          <w:rFonts w:ascii="Times New Roman" w:hAnsi="Times New Roman" w:cs="Times New Roman"/>
          <w:i w:val="0"/>
          <w:iCs w:val="0"/>
          <w:color w:val="auto"/>
        </w:rPr>
        <w:t>8.1.18 – Apresentar, por escrito, quando solicitado pela Contratante, relatório técnico dos serviços realizados</w:t>
      </w:r>
      <w:r>
        <w:rPr>
          <w:rFonts w:ascii="Times New Roman" w:hAnsi="Times New Roman" w:cs="Times New Roman"/>
          <w:i w:val="0"/>
          <w:color w:val="auto"/>
        </w:rPr>
        <w:t>;</w:t>
      </w:r>
    </w:p>
    <w:p w14:paraId="1D9C0DB1"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lastRenderedPageBreak/>
        <w:t>9 – MODELO DE GESTÃO E FISCALIZAÇÃO DA ATA DE REGISTRO DE PREÇOS OU CONTRATO</w:t>
      </w:r>
    </w:p>
    <w:p w14:paraId="06C60DAE"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9.1 – A gestão da Ata de Registro de Preços será de responsabilidade do Setor de Compras.</w:t>
      </w:r>
    </w:p>
    <w:p w14:paraId="77077F89"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9.2 – </w:t>
      </w:r>
      <w:r>
        <w:rPr>
          <w:rFonts w:ascii="Times New Roman" w:eastAsia="Calibri" w:hAnsi="Times New Roman" w:cs="Times New Roman"/>
          <w:color w:val="auto"/>
          <w:lang w:eastAsia="en-US"/>
        </w:rPr>
        <w:t>A gestão dos contratos oriundos da Ata de Registro de Preços será de responsabilidade dos Secretários Municipais, os quais terão seus fiscais designados no ato da assinatura do contrato.</w:t>
      </w:r>
    </w:p>
    <w:p w14:paraId="75B494DD"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9.3 – O contrato deverá ser executado fielmente pelas partes, de acordo com as cláusulas avençadas e as normas da Lei nº 14.133, de 2021, e cada parte responderá pelas consequências de sua inexecução total ou parcial.</w:t>
      </w:r>
    </w:p>
    <w:p w14:paraId="2BBFEA48"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9.4 – Em caso de impedimento, ordem de paralisação ou suspensão do contrato, o cronograma de execução será prorrogado automaticamente pelo tempo correspondente, anotadas tais circunstâncias mediante simples apostila.</w:t>
      </w:r>
    </w:p>
    <w:p w14:paraId="7C8B99B4"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9.5 – As comunicações entre o órgão ou entidade e a contratada devem ser realizadas por escrito sempre que o ato exigir tal formalidade, admitindo-se o uso de mensagem eletrônica para esse fim.</w:t>
      </w:r>
    </w:p>
    <w:p w14:paraId="12948E85"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9.6 – O órgão ou entidade poderá convocar representante da empresa para adoção de providências que devam ser cumpridas de imediato.</w:t>
      </w:r>
    </w:p>
    <w:p w14:paraId="682C4F2B" w14:textId="77777777" w:rsidR="00BC0049" w:rsidRDefault="002B07EE">
      <w:pPr>
        <w:pStyle w:val="Nvel2-Red"/>
        <w:numPr>
          <w:ilvl w:val="0"/>
          <w:numId w:val="0"/>
        </w:numPr>
        <w:spacing w:before="0" w:after="0" w:line="240" w:lineRule="auto"/>
        <w:rPr>
          <w:rFonts w:ascii="Times New Roman" w:hAnsi="Times New Roman" w:cs="Times New Roman"/>
          <w:i w:val="0"/>
          <w:iCs w:val="0"/>
          <w:color w:val="auto"/>
        </w:rPr>
      </w:pPr>
      <w:r>
        <w:rPr>
          <w:rFonts w:ascii="Times New Roman" w:hAnsi="Times New Roman" w:cs="Times New Roman"/>
          <w:i w:val="0"/>
          <w:iCs w:val="0"/>
          <w:color w:val="auto"/>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E61012" w14:textId="77777777" w:rsidR="00BC0049" w:rsidRDefault="002B07EE">
      <w:pPr>
        <w:pStyle w:val="Nivel01Titulo"/>
        <w:numPr>
          <w:ilvl w:val="0"/>
          <w:numId w:val="0"/>
        </w:numPr>
        <w:tabs>
          <w:tab w:val="clear" w:pos="567"/>
          <w:tab w:val="left" w:pos="284"/>
        </w:tabs>
        <w:spacing w:before="0"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10 – CRITÉRIOS DE MEDIÇÃO E PAGAMENTO (art. 92, incisos V e VI, da Lei nº 14.133/2021).</w:t>
      </w:r>
    </w:p>
    <w:p w14:paraId="43034826" w14:textId="77777777" w:rsidR="00BC0049" w:rsidRDefault="002B07EE">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10.1 – FORMA DE PAGAMENTO</w:t>
      </w:r>
    </w:p>
    <w:p w14:paraId="6FF3A9D3"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 xml:space="preserve">10.1.1 – O pagamento será realizado através de ordem bancária, para crédito em banco, agência e </w:t>
      </w:r>
      <w:proofErr w:type="spellStart"/>
      <w:r>
        <w:rPr>
          <w:rFonts w:ascii="Times New Roman" w:hAnsi="Times New Roman" w:cs="Times New Roman"/>
          <w:sz w:val="20"/>
          <w:szCs w:val="20"/>
        </w:rPr>
        <w:t>conta-corrente</w:t>
      </w:r>
      <w:proofErr w:type="spellEnd"/>
      <w:r>
        <w:rPr>
          <w:rFonts w:ascii="Times New Roman" w:hAnsi="Times New Roman" w:cs="Times New Roman"/>
          <w:sz w:val="20"/>
          <w:szCs w:val="20"/>
        </w:rPr>
        <w:t>, a serem devidamente indicados pelo contratado.</w:t>
      </w:r>
    </w:p>
    <w:p w14:paraId="71C7038D"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10.1.2 – Será considerada data do pagamento o dia em que constar como emitida a ordem bancária para pagamento.</w:t>
      </w:r>
    </w:p>
    <w:p w14:paraId="7AE03AD2" w14:textId="77777777" w:rsidR="00BC0049" w:rsidRDefault="002B07EE">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10.2 – PRAZO DE PAGAMENTO</w:t>
      </w:r>
    </w:p>
    <w:p w14:paraId="073D7B36"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10.2.1 – O pagamento será efetuado no prazo máximo de</w:t>
      </w:r>
      <w:r>
        <w:rPr>
          <w:rFonts w:ascii="Times New Roman" w:eastAsia="Arial" w:hAnsi="Times New Roman" w:cs="Times New Roman"/>
          <w:sz w:val="20"/>
          <w:szCs w:val="20"/>
        </w:rPr>
        <w:t xml:space="preserve"> até 30 (trinta) </w:t>
      </w:r>
      <w:r>
        <w:rPr>
          <w:rFonts w:ascii="Times New Roman" w:hAnsi="Times New Roman" w:cs="Times New Roman"/>
          <w:sz w:val="20"/>
          <w:szCs w:val="20"/>
        </w:rPr>
        <w:t>dias, contados do recebimento definitivo da NF – Nota Fiscal/Fatura.</w:t>
      </w:r>
    </w:p>
    <w:p w14:paraId="5CAC6FE7"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10.2.2 – Considera-se ocorrido o recebimento da nota fiscal ou fatura quando o órgão contratante atestar a execução do objeto do contrato.</w:t>
      </w:r>
    </w:p>
    <w:p w14:paraId="5E4DCDFA"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69E3E096" w14:textId="77777777" w:rsidR="00BC0049" w:rsidRDefault="002B07EE">
      <w:pPr>
        <w:ind w:left="1416"/>
        <w:jc w:val="both"/>
        <w:rPr>
          <w:rFonts w:ascii="Times New Roman" w:hAnsi="Times New Roman" w:cs="Times New Roman"/>
          <w:sz w:val="20"/>
          <w:szCs w:val="20"/>
        </w:rPr>
      </w:pPr>
      <w:r>
        <w:rPr>
          <w:rFonts w:ascii="Times New Roman" w:hAnsi="Times New Roman" w:cs="Times New Roman"/>
          <w:sz w:val="20"/>
          <w:szCs w:val="20"/>
        </w:rPr>
        <w:t xml:space="preserve">10.2.3.1 – </w:t>
      </w:r>
      <w:r>
        <w:rPr>
          <w:rFonts w:ascii="Times New Roman" w:hAnsi="Times New Roman" w:cs="Times New Roman"/>
          <w:iCs/>
          <w:sz w:val="20"/>
          <w:szCs w:val="20"/>
        </w:rPr>
        <w:t>A compensação financeira prevista nesta condição será incluída, a requerimento do interessado, na fatura do mês seguinte ao da ocorrência.</w:t>
      </w:r>
    </w:p>
    <w:p w14:paraId="662BC27E" w14:textId="77777777" w:rsidR="00BC0049" w:rsidRDefault="002B07EE">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10.3 – A NF – Nota Fiscal/Fatura deve conter todos os elementos exigidos em lei, tais como:</w:t>
      </w:r>
    </w:p>
    <w:p w14:paraId="37D13A1C"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70AF11F2"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10.3.2 – Prazo de validade;</w:t>
      </w:r>
    </w:p>
    <w:p w14:paraId="07505F96"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10.3.3 – Data da emissão;</w:t>
      </w:r>
    </w:p>
    <w:p w14:paraId="316FBBE9"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10.3.4 – Dados do contrato e do órgão contratante;</w:t>
      </w:r>
    </w:p>
    <w:p w14:paraId="268898E3"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10.3.5 – Descrição de forma clara do objeto executado;</w:t>
      </w:r>
    </w:p>
    <w:p w14:paraId="615DFBA1"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10.3.6 – Valores unitários e totais e período com as informações referentes aos itens do objeto efetivamente entregues;</w:t>
      </w:r>
    </w:p>
    <w:p w14:paraId="6D8B2E0C"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10.3.7 – Número do processo que originou a contratação, bem como o número do empenho.</w:t>
      </w:r>
    </w:p>
    <w:p w14:paraId="0F72650B"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10.3.8 – Informações bancárias para pagamento.</w:t>
      </w:r>
    </w:p>
    <w:p w14:paraId="329B1304"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10.3.9 – Eventual destaque do valor de retenções tributárias cabíveis.</w:t>
      </w:r>
    </w:p>
    <w:p w14:paraId="023546E4"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 xml:space="preserve">10.4 - Havendo erro </w:t>
      </w:r>
      <w:r>
        <w:rPr>
          <w:rFonts w:ascii="Times New Roman" w:hAnsi="Times New Roman" w:cs="Times New Roman"/>
          <w:sz w:val="20"/>
          <w:szCs w:val="20"/>
        </w:rPr>
        <w:t>na</w:t>
      </w:r>
      <w:r>
        <w:rPr>
          <w:rFonts w:ascii="Times New Roman" w:hAnsi="Times New Roman" w:cs="Times New Roman"/>
          <w:iCs/>
          <w:sz w:val="20"/>
          <w:szCs w:val="20"/>
        </w:rPr>
        <w:t xml:space="preserve"> apresentação da NF - Nota Fiscal/Fatura, ou circunstância que impeça a liquidação da </w:t>
      </w:r>
      <w:r>
        <w:rPr>
          <w:rFonts w:ascii="Times New Roman" w:hAnsi="Times New Roman" w:cs="Times New Roman"/>
          <w:sz w:val="20"/>
          <w:szCs w:val="20"/>
        </w:rPr>
        <w:t>despesa</w:t>
      </w:r>
      <w:r>
        <w:rPr>
          <w:rFonts w:ascii="Times New Roman" w:hAnsi="Times New Roman" w:cs="Times New Roman"/>
          <w:iCs/>
          <w:sz w:val="20"/>
          <w:szCs w:val="20"/>
        </w:rPr>
        <w:t>, o pagamento ficará sobrestado até que o contratado providencie as medidas saneadoras. Nessa hipótese, o prazo para pagamento iniciar-se-á após a comprovação da regularização da situação, não acarretando qualquer ônus para o contratante;</w:t>
      </w:r>
    </w:p>
    <w:p w14:paraId="50ED426A"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10.5 – Os pagamentos serão condicionados à apresentação da NF – Nota Fiscal dos produtos/serviços contratados e entregues/executados devidamente atestados pelo setor competente.</w:t>
      </w:r>
    </w:p>
    <w:p w14:paraId="3919AF15"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 xml:space="preserve">10.6 – Deverá a contratada apresentar ainda as provas de regularidade fiscal e trabalhista com prazo de validade vigente. </w:t>
      </w:r>
    </w:p>
    <w:p w14:paraId="295E898E"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2ACFC6A8" w14:textId="77777777" w:rsidR="00BC0049" w:rsidRDefault="002B07EE">
      <w:pPr>
        <w:tabs>
          <w:tab w:val="left" w:pos="426"/>
        </w:tabs>
        <w:jc w:val="both"/>
        <w:rPr>
          <w:rFonts w:ascii="Times New Roman" w:hAnsi="Times New Roman" w:cs="Times New Roman"/>
          <w:iCs/>
          <w:sz w:val="20"/>
          <w:szCs w:val="20"/>
          <w:highlight w:val="white"/>
        </w:rPr>
      </w:pPr>
      <w:r>
        <w:rPr>
          <w:rFonts w:ascii="Times New Roman" w:hAnsi="Times New Roman" w:cs="Times New Roman"/>
          <w:iCs/>
          <w:sz w:val="20"/>
          <w:szCs w:val="20"/>
        </w:rPr>
        <w:lastRenderedPageBreak/>
        <w:t>10.8</w:t>
      </w:r>
      <w:r>
        <w:rPr>
          <w:rFonts w:ascii="Times New Roman" w:hAnsi="Times New Roman" w:cs="Times New Roman"/>
          <w:iCs/>
          <w:sz w:val="20"/>
          <w:szCs w:val="20"/>
          <w:highlight w:val="white"/>
        </w:rPr>
        <w:t xml:space="preserve"> – </w:t>
      </w:r>
      <w:r>
        <w:rPr>
          <w:rFonts w:ascii="Times New Roman" w:hAnsi="Times New Roman" w:cs="Times New Roman"/>
          <w:sz w:val="20"/>
          <w:szCs w:val="20"/>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Times New Roman" w:hAnsi="Times New Roman" w:cs="Times New Roman"/>
          <w:iCs/>
          <w:sz w:val="20"/>
          <w:szCs w:val="20"/>
          <w:highlight w:val="white"/>
        </w:rPr>
        <w:t>.</w:t>
      </w:r>
    </w:p>
    <w:p w14:paraId="0004EC1C"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10.9 – Dados para emissão da Nota Fiscal:</w:t>
      </w:r>
    </w:p>
    <w:p w14:paraId="57E28FD0" w14:textId="77777777" w:rsidR="00BC0049" w:rsidRDefault="002B07EE">
      <w:pPr>
        <w:widowControl w:val="0"/>
        <w:jc w:val="both"/>
        <w:rPr>
          <w:rFonts w:ascii="Times New Roman" w:hAnsi="Times New Roman" w:cs="Times New Roman"/>
          <w:bCs/>
          <w:i/>
          <w:sz w:val="16"/>
          <w:szCs w:val="16"/>
        </w:rPr>
      </w:pPr>
      <w:r>
        <w:rPr>
          <w:rFonts w:ascii="Times New Roman" w:hAnsi="Times New Roman" w:cs="Times New Roman"/>
          <w:i/>
          <w:iCs/>
          <w:sz w:val="16"/>
          <w:szCs w:val="16"/>
        </w:rPr>
        <w:t>PREFEITURA MUNICIPAL DE SANTA BÁRBARA DO SUL/RS</w:t>
      </w:r>
    </w:p>
    <w:p w14:paraId="29B40DC2" w14:textId="77777777" w:rsidR="00BC0049" w:rsidRDefault="002B07EE">
      <w:pPr>
        <w:widowControl w:val="0"/>
        <w:jc w:val="both"/>
        <w:rPr>
          <w:rFonts w:ascii="Times New Roman" w:hAnsi="Times New Roman" w:cs="Times New Roman"/>
          <w:bCs/>
          <w:i/>
          <w:sz w:val="16"/>
          <w:szCs w:val="16"/>
        </w:rPr>
      </w:pPr>
      <w:r>
        <w:rPr>
          <w:rFonts w:ascii="Times New Roman" w:hAnsi="Times New Roman" w:cs="Times New Roman"/>
          <w:i/>
          <w:iCs/>
          <w:sz w:val="16"/>
          <w:szCs w:val="16"/>
        </w:rPr>
        <w:t>CNPJ nº: 88.496.468/0001-60</w:t>
      </w:r>
    </w:p>
    <w:p w14:paraId="7B80A217" w14:textId="77777777" w:rsidR="00BC0049" w:rsidRDefault="002B07EE">
      <w:pPr>
        <w:widowControl w:val="0"/>
        <w:jc w:val="both"/>
        <w:rPr>
          <w:rFonts w:ascii="Times New Roman" w:hAnsi="Times New Roman" w:cs="Times New Roman"/>
          <w:bCs/>
          <w:i/>
          <w:sz w:val="16"/>
          <w:szCs w:val="16"/>
        </w:rPr>
      </w:pPr>
      <w:r>
        <w:rPr>
          <w:rFonts w:ascii="Times New Roman" w:hAnsi="Times New Roman" w:cs="Times New Roman"/>
          <w:i/>
          <w:iCs/>
          <w:sz w:val="16"/>
          <w:szCs w:val="16"/>
        </w:rPr>
        <w:t>ENDEREÇO: Avenida Eduardo de Britto, nº 101, Bairro Cerutti.</w:t>
      </w:r>
    </w:p>
    <w:p w14:paraId="10D74BA9" w14:textId="77777777" w:rsidR="00BC0049" w:rsidRDefault="002B07EE">
      <w:pPr>
        <w:widowControl w:val="0"/>
        <w:jc w:val="both"/>
        <w:rPr>
          <w:rFonts w:ascii="Times New Roman" w:hAnsi="Times New Roman" w:cs="Times New Roman"/>
          <w:i/>
          <w:iCs/>
          <w:sz w:val="16"/>
          <w:szCs w:val="16"/>
        </w:rPr>
      </w:pPr>
      <w:r>
        <w:rPr>
          <w:rFonts w:ascii="Times New Roman" w:hAnsi="Times New Roman" w:cs="Times New Roman"/>
          <w:i/>
          <w:iCs/>
          <w:sz w:val="16"/>
          <w:szCs w:val="16"/>
        </w:rPr>
        <w:t>CEP:98.240-000</w:t>
      </w:r>
    </w:p>
    <w:p w14:paraId="2E7E5D40"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 – REAJUSTE (art. 92, inciso V, da Lei nº 14.133/2021).</w:t>
      </w:r>
    </w:p>
    <w:p w14:paraId="40CC2556"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11.1 – Os preços inicialmente contratados são fixos e irreajustáveis no prazo de um ano contado da data do orçamento estimado.</w:t>
      </w:r>
    </w:p>
    <w:p w14:paraId="72C119D9"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11.2 – Após o interregno de 01 (um) ano, e independentemente de pedido do contratado, os preços iniciais serão reajustados, mediante a aplicação, pelo contratante, do Índice Nacional de Preços ao Consumidor Amplo - IPCA/IBGE</w:t>
      </w:r>
      <w:r>
        <w:rPr>
          <w:rFonts w:ascii="Times New Roman" w:hAnsi="Times New Roman" w:cs="Times New Roman"/>
          <w:i/>
          <w:iCs/>
          <w:color w:val="auto"/>
        </w:rPr>
        <w:t>,</w:t>
      </w:r>
      <w:r>
        <w:rPr>
          <w:rFonts w:ascii="Times New Roman" w:hAnsi="Times New Roman" w:cs="Times New Roman"/>
          <w:color w:val="auto"/>
        </w:rPr>
        <w:t xml:space="preserve"> exclusivamente para as obrigações iniciadas e concluídas após a ocorrência da anualidade.</w:t>
      </w:r>
    </w:p>
    <w:p w14:paraId="75099037"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11.3 – Nos reajustes subsequentes ao primeiro, o interregno mínimo de 01 (um) ano será contado a partir dos efeitos financeiros do último reajuste.</w:t>
      </w:r>
    </w:p>
    <w:p w14:paraId="0AEE8DE3"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CC5F356"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11.5 – Nas aferições finais, o(s) índice(s) utilizado(s) para reajuste será(</w:t>
      </w:r>
      <w:proofErr w:type="spellStart"/>
      <w:r>
        <w:rPr>
          <w:rFonts w:ascii="Times New Roman" w:hAnsi="Times New Roman" w:cs="Times New Roman"/>
          <w:color w:val="auto"/>
        </w:rPr>
        <w:t>ão</w:t>
      </w:r>
      <w:proofErr w:type="spellEnd"/>
      <w:r>
        <w:rPr>
          <w:rFonts w:ascii="Times New Roman" w:hAnsi="Times New Roman" w:cs="Times New Roman"/>
          <w:color w:val="auto"/>
        </w:rPr>
        <w:t>), obrigatoriamente, o(s) definitivo(s).</w:t>
      </w:r>
    </w:p>
    <w:p w14:paraId="51151B15"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11.6 – Caso o(s) índice(s) estabelecido(s) para reajustamento venha(m) a ser extinto(s) ou de qualquer forma não possa(m) mais ser utilizado(s), será(</w:t>
      </w:r>
      <w:proofErr w:type="spellStart"/>
      <w:r>
        <w:rPr>
          <w:rFonts w:ascii="Times New Roman" w:hAnsi="Times New Roman" w:cs="Times New Roman"/>
          <w:color w:val="auto"/>
        </w:rPr>
        <w:t>ão</w:t>
      </w:r>
      <w:proofErr w:type="spellEnd"/>
      <w:r>
        <w:rPr>
          <w:rFonts w:ascii="Times New Roman" w:hAnsi="Times New Roman" w:cs="Times New Roman"/>
          <w:color w:val="auto"/>
        </w:rPr>
        <w:t>) adotado(s), em substituição, o(s) que vier(em) a ser determinado(s) pela legislação então em vigor.</w:t>
      </w:r>
    </w:p>
    <w:p w14:paraId="31BCE3C0"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11.7 – Na ausência de previsão legal quanto ao índice substituto, as partes elegerão novo índice oficial, para reajustamento do preço do valor remanescente, por meio de termo aditivo. </w:t>
      </w:r>
    </w:p>
    <w:p w14:paraId="3679FE8A"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11.8 – O reajuste será realizado por apostilamento.</w:t>
      </w:r>
    </w:p>
    <w:p w14:paraId="0126BA0C" w14:textId="77777777" w:rsidR="00BC0049" w:rsidRDefault="002B07EE">
      <w:pPr>
        <w:pStyle w:val="Nivel01"/>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 – INFRAÇÕES E SANÇÕES ADMINISTRATIVAS (art. 92, inciso XIV, da Lei nº 14.133/2021).</w:t>
      </w:r>
    </w:p>
    <w:p w14:paraId="45BBFD88" w14:textId="77777777" w:rsidR="00BC0049" w:rsidRDefault="002B07EE">
      <w:pPr>
        <w:pStyle w:val="Nivel2"/>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12.1 – Comete infração administrativa, nos termos da Lei nº 14.133, de 2021, o contratado que:</w:t>
      </w:r>
    </w:p>
    <w:p w14:paraId="57FA1376"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a) der causa à inexecução parcial do contrato;</w:t>
      </w:r>
    </w:p>
    <w:p w14:paraId="2FC97EF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b) der causa à inexecução parcial do contrato que cause grave dano à Administração ou ao funcionamento dos serviços públicos ou ao interesse coletivo;</w:t>
      </w:r>
    </w:p>
    <w:p w14:paraId="6019AA0B"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c) der causa à inexecução total do contrato;</w:t>
      </w:r>
    </w:p>
    <w:p w14:paraId="539D44A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d) ensejar o retardamento da execução ou da entrega do objeto da contratação sem motivo justificado;</w:t>
      </w:r>
    </w:p>
    <w:p w14:paraId="5360BB80"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e) apresentar documentação falsa ou prestar declaração falsa durante a execução do contrato;</w:t>
      </w:r>
    </w:p>
    <w:p w14:paraId="4105F3B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f) praticar ato fraudulento na execução do contrato;</w:t>
      </w:r>
    </w:p>
    <w:p w14:paraId="1C649C7D"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g) comportar-se de modo inidôneo ou cometer fraude de qualquer natureza;</w:t>
      </w:r>
    </w:p>
    <w:p w14:paraId="5AD4206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h) praticar ato lesivo previsto no art. 5º da Lei nº 12.846, de 1º de agosto de 2013.</w:t>
      </w:r>
    </w:p>
    <w:p w14:paraId="16ECFE92"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12.2 – Serão aplicadas ao contratado que incorrer nas infrações acima descritas as seguintes sanções:</w:t>
      </w:r>
    </w:p>
    <w:p w14:paraId="1CEEDC04"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 Advertência</w:t>
      </w:r>
      <w:r>
        <w:rPr>
          <w:rFonts w:ascii="Times New Roman" w:eastAsia="Arial" w:hAnsi="Times New Roman" w:cs="Times New Roman"/>
          <w:sz w:val="20"/>
          <w:szCs w:val="20"/>
        </w:rPr>
        <w:t xml:space="preserve">, quando o contratado der causa à inexecução parcial do contrato, sempre que não se justificar a imposição de penalidade mais grave (art. 156, §2º, da </w:t>
      </w:r>
      <w:bookmarkStart w:id="39" w:name="_Hlk114504069"/>
      <w:r>
        <w:rPr>
          <w:rFonts w:ascii="Times New Roman" w:eastAsia="Arial" w:hAnsi="Times New Roman" w:cs="Times New Roman"/>
          <w:sz w:val="20"/>
          <w:szCs w:val="20"/>
        </w:rPr>
        <w:t>Lei nº 14.133, de 2021</w:t>
      </w:r>
      <w:bookmarkEnd w:id="39"/>
      <w:r>
        <w:rPr>
          <w:rFonts w:ascii="Times New Roman" w:eastAsia="Arial" w:hAnsi="Times New Roman" w:cs="Times New Roman"/>
          <w:sz w:val="20"/>
          <w:szCs w:val="20"/>
        </w:rPr>
        <w:t>);</w:t>
      </w:r>
    </w:p>
    <w:p w14:paraId="127B490B"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II) Impedimento de licitar e contratar</w:t>
      </w:r>
      <w:r>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(art. 156, § 4º, da Lei nº 14.133, de 2021);</w:t>
      </w:r>
    </w:p>
    <w:p w14:paraId="1EADD854"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III) Declaração de inidoneidade para licitar e contratar</w:t>
      </w:r>
      <w:r>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(art. 156, §5º, da Lei nº 14.133, de 2021).</w:t>
      </w:r>
    </w:p>
    <w:p w14:paraId="0E50E43D" w14:textId="77777777" w:rsidR="00BC0049" w:rsidRDefault="002B07EE">
      <w:pPr>
        <w:tabs>
          <w:tab w:val="left" w:pos="284"/>
        </w:tabs>
        <w:jc w:val="both"/>
        <w:rPr>
          <w:rFonts w:ascii="Times New Roman" w:hAnsi="Times New Roman" w:cs="Times New Roman"/>
          <w:sz w:val="20"/>
          <w:szCs w:val="20"/>
        </w:rPr>
      </w:pPr>
      <w:r>
        <w:rPr>
          <w:rFonts w:ascii="Times New Roman" w:eastAsia="Arial" w:hAnsi="Times New Roman" w:cs="Times New Roman"/>
          <w:bCs/>
          <w:sz w:val="20"/>
          <w:szCs w:val="20"/>
        </w:rPr>
        <w:t>I – Multa:</w:t>
      </w:r>
    </w:p>
    <w:p w14:paraId="5050A3D8"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1 – Moratória de 1% (um por cento) por dia de atraso injustificado sobre o valor da parcela inadimplida, até o limite de 30 (trinta) dias;</w:t>
      </w:r>
    </w:p>
    <w:p w14:paraId="40AA6B56"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iCs/>
          <w:sz w:val="20"/>
          <w:szCs w:val="20"/>
        </w:rPr>
        <w:t>2 – Moratória de 1% (um por cento) por dia de atraso injustificado sobre o valor total do contrato, até o máximo de 50% (cinquenta por cento), pela inobservância do prazo fixado para apresentação, suplementação ou reposição da garantia.</w:t>
      </w:r>
    </w:p>
    <w:p w14:paraId="64E4A239" w14:textId="77777777" w:rsidR="00BC0049" w:rsidRDefault="002B07EE">
      <w:pPr>
        <w:tabs>
          <w:tab w:val="left" w:pos="284"/>
        </w:tabs>
        <w:jc w:val="both"/>
        <w:rPr>
          <w:rFonts w:ascii="Times New Roman" w:hAnsi="Times New Roman" w:cs="Times New Roman"/>
          <w:sz w:val="20"/>
          <w:szCs w:val="20"/>
        </w:rPr>
      </w:pPr>
      <w:r>
        <w:rPr>
          <w:rFonts w:ascii="Times New Roman" w:eastAsia="Arial" w:hAnsi="Times New Roman" w:cs="Times New Roman"/>
          <w:iCs/>
          <w:sz w:val="20"/>
          <w:szCs w:val="20"/>
        </w:rPr>
        <w:t xml:space="preserve">I) O atraso superior a 10 (dez) dias autoriza a Administração a promover a extinção do contrato por descumprimento ou cumprimento irregular de suas cláusulas, conforme dispõe o inciso I do art. 137 da Lei n. 14.133, de 2021. </w:t>
      </w:r>
    </w:p>
    <w:p w14:paraId="323058B2"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1 – Compensatória de 30% (trinta por cento) sobre o valor total do contrato, no caso de inexecução total do objeto.</w:t>
      </w:r>
    </w:p>
    <w:p w14:paraId="03C78567"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12.3 – A aplicação das sanções previstas neste Contrato não exclui, em hipótese alguma, a obrigação de reparação integral do dano causado ao Contratante (art. 156, §9º, da Lei nº 14.133, de 2021)</w:t>
      </w:r>
    </w:p>
    <w:p w14:paraId="185560A4"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lastRenderedPageBreak/>
        <w:t>12.4 – Todas as sanções previstas neste Contrato poderão ser aplicadas cumulativamente com a multa (art. 156, §7º, da Lei nº 14.133, de 2021).</w:t>
      </w:r>
    </w:p>
    <w:p w14:paraId="1E692B1A" w14:textId="77777777" w:rsidR="00BC0049" w:rsidRDefault="002B07EE">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12.4.1 – Antes da aplicação da multa será facultada a defesa do interessado no prazo de 15 (quinze) dias úteis, contado da data de sua intimação (art. 157, da Lei nº 14.133, de 2021)</w:t>
      </w:r>
    </w:p>
    <w:p w14:paraId="43A74EC6" w14:textId="77777777" w:rsidR="00BC0049" w:rsidRDefault="002B07EE">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485E2F7" w14:textId="77777777" w:rsidR="00BC0049" w:rsidRDefault="002B07EE">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12.4.3 – Previamente ao encaminhamento à cobrança judicial, a multa poderá ser recolhida administrativamente no prazo máximo de </w:t>
      </w:r>
      <w:r>
        <w:rPr>
          <w:rFonts w:ascii="Times New Roman" w:hAnsi="Times New Roman" w:cs="Times New Roman"/>
          <w:iCs/>
          <w:color w:val="auto"/>
        </w:rPr>
        <w:t xml:space="preserve">15 (quinze) </w:t>
      </w:r>
      <w:r>
        <w:rPr>
          <w:rFonts w:ascii="Times New Roman" w:hAnsi="Times New Roman" w:cs="Times New Roman"/>
          <w:color w:val="auto"/>
        </w:rPr>
        <w:t>dias, a contar da data do recebimento da comunicação enviada pela autoridade competente.</w:t>
      </w:r>
      <w:bookmarkStart w:id="40" w:name="_Hlk78351618"/>
      <w:bookmarkEnd w:id="40"/>
    </w:p>
    <w:p w14:paraId="1F60D9D3"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12.5 – A aplicação das sanções realizar-se-á em processo administrativo que assegure o contraditório e a ampla defesa ao Contratado, observando-se o procedimento previsto no </w:t>
      </w:r>
      <w:r>
        <w:rPr>
          <w:rFonts w:ascii="Times New Roman" w:hAnsi="Times New Roman" w:cs="Times New Roman"/>
          <w:b/>
          <w:bCs/>
          <w:color w:val="auto"/>
        </w:rPr>
        <w:t xml:space="preserve">caput </w:t>
      </w:r>
      <w:r>
        <w:rPr>
          <w:rFonts w:ascii="Times New Roman" w:hAnsi="Times New Roman" w:cs="Times New Roman"/>
          <w:color w:val="auto"/>
        </w:rPr>
        <w:t>e parágrafos do art. 158 da Lei nº 14.133, de 2021, para as penalidades de impedimento de licitar e contratar e de declaração de inidoneidade para licitar ou contratar.</w:t>
      </w:r>
    </w:p>
    <w:p w14:paraId="6191410D" w14:textId="77777777" w:rsidR="00BC0049" w:rsidRDefault="002B07EE">
      <w:pPr>
        <w:pStyle w:val="Nivel2"/>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12.6 – Na aplicação das sanções serão considerados (art. 156, §1º, da Lei nº 14.133, de 2021):</w:t>
      </w:r>
    </w:p>
    <w:p w14:paraId="1C7981EA"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a) a natureza e a gravidade da infração cometida;</w:t>
      </w:r>
    </w:p>
    <w:p w14:paraId="7C79C0F3"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b) as peculiaridades do caso concreto;</w:t>
      </w:r>
    </w:p>
    <w:p w14:paraId="65EC2D66"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c) as circunstâncias agravantes ou atenuantes;</w:t>
      </w:r>
    </w:p>
    <w:p w14:paraId="30969D76"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d) os danos que dela provierem para o Contratante;</w:t>
      </w:r>
    </w:p>
    <w:p w14:paraId="1D2397ED"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e) a implantação ou o aperfeiçoamento de programa de integridade, conforme normas e orientações dos órgãos de controle.</w:t>
      </w:r>
    </w:p>
    <w:p w14:paraId="798833B0"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933E9E9" w14:textId="77777777" w:rsidR="00BC0049" w:rsidRDefault="002B07EE">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7A17CF7" w14:textId="77777777" w:rsidR="00BC0049" w:rsidRDefault="002B07EE">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943EA2B" w14:textId="77777777" w:rsidR="00BC0049" w:rsidRDefault="002B07EE">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12.10 – As sanções de impedimento de licitar e contratar e declaração de inidoneidade para licitar ou contratar são passíveis de reabilitação na forma do art. 163 da Lei nº 14.133/21.</w:t>
      </w:r>
    </w:p>
    <w:p w14:paraId="6D7B56AD"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FB909A2" w14:textId="77777777" w:rsidR="00BC0049" w:rsidRDefault="002B07EE">
      <w:pPr>
        <w:pStyle w:val="PargrafodaLista"/>
        <w:widowControl w:val="0"/>
        <w:tabs>
          <w:tab w:val="left" w:pos="909"/>
        </w:tabs>
        <w:ind w:left="0"/>
        <w:contextualSpacing w:val="0"/>
        <w:jc w:val="both"/>
        <w:rPr>
          <w:rFonts w:ascii="Times New Roman" w:hAnsi="Times New Roman" w:cs="Times New Roman"/>
          <w:sz w:val="20"/>
          <w:szCs w:val="20"/>
        </w:rPr>
      </w:pPr>
      <w:r>
        <w:rPr>
          <w:rFonts w:ascii="Times New Roman" w:hAnsi="Times New Roman" w:cs="Times New Roman"/>
          <w:sz w:val="20"/>
          <w:szCs w:val="20"/>
        </w:rPr>
        <w:t xml:space="preserve">12.12 – </w:t>
      </w:r>
      <w:r>
        <w:rPr>
          <w:rFonts w:ascii="Times New Roman" w:eastAsia="Times New Roman" w:hAnsi="Times New Roman" w:cs="Times New Roman"/>
          <w:sz w:val="20"/>
          <w:szCs w:val="20"/>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68B35D26"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13 – FORMA E CRITÉRIOS DE SELEÇÃO DO FORNECEDOR</w:t>
      </w:r>
    </w:p>
    <w:p w14:paraId="440957B7" w14:textId="77777777" w:rsidR="00BC0049" w:rsidRDefault="002B07EE">
      <w:pPr>
        <w:pStyle w:val="Nvel1-SemNum"/>
        <w:spacing w:before="0" w:after="0" w:line="240" w:lineRule="auto"/>
        <w:ind w:left="0"/>
        <w:rPr>
          <w:rFonts w:ascii="Times New Roman" w:hAnsi="Times New Roman" w:cs="Times New Roman"/>
          <w:color w:val="auto"/>
          <w:highlight w:val="yellow"/>
        </w:rPr>
      </w:pPr>
      <w:r>
        <w:rPr>
          <w:rFonts w:ascii="Times New Roman" w:hAnsi="Times New Roman" w:cs="Times New Roman"/>
          <w:color w:val="auto"/>
          <w:lang w:eastAsia="en-US"/>
        </w:rPr>
        <w:t>Forma de seleção e critério de julgamento da proposta</w:t>
      </w:r>
    </w:p>
    <w:p w14:paraId="3576EA50" w14:textId="77777777" w:rsidR="00BC0049" w:rsidRDefault="002B07EE">
      <w:pPr>
        <w:pStyle w:val="Nivel2"/>
        <w:numPr>
          <w:ilvl w:val="0"/>
          <w:numId w:val="0"/>
        </w:numPr>
        <w:spacing w:before="0" w:after="0" w:line="240" w:lineRule="auto"/>
        <w:rPr>
          <w:rFonts w:ascii="Times New Roman" w:hAnsi="Times New Roman" w:cs="Times New Roman"/>
          <w:b/>
          <w:color w:val="auto"/>
        </w:rPr>
      </w:pPr>
      <w:r>
        <w:rPr>
          <w:rFonts w:ascii="Times New Roman" w:eastAsia="Arial" w:hAnsi="Times New Roman" w:cs="Times New Roman"/>
          <w:color w:val="auto"/>
        </w:rPr>
        <w:t xml:space="preserve">13.1 – O fornecedor será selecionado por meio da realização de procedimento de LICITAÇÃO, na modalidade PREGÃO, sob a forma ELETRÔNICA, com adoção do critério de julgamento pelo </w:t>
      </w:r>
      <w:r>
        <w:rPr>
          <w:rFonts w:ascii="Times New Roman" w:eastAsia="Arial" w:hAnsi="Times New Roman" w:cs="Times New Roman"/>
          <w:b/>
          <w:color w:val="auto"/>
        </w:rPr>
        <w:t>MENOR PREÇO POR ITEM.</w:t>
      </w:r>
    </w:p>
    <w:p w14:paraId="2E07C8F1" w14:textId="77777777" w:rsidR="00BC0049" w:rsidRDefault="002B07EE">
      <w:pPr>
        <w:pStyle w:val="Nvel1-SemNum"/>
        <w:spacing w:before="0" w:after="0" w:line="240" w:lineRule="auto"/>
        <w:ind w:left="0"/>
        <w:rPr>
          <w:rFonts w:ascii="Times New Roman" w:hAnsi="Times New Roman" w:cs="Times New Roman"/>
          <w:color w:val="auto"/>
        </w:rPr>
      </w:pPr>
      <w:r>
        <w:rPr>
          <w:rFonts w:ascii="Times New Roman" w:hAnsi="Times New Roman" w:cs="Times New Roman"/>
          <w:color w:val="auto"/>
          <w:lang w:eastAsia="en-US"/>
        </w:rPr>
        <w:t>Exigências de habilitação</w:t>
      </w:r>
    </w:p>
    <w:p w14:paraId="7BB4A322" w14:textId="77777777" w:rsidR="00BC0049" w:rsidRDefault="002B07EE">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13.1.1. </w:t>
      </w:r>
      <w:r>
        <w:rPr>
          <w:rFonts w:ascii="Times New Roman" w:eastAsia="Times New Roman" w:hAnsi="Times New Roman" w:cs="Times New Roman"/>
          <w:b/>
          <w:bCs/>
          <w:sz w:val="20"/>
          <w:szCs w:val="20"/>
        </w:rPr>
        <w:t>Documentos relativos à habilitação jurídica</w:t>
      </w:r>
      <w:r>
        <w:rPr>
          <w:rFonts w:ascii="Times New Roman" w:eastAsia="Times New Roman" w:hAnsi="Times New Roman" w:cs="Times New Roman"/>
          <w:b/>
          <w:sz w:val="20"/>
          <w:szCs w:val="20"/>
        </w:rPr>
        <w:t>:</w:t>
      </w:r>
    </w:p>
    <w:p w14:paraId="5BE34A88" w14:textId="77777777" w:rsidR="00BC0049" w:rsidRDefault="002B07EE">
      <w:pPr>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13.1.1.1 Registro comercial, em vigor, no caso de empresa individual; </w:t>
      </w:r>
    </w:p>
    <w:p w14:paraId="39AF34EC" w14:textId="77777777" w:rsidR="00BC0049" w:rsidRDefault="002B07EE">
      <w:pPr>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13.1.1.2. Ato constitutivo, estatuto ou contrato social em vigor, devidamente registrado, em se tratando de sociedades comerciais, e, no caso de sociedades por ações, acompanhado de documentos de eleição de seus administradores.</w:t>
      </w:r>
    </w:p>
    <w:p w14:paraId="118E22B2" w14:textId="77777777" w:rsidR="00BC0049" w:rsidRDefault="002B07EE">
      <w:pPr>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13.1.1.3. Alvará de Funcionamento, compatível com os serviços contratados</w:t>
      </w:r>
    </w:p>
    <w:p w14:paraId="14D5BBCB" w14:textId="77777777" w:rsidR="00BC0049" w:rsidRDefault="002B07EE">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13.1.2. </w:t>
      </w:r>
      <w:r>
        <w:rPr>
          <w:rFonts w:ascii="Times New Roman" w:eastAsia="Times New Roman" w:hAnsi="Times New Roman" w:cs="Times New Roman"/>
          <w:b/>
          <w:bCs/>
          <w:sz w:val="20"/>
          <w:szCs w:val="20"/>
        </w:rPr>
        <w:t xml:space="preserve">Documentos relativos à </w:t>
      </w:r>
      <w:r>
        <w:rPr>
          <w:rFonts w:ascii="Times New Roman" w:eastAsia="Times New Roman" w:hAnsi="Times New Roman" w:cs="Times New Roman"/>
          <w:b/>
          <w:sz w:val="20"/>
          <w:szCs w:val="20"/>
        </w:rPr>
        <w:t>regularidade fiscal e trabalhista:</w:t>
      </w:r>
    </w:p>
    <w:p w14:paraId="669205E7" w14:textId="77777777" w:rsidR="00BC0049" w:rsidRDefault="002B07EE">
      <w:pPr>
        <w:widowControl w:val="0"/>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13.1.2.1. Certidão Conjunta Negativa de Débitos de Tributos e Contribuições Federais à Dívida Ativa da União, expedida pela Secretaria da Receita Federal, acompanhado da Prova de regularidade junto a Seguridade Social – CND INSS;</w:t>
      </w:r>
    </w:p>
    <w:p w14:paraId="0AF960BD"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13.1.2.2. Prova de regularidade junto a Fazenda Estadual relativo ao domicílio ou sede do licitante;</w:t>
      </w:r>
    </w:p>
    <w:p w14:paraId="1C00E2C4"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13.1.2.3. Prova de regularidade junto a Fazenda Municipal, relativo ao domicílio ou sede do licitante;</w:t>
      </w:r>
    </w:p>
    <w:p w14:paraId="69084434"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13.1.2.4. Certificado de Regularidade de Situação – CRS, perante o FGTS, expedido pela Caixa Econômica Federal;</w:t>
      </w:r>
    </w:p>
    <w:p w14:paraId="7D2D7845"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13.1.2.5. Certidão Negativa de Débitos Trabalhistas – CNDT.</w:t>
      </w:r>
    </w:p>
    <w:p w14:paraId="546BF929"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13.1.2.6. Prova de inscrição no Cadastro Nacional de Pessoas Jurídicas – Cartão CNPJ</w:t>
      </w:r>
    </w:p>
    <w:p w14:paraId="4D426ABE" w14:textId="77777777" w:rsidR="00BC0049" w:rsidRDefault="002B07EE">
      <w:pPr>
        <w:widowControl w:val="0"/>
        <w:ind w:left="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13.1.3. Documentos referente a qualificação econômico financeira:</w:t>
      </w:r>
    </w:p>
    <w:p w14:paraId="0805D47E" w14:textId="77777777" w:rsidR="00BC0049" w:rsidRDefault="002B07EE">
      <w:pPr>
        <w:widowControl w:val="0"/>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13.1.3.1. Certidão negativa de falência ou concordata expedida pelo distribuidor da sede da pessoa jurídica, ou de execução patrimonial, expedida no domicílio da pessoa física;</w:t>
      </w:r>
    </w:p>
    <w:p w14:paraId="62B5949A" w14:textId="77777777" w:rsidR="00BC0049" w:rsidRDefault="002B07EE">
      <w:pPr>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13.1.4. Declaração de atendimento à norma do inciso XXXIII do art. 7º da Constituição Federal</w:t>
      </w:r>
      <w:r>
        <w:rPr>
          <w:rFonts w:ascii="Times New Roman" w:eastAsia="Times New Roman" w:hAnsi="Times New Roman" w:cs="Times New Roman"/>
          <w:sz w:val="20"/>
          <w:szCs w:val="20"/>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ascii="Times New Roman" w:eastAsia="Times New Roman" w:hAnsi="Times New Roman" w:cs="Times New Roman"/>
          <w:b/>
          <w:sz w:val="20"/>
          <w:szCs w:val="20"/>
        </w:rPr>
        <w:t>Anexo IV</w:t>
      </w:r>
      <w:r>
        <w:rPr>
          <w:rFonts w:ascii="Times New Roman" w:eastAsia="Times New Roman" w:hAnsi="Times New Roman" w:cs="Times New Roman"/>
          <w:sz w:val="20"/>
          <w:szCs w:val="20"/>
        </w:rPr>
        <w:t>, deste Edital;</w:t>
      </w:r>
    </w:p>
    <w:p w14:paraId="6B12C5F0" w14:textId="77777777" w:rsidR="00BC0049" w:rsidRDefault="002B07EE">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13.1.5. Certidão simplificada expedida pela Junta Comercial,</w:t>
      </w:r>
      <w:r>
        <w:rPr>
          <w:rFonts w:ascii="Times New Roman" w:eastAsia="Times New Roman" w:hAnsi="Times New Roman" w:cs="Times New Roman"/>
          <w:sz w:val="20"/>
          <w:szCs w:val="20"/>
        </w:rPr>
        <w:t xml:space="preserve"> conforme art. 8º da Instrução Normativa nº 103/2007 do Departamento Nacional do Registro do Comércio – DNRC, com data de emissão não inferior a</w:t>
      </w:r>
      <w:r>
        <w:rPr>
          <w:rFonts w:ascii="Times New Roman" w:eastAsia="Times New Roman" w:hAnsi="Times New Roman" w:cs="Times New Roman"/>
          <w:b/>
          <w:sz w:val="20"/>
          <w:szCs w:val="20"/>
        </w:rPr>
        <w:t xml:space="preserve"> 01 de janeiro de 2025</w:t>
      </w:r>
      <w:r>
        <w:rPr>
          <w:rFonts w:ascii="Times New Roman" w:eastAsia="Times New Roman" w:hAnsi="Times New Roman" w:cs="Times New Roman"/>
          <w:sz w:val="20"/>
          <w:szCs w:val="20"/>
        </w:rPr>
        <w:t>, para os licitantes que usufruírem dos benefícios previstos na LC 123/2006;</w:t>
      </w:r>
    </w:p>
    <w:p w14:paraId="4A407AE7" w14:textId="77777777" w:rsidR="00BC0049" w:rsidRDefault="002B07EE">
      <w:pPr>
        <w:widowControl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26B7CD5B" w14:textId="77777777" w:rsidR="00BC0049" w:rsidRDefault="002B07E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13.3. A documentação, na fase pertinente, será rubricada pelo Pregoeiro e pela Equipe de Apoio e após examinada será anexada ao processo desta licitação, sendo INABILITADOS aqueles proponentes cuja documentação apresente irregularidades;</w:t>
      </w:r>
    </w:p>
    <w:p w14:paraId="744DE2F0" w14:textId="77777777" w:rsidR="00BC0049" w:rsidRDefault="002B07E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 As microempresas ou empresas de pequeno porte deverão apresentar os documentos, mesmo que estes apresentem alguma restrição, nos termos da legislação pertinente;</w:t>
      </w:r>
    </w:p>
    <w:p w14:paraId="6B080AF2" w14:textId="77777777" w:rsidR="00BC0049" w:rsidRDefault="002B07E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13.5. Havendo alguma restrição na comprovação da regularidade fiscal da microempresa ou da empresa de pequeno porte, esta não será inabilitada, caso atenda as disposições da legislação pertinente.</w:t>
      </w:r>
    </w:p>
    <w:p w14:paraId="2E98C633"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14 – ESTIMATIVAS DO VALOR DA CONTRATAÇÃO</w:t>
      </w:r>
    </w:p>
    <w:p w14:paraId="35F855BD" w14:textId="0D2688A3" w:rsidR="00BC0049" w:rsidRDefault="002B07EE">
      <w:pPr>
        <w:jc w:val="both"/>
        <w:rPr>
          <w:rFonts w:ascii="Times New Roman" w:hAnsi="Times New Roman" w:cs="Times New Roman"/>
          <w:bCs/>
          <w:i/>
          <w:sz w:val="20"/>
          <w:szCs w:val="20"/>
        </w:rPr>
      </w:pPr>
      <w:r>
        <w:rPr>
          <w:rFonts w:ascii="Times New Roman" w:hAnsi="Times New Roman" w:cs="Times New Roman"/>
          <w:i/>
          <w:iCs/>
          <w:sz w:val="20"/>
          <w:szCs w:val="20"/>
        </w:rPr>
        <w:t xml:space="preserve">14.1 – O orçamento R$ </w:t>
      </w:r>
      <w:r w:rsidR="00371FB2">
        <w:rPr>
          <w:rFonts w:ascii="Times New Roman" w:hAnsi="Times New Roman" w:cs="Times New Roman"/>
          <w:i/>
          <w:iCs/>
          <w:sz w:val="20"/>
          <w:szCs w:val="20"/>
        </w:rPr>
        <w:t>280.872,00</w:t>
      </w:r>
    </w:p>
    <w:p w14:paraId="12FE0AE1" w14:textId="77777777" w:rsidR="00BC0049" w:rsidRDefault="002B07EE">
      <w:pPr>
        <w:pStyle w:val="Nivel1"/>
        <w:tabs>
          <w:tab w:val="left" w:pos="284"/>
          <w:tab w:val="left" w:pos="426"/>
          <w:tab w:val="left" w:pos="567"/>
          <w:tab w:val="left" w:pos="851"/>
        </w:tabs>
        <w:spacing w:before="0" w:line="240" w:lineRule="auto"/>
        <w:ind w:left="0" w:firstLine="0"/>
        <w:rPr>
          <w:rFonts w:ascii="Times New Roman" w:hAnsi="Times New Roman" w:cs="Times New Roman"/>
          <w:color w:val="auto"/>
          <w:sz w:val="20"/>
          <w:szCs w:val="20"/>
        </w:rPr>
      </w:pPr>
      <w:r>
        <w:rPr>
          <w:rFonts w:ascii="Times New Roman" w:hAnsi="Times New Roman" w:cs="Times New Roman"/>
          <w:color w:val="auto"/>
          <w:sz w:val="20"/>
          <w:szCs w:val="20"/>
        </w:rPr>
        <w:t xml:space="preserve">15 – DOTAÇÃO ORÇAMENTÁRIA </w:t>
      </w:r>
    </w:p>
    <w:p w14:paraId="36F41DB3" w14:textId="77777777" w:rsidR="00BC0049" w:rsidRDefault="002B07EE">
      <w:pPr>
        <w:tabs>
          <w:tab w:val="left" w:pos="426"/>
        </w:tabs>
        <w:jc w:val="both"/>
        <w:rPr>
          <w:rFonts w:ascii="Times New Roman" w:eastAsia="Calibri" w:hAnsi="Times New Roman" w:cs="Times New Roman"/>
          <w:sz w:val="20"/>
          <w:szCs w:val="20"/>
          <w:lang w:eastAsia="en-US"/>
        </w:rPr>
      </w:pPr>
      <w:r>
        <w:rPr>
          <w:rFonts w:ascii="Times New Roman" w:hAnsi="Times New Roman" w:cs="Times New Roman"/>
          <w:sz w:val="20"/>
          <w:szCs w:val="20"/>
        </w:rPr>
        <w:t xml:space="preserve">15.1 – </w:t>
      </w:r>
      <w:r>
        <w:rPr>
          <w:rFonts w:ascii="Times New Roman" w:eastAsia="Calibri" w:hAnsi="Times New Roman" w:cs="Times New Roman"/>
          <w:sz w:val="20"/>
          <w:szCs w:val="20"/>
          <w:lang w:eastAsia="en-US"/>
        </w:rPr>
        <w:t>As classificações orçamentárias para suportar a presente despesa constam da programação orçamentária das Secretarias Municipais solicitantes que serão devidamente identificadas no momento da efetiva contratação.</w:t>
      </w:r>
    </w:p>
    <w:p w14:paraId="4E242C33" w14:textId="77777777" w:rsidR="00BC0049" w:rsidRDefault="00BC0049">
      <w:pPr>
        <w:tabs>
          <w:tab w:val="left" w:pos="426"/>
        </w:tabs>
        <w:jc w:val="both"/>
        <w:rPr>
          <w:rFonts w:ascii="Times New Roman" w:eastAsia="Calibri" w:hAnsi="Times New Roman" w:cs="Times New Roman"/>
          <w:sz w:val="20"/>
          <w:szCs w:val="20"/>
          <w:lang w:eastAsia="en-US"/>
        </w:rPr>
      </w:pPr>
    </w:p>
    <w:p w14:paraId="5CC08800" w14:textId="77777777" w:rsidR="00BC0049" w:rsidRDefault="00BC0049">
      <w:pPr>
        <w:tabs>
          <w:tab w:val="left" w:pos="426"/>
        </w:tabs>
        <w:jc w:val="both"/>
        <w:rPr>
          <w:rFonts w:ascii="Times New Roman" w:eastAsia="Calibri" w:hAnsi="Times New Roman" w:cs="Times New Roman"/>
          <w:sz w:val="20"/>
          <w:szCs w:val="20"/>
          <w:lang w:eastAsia="en-US"/>
        </w:rPr>
      </w:pPr>
    </w:p>
    <w:p w14:paraId="1801D701" w14:textId="77777777" w:rsidR="00BC0049" w:rsidRDefault="00BC0049">
      <w:pPr>
        <w:tabs>
          <w:tab w:val="left" w:pos="426"/>
        </w:tabs>
        <w:jc w:val="both"/>
        <w:rPr>
          <w:rFonts w:ascii="Times New Roman" w:eastAsia="Calibri" w:hAnsi="Times New Roman" w:cs="Times New Roman"/>
          <w:sz w:val="20"/>
          <w:szCs w:val="20"/>
          <w:lang w:eastAsia="en-US"/>
        </w:rPr>
      </w:pPr>
    </w:p>
    <w:p w14:paraId="19A1F78A" w14:textId="77777777" w:rsidR="00BC0049" w:rsidRDefault="00BC0049">
      <w:pPr>
        <w:tabs>
          <w:tab w:val="left" w:pos="284"/>
          <w:tab w:val="left" w:pos="426"/>
          <w:tab w:val="left" w:pos="567"/>
          <w:tab w:val="left" w:pos="851"/>
        </w:tabs>
        <w:rPr>
          <w:rFonts w:ascii="Times New Roman" w:hAnsi="Times New Roman" w:cs="Times New Roman"/>
          <w:iCs/>
          <w:sz w:val="20"/>
          <w:szCs w:val="20"/>
        </w:rPr>
      </w:pPr>
    </w:p>
    <w:p w14:paraId="75A2291E" w14:textId="758A6CE7" w:rsidR="00BC0049" w:rsidRDefault="002B07EE">
      <w:pPr>
        <w:tabs>
          <w:tab w:val="left" w:pos="284"/>
          <w:tab w:val="left" w:pos="426"/>
          <w:tab w:val="left" w:pos="567"/>
          <w:tab w:val="left" w:pos="851"/>
        </w:tabs>
        <w:jc w:val="right"/>
        <w:rPr>
          <w:rFonts w:ascii="Times New Roman" w:hAnsi="Times New Roman" w:cs="Times New Roman"/>
          <w:iCs/>
          <w:sz w:val="20"/>
          <w:szCs w:val="20"/>
        </w:rPr>
      </w:pPr>
      <w:r>
        <w:rPr>
          <w:rFonts w:ascii="Times New Roman" w:hAnsi="Times New Roman" w:cs="Times New Roman"/>
          <w:iCs/>
          <w:sz w:val="20"/>
          <w:szCs w:val="20"/>
        </w:rPr>
        <w:t xml:space="preserve">Santa Bárbara do Sul/RS, </w:t>
      </w:r>
      <w:r w:rsidR="00371FB2">
        <w:rPr>
          <w:rFonts w:ascii="Times New Roman" w:hAnsi="Times New Roman" w:cs="Times New Roman"/>
          <w:iCs/>
          <w:sz w:val="20"/>
          <w:szCs w:val="20"/>
        </w:rPr>
        <w:t>04 de maio</w:t>
      </w:r>
      <w:r>
        <w:rPr>
          <w:rFonts w:ascii="Times New Roman" w:hAnsi="Times New Roman" w:cs="Times New Roman"/>
          <w:iCs/>
          <w:sz w:val="20"/>
          <w:szCs w:val="20"/>
        </w:rPr>
        <w:t xml:space="preserve"> de 202</w:t>
      </w:r>
      <w:r w:rsidR="00371FB2">
        <w:rPr>
          <w:rFonts w:ascii="Times New Roman" w:hAnsi="Times New Roman" w:cs="Times New Roman"/>
          <w:iCs/>
          <w:sz w:val="20"/>
          <w:szCs w:val="20"/>
        </w:rPr>
        <w:t>6</w:t>
      </w:r>
      <w:r>
        <w:rPr>
          <w:rFonts w:ascii="Times New Roman" w:hAnsi="Times New Roman" w:cs="Times New Roman"/>
          <w:iCs/>
          <w:sz w:val="20"/>
          <w:szCs w:val="20"/>
        </w:rPr>
        <w:t>.</w:t>
      </w:r>
    </w:p>
    <w:p w14:paraId="691068BE"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358F432D"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5410DC61"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25E35692"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D7CF702"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5E1CC4A4"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0B0BB45"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670D0AEC"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7A68FD29"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28C510A5"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2B1C626F" w14:textId="77777777" w:rsidR="00BC0049" w:rsidRDefault="002B07EE">
      <w:pPr>
        <w:tabs>
          <w:tab w:val="left" w:pos="284"/>
          <w:tab w:val="left" w:pos="426"/>
          <w:tab w:val="left" w:pos="567"/>
          <w:tab w:val="left" w:pos="851"/>
        </w:tabs>
        <w:jc w:val="center"/>
        <w:rPr>
          <w:rFonts w:ascii="Times New Roman" w:hAnsi="Times New Roman" w:cs="Times New Roman"/>
          <w:iCs/>
          <w:sz w:val="20"/>
          <w:szCs w:val="20"/>
        </w:rPr>
      </w:pPr>
      <w:r>
        <w:rPr>
          <w:rFonts w:ascii="Times New Roman" w:hAnsi="Times New Roman" w:cs="Times New Roman"/>
          <w:iCs/>
          <w:sz w:val="20"/>
          <w:szCs w:val="20"/>
        </w:rPr>
        <w:t>VALÉRIA L. DHAMER RODRIGUES</w:t>
      </w:r>
    </w:p>
    <w:p w14:paraId="7AF903A7" w14:textId="77777777" w:rsidR="00BC0049" w:rsidRDefault="002B07EE">
      <w:pPr>
        <w:tabs>
          <w:tab w:val="left" w:pos="284"/>
          <w:tab w:val="left" w:pos="426"/>
          <w:tab w:val="left" w:pos="567"/>
          <w:tab w:val="left" w:pos="851"/>
        </w:tabs>
        <w:jc w:val="center"/>
        <w:rPr>
          <w:rFonts w:ascii="Times New Roman" w:hAnsi="Times New Roman" w:cs="Times New Roman"/>
          <w:iCs/>
          <w:sz w:val="20"/>
          <w:szCs w:val="20"/>
        </w:rPr>
      </w:pPr>
      <w:r>
        <w:rPr>
          <w:rFonts w:ascii="Times New Roman" w:hAnsi="Times New Roman" w:cs="Times New Roman"/>
          <w:iCs/>
          <w:sz w:val="20"/>
          <w:szCs w:val="20"/>
        </w:rPr>
        <w:t>SECRETÁRIA DA ASSISTÊNCIA SOCIAL</w:t>
      </w:r>
    </w:p>
    <w:p w14:paraId="3E0E1AE0"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3E29CAEF"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645AF835"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0F0EABD"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42B9EC7" w14:textId="77777777" w:rsidR="00BC0049" w:rsidRDefault="00BC0049">
      <w:pPr>
        <w:tabs>
          <w:tab w:val="left" w:pos="284"/>
          <w:tab w:val="left" w:pos="426"/>
          <w:tab w:val="left" w:pos="567"/>
          <w:tab w:val="left" w:pos="851"/>
        </w:tabs>
        <w:rPr>
          <w:rFonts w:ascii="Times New Roman" w:hAnsi="Times New Roman" w:cs="Times New Roman"/>
          <w:iCs/>
          <w:sz w:val="20"/>
          <w:szCs w:val="20"/>
        </w:rPr>
      </w:pPr>
    </w:p>
    <w:p w14:paraId="6876E58C" w14:textId="77777777" w:rsidR="00BC0049" w:rsidRDefault="00BC0049">
      <w:pPr>
        <w:rPr>
          <w:rFonts w:ascii="Times New Roman" w:hAnsi="Times New Roman" w:cs="Times New Roman"/>
          <w:b/>
          <w:bCs/>
          <w:sz w:val="20"/>
          <w:szCs w:val="20"/>
        </w:rPr>
      </w:pPr>
    </w:p>
    <w:p w14:paraId="345120F9" w14:textId="77777777" w:rsidR="00BC0049" w:rsidRDefault="002B07EE">
      <w:pPr>
        <w:jc w:val="center"/>
        <w:rPr>
          <w:rFonts w:ascii="Times New Roman" w:hAnsi="Times New Roman" w:cs="Times New Roman"/>
          <w:b/>
          <w:bCs/>
          <w:sz w:val="20"/>
          <w:szCs w:val="20"/>
        </w:rPr>
      </w:pPr>
      <w:r>
        <w:rPr>
          <w:rFonts w:ascii="Times New Roman" w:hAnsi="Times New Roman" w:cs="Times New Roman"/>
          <w:b/>
          <w:sz w:val="20"/>
          <w:szCs w:val="20"/>
        </w:rPr>
        <w:lastRenderedPageBreak/>
        <w:t>ANEXO II</w:t>
      </w:r>
    </w:p>
    <w:p w14:paraId="276AC6A0" w14:textId="77777777" w:rsidR="00BC0049" w:rsidRDefault="002B07EE">
      <w:pPr>
        <w:jc w:val="center"/>
        <w:rPr>
          <w:rFonts w:ascii="Times New Roman" w:hAnsi="Times New Roman" w:cs="Times New Roman"/>
          <w:sz w:val="20"/>
          <w:szCs w:val="20"/>
        </w:rPr>
      </w:pPr>
      <w:r>
        <w:rPr>
          <w:rFonts w:ascii="Times New Roman" w:hAnsi="Times New Roman" w:cs="Times New Roman"/>
          <w:b/>
          <w:sz w:val="20"/>
          <w:szCs w:val="20"/>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70"/>
        <w:gridCol w:w="2893"/>
      </w:tblGrid>
      <w:tr w:rsidR="00BC0049" w14:paraId="6F4139E7"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4652BD9E"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Fornecedor:</w:t>
            </w:r>
          </w:p>
        </w:tc>
      </w:tr>
      <w:tr w:rsidR="00BC0049" w14:paraId="109ED1BE"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34573526"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Endereço:</w:t>
            </w:r>
          </w:p>
        </w:tc>
      </w:tr>
      <w:tr w:rsidR="00BC0049" w14:paraId="016C709D" w14:textId="77777777">
        <w:tc>
          <w:tcPr>
            <w:tcW w:w="7088" w:type="dxa"/>
            <w:gridSpan w:val="2"/>
            <w:tcBorders>
              <w:top w:val="single" w:sz="6" w:space="0" w:color="000000"/>
              <w:left w:val="single" w:sz="6" w:space="0" w:color="000000"/>
              <w:bottom w:val="single" w:sz="6" w:space="0" w:color="000000"/>
              <w:right w:val="single" w:sz="6" w:space="0" w:color="000000"/>
            </w:tcBorders>
          </w:tcPr>
          <w:p w14:paraId="37E11ED2"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Cidade:</w:t>
            </w:r>
          </w:p>
        </w:tc>
        <w:tc>
          <w:tcPr>
            <w:tcW w:w="2893" w:type="dxa"/>
            <w:tcBorders>
              <w:top w:val="single" w:sz="6" w:space="0" w:color="000000"/>
              <w:left w:val="single" w:sz="6" w:space="0" w:color="000000"/>
              <w:bottom w:val="single" w:sz="6" w:space="0" w:color="000000"/>
              <w:right w:val="single" w:sz="6" w:space="0" w:color="000000"/>
            </w:tcBorders>
          </w:tcPr>
          <w:p w14:paraId="52682BFD"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Estado:</w:t>
            </w:r>
          </w:p>
        </w:tc>
      </w:tr>
      <w:tr w:rsidR="00BC0049" w14:paraId="50D72A53" w14:textId="77777777">
        <w:tc>
          <w:tcPr>
            <w:tcW w:w="4118" w:type="dxa"/>
            <w:tcBorders>
              <w:top w:val="single" w:sz="6" w:space="0" w:color="000000"/>
              <w:left w:val="single" w:sz="6" w:space="0" w:color="000000"/>
              <w:bottom w:val="single" w:sz="6" w:space="0" w:color="000000"/>
              <w:right w:val="single" w:sz="6" w:space="0" w:color="000000"/>
            </w:tcBorders>
          </w:tcPr>
          <w:p w14:paraId="3828F97F"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16F85B67"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Inscrição Estadual:</w:t>
            </w:r>
          </w:p>
        </w:tc>
      </w:tr>
      <w:tr w:rsidR="00BC0049" w14:paraId="17FF7899" w14:textId="77777777">
        <w:tc>
          <w:tcPr>
            <w:tcW w:w="4118" w:type="dxa"/>
            <w:tcBorders>
              <w:top w:val="single" w:sz="6" w:space="0" w:color="000000"/>
              <w:left w:val="single" w:sz="6" w:space="0" w:color="000000"/>
              <w:bottom w:val="single" w:sz="6" w:space="0" w:color="000000"/>
              <w:right w:val="single" w:sz="6" w:space="0" w:color="000000"/>
            </w:tcBorders>
          </w:tcPr>
          <w:p w14:paraId="697F9CEC"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5FB403B7"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Agência:</w:t>
            </w:r>
          </w:p>
        </w:tc>
      </w:tr>
      <w:tr w:rsidR="00BC0049" w14:paraId="3B86EC75"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3EC23563"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C.C:</w:t>
            </w:r>
          </w:p>
        </w:tc>
      </w:tr>
    </w:tbl>
    <w:p w14:paraId="422A2802" w14:textId="77777777" w:rsidR="00BC0049" w:rsidRDefault="00BC0049">
      <w:pPr>
        <w:tabs>
          <w:tab w:val="left" w:pos="792"/>
        </w:tabs>
        <w:jc w:val="both"/>
        <w:rPr>
          <w:rFonts w:ascii="Times New Roman" w:hAnsi="Times New Roman" w:cs="Times New Roman"/>
          <w:sz w:val="20"/>
          <w:szCs w:val="20"/>
        </w:rPr>
      </w:pPr>
    </w:p>
    <w:tbl>
      <w:tblPr>
        <w:tblW w:w="9991" w:type="dxa"/>
        <w:tblLayout w:type="fixed"/>
        <w:tblCellMar>
          <w:left w:w="70" w:type="dxa"/>
          <w:right w:w="70" w:type="dxa"/>
        </w:tblCellMar>
        <w:tblLook w:val="04A0" w:firstRow="1" w:lastRow="0" w:firstColumn="1" w:lastColumn="0" w:noHBand="0" w:noVBand="1"/>
      </w:tblPr>
      <w:tblGrid>
        <w:gridCol w:w="9991"/>
      </w:tblGrid>
      <w:tr w:rsidR="00BC0049" w14:paraId="4E70B3DD"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64DB6F5" w14:textId="74019051" w:rsidR="00BC0049" w:rsidRPr="00371FB2" w:rsidRDefault="002B07EE" w:rsidP="00371FB2">
            <w:pPr>
              <w:pStyle w:val="Nivel01"/>
              <w:widowControl w:val="0"/>
              <w:numPr>
                <w:ilvl w:val="0"/>
                <w:numId w:val="0"/>
              </w:numPr>
              <w:spacing w:before="0" w:after="0" w:line="240" w:lineRule="auto"/>
              <w:jc w:val="center"/>
              <w:rPr>
                <w:rFonts w:ascii="Times New Roman" w:hAnsi="Times New Roman" w:cs="Times New Roman"/>
                <w:i/>
                <w:iCs/>
                <w:color w:val="auto"/>
              </w:rPr>
            </w:pPr>
            <w:r w:rsidRPr="00371FB2">
              <w:rPr>
                <w:rFonts w:ascii="Times New Roman" w:hAnsi="Times New Roman" w:cs="Times New Roman"/>
                <w:i/>
                <w:iCs/>
                <w:color w:val="auto"/>
              </w:rPr>
              <w:t xml:space="preserve">REGISTRO DE PREÇO para eventual </w:t>
            </w:r>
            <w:r w:rsidR="0099522B" w:rsidRPr="00371FB2">
              <w:rPr>
                <w:rFonts w:ascii="Gadugi" w:hAnsi="Gadugi" w:cs="Gadugi"/>
                <w:i/>
                <w:iCs/>
                <w:color w:val="auto"/>
                <w:sz w:val="18"/>
                <w:szCs w:val="18"/>
              </w:rPr>
              <w:t>AQUISIÇÃO DE CESTAS BÁSICAS</w:t>
            </w:r>
          </w:p>
        </w:tc>
      </w:tr>
    </w:tbl>
    <w:p w14:paraId="54B0FD7A" w14:textId="77777777" w:rsidR="00BC0049" w:rsidRDefault="00BC0049">
      <w:pPr>
        <w:jc w:val="both"/>
        <w:rPr>
          <w:rFonts w:ascii="Times New Roman" w:hAnsi="Times New Roman" w:cs="Times New Roman"/>
          <w:sz w:val="20"/>
          <w:szCs w:val="20"/>
        </w:rPr>
      </w:pPr>
    </w:p>
    <w:tbl>
      <w:tblPr>
        <w:tblW w:w="9805" w:type="dxa"/>
        <w:tblInd w:w="75" w:type="dxa"/>
        <w:tblCellMar>
          <w:left w:w="70" w:type="dxa"/>
          <w:right w:w="70" w:type="dxa"/>
        </w:tblCellMar>
        <w:tblLook w:val="04A0" w:firstRow="1" w:lastRow="0" w:firstColumn="1" w:lastColumn="0" w:noHBand="0" w:noVBand="1"/>
      </w:tblPr>
      <w:tblGrid>
        <w:gridCol w:w="790"/>
        <w:gridCol w:w="5726"/>
        <w:gridCol w:w="709"/>
        <w:gridCol w:w="992"/>
        <w:gridCol w:w="1588"/>
      </w:tblGrid>
      <w:tr w:rsidR="00A12DCF" w14:paraId="41E24FD5" w14:textId="77777777" w:rsidTr="00371FB2">
        <w:trPr>
          <w:trHeight w:val="315"/>
        </w:trPr>
        <w:tc>
          <w:tcPr>
            <w:tcW w:w="79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760B0B83" w14:textId="77777777" w:rsidR="007527D1" w:rsidRDefault="007527D1" w:rsidP="00162B25">
            <w:pPr>
              <w:rPr>
                <w:rFonts w:ascii="Calibri" w:eastAsia="Times New Roman" w:hAnsi="Calibri" w:cs="Calibri"/>
                <w:b/>
                <w:bCs/>
                <w:color w:val="000000"/>
                <w:sz w:val="16"/>
                <w:szCs w:val="16"/>
              </w:rPr>
            </w:pPr>
            <w:r>
              <w:rPr>
                <w:rFonts w:ascii="Calibri" w:hAnsi="Calibri" w:cs="Calibri"/>
                <w:b/>
                <w:bCs/>
                <w:color w:val="000000"/>
                <w:sz w:val="16"/>
                <w:szCs w:val="16"/>
              </w:rPr>
              <w:t>Item</w:t>
            </w:r>
          </w:p>
        </w:tc>
        <w:tc>
          <w:tcPr>
            <w:tcW w:w="5726" w:type="dxa"/>
            <w:tcBorders>
              <w:top w:val="single" w:sz="4" w:space="0" w:color="auto"/>
              <w:left w:val="nil"/>
              <w:bottom w:val="single" w:sz="4" w:space="0" w:color="auto"/>
              <w:right w:val="single" w:sz="4" w:space="0" w:color="auto"/>
            </w:tcBorders>
            <w:shd w:val="clear" w:color="000000" w:fill="F0FFFF"/>
            <w:noWrap/>
            <w:vAlign w:val="bottom"/>
            <w:hideMark/>
          </w:tcPr>
          <w:p w14:paraId="20C591CF" w14:textId="77777777" w:rsidR="007527D1" w:rsidRDefault="007527D1" w:rsidP="00162B25">
            <w:pPr>
              <w:rPr>
                <w:rFonts w:ascii="Calibri" w:hAnsi="Calibri" w:cs="Calibri"/>
                <w:b/>
                <w:bCs/>
                <w:color w:val="000000"/>
                <w:sz w:val="16"/>
                <w:szCs w:val="16"/>
              </w:rPr>
            </w:pPr>
            <w:r>
              <w:rPr>
                <w:rFonts w:ascii="Calibri" w:hAnsi="Calibri" w:cs="Calibri"/>
                <w:b/>
                <w:bCs/>
                <w:color w:val="000000"/>
                <w:sz w:val="16"/>
                <w:szCs w:val="16"/>
              </w:rPr>
              <w:t>Descrição</w:t>
            </w:r>
          </w:p>
        </w:tc>
        <w:tc>
          <w:tcPr>
            <w:tcW w:w="709" w:type="dxa"/>
            <w:tcBorders>
              <w:top w:val="single" w:sz="4" w:space="0" w:color="auto"/>
              <w:left w:val="nil"/>
              <w:bottom w:val="single" w:sz="4" w:space="0" w:color="auto"/>
              <w:right w:val="single" w:sz="4" w:space="0" w:color="auto"/>
            </w:tcBorders>
            <w:shd w:val="clear" w:color="000000" w:fill="F0FFFF"/>
            <w:noWrap/>
            <w:vAlign w:val="bottom"/>
            <w:hideMark/>
          </w:tcPr>
          <w:p w14:paraId="5677775B" w14:textId="77777777" w:rsidR="007527D1" w:rsidRDefault="007527D1" w:rsidP="00162B25">
            <w:pPr>
              <w:rPr>
                <w:rFonts w:ascii="Calibri" w:hAnsi="Calibri" w:cs="Calibri"/>
                <w:b/>
                <w:bCs/>
                <w:color w:val="000000"/>
                <w:sz w:val="16"/>
                <w:szCs w:val="16"/>
              </w:rPr>
            </w:pPr>
            <w:r>
              <w:rPr>
                <w:rFonts w:ascii="Calibri" w:hAnsi="Calibri" w:cs="Calibri"/>
                <w:b/>
                <w:bCs/>
                <w:color w:val="000000"/>
                <w:sz w:val="16"/>
                <w:szCs w:val="16"/>
              </w:rPr>
              <w:t>Unidade</w:t>
            </w:r>
          </w:p>
        </w:tc>
        <w:tc>
          <w:tcPr>
            <w:tcW w:w="992" w:type="dxa"/>
            <w:tcBorders>
              <w:top w:val="single" w:sz="4" w:space="0" w:color="auto"/>
              <w:left w:val="nil"/>
              <w:bottom w:val="single" w:sz="4" w:space="0" w:color="auto"/>
              <w:right w:val="single" w:sz="4" w:space="0" w:color="auto"/>
            </w:tcBorders>
            <w:shd w:val="clear" w:color="000000" w:fill="F0FFFF"/>
            <w:noWrap/>
            <w:vAlign w:val="bottom"/>
            <w:hideMark/>
          </w:tcPr>
          <w:p w14:paraId="402AD100" w14:textId="77777777" w:rsidR="007527D1" w:rsidRDefault="007527D1" w:rsidP="00162B25">
            <w:pPr>
              <w:jc w:val="right"/>
              <w:rPr>
                <w:rFonts w:ascii="Calibri" w:hAnsi="Calibri" w:cs="Calibri"/>
                <w:b/>
                <w:bCs/>
                <w:color w:val="000000"/>
                <w:sz w:val="16"/>
                <w:szCs w:val="16"/>
              </w:rPr>
            </w:pPr>
            <w:r>
              <w:rPr>
                <w:rFonts w:ascii="Calibri" w:hAnsi="Calibri" w:cs="Calibri"/>
                <w:b/>
                <w:bCs/>
                <w:color w:val="000000"/>
                <w:sz w:val="16"/>
                <w:szCs w:val="16"/>
              </w:rPr>
              <w:t>Quant. Max.</w:t>
            </w:r>
          </w:p>
        </w:tc>
        <w:tc>
          <w:tcPr>
            <w:tcW w:w="1588" w:type="dxa"/>
            <w:tcBorders>
              <w:top w:val="single" w:sz="4" w:space="0" w:color="auto"/>
              <w:left w:val="nil"/>
              <w:bottom w:val="single" w:sz="4" w:space="0" w:color="auto"/>
              <w:right w:val="single" w:sz="4" w:space="0" w:color="auto"/>
            </w:tcBorders>
            <w:shd w:val="clear" w:color="000000" w:fill="F0FFFF"/>
            <w:noWrap/>
            <w:vAlign w:val="bottom"/>
            <w:hideMark/>
          </w:tcPr>
          <w:p w14:paraId="45A0B8E7" w14:textId="77777777" w:rsidR="007527D1" w:rsidRDefault="007527D1" w:rsidP="00162B25">
            <w:pPr>
              <w:jc w:val="right"/>
              <w:rPr>
                <w:rFonts w:ascii="Calibri" w:hAnsi="Calibri" w:cs="Calibri"/>
                <w:b/>
                <w:bCs/>
                <w:color w:val="000000"/>
                <w:sz w:val="16"/>
                <w:szCs w:val="16"/>
              </w:rPr>
            </w:pPr>
            <w:r>
              <w:rPr>
                <w:rFonts w:ascii="Calibri" w:hAnsi="Calibri" w:cs="Calibri"/>
                <w:b/>
                <w:bCs/>
                <w:color w:val="000000"/>
                <w:sz w:val="16"/>
                <w:szCs w:val="16"/>
              </w:rPr>
              <w:t>Preço Unit. Estimado</w:t>
            </w:r>
          </w:p>
        </w:tc>
      </w:tr>
      <w:tr w:rsidR="00371FB2" w14:paraId="7E993258" w14:textId="77777777" w:rsidTr="00371FB2">
        <w:trPr>
          <w:trHeight w:val="315"/>
        </w:trPr>
        <w:tc>
          <w:tcPr>
            <w:tcW w:w="790" w:type="dxa"/>
            <w:tcBorders>
              <w:top w:val="nil"/>
              <w:left w:val="single" w:sz="4" w:space="0" w:color="auto"/>
              <w:bottom w:val="nil"/>
              <w:right w:val="single" w:sz="4" w:space="0" w:color="auto"/>
            </w:tcBorders>
            <w:shd w:val="clear" w:color="auto" w:fill="auto"/>
            <w:noWrap/>
            <w:vAlign w:val="bottom"/>
            <w:hideMark/>
          </w:tcPr>
          <w:p w14:paraId="221D7705" w14:textId="77777777" w:rsidR="007527D1" w:rsidRDefault="007527D1" w:rsidP="00162B25">
            <w:pPr>
              <w:rPr>
                <w:rFonts w:ascii="Calibri" w:hAnsi="Calibri" w:cs="Calibri"/>
                <w:color w:val="000000"/>
                <w:sz w:val="16"/>
                <w:szCs w:val="16"/>
              </w:rPr>
            </w:pPr>
            <w:r>
              <w:rPr>
                <w:rFonts w:ascii="Calibri" w:hAnsi="Calibri" w:cs="Calibri"/>
                <w:color w:val="000000"/>
                <w:sz w:val="16"/>
                <w:szCs w:val="16"/>
              </w:rPr>
              <w:t>1</w:t>
            </w:r>
          </w:p>
        </w:tc>
        <w:tc>
          <w:tcPr>
            <w:tcW w:w="5726" w:type="dxa"/>
            <w:tcBorders>
              <w:top w:val="single" w:sz="4" w:space="0" w:color="auto"/>
              <w:left w:val="nil"/>
              <w:bottom w:val="single" w:sz="4" w:space="0" w:color="auto"/>
              <w:right w:val="single" w:sz="4" w:space="0" w:color="auto"/>
            </w:tcBorders>
            <w:shd w:val="clear" w:color="auto" w:fill="auto"/>
            <w:noWrap/>
            <w:vAlign w:val="bottom"/>
            <w:hideMark/>
          </w:tcPr>
          <w:p w14:paraId="4EBC3736" w14:textId="77777777" w:rsidR="007527D1" w:rsidRDefault="007527D1" w:rsidP="00162B25">
            <w:pPr>
              <w:rPr>
                <w:rFonts w:ascii="Calibri" w:hAnsi="Calibri" w:cs="Calibri"/>
                <w:color w:val="000000"/>
                <w:sz w:val="16"/>
                <w:szCs w:val="16"/>
              </w:rPr>
            </w:pPr>
            <w:r>
              <w:rPr>
                <w:rFonts w:ascii="Calibri" w:hAnsi="Calibri" w:cs="Calibri"/>
                <w:color w:val="000000"/>
                <w:sz w:val="16"/>
                <w:szCs w:val="16"/>
              </w:rPr>
              <w:t xml:space="preserve">CESTA BASICA </w:t>
            </w:r>
          </w:p>
          <w:p w14:paraId="259EE4E4"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*01 PACOTE AÇUCAR 5 KG; (c</w:t>
            </w:r>
            <w:r w:rsidRPr="001C3D24">
              <w:rPr>
                <w:rFonts w:asciiTheme="majorHAnsi" w:hAnsiTheme="majorHAnsi" w:cstheme="majorHAnsi"/>
                <w:sz w:val="16"/>
                <w:szCs w:val="16"/>
              </w:rPr>
              <w:t>ristal, especial, cor clara, embalagem plástica de 5,0 Kg, contendo identificação do produto, marca do fabricante, prazo de validade)</w:t>
            </w:r>
          </w:p>
          <w:p w14:paraId="5BBFC33C" w14:textId="77777777" w:rsidR="00A12DCF" w:rsidRPr="001C3D24" w:rsidRDefault="00A12DCF" w:rsidP="00A12DCF">
            <w:pPr>
              <w:pStyle w:val="Standard"/>
              <w:rPr>
                <w:rFonts w:asciiTheme="majorHAnsi" w:hAnsiTheme="majorHAnsi" w:cstheme="majorHAnsi"/>
                <w:b/>
                <w:bCs/>
                <w:sz w:val="16"/>
                <w:szCs w:val="16"/>
              </w:rPr>
            </w:pPr>
          </w:p>
          <w:p w14:paraId="66B1CEC7"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*01 ACHOCOLATADO 400 GR;</w:t>
            </w:r>
            <w:r w:rsidRPr="001C3D24">
              <w:rPr>
                <w:rFonts w:asciiTheme="majorHAnsi" w:hAnsiTheme="majorHAnsi" w:cstheme="majorHAnsi"/>
                <w:sz w:val="16"/>
                <w:szCs w:val="16"/>
              </w:rPr>
              <w:t xml:space="preserve"> (Produto desidratado constituído por cacau em pó, açúcar, </w:t>
            </w:r>
            <w:proofErr w:type="spellStart"/>
            <w:r w:rsidRPr="001C3D24">
              <w:rPr>
                <w:rFonts w:asciiTheme="majorHAnsi" w:hAnsiTheme="majorHAnsi" w:cstheme="majorHAnsi"/>
                <w:sz w:val="16"/>
                <w:szCs w:val="16"/>
              </w:rPr>
              <w:t>maltodextrina</w:t>
            </w:r>
            <w:proofErr w:type="spellEnd"/>
            <w:r w:rsidRPr="001C3D24">
              <w:rPr>
                <w:rFonts w:asciiTheme="majorHAnsi" w:hAnsiTheme="majorHAnsi" w:cstheme="majorHAnsi"/>
                <w:sz w:val="16"/>
                <w:szCs w:val="16"/>
              </w:rPr>
              <w:t xml:space="preserve">, leite em pó, emulsificante lecitina de soja, sal refinado, aroma natural de baunilha e chocolate e no mínimo as seguintes vitaminas e minerais: Vitaminas A, D, C, Tiamina, Riboflavina, Niacina, Piridoxina, Ácido Fólico, B12, Ferro, Iodo e Zinco. O produto não poderá conter glúten, óleo ou gordura vegetal hidrogenada, corantes artificiais e aromatizantes artificiais. Deverá ser preparada com ingredientes limpos, de primeira qualidade, ser de fácil preparo por dissolução em água potável e apresentar a fluidez característica de bebida1 Achocolatado 400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xml:space="preserve">; (Produto desidratado constituído por cacau em pó, açúcar, </w:t>
            </w:r>
            <w:proofErr w:type="spellStart"/>
            <w:r w:rsidRPr="001C3D24">
              <w:rPr>
                <w:rFonts w:asciiTheme="majorHAnsi" w:hAnsiTheme="majorHAnsi" w:cstheme="majorHAnsi"/>
                <w:sz w:val="16"/>
                <w:szCs w:val="16"/>
              </w:rPr>
              <w:t>maltodextrina</w:t>
            </w:r>
            <w:proofErr w:type="spellEnd"/>
            <w:r w:rsidRPr="001C3D24">
              <w:rPr>
                <w:rFonts w:asciiTheme="majorHAnsi" w:hAnsiTheme="majorHAnsi" w:cstheme="majorHAnsi"/>
                <w:sz w:val="16"/>
                <w:szCs w:val="16"/>
              </w:rPr>
              <w:t>, leite em pó, emulsificante lecitina de soja, sal refinado, aroma natural de baunilha e chocolate e no mínimo as seguintes vitaminas e minerais: Vitaminas A, D, C, Tiamina, Riboflavina, Niacina, Piridoxina, Ácido Fólico, B12, Ferro, Iodo e Zinco. O produto não poderá conter glúten, óleo ou gordura vegetal hidrogenada, corantes artificiais e aromatizantes artificiais. Deverá ser preparada com ingredientes limpos, de primeira qualidade, ser de fácil preparo por dissolução em água potável e apresentar a fluidez característica de bebida *</w:t>
            </w:r>
          </w:p>
          <w:p w14:paraId="4E569D68" w14:textId="77777777" w:rsidR="00A12DCF" w:rsidRPr="001C3D24" w:rsidRDefault="00A12DCF" w:rsidP="00A12DCF">
            <w:pPr>
              <w:pStyle w:val="Standard"/>
              <w:rPr>
                <w:rFonts w:asciiTheme="majorHAnsi" w:hAnsiTheme="majorHAnsi" w:cstheme="majorHAnsi"/>
                <w:b/>
                <w:bCs/>
                <w:sz w:val="16"/>
                <w:szCs w:val="16"/>
              </w:rPr>
            </w:pPr>
          </w:p>
          <w:p w14:paraId="6BE174F2"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*01 PACOTE ARROZ BRANCO 5KG</w:t>
            </w:r>
            <w:r w:rsidRPr="001C3D24">
              <w:rPr>
                <w:rFonts w:asciiTheme="majorHAnsi" w:hAnsiTheme="majorHAnsi" w:cstheme="majorHAnsi"/>
                <w:sz w:val="16"/>
                <w:szCs w:val="16"/>
              </w:rPr>
              <w:t>;(grupo beneficiado, classe longo fino, tipo 1, isento de mofo, odores estranhos, substâncias nocivas, coloração uniforme e característica do arroz tipo 1, embalado em saco plástico de 5 Kg contendo identificação do produto, marca do fabricante, prazo de validade)1 Pacote Arroz Branco 5kg;(grupo beneficiado, classe longo fino, tipo 1, isento de mofo, odores estranhos, substâncias nocivas, coloração uniforme e característica do arroz tipo 1, embalado em saco plástico de 5 Kg contendo identificação do produto, marca do fabricante, prazo de validade)</w:t>
            </w:r>
          </w:p>
          <w:p w14:paraId="435063C5" w14:textId="77777777" w:rsidR="00A12DCF" w:rsidRPr="001C3D24" w:rsidRDefault="00A12DCF" w:rsidP="00A12DCF">
            <w:pPr>
              <w:pStyle w:val="Standard"/>
              <w:rPr>
                <w:rFonts w:asciiTheme="majorHAnsi" w:hAnsiTheme="majorHAnsi" w:cstheme="majorHAnsi"/>
                <w:b/>
                <w:bCs/>
                <w:sz w:val="16"/>
                <w:szCs w:val="16"/>
              </w:rPr>
            </w:pPr>
          </w:p>
          <w:p w14:paraId="7E106025"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*01 PACOTE BOLACHA ÁGUA E SAL 345G; </w:t>
            </w:r>
            <w:r w:rsidRPr="001C3D24">
              <w:rPr>
                <w:rFonts w:asciiTheme="majorHAnsi" w:hAnsiTheme="majorHAnsi" w:cstheme="majorHAnsi"/>
                <w:sz w:val="16"/>
                <w:szCs w:val="16"/>
              </w:rPr>
              <w:t>(em sua composição apresenta entre outros ingredientes farinha de trigo fortificada com ferro e ácido fálico, embalagem de no mínimo 345g contendo identificação do produto, marca do fabricante, prazo de validade, peso líquido. Serão rejeitados biscoitos malcozidos, queimados, não podendo apresentar excesso de dureza e nem se apresentar quebradiço)1 Pacote bolacha água e sal 345g; (em sua composição apresenta entre outros ingredientes farinha de trigo fortificada com ferro e ácido fálico, embalagem de no mínimo 345g contendo identificação do produto, marca do fabricante, prazo de validade, peso líquido. Serão rejeitados biscoitos malcozidos, queimados, não podendo apresentar excesso de dureza e nem se apresentar quebradiço)</w:t>
            </w:r>
          </w:p>
          <w:p w14:paraId="554554A4" w14:textId="77777777" w:rsidR="00A12DCF" w:rsidRPr="001C3D24" w:rsidRDefault="00A12DCF" w:rsidP="00A12DCF">
            <w:pPr>
              <w:pStyle w:val="Standard"/>
              <w:rPr>
                <w:rFonts w:asciiTheme="majorHAnsi" w:hAnsiTheme="majorHAnsi" w:cstheme="majorHAnsi"/>
                <w:b/>
                <w:bCs/>
                <w:sz w:val="16"/>
                <w:szCs w:val="16"/>
              </w:rPr>
            </w:pPr>
          </w:p>
          <w:p w14:paraId="5FCCF251"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 01 PACOTE BOLACHA DOCE TIPO MARIA 345G; </w:t>
            </w:r>
            <w:r w:rsidRPr="001C3D24">
              <w:rPr>
                <w:rFonts w:asciiTheme="majorHAnsi" w:hAnsiTheme="majorHAnsi" w:cstheme="majorHAnsi"/>
                <w:sz w:val="16"/>
                <w:szCs w:val="16"/>
              </w:rPr>
              <w:t xml:space="preserve">(Biscoito Doce tipo maria, de sabor, cor e odor característicos, textura crocante, sem gordura trans, acondicionado em embalagem resistente de polietileno atóxico transparente de dupla face, contendo no </w:t>
            </w:r>
            <w:proofErr w:type="spellStart"/>
            <w:r w:rsidRPr="001C3D24">
              <w:rPr>
                <w:rFonts w:asciiTheme="majorHAnsi" w:hAnsiTheme="majorHAnsi" w:cstheme="majorHAnsi"/>
                <w:sz w:val="16"/>
                <w:szCs w:val="16"/>
              </w:rPr>
              <w:t>minimo</w:t>
            </w:r>
            <w:proofErr w:type="spellEnd"/>
            <w:r w:rsidRPr="001C3D24">
              <w:rPr>
                <w:rFonts w:asciiTheme="majorHAnsi" w:hAnsiTheme="majorHAnsi" w:cstheme="majorHAnsi"/>
                <w:sz w:val="16"/>
                <w:szCs w:val="16"/>
              </w:rPr>
              <w:t xml:space="preserve"> 345 g, com identificação na embalagem (rótulo) dos ingredientes, valor nutricional, peso, fornecedor, data de fabricação e validade. Isento de sujidades, parasitas, larvas, material estranho, umidade e bolor. O produto deve estar de acordo com as normas da Vigilância Sanitária quanto produção, embalagem, rotulagem e informação nutricional)</w:t>
            </w:r>
          </w:p>
          <w:p w14:paraId="5478E5FD" w14:textId="77777777" w:rsidR="00A12DCF" w:rsidRPr="001C3D24" w:rsidRDefault="00A12DCF" w:rsidP="00A12DCF">
            <w:pPr>
              <w:pStyle w:val="Standard"/>
              <w:rPr>
                <w:rFonts w:asciiTheme="majorHAnsi" w:hAnsiTheme="majorHAnsi" w:cstheme="majorHAnsi"/>
                <w:b/>
                <w:bCs/>
                <w:sz w:val="16"/>
                <w:szCs w:val="16"/>
              </w:rPr>
            </w:pPr>
          </w:p>
          <w:p w14:paraId="3D1C0F93"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*02 PACOTES FARINHA DE MILHO MÉDIA1KG; </w:t>
            </w:r>
            <w:r w:rsidRPr="001C3D24">
              <w:rPr>
                <w:rFonts w:asciiTheme="majorHAnsi" w:hAnsiTheme="majorHAnsi" w:cstheme="majorHAnsi"/>
                <w:sz w:val="16"/>
                <w:szCs w:val="16"/>
              </w:rPr>
              <w:t xml:space="preserve">(produzido a partir de grão de milho de primeira qualidade, produto amarelo, de aspecto fino, livre de umidade, contendo ferro e ácido fálico, embalagem plástica transparente de 1kg contendo identificação </w:t>
            </w:r>
            <w:r w:rsidRPr="001C3D24">
              <w:rPr>
                <w:rFonts w:asciiTheme="majorHAnsi" w:hAnsiTheme="majorHAnsi" w:cstheme="majorHAnsi"/>
                <w:sz w:val="16"/>
                <w:szCs w:val="16"/>
              </w:rPr>
              <w:lastRenderedPageBreak/>
              <w:t>do produto, marca do fabricante, prazo de validade)2 pacotes farinha de milho média 1kg; (produzido a partir de grão de milho de primeira qualidade, produto amarelo, de aspecto fino, livre de umidade, contendo ferro e ácido fálico, embalagem plástica transparente de 1kg contendo identificação do produto, marca do fabricante, prazo de validade)</w:t>
            </w:r>
          </w:p>
          <w:p w14:paraId="788E4D1F" w14:textId="77777777" w:rsidR="00A12DCF" w:rsidRPr="001C3D24" w:rsidRDefault="00A12DCF" w:rsidP="00A12DCF">
            <w:pPr>
              <w:pStyle w:val="Standard"/>
              <w:rPr>
                <w:rFonts w:asciiTheme="majorHAnsi" w:hAnsiTheme="majorHAnsi" w:cstheme="majorHAnsi"/>
                <w:b/>
                <w:bCs/>
                <w:sz w:val="16"/>
                <w:szCs w:val="16"/>
              </w:rPr>
            </w:pPr>
          </w:p>
          <w:p w14:paraId="06318C7C"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01 PACOTE FARINHA DE TRIGO BRANCA 5 KG;(e</w:t>
            </w:r>
            <w:r w:rsidRPr="001C3D24">
              <w:rPr>
                <w:rFonts w:asciiTheme="majorHAnsi" w:hAnsiTheme="majorHAnsi" w:cstheme="majorHAnsi"/>
                <w:sz w:val="16"/>
                <w:szCs w:val="16"/>
              </w:rPr>
              <w:t>special, enriquecida com ferro e ácido fálico. Produto obtido pela moagem exclusiva do grão de trigo, isento de terra, sem umidade, (tolerado máximo 14% de umidade), embalagem de 5 Kg contendo identificação do produto, marca do fabricante, prazo de validade, peso líquido. O produto deverá ter aspecto de pó fino branco, com cheiro e sabor próprios)1 pacote farinha de trigo branca 5 kg;(especial, enriquecida com ferro e ácido fálico. Produto obtido pela moagem exclusiva do grão de trigo, isento de terra, sem umidade, (tolerado máximo 14% de umidade), embalagem de 5 Kg contendo identificação do produto, marca do fabricante, prazo de validade, peso líquido. O produto deverá ter aspecto de pó fino branco, com cheiro e sabor próprios)</w:t>
            </w:r>
          </w:p>
          <w:p w14:paraId="35E72C04" w14:textId="77777777" w:rsidR="00A12DCF" w:rsidRPr="001C3D24" w:rsidRDefault="00A12DCF" w:rsidP="00A12DCF">
            <w:pPr>
              <w:pStyle w:val="Standard"/>
              <w:rPr>
                <w:rFonts w:asciiTheme="majorHAnsi" w:hAnsiTheme="majorHAnsi" w:cstheme="majorHAnsi"/>
                <w:b/>
                <w:bCs/>
                <w:sz w:val="16"/>
                <w:szCs w:val="16"/>
              </w:rPr>
            </w:pPr>
          </w:p>
          <w:p w14:paraId="00906D6C"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 01 SACHÊ CAFÉ SOLÚVEL 50 GR; </w:t>
            </w:r>
            <w:r w:rsidRPr="001C3D24">
              <w:rPr>
                <w:rFonts w:asciiTheme="majorHAnsi" w:hAnsiTheme="majorHAnsi" w:cstheme="majorHAnsi"/>
                <w:sz w:val="16"/>
                <w:szCs w:val="16"/>
              </w:rPr>
              <w:t xml:space="preserve">(100% puro, registro no Ministério da Saúde e/ou Agricultura, com apresentação em embalagem com 50g)1 sachê café solúvel 50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(100% puro, registro no Ministério da Saúde e/ou Agricultura, com apresentação em embalagem com 50g)</w:t>
            </w:r>
          </w:p>
          <w:p w14:paraId="3FC28527" w14:textId="77777777" w:rsidR="00A12DCF" w:rsidRPr="001C3D24" w:rsidRDefault="00A12DCF" w:rsidP="00A12DCF">
            <w:pPr>
              <w:pStyle w:val="Standard"/>
              <w:rPr>
                <w:rFonts w:asciiTheme="majorHAnsi" w:hAnsiTheme="majorHAnsi" w:cstheme="majorHAnsi"/>
                <w:b/>
                <w:bCs/>
                <w:sz w:val="16"/>
                <w:szCs w:val="16"/>
              </w:rPr>
            </w:pPr>
          </w:p>
          <w:p w14:paraId="247AF67F"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02 PACOTES DE FEIJÃO PRETO 1 KG;</w:t>
            </w:r>
            <w:r w:rsidRPr="001C3D24">
              <w:rPr>
                <w:rFonts w:asciiTheme="majorHAnsi" w:hAnsiTheme="majorHAnsi" w:cstheme="majorHAnsi"/>
                <w:sz w:val="16"/>
                <w:szCs w:val="16"/>
              </w:rPr>
              <w:t>( in natura, novo, grãos inteiros, aspecto brilhoso, liso, isento de matéria terrosa, pedras ou corpos estranhos, fungos ou parasitas, livre de umidade, secos, embalagem plástica de 1,0Kg contendo identificação do produto, marca do fabricante, prazo de validade, peso liquido)2 pacotes de feijão preto 1 kg;( in natura, novo, grãos inteiros, aspecto brilhoso, liso, isento de matéria terrosa, pedras ou corpos estranhos, fungos ou parasitas, livre de umidade, secos, embalagem plástica de 1,0Kg contendo identificação do produto, marca do fabricante, prazo de validade, peso liquido)</w:t>
            </w:r>
          </w:p>
          <w:p w14:paraId="1C4F3676" w14:textId="77777777" w:rsidR="00A12DCF" w:rsidRPr="001C3D24" w:rsidRDefault="00A12DCF" w:rsidP="00A12DCF">
            <w:pPr>
              <w:pStyle w:val="Standard"/>
              <w:rPr>
                <w:rFonts w:asciiTheme="majorHAnsi" w:hAnsiTheme="majorHAnsi" w:cstheme="majorHAnsi"/>
                <w:b/>
                <w:bCs/>
                <w:sz w:val="16"/>
                <w:szCs w:val="16"/>
              </w:rPr>
            </w:pPr>
          </w:p>
          <w:p w14:paraId="25E91BEB"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01 FERMENTO BIOLÓGICO SECO 125G;</w:t>
            </w:r>
            <w:r w:rsidRPr="001C3D24">
              <w:rPr>
                <w:rFonts w:asciiTheme="majorHAnsi" w:hAnsiTheme="majorHAnsi" w:cstheme="majorHAnsi"/>
                <w:sz w:val="16"/>
                <w:szCs w:val="16"/>
              </w:rPr>
              <w:t xml:space="preserve"> (características técnicas: fermento biológico, seco, instantâneo, para pão. Isento de mofo e substâncias nocivas. Embalagem: hermeticamente fechada (vácuo))1 Fermento biológico seco 125g; (características técnicas: fermento biológico, seco, instantâneo, para pão. Isento de mofo e substâncias nocivas. Embalagem: hermeticamente fechada (vácuo)</w:t>
            </w:r>
          </w:p>
          <w:p w14:paraId="7AE0D20C" w14:textId="77777777" w:rsidR="00A12DCF" w:rsidRPr="001C3D24" w:rsidRDefault="00A12DCF" w:rsidP="00A12DCF">
            <w:pPr>
              <w:pStyle w:val="Standard"/>
              <w:rPr>
                <w:rFonts w:asciiTheme="majorHAnsi" w:hAnsiTheme="majorHAnsi" w:cstheme="majorHAnsi"/>
                <w:b/>
                <w:bCs/>
                <w:sz w:val="16"/>
                <w:szCs w:val="16"/>
              </w:rPr>
            </w:pPr>
          </w:p>
          <w:p w14:paraId="1DE701BC"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01 PACOTE LEITE EM PÓ INTEGRAL 400 GR;</w:t>
            </w:r>
            <w:r w:rsidRPr="001C3D24">
              <w:rPr>
                <w:rFonts w:asciiTheme="majorHAnsi" w:hAnsiTheme="majorHAnsi" w:cstheme="majorHAnsi"/>
                <w:sz w:val="16"/>
                <w:szCs w:val="16"/>
              </w:rPr>
              <w:t xml:space="preserve"> (Leite obtido por desidratação do leite de vaca integral, mediante processos tecnológicos adequados. Não deve ser adicionado de lecitina de soja. Ingrediente básico: Leite integral. Apresenta aspecto de pó, cor branco, odor e sabor característicos. Embalado em embalagem plástica (polietileno) aluminizada, atóxico, contendo 400 gramas, com identificação na embalagem (rótulo) dos ingredientes, peso, fornecedor, data de fabricação, validade, número do registro no Ministério da Agricultura/SIF/DISPOA1 pacote leite em pó integral 400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(Leite obtido por desidratação do leite de vaca integral, mediante processos tecnológicos adequados. Não deve ser adicionado de lecitina de soja. Ingrediente básico: Leite integral. Apresenta aspecto de pó, cor branco, odor e sabor característicos. Embalado em embalagem plástica (polietileno) aluminizada, atóxico, contendo 400 gramas, com identificação na embalagem (rótulo) dos ingredientes, peso, fornecedor, data de fabricação, validade, número do registro no Ministério da Agricultura/SIF/DISPOA</w:t>
            </w:r>
          </w:p>
          <w:p w14:paraId="423A4803" w14:textId="77777777" w:rsidR="00A12DCF" w:rsidRPr="001C3D24" w:rsidRDefault="00A12DCF" w:rsidP="00A12DCF">
            <w:pPr>
              <w:pStyle w:val="Standard"/>
              <w:rPr>
                <w:rFonts w:asciiTheme="majorHAnsi" w:hAnsiTheme="majorHAnsi" w:cstheme="majorHAnsi"/>
                <w:b/>
                <w:bCs/>
                <w:sz w:val="16"/>
                <w:szCs w:val="16"/>
              </w:rPr>
            </w:pPr>
          </w:p>
          <w:p w14:paraId="50E97634"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02 PACOTE MASSA TIPO ESPAGUETE 500 GR</w:t>
            </w:r>
            <w:r w:rsidRPr="001C3D24">
              <w:rPr>
                <w:rFonts w:asciiTheme="majorHAnsi" w:hAnsiTheme="majorHAnsi" w:cstheme="majorHAnsi"/>
                <w:sz w:val="16"/>
                <w:szCs w:val="16"/>
              </w:rPr>
              <w:t xml:space="preserve">; (massa de sêmola com ovos, </w:t>
            </w:r>
            <w:proofErr w:type="spellStart"/>
            <w:r w:rsidRPr="001C3D24">
              <w:rPr>
                <w:rFonts w:asciiTheme="majorHAnsi" w:hAnsiTheme="majorHAnsi" w:cstheme="majorHAnsi"/>
                <w:sz w:val="16"/>
                <w:szCs w:val="16"/>
              </w:rPr>
              <w:t>emabalagem</w:t>
            </w:r>
            <w:proofErr w:type="spellEnd"/>
            <w:r w:rsidRPr="001C3D24">
              <w:rPr>
                <w:rFonts w:asciiTheme="majorHAnsi" w:hAnsiTheme="majorHAnsi" w:cstheme="majorHAnsi"/>
                <w:sz w:val="16"/>
                <w:szCs w:val="16"/>
              </w:rPr>
              <w:t xml:space="preserve"> de 500gr, contendo identificação do produto, marca do fabricante e data de validade)</w:t>
            </w:r>
          </w:p>
          <w:p w14:paraId="27687DF0" w14:textId="77777777" w:rsidR="00A12DCF" w:rsidRPr="001C3D24" w:rsidRDefault="00A12DCF" w:rsidP="00A12DCF">
            <w:pPr>
              <w:pStyle w:val="Standard"/>
              <w:rPr>
                <w:rFonts w:asciiTheme="majorHAnsi" w:hAnsiTheme="majorHAnsi" w:cstheme="majorHAnsi"/>
                <w:b/>
                <w:bCs/>
                <w:sz w:val="16"/>
                <w:szCs w:val="16"/>
              </w:rPr>
            </w:pPr>
          </w:p>
          <w:p w14:paraId="6EB419E1"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02 UNIDADE DE ÓLEO DE SOJA900 ML</w:t>
            </w:r>
            <w:r w:rsidRPr="001C3D24">
              <w:rPr>
                <w:rFonts w:asciiTheme="majorHAnsi" w:hAnsiTheme="majorHAnsi" w:cstheme="majorHAnsi"/>
                <w:sz w:val="16"/>
                <w:szCs w:val="16"/>
              </w:rPr>
              <w:t xml:space="preserve">;( tipo 1, classe refinado, embalagem plástica de 900 </w:t>
            </w:r>
            <w:proofErr w:type="spellStart"/>
            <w:r w:rsidRPr="001C3D24">
              <w:rPr>
                <w:rFonts w:asciiTheme="majorHAnsi" w:hAnsiTheme="majorHAnsi" w:cstheme="majorHAnsi"/>
                <w:sz w:val="16"/>
                <w:szCs w:val="16"/>
              </w:rPr>
              <w:t>mi</w:t>
            </w:r>
            <w:proofErr w:type="spellEnd"/>
            <w:r w:rsidRPr="001C3D24">
              <w:rPr>
                <w:rFonts w:asciiTheme="majorHAnsi" w:hAnsiTheme="majorHAnsi" w:cstheme="majorHAnsi"/>
                <w:sz w:val="16"/>
                <w:szCs w:val="16"/>
              </w:rPr>
              <w:t xml:space="preserve"> cada, contendo identificação do produto, marca do fabricante, prazo de validade com pelo menos 90 dias após a entrega</w:t>
            </w:r>
          </w:p>
          <w:p w14:paraId="0E51C7B3" w14:textId="77777777" w:rsidR="00A12DCF" w:rsidRPr="001C3D24" w:rsidRDefault="00A12DCF" w:rsidP="00A12DCF">
            <w:pPr>
              <w:pStyle w:val="Standard"/>
              <w:rPr>
                <w:rFonts w:asciiTheme="majorHAnsi" w:hAnsiTheme="majorHAnsi" w:cstheme="majorHAnsi"/>
                <w:b/>
                <w:bCs/>
                <w:sz w:val="16"/>
                <w:szCs w:val="16"/>
              </w:rPr>
            </w:pPr>
          </w:p>
          <w:p w14:paraId="7266D459"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01 PACOTE SAL MOIDO, IODADO1 KG</w:t>
            </w:r>
            <w:r w:rsidRPr="001C3D24">
              <w:rPr>
                <w:rFonts w:asciiTheme="majorHAnsi" w:hAnsiTheme="majorHAnsi" w:cstheme="majorHAnsi"/>
                <w:sz w:val="16"/>
                <w:szCs w:val="16"/>
              </w:rPr>
              <w:t xml:space="preserve">. (refinado, iodado, com granulação uniforme e com cristais brancos. A </w:t>
            </w:r>
            <w:proofErr w:type="spellStart"/>
            <w:r w:rsidRPr="001C3D24">
              <w:rPr>
                <w:rFonts w:asciiTheme="majorHAnsi" w:hAnsiTheme="majorHAnsi" w:cstheme="majorHAnsi"/>
                <w:sz w:val="16"/>
                <w:szCs w:val="16"/>
              </w:rPr>
              <w:t>iodação</w:t>
            </w:r>
            <w:proofErr w:type="spellEnd"/>
            <w:r w:rsidRPr="001C3D24">
              <w:rPr>
                <w:rFonts w:asciiTheme="majorHAnsi" w:hAnsiTheme="majorHAnsi" w:cstheme="majorHAnsi"/>
                <w:sz w:val="16"/>
                <w:szCs w:val="16"/>
              </w:rPr>
              <w:t xml:space="preserve"> do sal deve seguir a legislação especifica embalagem de polietileno de 1,0 Kg, contendo identificação do produto, marca do fabricante, prazo de validade)1 pacote sal </w:t>
            </w:r>
            <w:proofErr w:type="spellStart"/>
            <w:r w:rsidRPr="001C3D24">
              <w:rPr>
                <w:rFonts w:asciiTheme="majorHAnsi" w:hAnsiTheme="majorHAnsi" w:cstheme="majorHAnsi"/>
                <w:sz w:val="16"/>
                <w:szCs w:val="16"/>
              </w:rPr>
              <w:t>moido</w:t>
            </w:r>
            <w:proofErr w:type="spellEnd"/>
            <w:r w:rsidRPr="001C3D24">
              <w:rPr>
                <w:rFonts w:asciiTheme="majorHAnsi" w:hAnsiTheme="majorHAnsi" w:cstheme="majorHAnsi"/>
                <w:sz w:val="16"/>
                <w:szCs w:val="16"/>
              </w:rPr>
              <w:t xml:space="preserve">, iodado 1 kg. (refinado, iodado, com granulação uniforme e com cristais brancos. A </w:t>
            </w:r>
            <w:proofErr w:type="spellStart"/>
            <w:r w:rsidRPr="001C3D24">
              <w:rPr>
                <w:rFonts w:asciiTheme="majorHAnsi" w:hAnsiTheme="majorHAnsi" w:cstheme="majorHAnsi"/>
                <w:sz w:val="16"/>
                <w:szCs w:val="16"/>
              </w:rPr>
              <w:t>iodação</w:t>
            </w:r>
            <w:proofErr w:type="spellEnd"/>
            <w:r w:rsidRPr="001C3D24">
              <w:rPr>
                <w:rFonts w:asciiTheme="majorHAnsi" w:hAnsiTheme="majorHAnsi" w:cstheme="majorHAnsi"/>
                <w:sz w:val="16"/>
                <w:szCs w:val="16"/>
              </w:rPr>
              <w:t xml:space="preserve"> do sal deve seguir a legislação especifica embalagem de polietileno de 1,0 Kg, contendo identificação do produto, marca do fabricante, prazo de validade)</w:t>
            </w:r>
          </w:p>
          <w:p w14:paraId="6DED4E9E" w14:textId="77777777" w:rsidR="00A12DCF" w:rsidRPr="001C3D24" w:rsidRDefault="00A12DCF" w:rsidP="00A12DCF">
            <w:pPr>
              <w:pStyle w:val="Standard"/>
              <w:rPr>
                <w:rFonts w:asciiTheme="majorHAnsi" w:hAnsiTheme="majorHAnsi" w:cstheme="majorHAnsi"/>
                <w:b/>
                <w:bCs/>
                <w:sz w:val="16"/>
                <w:szCs w:val="16"/>
              </w:rPr>
            </w:pPr>
          </w:p>
          <w:p w14:paraId="43EE0001" w14:textId="77777777" w:rsidR="00A12DCF" w:rsidRPr="001C3D24" w:rsidRDefault="00A12DCF" w:rsidP="00A12DCF">
            <w:pPr>
              <w:pStyle w:val="Standard"/>
              <w:rPr>
                <w:rFonts w:asciiTheme="majorHAnsi" w:hAnsiTheme="majorHAnsi" w:cstheme="majorHAnsi"/>
                <w:sz w:val="16"/>
                <w:szCs w:val="16"/>
              </w:rPr>
            </w:pPr>
            <w:r w:rsidRPr="001C3D24">
              <w:rPr>
                <w:rFonts w:asciiTheme="majorHAnsi" w:hAnsiTheme="majorHAnsi" w:cstheme="majorHAnsi"/>
                <w:b/>
                <w:bCs/>
                <w:sz w:val="16"/>
                <w:szCs w:val="16"/>
              </w:rPr>
              <w:t xml:space="preserve">*01 DOCE DE </w:t>
            </w:r>
            <w:proofErr w:type="gramStart"/>
            <w:r w:rsidRPr="001C3D24">
              <w:rPr>
                <w:rFonts w:asciiTheme="majorHAnsi" w:hAnsiTheme="majorHAnsi" w:cstheme="majorHAnsi"/>
                <w:b/>
                <w:bCs/>
                <w:sz w:val="16"/>
                <w:szCs w:val="16"/>
              </w:rPr>
              <w:t>FRUTAS</w:t>
            </w:r>
            <w:r w:rsidRPr="001C3D24">
              <w:rPr>
                <w:rFonts w:asciiTheme="majorHAnsi" w:hAnsiTheme="majorHAnsi" w:cstheme="majorHAnsi"/>
                <w:sz w:val="16"/>
                <w:szCs w:val="16"/>
              </w:rPr>
              <w:t xml:space="preserve"> :</w:t>
            </w:r>
            <w:proofErr w:type="gramEnd"/>
            <w:r w:rsidRPr="001C3D24">
              <w:rPr>
                <w:rFonts w:asciiTheme="majorHAnsi" w:hAnsiTheme="majorHAnsi" w:cstheme="majorHAnsi"/>
                <w:sz w:val="16"/>
                <w:szCs w:val="16"/>
              </w:rPr>
              <w:t xml:space="preserve"> Goiaba, morango, figo ou uva (</w:t>
            </w:r>
            <w:proofErr w:type="spellStart"/>
            <w:r w:rsidRPr="001C3D24">
              <w:rPr>
                <w:rFonts w:asciiTheme="majorHAnsi" w:hAnsiTheme="majorHAnsi" w:cstheme="majorHAnsi"/>
                <w:sz w:val="16"/>
                <w:szCs w:val="16"/>
              </w:rPr>
              <w:t>shimier</w:t>
            </w:r>
            <w:proofErr w:type="spellEnd"/>
            <w:r w:rsidRPr="001C3D24">
              <w:rPr>
                <w:rFonts w:asciiTheme="majorHAnsi" w:hAnsiTheme="majorHAnsi" w:cstheme="majorHAnsi"/>
                <w:sz w:val="16"/>
                <w:szCs w:val="16"/>
              </w:rPr>
              <w:t xml:space="preserve">), 300g. Produto </w:t>
            </w:r>
            <w:r w:rsidRPr="001C3D24">
              <w:rPr>
                <w:rFonts w:asciiTheme="majorHAnsi" w:hAnsiTheme="majorHAnsi" w:cstheme="majorHAnsi"/>
                <w:sz w:val="16"/>
                <w:szCs w:val="16"/>
              </w:rPr>
              <w:lastRenderedPageBreak/>
              <w:t xml:space="preserve">processado, feito à base de frutas frescas, contendo no mínimo os seguintes ingredientes: polpa de goiaba, morango, figo, </w:t>
            </w:r>
            <w:proofErr w:type="spellStart"/>
            <w:r w:rsidRPr="001C3D24">
              <w:rPr>
                <w:rFonts w:asciiTheme="majorHAnsi" w:hAnsiTheme="majorHAnsi" w:cstheme="majorHAnsi"/>
                <w:sz w:val="16"/>
                <w:szCs w:val="16"/>
              </w:rPr>
              <w:t>pessego</w:t>
            </w:r>
            <w:proofErr w:type="spellEnd"/>
            <w:r w:rsidRPr="001C3D24">
              <w:rPr>
                <w:rFonts w:asciiTheme="majorHAnsi" w:hAnsiTheme="majorHAnsi" w:cstheme="majorHAnsi"/>
                <w:sz w:val="16"/>
                <w:szCs w:val="16"/>
              </w:rPr>
              <w:t xml:space="preserve"> ou uva, açúcar. Embalagem primária: pote plástico transparente ou vidro contendo no mínimo 300 </w:t>
            </w:r>
            <w:proofErr w:type="spellStart"/>
            <w:r w:rsidRPr="001C3D24">
              <w:rPr>
                <w:rFonts w:asciiTheme="majorHAnsi" w:hAnsiTheme="majorHAnsi" w:cstheme="majorHAnsi"/>
                <w:sz w:val="16"/>
                <w:szCs w:val="16"/>
              </w:rPr>
              <w:t>gr</w:t>
            </w:r>
            <w:proofErr w:type="spellEnd"/>
            <w:r w:rsidRPr="001C3D24">
              <w:rPr>
                <w:rFonts w:asciiTheme="majorHAnsi" w:hAnsiTheme="majorHAnsi" w:cstheme="majorHAnsi"/>
                <w:sz w:val="16"/>
                <w:szCs w:val="16"/>
              </w:rPr>
              <w:t xml:space="preserve"> do produto. Rótulo contendo identificação do produto, peso, tabela nutricional, fabricante, data de fabricação e validade, n.º lote. Produtos com no mínimo 90 (noventa) dias de validade, na data da entrega.</w:t>
            </w:r>
          </w:p>
          <w:p w14:paraId="5F6BD015" w14:textId="77777777" w:rsidR="00A12DCF" w:rsidRDefault="00A12DCF" w:rsidP="00162B25">
            <w:pPr>
              <w:rPr>
                <w:rFonts w:ascii="Calibri" w:hAnsi="Calibri" w:cs="Calibri"/>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61AAA98" w14:textId="77777777" w:rsidR="007527D1" w:rsidRDefault="007527D1" w:rsidP="00162B25">
            <w:pPr>
              <w:rPr>
                <w:rFonts w:ascii="Calibri" w:hAnsi="Calibri" w:cs="Calibri"/>
                <w:color w:val="000000"/>
                <w:sz w:val="16"/>
                <w:szCs w:val="16"/>
              </w:rPr>
            </w:pPr>
            <w:r>
              <w:rPr>
                <w:rFonts w:ascii="Calibri" w:hAnsi="Calibri" w:cs="Calibri"/>
                <w:color w:val="000000"/>
                <w:sz w:val="16"/>
                <w:szCs w:val="16"/>
              </w:rPr>
              <w:lastRenderedPageBreak/>
              <w:t>UN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80F5174" w14:textId="77777777" w:rsidR="007527D1" w:rsidRDefault="007527D1" w:rsidP="00162B25">
            <w:pPr>
              <w:jc w:val="right"/>
              <w:rPr>
                <w:rFonts w:ascii="Calibri" w:hAnsi="Calibri" w:cs="Calibri"/>
                <w:color w:val="000000"/>
                <w:sz w:val="16"/>
                <w:szCs w:val="16"/>
              </w:rPr>
            </w:pPr>
            <w:r>
              <w:rPr>
                <w:rFonts w:ascii="Calibri" w:hAnsi="Calibri" w:cs="Calibri"/>
                <w:color w:val="000000"/>
                <w:sz w:val="16"/>
                <w:szCs w:val="16"/>
              </w:rPr>
              <w:t>1.800</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14:paraId="4EB48683" w14:textId="5FC996D0" w:rsidR="007527D1" w:rsidRDefault="007527D1" w:rsidP="00162B25">
            <w:pPr>
              <w:jc w:val="right"/>
              <w:rPr>
                <w:rFonts w:ascii="Calibri" w:hAnsi="Calibri" w:cs="Calibri"/>
                <w:color w:val="000000"/>
                <w:sz w:val="16"/>
                <w:szCs w:val="16"/>
              </w:rPr>
            </w:pPr>
          </w:p>
        </w:tc>
      </w:tr>
      <w:tr w:rsidR="00371FB2" w14:paraId="3255A321" w14:textId="77777777" w:rsidTr="00D62361">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tcPr>
          <w:p w14:paraId="1430ADE5" w14:textId="77777777" w:rsidR="00371FB2" w:rsidRDefault="00371FB2" w:rsidP="00162B25">
            <w:pPr>
              <w:rPr>
                <w:rFonts w:ascii="Calibri" w:hAnsi="Calibri" w:cs="Calibri"/>
                <w:color w:val="000000"/>
                <w:sz w:val="16"/>
                <w:szCs w:val="16"/>
              </w:rPr>
            </w:pPr>
          </w:p>
        </w:tc>
        <w:tc>
          <w:tcPr>
            <w:tcW w:w="7427" w:type="dxa"/>
            <w:gridSpan w:val="3"/>
            <w:tcBorders>
              <w:top w:val="single" w:sz="4" w:space="0" w:color="auto"/>
              <w:left w:val="nil"/>
              <w:bottom w:val="single" w:sz="4" w:space="0" w:color="auto"/>
              <w:right w:val="single" w:sz="4" w:space="0" w:color="auto"/>
            </w:tcBorders>
            <w:shd w:val="clear" w:color="auto" w:fill="auto"/>
            <w:noWrap/>
            <w:vAlign w:val="bottom"/>
          </w:tcPr>
          <w:p w14:paraId="103D8A4D" w14:textId="0F7BC163" w:rsidR="00371FB2" w:rsidRPr="00371FB2" w:rsidRDefault="00371FB2" w:rsidP="00371FB2">
            <w:pPr>
              <w:jc w:val="center"/>
              <w:rPr>
                <w:rFonts w:ascii="Calibri" w:hAnsi="Calibri" w:cs="Calibri"/>
                <w:b/>
                <w:bCs/>
                <w:color w:val="000000"/>
                <w:sz w:val="16"/>
                <w:szCs w:val="16"/>
              </w:rPr>
            </w:pPr>
            <w:r w:rsidRPr="00371FB2">
              <w:rPr>
                <w:rFonts w:ascii="Calibri" w:hAnsi="Calibri" w:cs="Calibri"/>
                <w:b/>
                <w:bCs/>
                <w:color w:val="000000"/>
                <w:sz w:val="16"/>
                <w:szCs w:val="16"/>
              </w:rPr>
              <w:t>TOTAL</w:t>
            </w:r>
          </w:p>
        </w:tc>
        <w:tc>
          <w:tcPr>
            <w:tcW w:w="1588" w:type="dxa"/>
            <w:tcBorders>
              <w:top w:val="single" w:sz="4" w:space="0" w:color="auto"/>
              <w:left w:val="nil"/>
              <w:bottom w:val="single" w:sz="4" w:space="0" w:color="auto"/>
              <w:right w:val="single" w:sz="4" w:space="0" w:color="auto"/>
            </w:tcBorders>
            <w:shd w:val="clear" w:color="auto" w:fill="auto"/>
            <w:noWrap/>
            <w:vAlign w:val="bottom"/>
          </w:tcPr>
          <w:p w14:paraId="23EF672B" w14:textId="77777777" w:rsidR="00371FB2" w:rsidRPr="00371FB2" w:rsidRDefault="00371FB2" w:rsidP="00371FB2">
            <w:pPr>
              <w:jc w:val="center"/>
              <w:rPr>
                <w:rFonts w:ascii="Calibri" w:hAnsi="Calibri" w:cs="Calibri"/>
                <w:b/>
                <w:bCs/>
                <w:color w:val="000000"/>
                <w:sz w:val="16"/>
                <w:szCs w:val="16"/>
              </w:rPr>
            </w:pPr>
          </w:p>
        </w:tc>
      </w:tr>
    </w:tbl>
    <w:p w14:paraId="6092C55F" w14:textId="77777777" w:rsidR="00BC0049" w:rsidRDefault="00BC0049">
      <w:pPr>
        <w:jc w:val="both"/>
        <w:rPr>
          <w:rFonts w:ascii="Times New Roman" w:hAnsi="Times New Roman" w:cs="Times New Roman"/>
          <w:b/>
          <w:bCs/>
          <w:sz w:val="20"/>
          <w:szCs w:val="20"/>
        </w:rPr>
      </w:pPr>
    </w:p>
    <w:tbl>
      <w:tblPr>
        <w:tblW w:w="9882" w:type="dxa"/>
        <w:tblInd w:w="71" w:type="dxa"/>
        <w:tblLayout w:type="fixed"/>
        <w:tblCellMar>
          <w:left w:w="71" w:type="dxa"/>
          <w:right w:w="71" w:type="dxa"/>
        </w:tblCellMar>
        <w:tblLook w:val="04A0" w:firstRow="1" w:lastRow="0" w:firstColumn="1" w:lastColumn="0" w:noHBand="0" w:noVBand="1"/>
      </w:tblPr>
      <w:tblGrid>
        <w:gridCol w:w="4953"/>
        <w:gridCol w:w="574"/>
        <w:gridCol w:w="4355"/>
      </w:tblGrid>
      <w:tr w:rsidR="00BC0049" w14:paraId="77CD81A2" w14:textId="77777777">
        <w:trPr>
          <w:trHeight w:val="2271"/>
        </w:trPr>
        <w:tc>
          <w:tcPr>
            <w:tcW w:w="4953" w:type="dxa"/>
          </w:tcPr>
          <w:p w14:paraId="79AACA44" w14:textId="77777777" w:rsidR="00BC0049" w:rsidRDefault="00BC0049">
            <w:pPr>
              <w:widowControl w:val="0"/>
              <w:jc w:val="both"/>
              <w:rPr>
                <w:rFonts w:ascii="Times New Roman" w:hAnsi="Times New Roman" w:cs="Times New Roman"/>
                <w:sz w:val="20"/>
                <w:szCs w:val="20"/>
              </w:rPr>
            </w:pPr>
          </w:p>
          <w:p w14:paraId="281E7D1A" w14:textId="7777777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shd w:val="clear" w:color="auto" w:fill="FFFFFF"/>
              </w:rPr>
              <w:t>Validade da proposta: (mínimo 60 dias):______</w:t>
            </w:r>
          </w:p>
          <w:p w14:paraId="34B22597" w14:textId="77777777" w:rsidR="00BC0049" w:rsidRDefault="00BC0049">
            <w:pPr>
              <w:widowControl w:val="0"/>
              <w:jc w:val="both"/>
              <w:rPr>
                <w:rFonts w:ascii="Times New Roman" w:hAnsi="Times New Roman" w:cs="Times New Roman"/>
                <w:sz w:val="20"/>
                <w:szCs w:val="20"/>
              </w:rPr>
            </w:pPr>
          </w:p>
          <w:p w14:paraId="3158CED9" w14:textId="77777777" w:rsidR="00BC0049" w:rsidRDefault="00BC0049">
            <w:pPr>
              <w:widowControl w:val="0"/>
              <w:jc w:val="both"/>
              <w:rPr>
                <w:rFonts w:ascii="Times New Roman" w:hAnsi="Times New Roman" w:cs="Times New Roman"/>
                <w:sz w:val="20"/>
                <w:szCs w:val="20"/>
              </w:rPr>
            </w:pPr>
          </w:p>
          <w:p w14:paraId="37042F21" w14:textId="77777777" w:rsidR="00BC0049" w:rsidRDefault="00BC0049">
            <w:pPr>
              <w:widowControl w:val="0"/>
              <w:jc w:val="both"/>
              <w:rPr>
                <w:rFonts w:ascii="Times New Roman" w:hAnsi="Times New Roman" w:cs="Times New Roman"/>
                <w:sz w:val="20"/>
                <w:szCs w:val="20"/>
              </w:rPr>
            </w:pPr>
          </w:p>
          <w:p w14:paraId="3690C5BA" w14:textId="22A9276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rPr>
              <w:t>Data: ______ / ____________ de 202</w:t>
            </w:r>
            <w:r w:rsidR="00371FB2">
              <w:rPr>
                <w:rFonts w:ascii="Times New Roman" w:hAnsi="Times New Roman" w:cs="Times New Roman"/>
                <w:b/>
                <w:sz w:val="20"/>
                <w:szCs w:val="20"/>
              </w:rPr>
              <w:t>6.</w:t>
            </w:r>
          </w:p>
          <w:p w14:paraId="6AFE4802" w14:textId="77777777" w:rsidR="00BC0049" w:rsidRDefault="00BC0049">
            <w:pPr>
              <w:widowControl w:val="0"/>
              <w:jc w:val="both"/>
              <w:rPr>
                <w:rFonts w:ascii="Times New Roman" w:hAnsi="Times New Roman" w:cs="Times New Roman"/>
                <w:sz w:val="20"/>
                <w:szCs w:val="20"/>
              </w:rPr>
            </w:pPr>
          </w:p>
          <w:p w14:paraId="381D73F5" w14:textId="7777777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rPr>
              <w:t>________________________________________</w:t>
            </w:r>
          </w:p>
          <w:p w14:paraId="5CF641F6"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Assinatura e Identificação do Proponente Legal</w:t>
            </w:r>
          </w:p>
        </w:tc>
        <w:tc>
          <w:tcPr>
            <w:tcW w:w="574" w:type="dxa"/>
          </w:tcPr>
          <w:p w14:paraId="6E4D70E7" w14:textId="77777777" w:rsidR="00BC0049" w:rsidRDefault="00BC0049">
            <w:pPr>
              <w:widowControl w:val="0"/>
              <w:jc w:val="both"/>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tcPr>
          <w:p w14:paraId="2BF13565" w14:textId="7777777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rPr>
              <w:t>Carimbo do CNPJ</w:t>
            </w:r>
          </w:p>
          <w:p w14:paraId="5F9A37AF" w14:textId="77777777" w:rsidR="00BC0049" w:rsidRDefault="00BC0049">
            <w:pPr>
              <w:widowControl w:val="0"/>
              <w:jc w:val="both"/>
              <w:rPr>
                <w:rFonts w:ascii="Times New Roman" w:hAnsi="Times New Roman" w:cs="Times New Roman"/>
                <w:sz w:val="20"/>
                <w:szCs w:val="20"/>
              </w:rPr>
            </w:pPr>
          </w:p>
          <w:p w14:paraId="3A57262B" w14:textId="77777777" w:rsidR="00BC0049" w:rsidRDefault="00BC0049">
            <w:pPr>
              <w:widowControl w:val="0"/>
              <w:jc w:val="both"/>
              <w:rPr>
                <w:rFonts w:ascii="Times New Roman" w:hAnsi="Times New Roman" w:cs="Times New Roman"/>
                <w:sz w:val="20"/>
                <w:szCs w:val="20"/>
              </w:rPr>
            </w:pPr>
          </w:p>
          <w:p w14:paraId="3C60012F" w14:textId="77777777" w:rsidR="00BC0049" w:rsidRDefault="00BC0049">
            <w:pPr>
              <w:widowControl w:val="0"/>
              <w:jc w:val="both"/>
              <w:rPr>
                <w:rFonts w:ascii="Times New Roman" w:hAnsi="Times New Roman" w:cs="Times New Roman"/>
                <w:sz w:val="20"/>
                <w:szCs w:val="20"/>
              </w:rPr>
            </w:pPr>
          </w:p>
          <w:p w14:paraId="4A1A3F71" w14:textId="77777777" w:rsidR="00BC0049" w:rsidRDefault="00BC0049">
            <w:pPr>
              <w:widowControl w:val="0"/>
              <w:jc w:val="both"/>
              <w:rPr>
                <w:rFonts w:ascii="Times New Roman" w:hAnsi="Times New Roman" w:cs="Times New Roman"/>
                <w:sz w:val="20"/>
                <w:szCs w:val="20"/>
              </w:rPr>
            </w:pPr>
          </w:p>
          <w:p w14:paraId="6C00A3F2" w14:textId="77777777" w:rsidR="00BC0049" w:rsidRDefault="00BC0049">
            <w:pPr>
              <w:widowControl w:val="0"/>
              <w:jc w:val="both"/>
              <w:rPr>
                <w:rFonts w:ascii="Times New Roman" w:hAnsi="Times New Roman" w:cs="Times New Roman"/>
                <w:sz w:val="20"/>
                <w:szCs w:val="20"/>
              </w:rPr>
            </w:pPr>
          </w:p>
          <w:p w14:paraId="6F9E6935" w14:textId="77777777" w:rsidR="00BC0049" w:rsidRDefault="00BC0049">
            <w:pPr>
              <w:widowControl w:val="0"/>
              <w:jc w:val="both"/>
              <w:rPr>
                <w:rFonts w:ascii="Times New Roman" w:hAnsi="Times New Roman" w:cs="Times New Roman"/>
                <w:sz w:val="20"/>
                <w:szCs w:val="20"/>
              </w:rPr>
            </w:pPr>
          </w:p>
          <w:p w14:paraId="2B36FE7B" w14:textId="77777777" w:rsidR="00BC0049" w:rsidRDefault="00BC0049">
            <w:pPr>
              <w:widowControl w:val="0"/>
              <w:jc w:val="both"/>
              <w:rPr>
                <w:rFonts w:ascii="Times New Roman" w:hAnsi="Times New Roman" w:cs="Times New Roman"/>
                <w:sz w:val="20"/>
                <w:szCs w:val="20"/>
              </w:rPr>
            </w:pPr>
          </w:p>
        </w:tc>
      </w:tr>
    </w:tbl>
    <w:p w14:paraId="21F31299" w14:textId="77777777" w:rsidR="00BC0049" w:rsidRDefault="00BC0049">
      <w:pPr>
        <w:rPr>
          <w:rFonts w:ascii="Times New Roman" w:hAnsi="Times New Roman" w:cs="Times New Roman"/>
          <w:b/>
          <w:bCs/>
          <w:sz w:val="20"/>
          <w:szCs w:val="20"/>
        </w:rPr>
      </w:pPr>
    </w:p>
    <w:p w14:paraId="051D3D0B" w14:textId="77777777" w:rsidR="00BC0049" w:rsidRDefault="00BC0049">
      <w:pPr>
        <w:rPr>
          <w:rFonts w:ascii="Times New Roman" w:hAnsi="Times New Roman" w:cs="Times New Roman"/>
          <w:b/>
          <w:bCs/>
          <w:sz w:val="20"/>
          <w:szCs w:val="20"/>
        </w:rPr>
      </w:pPr>
    </w:p>
    <w:p w14:paraId="535E983E" w14:textId="77777777" w:rsidR="00371FB2" w:rsidRDefault="00371FB2">
      <w:pPr>
        <w:rPr>
          <w:rFonts w:ascii="Times New Roman" w:hAnsi="Times New Roman" w:cs="Times New Roman"/>
          <w:b/>
          <w:bCs/>
          <w:sz w:val="20"/>
          <w:szCs w:val="20"/>
        </w:rPr>
      </w:pPr>
    </w:p>
    <w:p w14:paraId="6EDE6EBF" w14:textId="77777777" w:rsidR="00371FB2" w:rsidRDefault="00371FB2">
      <w:pPr>
        <w:rPr>
          <w:rFonts w:ascii="Times New Roman" w:hAnsi="Times New Roman" w:cs="Times New Roman"/>
          <w:b/>
          <w:bCs/>
          <w:sz w:val="20"/>
          <w:szCs w:val="20"/>
        </w:rPr>
      </w:pPr>
    </w:p>
    <w:p w14:paraId="7D128F76" w14:textId="77777777" w:rsidR="00371FB2" w:rsidRDefault="00371FB2">
      <w:pPr>
        <w:rPr>
          <w:rFonts w:ascii="Times New Roman" w:hAnsi="Times New Roman" w:cs="Times New Roman"/>
          <w:b/>
          <w:bCs/>
          <w:sz w:val="20"/>
          <w:szCs w:val="20"/>
        </w:rPr>
      </w:pPr>
    </w:p>
    <w:p w14:paraId="19CA9015" w14:textId="77777777" w:rsidR="00371FB2" w:rsidRDefault="00371FB2">
      <w:pPr>
        <w:rPr>
          <w:rFonts w:ascii="Times New Roman" w:hAnsi="Times New Roman" w:cs="Times New Roman"/>
          <w:b/>
          <w:bCs/>
          <w:sz w:val="20"/>
          <w:szCs w:val="20"/>
        </w:rPr>
      </w:pPr>
    </w:p>
    <w:p w14:paraId="06C85DF5" w14:textId="77777777" w:rsidR="00371FB2" w:rsidRDefault="00371FB2">
      <w:pPr>
        <w:rPr>
          <w:rFonts w:ascii="Times New Roman" w:hAnsi="Times New Roman" w:cs="Times New Roman"/>
          <w:b/>
          <w:bCs/>
          <w:sz w:val="20"/>
          <w:szCs w:val="20"/>
        </w:rPr>
      </w:pPr>
    </w:p>
    <w:p w14:paraId="76191839" w14:textId="77777777" w:rsidR="00371FB2" w:rsidRDefault="00371FB2">
      <w:pPr>
        <w:rPr>
          <w:rFonts w:ascii="Times New Roman" w:hAnsi="Times New Roman" w:cs="Times New Roman"/>
          <w:b/>
          <w:bCs/>
          <w:sz w:val="20"/>
          <w:szCs w:val="20"/>
        </w:rPr>
      </w:pPr>
    </w:p>
    <w:p w14:paraId="4994FCE0" w14:textId="77777777" w:rsidR="00371FB2" w:rsidRDefault="00371FB2">
      <w:pPr>
        <w:rPr>
          <w:rFonts w:ascii="Times New Roman" w:hAnsi="Times New Roman" w:cs="Times New Roman"/>
          <w:b/>
          <w:bCs/>
          <w:sz w:val="20"/>
          <w:szCs w:val="20"/>
        </w:rPr>
      </w:pPr>
    </w:p>
    <w:p w14:paraId="285259B6" w14:textId="77777777" w:rsidR="00371FB2" w:rsidRDefault="00371FB2">
      <w:pPr>
        <w:rPr>
          <w:rFonts w:ascii="Times New Roman" w:hAnsi="Times New Roman" w:cs="Times New Roman"/>
          <w:b/>
          <w:bCs/>
          <w:sz w:val="20"/>
          <w:szCs w:val="20"/>
        </w:rPr>
      </w:pPr>
    </w:p>
    <w:p w14:paraId="4842F21B" w14:textId="77777777" w:rsidR="00371FB2" w:rsidRDefault="00371FB2">
      <w:pPr>
        <w:rPr>
          <w:rFonts w:ascii="Times New Roman" w:hAnsi="Times New Roman" w:cs="Times New Roman"/>
          <w:b/>
          <w:bCs/>
          <w:sz w:val="20"/>
          <w:szCs w:val="20"/>
        </w:rPr>
      </w:pPr>
    </w:p>
    <w:p w14:paraId="2C60C3DF" w14:textId="77777777" w:rsidR="00371FB2" w:rsidRDefault="00371FB2">
      <w:pPr>
        <w:rPr>
          <w:rFonts w:ascii="Times New Roman" w:hAnsi="Times New Roman" w:cs="Times New Roman"/>
          <w:b/>
          <w:bCs/>
          <w:sz w:val="20"/>
          <w:szCs w:val="20"/>
        </w:rPr>
      </w:pPr>
    </w:p>
    <w:p w14:paraId="1B132DC1" w14:textId="77777777" w:rsidR="00371FB2" w:rsidRDefault="00371FB2">
      <w:pPr>
        <w:rPr>
          <w:rFonts w:ascii="Times New Roman" w:hAnsi="Times New Roman" w:cs="Times New Roman"/>
          <w:b/>
          <w:bCs/>
          <w:sz w:val="20"/>
          <w:szCs w:val="20"/>
        </w:rPr>
      </w:pPr>
    </w:p>
    <w:p w14:paraId="24E701BC" w14:textId="77777777" w:rsidR="00371FB2" w:rsidRDefault="00371FB2">
      <w:pPr>
        <w:rPr>
          <w:rFonts w:ascii="Times New Roman" w:hAnsi="Times New Roman" w:cs="Times New Roman"/>
          <w:b/>
          <w:bCs/>
          <w:sz w:val="20"/>
          <w:szCs w:val="20"/>
        </w:rPr>
      </w:pPr>
    </w:p>
    <w:p w14:paraId="52285C56" w14:textId="77777777" w:rsidR="00371FB2" w:rsidRDefault="00371FB2">
      <w:pPr>
        <w:rPr>
          <w:rFonts w:ascii="Times New Roman" w:hAnsi="Times New Roman" w:cs="Times New Roman"/>
          <w:b/>
          <w:bCs/>
          <w:sz w:val="20"/>
          <w:szCs w:val="20"/>
        </w:rPr>
      </w:pPr>
    </w:p>
    <w:p w14:paraId="3952C270" w14:textId="77777777" w:rsidR="00371FB2" w:rsidRDefault="00371FB2">
      <w:pPr>
        <w:rPr>
          <w:rFonts w:ascii="Times New Roman" w:hAnsi="Times New Roman" w:cs="Times New Roman"/>
          <w:b/>
          <w:bCs/>
          <w:sz w:val="20"/>
          <w:szCs w:val="20"/>
        </w:rPr>
      </w:pPr>
    </w:p>
    <w:p w14:paraId="3150D94E" w14:textId="77777777" w:rsidR="00371FB2" w:rsidRDefault="00371FB2">
      <w:pPr>
        <w:rPr>
          <w:rFonts w:ascii="Times New Roman" w:hAnsi="Times New Roman" w:cs="Times New Roman"/>
          <w:b/>
          <w:bCs/>
          <w:sz w:val="20"/>
          <w:szCs w:val="20"/>
        </w:rPr>
      </w:pPr>
    </w:p>
    <w:p w14:paraId="677F4F23" w14:textId="77777777" w:rsidR="00371FB2" w:rsidRDefault="00371FB2">
      <w:pPr>
        <w:rPr>
          <w:rFonts w:ascii="Times New Roman" w:hAnsi="Times New Roman" w:cs="Times New Roman"/>
          <w:b/>
          <w:bCs/>
          <w:sz w:val="20"/>
          <w:szCs w:val="20"/>
        </w:rPr>
      </w:pPr>
    </w:p>
    <w:p w14:paraId="55F3A590" w14:textId="77777777" w:rsidR="00371FB2" w:rsidRDefault="00371FB2">
      <w:pPr>
        <w:rPr>
          <w:rFonts w:ascii="Times New Roman" w:hAnsi="Times New Roman" w:cs="Times New Roman"/>
          <w:b/>
          <w:bCs/>
          <w:sz w:val="20"/>
          <w:szCs w:val="20"/>
        </w:rPr>
      </w:pPr>
    </w:p>
    <w:p w14:paraId="0A53F4DD" w14:textId="77777777" w:rsidR="00371FB2" w:rsidRDefault="00371FB2">
      <w:pPr>
        <w:rPr>
          <w:rFonts w:ascii="Times New Roman" w:hAnsi="Times New Roman" w:cs="Times New Roman"/>
          <w:b/>
          <w:bCs/>
          <w:sz w:val="20"/>
          <w:szCs w:val="20"/>
        </w:rPr>
      </w:pPr>
    </w:p>
    <w:p w14:paraId="68DE22CA" w14:textId="77777777" w:rsidR="00371FB2" w:rsidRDefault="00371FB2">
      <w:pPr>
        <w:rPr>
          <w:rFonts w:ascii="Times New Roman" w:hAnsi="Times New Roman" w:cs="Times New Roman"/>
          <w:b/>
          <w:bCs/>
          <w:sz w:val="20"/>
          <w:szCs w:val="20"/>
        </w:rPr>
      </w:pPr>
    </w:p>
    <w:p w14:paraId="15B97BEA" w14:textId="77777777" w:rsidR="00371FB2" w:rsidRDefault="00371FB2">
      <w:pPr>
        <w:rPr>
          <w:rFonts w:ascii="Times New Roman" w:hAnsi="Times New Roman" w:cs="Times New Roman"/>
          <w:b/>
          <w:bCs/>
          <w:sz w:val="20"/>
          <w:szCs w:val="20"/>
        </w:rPr>
      </w:pPr>
    </w:p>
    <w:p w14:paraId="56E8235F" w14:textId="77777777" w:rsidR="00371FB2" w:rsidRDefault="00371FB2">
      <w:pPr>
        <w:rPr>
          <w:rFonts w:ascii="Times New Roman" w:hAnsi="Times New Roman" w:cs="Times New Roman"/>
          <w:b/>
          <w:bCs/>
          <w:sz w:val="20"/>
          <w:szCs w:val="20"/>
        </w:rPr>
      </w:pPr>
    </w:p>
    <w:p w14:paraId="36946D3F" w14:textId="77777777" w:rsidR="00371FB2" w:rsidRDefault="00371FB2">
      <w:pPr>
        <w:rPr>
          <w:rFonts w:ascii="Times New Roman" w:hAnsi="Times New Roman" w:cs="Times New Roman"/>
          <w:b/>
          <w:bCs/>
          <w:sz w:val="20"/>
          <w:szCs w:val="20"/>
        </w:rPr>
      </w:pPr>
    </w:p>
    <w:p w14:paraId="7F29D750" w14:textId="77777777" w:rsidR="00371FB2" w:rsidRDefault="00371FB2">
      <w:pPr>
        <w:rPr>
          <w:rFonts w:ascii="Times New Roman" w:hAnsi="Times New Roman" w:cs="Times New Roman"/>
          <w:b/>
          <w:bCs/>
          <w:sz w:val="20"/>
          <w:szCs w:val="20"/>
        </w:rPr>
      </w:pPr>
    </w:p>
    <w:p w14:paraId="4DD7B43E" w14:textId="77777777" w:rsidR="00371FB2" w:rsidRDefault="00371FB2">
      <w:pPr>
        <w:rPr>
          <w:rFonts w:ascii="Times New Roman" w:hAnsi="Times New Roman" w:cs="Times New Roman"/>
          <w:b/>
          <w:bCs/>
          <w:sz w:val="20"/>
          <w:szCs w:val="20"/>
        </w:rPr>
      </w:pPr>
    </w:p>
    <w:p w14:paraId="65D25F8D" w14:textId="77777777" w:rsidR="00371FB2" w:rsidRDefault="00371FB2">
      <w:pPr>
        <w:rPr>
          <w:rFonts w:ascii="Times New Roman" w:hAnsi="Times New Roman" w:cs="Times New Roman"/>
          <w:b/>
          <w:bCs/>
          <w:sz w:val="20"/>
          <w:szCs w:val="20"/>
        </w:rPr>
      </w:pPr>
    </w:p>
    <w:p w14:paraId="2AB8BB45" w14:textId="77777777" w:rsidR="00371FB2" w:rsidRDefault="00371FB2">
      <w:pPr>
        <w:rPr>
          <w:rFonts w:ascii="Times New Roman" w:hAnsi="Times New Roman" w:cs="Times New Roman"/>
          <w:b/>
          <w:bCs/>
          <w:sz w:val="20"/>
          <w:szCs w:val="20"/>
        </w:rPr>
      </w:pPr>
    </w:p>
    <w:p w14:paraId="55C499BA" w14:textId="77777777" w:rsidR="00371FB2" w:rsidRDefault="00371FB2">
      <w:pPr>
        <w:rPr>
          <w:rFonts w:ascii="Times New Roman" w:hAnsi="Times New Roman" w:cs="Times New Roman"/>
          <w:b/>
          <w:bCs/>
          <w:sz w:val="20"/>
          <w:szCs w:val="20"/>
        </w:rPr>
      </w:pPr>
    </w:p>
    <w:p w14:paraId="2B5239EB" w14:textId="77777777" w:rsidR="00371FB2" w:rsidRDefault="00371FB2">
      <w:pPr>
        <w:rPr>
          <w:rFonts w:ascii="Times New Roman" w:hAnsi="Times New Roman" w:cs="Times New Roman"/>
          <w:b/>
          <w:bCs/>
          <w:sz w:val="20"/>
          <w:szCs w:val="20"/>
        </w:rPr>
      </w:pPr>
    </w:p>
    <w:p w14:paraId="58090D16" w14:textId="77777777" w:rsidR="00371FB2" w:rsidRDefault="00371FB2">
      <w:pPr>
        <w:rPr>
          <w:rFonts w:ascii="Times New Roman" w:hAnsi="Times New Roman" w:cs="Times New Roman"/>
          <w:b/>
          <w:bCs/>
          <w:sz w:val="20"/>
          <w:szCs w:val="20"/>
        </w:rPr>
      </w:pPr>
    </w:p>
    <w:p w14:paraId="5A1EF64D" w14:textId="77777777" w:rsidR="00371FB2" w:rsidRDefault="00371FB2">
      <w:pPr>
        <w:rPr>
          <w:rFonts w:ascii="Times New Roman" w:hAnsi="Times New Roman" w:cs="Times New Roman"/>
          <w:b/>
          <w:bCs/>
          <w:sz w:val="20"/>
          <w:szCs w:val="20"/>
        </w:rPr>
      </w:pPr>
    </w:p>
    <w:p w14:paraId="3E5E63EB" w14:textId="77777777" w:rsidR="00371FB2" w:rsidRDefault="00371FB2">
      <w:pPr>
        <w:rPr>
          <w:rFonts w:ascii="Times New Roman" w:hAnsi="Times New Roman" w:cs="Times New Roman"/>
          <w:b/>
          <w:bCs/>
          <w:sz w:val="20"/>
          <w:szCs w:val="20"/>
        </w:rPr>
      </w:pPr>
    </w:p>
    <w:p w14:paraId="218BD991" w14:textId="77777777" w:rsidR="00371FB2" w:rsidRDefault="00371FB2">
      <w:pPr>
        <w:rPr>
          <w:rFonts w:ascii="Times New Roman" w:hAnsi="Times New Roman" w:cs="Times New Roman"/>
          <w:b/>
          <w:bCs/>
          <w:sz w:val="20"/>
          <w:szCs w:val="20"/>
        </w:rPr>
      </w:pPr>
    </w:p>
    <w:p w14:paraId="14E187AE" w14:textId="77777777" w:rsidR="00371FB2" w:rsidRDefault="00371FB2">
      <w:pPr>
        <w:rPr>
          <w:rFonts w:ascii="Times New Roman" w:hAnsi="Times New Roman" w:cs="Times New Roman"/>
          <w:b/>
          <w:bCs/>
          <w:sz w:val="20"/>
          <w:szCs w:val="20"/>
        </w:rPr>
      </w:pPr>
    </w:p>
    <w:p w14:paraId="5B4A7CFC" w14:textId="77777777" w:rsidR="00371FB2" w:rsidRDefault="00371FB2">
      <w:pPr>
        <w:rPr>
          <w:rFonts w:ascii="Times New Roman" w:hAnsi="Times New Roman" w:cs="Times New Roman"/>
          <w:b/>
          <w:bCs/>
          <w:sz w:val="20"/>
          <w:szCs w:val="20"/>
        </w:rPr>
      </w:pPr>
    </w:p>
    <w:p w14:paraId="2F2A48C2" w14:textId="77777777" w:rsidR="00371FB2" w:rsidRDefault="00371FB2">
      <w:pPr>
        <w:rPr>
          <w:rFonts w:ascii="Times New Roman" w:hAnsi="Times New Roman" w:cs="Times New Roman"/>
          <w:b/>
          <w:bCs/>
          <w:sz w:val="20"/>
          <w:szCs w:val="20"/>
        </w:rPr>
      </w:pPr>
    </w:p>
    <w:p w14:paraId="285D489E" w14:textId="77777777" w:rsidR="00371FB2" w:rsidRDefault="00371FB2">
      <w:pPr>
        <w:rPr>
          <w:rFonts w:ascii="Times New Roman" w:hAnsi="Times New Roman" w:cs="Times New Roman"/>
          <w:b/>
          <w:bCs/>
          <w:sz w:val="20"/>
          <w:szCs w:val="20"/>
        </w:rPr>
      </w:pPr>
    </w:p>
    <w:p w14:paraId="2A1850DA" w14:textId="77777777" w:rsidR="00371FB2" w:rsidRDefault="00371FB2">
      <w:pPr>
        <w:rPr>
          <w:rFonts w:ascii="Times New Roman" w:hAnsi="Times New Roman" w:cs="Times New Roman"/>
          <w:b/>
          <w:bCs/>
          <w:sz w:val="20"/>
          <w:szCs w:val="20"/>
        </w:rPr>
      </w:pPr>
    </w:p>
    <w:p w14:paraId="6A76E338" w14:textId="77777777" w:rsidR="00371FB2" w:rsidRDefault="00371FB2">
      <w:pPr>
        <w:rPr>
          <w:rFonts w:ascii="Times New Roman" w:hAnsi="Times New Roman" w:cs="Times New Roman"/>
          <w:b/>
          <w:bCs/>
          <w:sz w:val="20"/>
          <w:szCs w:val="20"/>
        </w:rPr>
      </w:pPr>
    </w:p>
    <w:p w14:paraId="4DBB9115" w14:textId="77777777" w:rsidR="00BC0049" w:rsidRDefault="00BC0049">
      <w:pPr>
        <w:jc w:val="center"/>
        <w:rPr>
          <w:rFonts w:ascii="Times New Roman" w:hAnsi="Times New Roman" w:cs="Times New Roman"/>
          <w:b/>
          <w:bCs/>
          <w:sz w:val="20"/>
          <w:szCs w:val="20"/>
        </w:rPr>
      </w:pPr>
    </w:p>
    <w:p w14:paraId="2FB9B469" w14:textId="77777777" w:rsidR="00BC0049" w:rsidRDefault="002B07EE">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ANEXO III</w:t>
      </w:r>
    </w:p>
    <w:p w14:paraId="024AFB90" w14:textId="77777777" w:rsidR="00BC0049" w:rsidRDefault="002B07EE">
      <w:pPr>
        <w:widowControl w:val="0"/>
        <w:ind w:right="-15"/>
        <w:jc w:val="center"/>
        <w:rPr>
          <w:rFonts w:ascii="Times New Roman" w:hAnsi="Times New Roman" w:cs="Times New Roman"/>
          <w:b/>
          <w:bCs/>
          <w:sz w:val="20"/>
          <w:szCs w:val="20"/>
        </w:rPr>
      </w:pPr>
      <w:r>
        <w:rPr>
          <w:rFonts w:ascii="Times New Roman" w:hAnsi="Times New Roman" w:cs="Times New Roman"/>
          <w:b/>
          <w:bCs/>
          <w:sz w:val="20"/>
          <w:szCs w:val="20"/>
        </w:rPr>
        <w:t>PREFEITURA DE SANTA BÁRBARA DO SUL/RS</w:t>
      </w:r>
    </w:p>
    <w:p w14:paraId="11A16782" w14:textId="6B64C8B6"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b/>
          <w:bCs/>
          <w:sz w:val="20"/>
          <w:szCs w:val="20"/>
        </w:rPr>
        <w:t xml:space="preserve">ATA DE REGISTRO DE PREÇOS N.º </w:t>
      </w:r>
      <w:r w:rsidR="00371FB2">
        <w:rPr>
          <w:rFonts w:ascii="Times New Roman" w:hAnsi="Times New Roman" w:cs="Times New Roman"/>
          <w:b/>
          <w:bCs/>
          <w:sz w:val="20"/>
          <w:szCs w:val="20"/>
        </w:rPr>
        <w:t>18/2026</w:t>
      </w:r>
    </w:p>
    <w:p w14:paraId="780C8F70" w14:textId="77777777" w:rsidR="00BC0049" w:rsidRDefault="002B07EE">
      <w:pPr>
        <w:widowControl w:val="0"/>
        <w:ind w:right="-30"/>
        <w:rPr>
          <w:rFonts w:ascii="Times New Roman" w:hAnsi="Times New Roman" w:cs="Times New Roman"/>
          <w:b/>
          <w:bCs/>
          <w:sz w:val="20"/>
          <w:szCs w:val="20"/>
        </w:rPr>
      </w:pPr>
      <w:r>
        <w:rPr>
          <w:rFonts w:ascii="Times New Roman" w:hAnsi="Times New Roman" w:cs="Times New Roman"/>
          <w:b/>
          <w:bCs/>
          <w:sz w:val="20"/>
          <w:szCs w:val="20"/>
        </w:rPr>
        <w:t>VIGÊNCIA DA ATA:</w:t>
      </w:r>
    </w:p>
    <w:p w14:paraId="14E7A8C9" w14:textId="31F856B3" w:rsidR="00BC0049" w:rsidRDefault="002B07EE">
      <w:pPr>
        <w:widowControl w:val="0"/>
        <w:tabs>
          <w:tab w:val="center" w:pos="4779"/>
          <w:tab w:val="right" w:pos="9198"/>
        </w:tabs>
        <w:spacing w:before="120"/>
        <w:ind w:right="-28" w:firstLine="709"/>
        <w:jc w:val="both"/>
        <w:rPr>
          <w:rFonts w:ascii="Times New Roman" w:hAnsi="Times New Roman" w:cs="Times New Roman"/>
          <w:sz w:val="20"/>
          <w:szCs w:val="20"/>
        </w:rPr>
      </w:pPr>
      <w:r>
        <w:rPr>
          <w:rFonts w:ascii="Times New Roman" w:hAnsi="Times New Roman" w:cs="Times New Roman"/>
          <w:sz w:val="20"/>
          <w:szCs w:val="20"/>
        </w:rPr>
        <w:t xml:space="preserve">A Prefeitura Municipal de Santa Bárbara do Sul, com sede na Avenida Eduardo de Brito, 101, na cidade de Santa Bárbara do Sul inscrita no CNPJ nº 88.496.468/0001-60, considerando o julgamento da licitação na modalidade de Pregão Eletrônico </w:t>
      </w:r>
      <w:r w:rsidR="00371FB2">
        <w:rPr>
          <w:rFonts w:ascii="Times New Roman" w:hAnsi="Times New Roman" w:cs="Times New Roman"/>
          <w:sz w:val="20"/>
          <w:szCs w:val="20"/>
        </w:rPr>
        <w:t>23/2026</w:t>
      </w:r>
      <w:r>
        <w:rPr>
          <w:rFonts w:ascii="Times New Roman" w:hAnsi="Times New Roman" w:cs="Times New Roman"/>
          <w:sz w:val="20"/>
          <w:szCs w:val="20"/>
        </w:rPr>
        <w:t xml:space="preserve">, para Registro de Preços nº </w:t>
      </w:r>
      <w:r w:rsidR="00371FB2">
        <w:rPr>
          <w:rFonts w:ascii="Times New Roman" w:hAnsi="Times New Roman" w:cs="Times New Roman"/>
          <w:sz w:val="20"/>
          <w:szCs w:val="20"/>
        </w:rPr>
        <w:t>18/2026</w:t>
      </w:r>
      <w:r>
        <w:rPr>
          <w:rFonts w:ascii="Times New Roman" w:hAnsi="Times New Roman" w:cs="Times New Roman"/>
          <w:sz w:val="20"/>
          <w:szCs w:val="20"/>
        </w:rPr>
        <w:t xml:space="preserve">, Processo Licitatório nº </w:t>
      </w:r>
      <w:r w:rsidR="00371FB2">
        <w:rPr>
          <w:rFonts w:ascii="Times New Roman" w:hAnsi="Times New Roman" w:cs="Times New Roman"/>
          <w:sz w:val="20"/>
          <w:szCs w:val="20"/>
        </w:rPr>
        <w:t>78/2026</w:t>
      </w:r>
      <w:r>
        <w:rPr>
          <w:rFonts w:ascii="Times New Roman" w:hAnsi="Times New Roman" w:cs="Times New Roman"/>
          <w:sz w:val="20"/>
          <w:szCs w:val="20"/>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1642EC7B"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DO OBJETO</w:t>
      </w:r>
    </w:p>
    <w:p w14:paraId="2076ECC6" w14:textId="4D96F1A9"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rPr>
        <w:t xml:space="preserve">A presente Ata tem por objeto o registro de preços para a eventual </w:t>
      </w:r>
      <w:r w:rsidR="0099522B">
        <w:rPr>
          <w:rFonts w:ascii="Gadugi" w:hAnsi="Gadugi" w:cs="Gadugi"/>
          <w:color w:val="auto"/>
          <w:sz w:val="18"/>
          <w:szCs w:val="18"/>
        </w:rPr>
        <w:t xml:space="preserve">AQUISIÇÃO DE CESTAS </w:t>
      </w:r>
      <w:r w:rsidR="0099522B">
        <w:rPr>
          <w:rFonts w:ascii="Gadugi" w:hAnsi="Gadugi" w:cs="Gadugi"/>
          <w:b/>
          <w:bCs/>
          <w:color w:val="auto"/>
          <w:sz w:val="18"/>
          <w:szCs w:val="18"/>
        </w:rPr>
        <w:t>BÁSICAS</w:t>
      </w:r>
      <w:r>
        <w:rPr>
          <w:rFonts w:ascii="Times New Roman" w:hAnsi="Times New Roman" w:cs="Times New Roman"/>
        </w:rPr>
        <w:t xml:space="preserve"> especificados no Termo de Referência, anexo do edital de Licitação nº </w:t>
      </w:r>
      <w:r w:rsidR="00371FB2">
        <w:rPr>
          <w:rFonts w:ascii="Times New Roman" w:hAnsi="Times New Roman" w:cs="Times New Roman"/>
        </w:rPr>
        <w:t>23/2026</w:t>
      </w:r>
      <w:r>
        <w:rPr>
          <w:rFonts w:ascii="Times New Roman" w:hAnsi="Times New Roman" w:cs="Times New Roman"/>
        </w:rPr>
        <w:t>, que é parte integrante desta Ata, assim como as propostas cujos preços tenham sido registrados, independentemente de transcrição.</w:t>
      </w:r>
    </w:p>
    <w:p w14:paraId="0D66235A"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DOS PREÇOS, ESPECIFICAÇÕES E QUANTITATIVOS</w:t>
      </w:r>
    </w:p>
    <w:p w14:paraId="2266E8BF"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O preço registrado, as especificações do objeto, as quantidades mínimas e máximas de cada item, fornecedor(es) e as demais condições ofertadas na(s) proposta(s) são as que seguem na tabela em anexo. </w:t>
      </w:r>
    </w:p>
    <w:p w14:paraId="60FBB1F0"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lang w:eastAsia="en-US"/>
        </w:rPr>
        <w:t>A listagem do cadastro de reserva referente ao presente registro de preços consta como anexo a esta Ata.</w:t>
      </w:r>
    </w:p>
    <w:p w14:paraId="32E63A20"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 xml:space="preserve">DA ADESÃO À ATA DE REGISTRO DE PREÇOS </w:t>
      </w:r>
    </w:p>
    <w:p w14:paraId="4550B3B8" w14:textId="77777777" w:rsidR="00BC0049" w:rsidRDefault="002B07EE">
      <w:pPr>
        <w:pStyle w:val="Nvel2-Red"/>
        <w:numPr>
          <w:ilvl w:val="0"/>
          <w:numId w:val="0"/>
        </w:numPr>
        <w:tabs>
          <w:tab w:val="left" w:pos="567"/>
        </w:tabs>
        <w:spacing w:before="0" w:after="0" w:line="240" w:lineRule="auto"/>
        <w:rPr>
          <w:rFonts w:ascii="Times New Roman" w:hAnsi="Times New Roman" w:cs="Times New Roman"/>
          <w:color w:val="auto"/>
        </w:rPr>
      </w:pPr>
      <w:r>
        <w:rPr>
          <w:rFonts w:ascii="Times New Roman" w:hAnsi="Times New Roman" w:cs="Times New Roman"/>
          <w:color w:val="auto"/>
          <w:lang w:eastAsia="en-US"/>
        </w:rPr>
        <w:t xml:space="preserve">Não será admitida a adesão à ata de registro de preços decorrente desta licitação ou desta contratação direta, tendo em vista trata-se de ata municipal. </w:t>
      </w:r>
    </w:p>
    <w:p w14:paraId="440B685E"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VALIDADE, FORMALIZAÇÃO DA ATA DE REGISTRO DE PREÇOS E CADASTRO RESERVA</w:t>
      </w:r>
    </w:p>
    <w:p w14:paraId="04AFC5C7"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A validade da Ata de Registro de Preços será de 01 (um) ano, contados a partir da homologação do processo licitatório, podendo ser prorrogada por igual período, mediante a anuência do fornecedor, desde que comprovado o preço vantajoso.</w:t>
      </w:r>
    </w:p>
    <w:p w14:paraId="66431EC9"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800E767"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formalização do contrato ou do instrumento substituto deverá haver a indicação da disponibilidade dos créditos orçamentários respectivos.</w:t>
      </w:r>
    </w:p>
    <w:p w14:paraId="15BA20DA" w14:textId="77777777" w:rsidR="00BC0049" w:rsidRDefault="002B07EE">
      <w:pPr>
        <w:pStyle w:val="Nivel2"/>
        <w:numPr>
          <w:ilvl w:val="1"/>
          <w:numId w:val="4"/>
        </w:numPr>
        <w:spacing w:before="0" w:line="240" w:lineRule="auto"/>
        <w:rPr>
          <w:rFonts w:ascii="Times New Roman" w:hAnsi="Times New Roman" w:cs="Times New Roman"/>
          <w:color w:val="auto"/>
        </w:rPr>
      </w:pPr>
      <w:r>
        <w:rPr>
          <w:rFonts w:ascii="Times New Roman" w:hAnsi="Times New Roman" w:cs="Times New Roman"/>
          <w:color w:val="auto"/>
        </w:rPr>
        <w:t>A contratação com os fornecedores registrados na ata será formalizada pelo órgão ou pela en</w:t>
      </w:r>
      <w:r>
        <w:rPr>
          <w:rFonts w:ascii="Times New Roman" w:eastAsia="Arial" w:hAnsi="Times New Roman" w:cs="Times New Roman"/>
          <w:color w:val="auto"/>
        </w:rPr>
        <w:t>ti</w:t>
      </w:r>
      <w:r>
        <w:rPr>
          <w:rFonts w:ascii="Times New Roman" w:hAnsi="Times New Roman" w:cs="Times New Roman"/>
          <w:color w:val="auto"/>
        </w:rPr>
        <w:t>dade interessada por intermédio de instrumento contratual, emissão de notas de empenho de despesas, autorizações de compras ou outros instrumentos hábeis, conforme prevê o art. 95 da Lei nº 14.133, de 2021.</w:t>
      </w:r>
    </w:p>
    <w:p w14:paraId="208B1B25"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instrumento contratual de que trata o item 4.2. deverá ser assinado no prazo de validade da ata de registro de preços</w:t>
      </w:r>
    </w:p>
    <w:p w14:paraId="139D2D04"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Os contratos decorrentes do sistema de registro de preços poderão ser alterados, observado o art. 124 da Lei nº 14.133, de 2021</w:t>
      </w:r>
    </w:p>
    <w:p w14:paraId="0FD4AC6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Após a homologação da licitação ou da contratação direta, deverão ser observadas as seguintes condições para formalização da ata de registro de preços:</w:t>
      </w:r>
    </w:p>
    <w:p w14:paraId="6CE5A202"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Serão registrados na ata os preços e os quantita</w:t>
      </w:r>
      <w:r>
        <w:rPr>
          <w:rFonts w:ascii="Times New Roman" w:eastAsia="Arial" w:hAnsi="Times New Roman" w:cs="Times New Roman"/>
          <w:color w:val="auto"/>
        </w:rPr>
        <w:t>ti</w:t>
      </w:r>
      <w:r>
        <w:rPr>
          <w:rFonts w:ascii="Times New Roman" w:hAnsi="Times New Roman" w:cs="Times New Roman"/>
          <w:color w:val="auto"/>
        </w:rPr>
        <w:t xml:space="preserve">vos do adjudicatário, devendo ser observada a possibilidade de o licitante oferecer ou não proposta em quantitativo inferior ao máximo previsto </w:t>
      </w:r>
      <w:r>
        <w:rPr>
          <w:rFonts w:ascii="Times New Roman" w:hAnsi="Times New Roman" w:cs="Times New Roman"/>
          <w:i/>
          <w:iCs/>
          <w:color w:val="auto"/>
        </w:rPr>
        <w:t>no edital</w:t>
      </w:r>
      <w:r>
        <w:rPr>
          <w:rFonts w:ascii="Times New Roman" w:hAnsi="Times New Roman" w:cs="Times New Roman"/>
          <w:color w:val="auto"/>
        </w:rPr>
        <w:t xml:space="preserve"> e se obrigar nos limites dela;</w:t>
      </w:r>
    </w:p>
    <w:p w14:paraId="40851D57"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Será incluído na ata, na forma de anexo, o registro dos licitantes ou dos fornecedores que:</w:t>
      </w:r>
    </w:p>
    <w:p w14:paraId="4DC35AC3"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Aceitarem cotar os bens, as obras ou os serviços com preços iguais aos do adjudicatário, observada a classificação da licitação; e </w:t>
      </w:r>
    </w:p>
    <w:p w14:paraId="5A7DC19B"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Mantiverem sua proposta original. </w:t>
      </w:r>
    </w:p>
    <w:p w14:paraId="25793E3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Será respeitada, nas contratações, a ordem de classificação dos licitantes ou dos fornecedores registrados na ata.</w:t>
      </w:r>
    </w:p>
    <w:p w14:paraId="375379FA"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registro a que se refere o item 4.4.2</w:t>
      </w:r>
      <w:r>
        <w:rPr>
          <w:rFonts w:ascii="Times New Roman" w:hAnsi="Times New Roman" w:cs="Times New Roman"/>
          <w:b/>
          <w:bCs/>
          <w:color w:val="auto"/>
        </w:rPr>
        <w:t xml:space="preserve"> </w:t>
      </w:r>
      <w:r>
        <w:rPr>
          <w:rFonts w:ascii="Times New Roman" w:hAnsi="Times New Roman" w:cs="Times New Roman"/>
          <w:color w:val="auto"/>
        </w:rPr>
        <w:t>tem por obje</w:t>
      </w:r>
      <w:r>
        <w:rPr>
          <w:rFonts w:ascii="Times New Roman" w:eastAsia="Arial" w:hAnsi="Times New Roman" w:cs="Times New Roman"/>
          <w:color w:val="auto"/>
        </w:rPr>
        <w:t>ti</w:t>
      </w:r>
      <w:r>
        <w:rPr>
          <w:rFonts w:ascii="Times New Roman" w:hAnsi="Times New Roman" w:cs="Times New Roman"/>
          <w:color w:val="auto"/>
        </w:rPr>
        <w:t>vo a formação de cadastro de reserva para o caso de impossibilidade de atendimento pelo signatário da ata</w:t>
      </w:r>
    </w:p>
    <w:p w14:paraId="187B2AB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Para fins da ordem de classificação, os licitantes ou fornecedores que aceitarem reduzir suas propostas para o preço do adjudicatário antecederão aqueles que mantiverem sua proposta original.</w:t>
      </w:r>
    </w:p>
    <w:p w14:paraId="482164A0"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 habilitação dos licitantes que comporão o cadastro de reserva a que se refere o item 4.4.2.2 somente será efetuada quando houver necessidade de contratação dos licitantes remanescentes, nas seguintes hipóteses:</w:t>
      </w:r>
    </w:p>
    <w:p w14:paraId="441E1AED"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lastRenderedPageBreak/>
        <w:t xml:space="preserve">Quando o licitante vencedor não assinar a ata de registro de preços, no prazo e nas condições estabelecidos </w:t>
      </w:r>
      <w:r>
        <w:rPr>
          <w:rFonts w:ascii="Times New Roman" w:hAnsi="Times New Roman" w:cs="Times New Roman"/>
          <w:i/>
          <w:iCs/>
          <w:color w:val="auto"/>
        </w:rPr>
        <w:t>no edital</w:t>
      </w:r>
      <w:r>
        <w:rPr>
          <w:rFonts w:ascii="Times New Roman" w:hAnsi="Times New Roman" w:cs="Times New Roman"/>
          <w:color w:val="auto"/>
        </w:rPr>
        <w:t xml:space="preserve"> e termo de referência.</w:t>
      </w:r>
    </w:p>
    <w:p w14:paraId="51FBD6E7"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Quando houver o cancelamento do registro do licitante ou do registro de preços nas hipóteses previstas.</w:t>
      </w:r>
    </w:p>
    <w:p w14:paraId="45704FD5"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preço registrado com indicação dos licitantes e fornecedores será divulgado no PNCP e ficará disponibilizado durante a vigência da ata de registro de preços.</w:t>
      </w:r>
    </w:p>
    <w:p w14:paraId="00B37826"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014EE26"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E00DEF4"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 ata de registro de preços será assinada por meio de assinatura digital e disponibilizada no Sistema de Registro de Preços.</w:t>
      </w:r>
    </w:p>
    <w:p w14:paraId="42760FFE"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6504C54"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nenhum dos licitantes que trata o item 4.4.2.1, aceitar a contratação nos termos do item anterior, a Administração, observados o valor es</w:t>
      </w:r>
      <w:r>
        <w:rPr>
          <w:rFonts w:ascii="Times New Roman" w:eastAsia="Arial" w:hAnsi="Times New Roman" w:cs="Times New Roman"/>
          <w:color w:val="auto"/>
        </w:rPr>
        <w:t>ti</w:t>
      </w:r>
      <w:r>
        <w:rPr>
          <w:rFonts w:ascii="Times New Roman" w:hAnsi="Times New Roman" w:cs="Times New Roman"/>
          <w:color w:val="auto"/>
        </w:rPr>
        <w:t xml:space="preserve">mado e sua eventual atualização nos termos </w:t>
      </w:r>
      <w:r>
        <w:rPr>
          <w:rFonts w:ascii="Times New Roman" w:hAnsi="Times New Roman" w:cs="Times New Roman"/>
          <w:i/>
          <w:iCs/>
          <w:color w:val="auto"/>
        </w:rPr>
        <w:t>do edital</w:t>
      </w:r>
      <w:r>
        <w:rPr>
          <w:rFonts w:ascii="Times New Roman" w:hAnsi="Times New Roman" w:cs="Times New Roman"/>
          <w:color w:val="auto"/>
        </w:rPr>
        <w:t xml:space="preserve">, poderá: </w:t>
      </w:r>
    </w:p>
    <w:p w14:paraId="118D102E" w14:textId="77777777" w:rsidR="00BC0049" w:rsidRDefault="002B07EE">
      <w:pPr>
        <w:pStyle w:val="Nivel4"/>
        <w:numPr>
          <w:ilvl w:val="3"/>
          <w:numId w:val="4"/>
        </w:numPr>
        <w:spacing w:line="240" w:lineRule="auto"/>
        <w:rPr>
          <w:rFonts w:ascii="Times New Roman" w:hAnsi="Times New Roman" w:cs="Times New Roman"/>
        </w:rPr>
      </w:pPr>
      <w:r>
        <w:rPr>
          <w:rFonts w:ascii="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6BB26A22"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Adjudicar e firmar o contrato nas condições ofertadas pelos licitantes ou fornecedores remanescentes, atendida a ordem classificatória, quando frustrada a negociação de melhor condição.</w:t>
      </w:r>
    </w:p>
    <w:p w14:paraId="369E87BF" w14:textId="77777777" w:rsidR="00BC0049" w:rsidRDefault="002B07EE">
      <w:pPr>
        <w:pStyle w:val="Nivel4"/>
        <w:numPr>
          <w:ilvl w:val="3"/>
          <w:numId w:val="4"/>
        </w:numPr>
        <w:spacing w:before="6" w:after="6" w:line="240" w:lineRule="auto"/>
        <w:rPr>
          <w:rFonts w:ascii="Times New Roman" w:hAnsi="Times New Roman" w:cs="Times New Roman"/>
        </w:rPr>
      </w:pPr>
      <w:r>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CA8BB7" w14:textId="77777777" w:rsidR="00BC0049" w:rsidRDefault="002B07EE">
      <w:pPr>
        <w:pStyle w:val="Nivel01"/>
        <w:numPr>
          <w:ilvl w:val="0"/>
          <w:numId w:val="4"/>
        </w:numPr>
        <w:tabs>
          <w:tab w:val="left" w:pos="1096"/>
        </w:tabs>
        <w:spacing w:before="57" w:after="57" w:line="240" w:lineRule="auto"/>
        <w:ind w:hanging="7731"/>
        <w:contextualSpacing/>
        <w:rPr>
          <w:rFonts w:ascii="Times New Roman" w:hAnsi="Times New Roman" w:cs="Times New Roman"/>
          <w:color w:val="auto"/>
        </w:rPr>
      </w:pPr>
      <w:r>
        <w:rPr>
          <w:rFonts w:ascii="Times New Roman" w:hAnsi="Times New Roman" w:cs="Times New Roman"/>
          <w:color w:val="auto"/>
        </w:rPr>
        <w:t>ALTERAÇÃO OU ATUALIZAÇÃO DOS PREÇOS REGISTRADOS</w:t>
      </w:r>
    </w:p>
    <w:p w14:paraId="475EE9CF" w14:textId="77777777" w:rsidR="00BC0049" w:rsidRDefault="002B07EE">
      <w:pPr>
        <w:pStyle w:val="Nivel2"/>
        <w:numPr>
          <w:ilvl w:val="1"/>
          <w:numId w:val="4"/>
        </w:numPr>
        <w:spacing w:before="0" w:line="240" w:lineRule="auto"/>
        <w:contextualSpacing/>
        <w:rPr>
          <w:rFonts w:ascii="Times New Roman" w:hAnsi="Times New Roman" w:cs="Times New Roman"/>
          <w:color w:val="auto"/>
        </w:rPr>
      </w:pPr>
      <w:r>
        <w:rPr>
          <w:rFonts w:ascii="Times New Roman" w:hAnsi="Times New Roman" w:cs="Times New Roman"/>
          <w:color w:val="auto"/>
        </w:rPr>
        <w:t>Os preços registrados poderão ser alterados ou atualizados em decorrência de eventual redução dos preços pra</w:t>
      </w:r>
      <w:r>
        <w:rPr>
          <w:rFonts w:ascii="Times New Roman" w:eastAsia="Calibri" w:hAnsi="Times New Roman" w:cs="Times New Roman"/>
          <w:color w:val="auto"/>
        </w:rPr>
        <w:t>ti</w:t>
      </w:r>
      <w:r>
        <w:rPr>
          <w:rFonts w:ascii="Times New Roman" w:hAnsi="Times New Roman" w:cs="Times New Roman"/>
          <w:color w:val="auto"/>
        </w:rPr>
        <w:t>cados no mercado ou de fato que eleve o custo dos bens, das obras ou dos serviços registrados, nas seguintes situações:</w:t>
      </w:r>
    </w:p>
    <w:p w14:paraId="1F3C8DA2" w14:textId="77777777" w:rsidR="00BC0049" w:rsidRDefault="002B07EE">
      <w:pPr>
        <w:pStyle w:val="Nivel3"/>
        <w:numPr>
          <w:ilvl w:val="2"/>
          <w:numId w:val="4"/>
        </w:numPr>
        <w:spacing w:line="240" w:lineRule="auto"/>
        <w:contextualSpacing/>
        <w:rPr>
          <w:rFonts w:ascii="Times New Roman" w:hAnsi="Times New Roman" w:cs="Times New Roman"/>
          <w:color w:val="auto"/>
        </w:rPr>
      </w:pPr>
      <w:r>
        <w:rPr>
          <w:rFonts w:ascii="Times New Roman" w:hAnsi="Times New Roman" w:cs="Times New Roman"/>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11234C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Em caso de criação, alteração ou ex</w:t>
      </w:r>
      <w:r>
        <w:rPr>
          <w:rFonts w:ascii="Times New Roman" w:eastAsia="Calibri" w:hAnsi="Times New Roman" w:cs="Times New Roman"/>
          <w:color w:val="auto"/>
        </w:rPr>
        <w:t>ti</w:t>
      </w:r>
      <w:r>
        <w:rPr>
          <w:rFonts w:ascii="Times New Roman" w:hAnsi="Times New Roman" w:cs="Times New Roman"/>
          <w:color w:val="auto"/>
        </w:rPr>
        <w:t xml:space="preserve">nção de quaisquer tributos ou encargos legais ou a superveniência de disposições legais, com comprovada repercussão sobre os preços registrados; </w:t>
      </w:r>
    </w:p>
    <w:p w14:paraId="627E8CBA"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previsão no edital ou no aviso de contratação direta de cláusula de reajustamento ou repactuação sobre os preços registrados, nos termos da Lei nº 14.133, de 2021.</w:t>
      </w:r>
    </w:p>
    <w:p w14:paraId="2BE9B9D3"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No caso do reajustamento, deverá ser respeitada a contagem da anualidade e o índice previstos para a contratação; </w:t>
      </w:r>
    </w:p>
    <w:p w14:paraId="408AAFF7"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No caso da repactuação, poderá ser a pedido do interessado, conforme critérios definidos para a contratação.</w:t>
      </w:r>
    </w:p>
    <w:p w14:paraId="238D682E"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REMANEJAMENTO DAS QUANTIDADES REGISTRADAS NA ATA DE REGISTRO DE PREÇOS</w:t>
      </w:r>
    </w:p>
    <w:p w14:paraId="02E2713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As quan</w:t>
      </w:r>
      <w:r>
        <w:rPr>
          <w:rFonts w:ascii="Times New Roman" w:eastAsia="Arial" w:hAnsi="Times New Roman" w:cs="Times New Roman"/>
          <w:color w:val="auto"/>
        </w:rPr>
        <w:t>ti</w:t>
      </w:r>
      <w:r>
        <w:rPr>
          <w:rFonts w:ascii="Times New Roman" w:hAnsi="Times New Roman" w:cs="Times New Roman"/>
          <w:color w:val="auto"/>
        </w:rPr>
        <w:t>dades previstas para os itens com preços registrados nas atas de registro de preços poderão ser remanejadas pelo órgão ou en</w:t>
      </w:r>
      <w:r>
        <w:rPr>
          <w:rFonts w:ascii="Times New Roman" w:eastAsia="Arial" w:hAnsi="Times New Roman" w:cs="Times New Roman"/>
          <w:color w:val="auto"/>
        </w:rPr>
        <w:t>ti</w:t>
      </w:r>
      <w:r>
        <w:rPr>
          <w:rFonts w:ascii="Times New Roman" w:hAnsi="Times New Roman" w:cs="Times New Roman"/>
          <w:color w:val="auto"/>
        </w:rPr>
        <w:t>dade gerenciadora entre os órgãos ou as en</w:t>
      </w:r>
      <w:r>
        <w:rPr>
          <w:rFonts w:ascii="Times New Roman" w:eastAsia="Arial" w:hAnsi="Times New Roman" w:cs="Times New Roman"/>
          <w:color w:val="auto"/>
        </w:rPr>
        <w:t>ti</w:t>
      </w:r>
      <w:r>
        <w:rPr>
          <w:rFonts w:ascii="Times New Roman" w:hAnsi="Times New Roman" w:cs="Times New Roman"/>
          <w:color w:val="auto"/>
        </w:rPr>
        <w:t>dades par</w:t>
      </w:r>
      <w:r>
        <w:rPr>
          <w:rFonts w:ascii="Times New Roman" w:eastAsia="Arial" w:hAnsi="Times New Roman" w:cs="Times New Roman"/>
          <w:color w:val="auto"/>
        </w:rPr>
        <w:t>ti</w:t>
      </w:r>
      <w:r>
        <w:rPr>
          <w:rFonts w:ascii="Times New Roman" w:hAnsi="Times New Roman" w:cs="Times New Roman"/>
          <w:color w:val="auto"/>
        </w:rPr>
        <w:t>cipantes e não par</w:t>
      </w:r>
      <w:r>
        <w:rPr>
          <w:rFonts w:ascii="Times New Roman" w:eastAsia="Arial" w:hAnsi="Times New Roman" w:cs="Times New Roman"/>
          <w:color w:val="auto"/>
        </w:rPr>
        <w:t>ti</w:t>
      </w:r>
      <w:r>
        <w:rPr>
          <w:rFonts w:ascii="Times New Roman" w:hAnsi="Times New Roman" w:cs="Times New Roman"/>
          <w:color w:val="auto"/>
        </w:rPr>
        <w:t>cipantes do registro de preços.</w:t>
      </w:r>
    </w:p>
    <w:p w14:paraId="441D65C1"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remanejamento somente poderá ser feito:</w:t>
      </w:r>
    </w:p>
    <w:p w14:paraId="36D567BF"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para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ou</w:t>
      </w:r>
    </w:p>
    <w:p w14:paraId="33F9D192"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para órgão ou entidade não participante.</w:t>
      </w:r>
    </w:p>
    <w:p w14:paraId="11E996F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órgão ou en</w:t>
      </w:r>
      <w:r>
        <w:rPr>
          <w:rFonts w:ascii="Times New Roman" w:eastAsia="Arial" w:hAnsi="Times New Roman" w:cs="Times New Roman"/>
          <w:color w:val="auto"/>
        </w:rPr>
        <w:t>ti</w:t>
      </w:r>
      <w:r>
        <w:rPr>
          <w:rFonts w:ascii="Times New Roman" w:hAnsi="Times New Roman" w:cs="Times New Roman"/>
          <w:color w:val="auto"/>
        </w:rPr>
        <w:t>dade gerenciadora que tiver es</w:t>
      </w:r>
      <w:r>
        <w:rPr>
          <w:rFonts w:ascii="Times New Roman" w:eastAsia="Arial" w:hAnsi="Times New Roman" w:cs="Times New Roman"/>
          <w:color w:val="auto"/>
        </w:rPr>
        <w:t>ti</w:t>
      </w:r>
      <w:r>
        <w:rPr>
          <w:rFonts w:ascii="Times New Roman" w:hAnsi="Times New Roman" w:cs="Times New Roman"/>
          <w:color w:val="auto"/>
        </w:rPr>
        <w:t>mado as quan</w:t>
      </w:r>
      <w:r>
        <w:rPr>
          <w:rFonts w:ascii="Times New Roman" w:eastAsia="Arial" w:hAnsi="Times New Roman" w:cs="Times New Roman"/>
          <w:color w:val="auto"/>
        </w:rPr>
        <w:t>ti</w:t>
      </w:r>
      <w:r>
        <w:rPr>
          <w:rFonts w:ascii="Times New Roman" w:hAnsi="Times New Roman" w:cs="Times New Roman"/>
          <w:color w:val="auto"/>
        </w:rPr>
        <w:t>dades que pretende contratar será considerado participante para efeito do remanejamento.</w:t>
      </w:r>
    </w:p>
    <w:p w14:paraId="495091A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remanejamento de órgão ou entidade par</w:t>
      </w:r>
      <w:r>
        <w:rPr>
          <w:rFonts w:ascii="Times New Roman" w:eastAsia="Arial" w:hAnsi="Times New Roman" w:cs="Times New Roman"/>
          <w:color w:val="auto"/>
        </w:rPr>
        <w:t>ti</w:t>
      </w:r>
      <w:r>
        <w:rPr>
          <w:rFonts w:ascii="Times New Roman" w:hAnsi="Times New Roman" w:cs="Times New Roman"/>
          <w:color w:val="auto"/>
        </w:rPr>
        <w:t>cipante para órgão ou entidade não participante, serão observados os limites previstos no Decreto nº 4.773, de 2024.</w:t>
      </w:r>
    </w:p>
    <w:p w14:paraId="32EFFE3F"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lastRenderedPageBreak/>
        <w:t>Competirá ao órgão ou à en</w:t>
      </w:r>
      <w:r>
        <w:rPr>
          <w:rFonts w:ascii="Times New Roman" w:eastAsia="Arial" w:hAnsi="Times New Roman" w:cs="Times New Roman"/>
          <w:color w:val="auto"/>
        </w:rPr>
        <w:t>ti</w:t>
      </w:r>
      <w:r>
        <w:rPr>
          <w:rFonts w:ascii="Times New Roman" w:hAnsi="Times New Roman" w:cs="Times New Roman"/>
          <w:color w:val="auto"/>
        </w:rPr>
        <w:t>dade gerenciadora autorizar o remanejamento solicitado, com a redução do quan</w:t>
      </w:r>
      <w:r>
        <w:rPr>
          <w:rFonts w:ascii="Times New Roman" w:eastAsia="Arial" w:hAnsi="Times New Roman" w:cs="Times New Roman"/>
          <w:color w:val="auto"/>
        </w:rPr>
        <w:t>ti</w:t>
      </w:r>
      <w:r>
        <w:rPr>
          <w:rFonts w:ascii="Times New Roman" w:hAnsi="Times New Roman" w:cs="Times New Roman"/>
          <w:color w:val="auto"/>
        </w:rPr>
        <w:t>ta</w:t>
      </w:r>
      <w:r>
        <w:rPr>
          <w:rFonts w:ascii="Times New Roman" w:eastAsia="Arial" w:hAnsi="Times New Roman" w:cs="Times New Roman"/>
          <w:color w:val="auto"/>
        </w:rPr>
        <w:t>ti</w:t>
      </w:r>
      <w:r>
        <w:rPr>
          <w:rFonts w:ascii="Times New Roman" w:hAnsi="Times New Roman" w:cs="Times New Roman"/>
          <w:color w:val="auto"/>
        </w:rPr>
        <w:t>vo inicialmente informado pelo órgão ou pela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desde que haja prévia anuência do órgão ou da en</w:t>
      </w:r>
      <w:r>
        <w:rPr>
          <w:rFonts w:ascii="Times New Roman" w:eastAsia="Arial" w:hAnsi="Times New Roman" w:cs="Times New Roman"/>
          <w:color w:val="auto"/>
        </w:rPr>
        <w:t>ti</w:t>
      </w:r>
      <w:r>
        <w:rPr>
          <w:rFonts w:ascii="Times New Roman" w:hAnsi="Times New Roman" w:cs="Times New Roman"/>
          <w:color w:val="auto"/>
        </w:rPr>
        <w:t>dade que sofrer redução dos quantitativos informados.</w:t>
      </w:r>
    </w:p>
    <w:p w14:paraId="3BF97D2C"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da compra centralizada, não havendo indicação pelo órgão ou pela en</w:t>
      </w:r>
      <w:r>
        <w:rPr>
          <w:rFonts w:ascii="Times New Roman" w:eastAsia="Arial" w:hAnsi="Times New Roman" w:cs="Times New Roman"/>
          <w:color w:val="auto"/>
        </w:rPr>
        <w:t>ti</w:t>
      </w:r>
      <w:r>
        <w:rPr>
          <w:rFonts w:ascii="Times New Roman" w:hAnsi="Times New Roman" w:cs="Times New Roman"/>
          <w:color w:val="auto"/>
        </w:rPr>
        <w:t>dade gerenciadora, dos quan</w:t>
      </w:r>
      <w:r>
        <w:rPr>
          <w:rFonts w:ascii="Times New Roman" w:eastAsia="Arial" w:hAnsi="Times New Roman" w:cs="Times New Roman"/>
          <w:color w:val="auto"/>
        </w:rPr>
        <w:t>ti</w:t>
      </w:r>
      <w:r>
        <w:rPr>
          <w:rFonts w:ascii="Times New Roman" w:hAnsi="Times New Roman" w:cs="Times New Roman"/>
          <w:color w:val="auto"/>
        </w:rPr>
        <w:t>ta</w:t>
      </w:r>
      <w:r>
        <w:rPr>
          <w:rFonts w:ascii="Times New Roman" w:eastAsia="Arial" w:hAnsi="Times New Roman" w:cs="Times New Roman"/>
          <w:color w:val="auto"/>
        </w:rPr>
        <w:t>ti</w:t>
      </w:r>
      <w:r>
        <w:rPr>
          <w:rFonts w:ascii="Times New Roman" w:hAnsi="Times New Roman" w:cs="Times New Roman"/>
          <w:color w:val="auto"/>
        </w:rPr>
        <w:t>vos dos par</w:t>
      </w:r>
      <w:r>
        <w:rPr>
          <w:rFonts w:ascii="Times New Roman" w:eastAsia="Arial" w:hAnsi="Times New Roman" w:cs="Times New Roman"/>
          <w:color w:val="auto"/>
        </w:rPr>
        <w:t>ti</w:t>
      </w:r>
      <w:r>
        <w:rPr>
          <w:rFonts w:ascii="Times New Roman" w:hAnsi="Times New Roman" w:cs="Times New Roman"/>
          <w:color w:val="auto"/>
        </w:rPr>
        <w:t>cipantes da compra centralizada, nos termos do item 7.3, a distribuição das quantidades para a execução descentralizada será por meio do remanejamento.</w:t>
      </w:r>
    </w:p>
    <w:p w14:paraId="6D43C2FE"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CANCELAMENTO DO REGISTRO DO LICITANTE VENCEDOR E DOS PREÇOS REGISTRADOS</w:t>
      </w:r>
      <w:bookmarkStart w:id="41" w:name="undefined"/>
    </w:p>
    <w:p w14:paraId="5B9C8B7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registro do fornecedor será cancelado pelo gerenciador, quando o fornecedor</w:t>
      </w:r>
    </w:p>
    <w:p w14:paraId="1F9E9A5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Descumprir as condições da ata de registro de preços, sem motivo justificado;</w:t>
      </w:r>
    </w:p>
    <w:p w14:paraId="2292B93E"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Não re</w:t>
      </w:r>
      <w:r>
        <w:rPr>
          <w:rFonts w:ascii="Times New Roman" w:eastAsia="Arial" w:hAnsi="Times New Roman" w:cs="Times New Roman"/>
          <w:color w:val="auto"/>
        </w:rPr>
        <w:t>ti</w:t>
      </w:r>
      <w:r>
        <w:rPr>
          <w:rFonts w:ascii="Times New Roman" w:hAnsi="Times New Roman" w:cs="Times New Roman"/>
          <w:color w:val="auto"/>
        </w:rPr>
        <w:t>rar a nota de empenho, ou instrumento equivalente, no prazo estabelecido pela Administração sem justificativa razoável;</w:t>
      </w:r>
    </w:p>
    <w:p w14:paraId="71D9529E"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Não aceitar manter seu preço registrado, na hipótese prevista no artigo 28, § 2º, do Decreto nº 4.773, de 2024; </w:t>
      </w:r>
    </w:p>
    <w:p w14:paraId="39436219"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91725BB"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cancelamento de registros nas hipóteses previstas no item 8.1 será formalizado por despacho do órgão ou da entidade gerenciadora, garantidos os princípios do contraditório e da ampla defesa.</w:t>
      </w:r>
    </w:p>
    <w:p w14:paraId="380F702B"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Na hipótese de cancelamento do registro do fornecedor, o órgão ou a entidade gerenciadora poderá convocar os licitantes que compõem o cadastro de reserva, observada a ordem de classificação.</w:t>
      </w:r>
    </w:p>
    <w:p w14:paraId="434EF76A"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cancelamento dos preços registrados poderá ser realizado pelo gerenciador, em determinada ata de registro de preços, total ou parcialmente, nas seguintes hipóteses, desde que devidamente comprovadas e justificadas:</w:t>
      </w:r>
      <w:bookmarkEnd w:id="41"/>
      <w:r>
        <w:rPr>
          <w:rFonts w:ascii="Times New Roman" w:hAnsi="Times New Roman" w:cs="Times New Roman"/>
          <w:color w:val="auto"/>
        </w:rPr>
        <w:t xml:space="preserve"> </w:t>
      </w:r>
    </w:p>
    <w:p w14:paraId="47767686"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Por razão de interesse público;</w:t>
      </w:r>
    </w:p>
    <w:p w14:paraId="26ADC46E"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 pedido do fornecedor, decorrente de caso fortuito ou força maior; ou</w:t>
      </w:r>
    </w:p>
    <w:p w14:paraId="735569F4"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Se não houver êxito nas negociações, nas hipóteses em que o preço de mercado se tornar superior ou inferior ao preço registrado, nos termos dos artigos 27, § 3º e 28, § 4º, ambos do Decreto nº 4.773, de 2024. </w:t>
      </w:r>
    </w:p>
    <w:p w14:paraId="2ECEA61C" w14:textId="77777777" w:rsidR="00BC0049" w:rsidRDefault="002B07EE">
      <w:pPr>
        <w:pStyle w:val="Nivel01"/>
        <w:numPr>
          <w:ilvl w:val="0"/>
          <w:numId w:val="4"/>
        </w:numPr>
        <w:tabs>
          <w:tab w:val="clear" w:pos="567"/>
          <w:tab w:val="left" w:pos="1134"/>
        </w:tabs>
        <w:spacing w:before="57" w:after="57" w:line="240" w:lineRule="auto"/>
        <w:ind w:left="567"/>
        <w:rPr>
          <w:rFonts w:ascii="Times New Roman" w:hAnsi="Times New Roman" w:cs="Times New Roman"/>
          <w:color w:val="auto"/>
        </w:rPr>
      </w:pPr>
      <w:r>
        <w:rPr>
          <w:rFonts w:ascii="Times New Roman" w:hAnsi="Times New Roman" w:cs="Times New Roman"/>
          <w:color w:val="auto"/>
        </w:rPr>
        <w:t>DAS PENALIDADES</w:t>
      </w:r>
    </w:p>
    <w:p w14:paraId="48C74C60"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O descumprimento da Ata de Registro de Preços ensejará aplicação das penalidades estabelecidas </w:t>
      </w:r>
      <w:r>
        <w:rPr>
          <w:rFonts w:ascii="Times New Roman" w:hAnsi="Times New Roman" w:cs="Times New Roman"/>
          <w:i/>
          <w:color w:val="auto"/>
        </w:rPr>
        <w:t>no edital</w:t>
      </w:r>
      <w:r>
        <w:rPr>
          <w:rFonts w:ascii="Times New Roman" w:hAnsi="Times New Roman" w:cs="Times New Roman"/>
          <w:color w:val="auto"/>
        </w:rPr>
        <w:t xml:space="preserve">. As sanções também se aplicam aos integrantes do cadastro de reserva no registro de preços que, convocados, não honrarem o compromisso assumido injustificadamente após terem assinado a ata. </w:t>
      </w:r>
    </w:p>
    <w:p w14:paraId="20C9CE4D"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8FC2820"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órgão ou entidade participante deverá comunicar ao órgão gerenciador qualquer das ocorrências previstas no item 8.1, dada a necessidade de instauração de procedimento para cancelamento do registro do fornecedor.</w:t>
      </w:r>
    </w:p>
    <w:p w14:paraId="7C9C50C0" w14:textId="77777777" w:rsidR="00BC0049" w:rsidRDefault="002B07EE">
      <w:pPr>
        <w:pStyle w:val="Nivel2"/>
        <w:numPr>
          <w:ilvl w:val="0"/>
          <w:numId w:val="4"/>
        </w:numPr>
        <w:tabs>
          <w:tab w:val="left" w:pos="456"/>
          <w:tab w:val="left" w:pos="791"/>
          <w:tab w:val="left" w:pos="1135"/>
        </w:tabs>
        <w:spacing w:before="57" w:after="57" w:line="240" w:lineRule="auto"/>
        <w:ind w:left="567" w:hanging="567"/>
        <w:jc w:val="left"/>
        <w:rPr>
          <w:rFonts w:ascii="Times New Roman" w:hAnsi="Times New Roman" w:cs="Times New Roman"/>
          <w:color w:val="auto"/>
        </w:rPr>
      </w:pPr>
      <w:r>
        <w:rPr>
          <w:rFonts w:ascii="Times New Roman" w:hAnsi="Times New Roman" w:cs="Times New Roman"/>
          <w:b/>
          <w:color w:val="auto"/>
        </w:rPr>
        <w:t xml:space="preserve"> CONDIÇÕES GERAIS</w:t>
      </w:r>
    </w:p>
    <w:p w14:paraId="13D2E325" w14:textId="77777777" w:rsidR="00BC0049" w:rsidRDefault="002B07EE">
      <w:pPr>
        <w:pStyle w:val="Nivel2"/>
        <w:numPr>
          <w:ilvl w:val="0"/>
          <w:numId w:val="0"/>
        </w:numPr>
        <w:tabs>
          <w:tab w:val="left" w:pos="1134"/>
        </w:tabs>
        <w:spacing w:before="0" w:after="0" w:line="240" w:lineRule="auto"/>
        <w:ind w:left="567"/>
        <w:rPr>
          <w:rFonts w:ascii="Times New Roman" w:hAnsi="Times New Roman" w:cs="Times New Roman"/>
          <w:color w:val="auto"/>
        </w:rPr>
      </w:pPr>
      <w:r>
        <w:rPr>
          <w:rFonts w:ascii="Times New Roman" w:hAnsi="Times New Roman" w:cs="Times New Roman"/>
          <w:color w:val="auto"/>
        </w:rPr>
        <w:t xml:space="preserve">9.1.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Times New Roman" w:hAnsi="Times New Roman" w:cs="Times New Roman"/>
          <w:i/>
          <w:color w:val="auto"/>
        </w:rPr>
        <w:t>AO EDITAL</w:t>
      </w:r>
      <w:r>
        <w:rPr>
          <w:rFonts w:ascii="Times New Roman" w:hAnsi="Times New Roman" w:cs="Times New Roman"/>
          <w:color w:val="auto"/>
        </w:rPr>
        <w:t>.</w:t>
      </w:r>
    </w:p>
    <w:p w14:paraId="1C60ACA1" w14:textId="77777777" w:rsidR="00BC0049" w:rsidRDefault="002B07EE">
      <w:pPr>
        <w:pStyle w:val="Nivel2"/>
        <w:numPr>
          <w:ilvl w:val="0"/>
          <w:numId w:val="0"/>
        </w:numPr>
        <w:tabs>
          <w:tab w:val="left" w:pos="1134"/>
        </w:tabs>
        <w:spacing w:before="0" w:after="0" w:line="240" w:lineRule="auto"/>
        <w:ind w:left="567"/>
        <w:rPr>
          <w:rFonts w:ascii="Times New Roman" w:hAnsi="Times New Roman" w:cs="Times New Roman"/>
          <w:color w:val="auto"/>
        </w:rPr>
      </w:pPr>
      <w:r>
        <w:rPr>
          <w:rFonts w:ascii="Times New Roman" w:hAnsi="Times New Roman" w:cs="Times New Roman"/>
          <w:color w:val="auto"/>
        </w:rPr>
        <w:t>9.2. No caso de adjudicação por preço global de grupo de itens, só será admitida a contratação de parte de itens do grupo se houver prévia pesquisa de mercado e demonstração de sua vantagem para o órgão ou a entidade.</w:t>
      </w:r>
    </w:p>
    <w:p w14:paraId="43CB5A14" w14:textId="77777777" w:rsidR="00BC0049" w:rsidRDefault="002B07EE">
      <w:pPr>
        <w:widowControl w:val="0"/>
        <w:ind w:left="567"/>
        <w:jc w:val="both"/>
        <w:rPr>
          <w:rFonts w:ascii="Times New Roman" w:hAnsi="Times New Roman" w:cs="Times New Roman"/>
          <w:sz w:val="20"/>
          <w:szCs w:val="20"/>
        </w:rPr>
      </w:pPr>
      <w:r>
        <w:rPr>
          <w:rFonts w:ascii="Times New Roman" w:hAnsi="Times New Roman" w:cs="Times New Roman"/>
          <w:sz w:val="20"/>
          <w:szCs w:val="20"/>
        </w:rPr>
        <w:t>9.3. Para firmeza e validade do pactuado, a presente Ata foi lavrada em 02 (duas) vias de igual teor, que, depois de lida e achada em ordem, vai assinada pelas partes.</w:t>
      </w:r>
    </w:p>
    <w:p w14:paraId="6B4B96F1" w14:textId="77777777" w:rsidR="00BC0049" w:rsidRDefault="00BC0049">
      <w:pPr>
        <w:widowControl w:val="0"/>
        <w:ind w:right="-30"/>
        <w:jc w:val="right"/>
        <w:rPr>
          <w:rFonts w:ascii="Times New Roman" w:hAnsi="Times New Roman" w:cs="Times New Roman"/>
          <w:sz w:val="18"/>
          <w:szCs w:val="18"/>
        </w:rPr>
      </w:pPr>
    </w:p>
    <w:p w14:paraId="4DEA880C" w14:textId="4E6E31D2" w:rsidR="00BC0049" w:rsidRDefault="002B07EE">
      <w:pPr>
        <w:widowControl w:val="0"/>
        <w:ind w:right="-30"/>
        <w:jc w:val="right"/>
        <w:rPr>
          <w:rFonts w:ascii="Times New Roman" w:hAnsi="Times New Roman" w:cs="Times New Roman"/>
          <w:sz w:val="20"/>
          <w:szCs w:val="20"/>
        </w:rPr>
      </w:pPr>
      <w:r>
        <w:rPr>
          <w:rFonts w:ascii="Times New Roman" w:hAnsi="Times New Roman" w:cs="Times New Roman"/>
          <w:sz w:val="20"/>
          <w:szCs w:val="20"/>
        </w:rPr>
        <w:t>Santa Bárbara do Sul, ....de .........................de 202</w:t>
      </w:r>
      <w:r w:rsidR="00371FB2">
        <w:rPr>
          <w:rFonts w:ascii="Times New Roman" w:hAnsi="Times New Roman" w:cs="Times New Roman"/>
          <w:sz w:val="20"/>
          <w:szCs w:val="20"/>
        </w:rPr>
        <w:t>6</w:t>
      </w:r>
    </w:p>
    <w:p w14:paraId="39720ECC" w14:textId="77777777" w:rsidR="00BC0049" w:rsidRDefault="002B07EE">
      <w:pPr>
        <w:widowControl w:val="0"/>
        <w:ind w:right="-30"/>
        <w:jc w:val="center"/>
        <w:rPr>
          <w:sz w:val="20"/>
          <w:szCs w:val="20"/>
        </w:rPr>
      </w:pPr>
      <w:r>
        <w:rPr>
          <w:rFonts w:ascii="Times New Roman" w:hAnsi="Times New Roman" w:cs="Times New Roman"/>
          <w:sz w:val="20"/>
          <w:szCs w:val="20"/>
        </w:rPr>
        <w:t xml:space="preserve">Leandro </w:t>
      </w:r>
      <w:proofErr w:type="spellStart"/>
      <w:r>
        <w:rPr>
          <w:rFonts w:ascii="Times New Roman" w:hAnsi="Times New Roman" w:cs="Times New Roman"/>
          <w:sz w:val="20"/>
          <w:szCs w:val="20"/>
        </w:rPr>
        <w:t>Caraffini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Veneral</w:t>
      </w:r>
      <w:proofErr w:type="spellEnd"/>
    </w:p>
    <w:p w14:paraId="67AE8B2A" w14:textId="77777777" w:rsidR="00BC0049" w:rsidRDefault="002B07EE">
      <w:pPr>
        <w:widowControl w:val="0"/>
        <w:ind w:right="-30"/>
        <w:jc w:val="center"/>
        <w:rPr>
          <w:sz w:val="20"/>
          <w:szCs w:val="20"/>
        </w:rPr>
      </w:pPr>
      <w:r>
        <w:rPr>
          <w:rFonts w:ascii="Times New Roman" w:hAnsi="Times New Roman" w:cs="Times New Roman"/>
          <w:sz w:val="20"/>
          <w:szCs w:val="20"/>
        </w:rPr>
        <w:t>Prefeito</w:t>
      </w:r>
    </w:p>
    <w:p w14:paraId="2E1DA90B" w14:textId="77777777" w:rsidR="00BC0049" w:rsidRDefault="002B07EE">
      <w:pPr>
        <w:widowControl w:val="0"/>
        <w:ind w:right="-30"/>
        <w:jc w:val="center"/>
        <w:rPr>
          <w:sz w:val="20"/>
          <w:szCs w:val="20"/>
        </w:rPr>
      </w:pPr>
      <w:r>
        <w:rPr>
          <w:rFonts w:ascii="Times New Roman" w:hAnsi="Times New Roman" w:cs="Times New Roman"/>
          <w:sz w:val="20"/>
          <w:szCs w:val="20"/>
        </w:rPr>
        <w:t>Licitante CNPJ:</w:t>
      </w:r>
    </w:p>
    <w:p w14:paraId="42EADC38" w14:textId="77777777" w:rsidR="00BC0049" w:rsidRDefault="002B07EE">
      <w:pPr>
        <w:widowControl w:val="0"/>
        <w:ind w:right="-30"/>
        <w:jc w:val="center"/>
        <w:rPr>
          <w:sz w:val="20"/>
          <w:szCs w:val="20"/>
        </w:rPr>
      </w:pPr>
      <w:r>
        <w:rPr>
          <w:rFonts w:ascii="Times New Roman" w:hAnsi="Times New Roman" w:cs="Times New Roman"/>
          <w:sz w:val="20"/>
          <w:szCs w:val="20"/>
        </w:rPr>
        <w:t>Representante legal do órgão gerenciador e representante(s) legal(</w:t>
      </w:r>
      <w:proofErr w:type="spellStart"/>
      <w:r>
        <w:rPr>
          <w:rFonts w:ascii="Times New Roman" w:hAnsi="Times New Roman" w:cs="Times New Roman"/>
          <w:sz w:val="20"/>
          <w:szCs w:val="20"/>
        </w:rPr>
        <w:t>is</w:t>
      </w:r>
      <w:proofErr w:type="spellEnd"/>
      <w:r>
        <w:rPr>
          <w:rFonts w:ascii="Times New Roman" w:hAnsi="Times New Roman" w:cs="Times New Roman"/>
          <w:sz w:val="20"/>
          <w:szCs w:val="20"/>
        </w:rPr>
        <w:t>) do(s) fornecedor(s) registrado(s)</w:t>
      </w:r>
    </w:p>
    <w:p w14:paraId="470F2649" w14:textId="77777777" w:rsidR="00BC0049" w:rsidRDefault="00BC0049">
      <w:pPr>
        <w:widowControl w:val="0"/>
        <w:ind w:right="-30"/>
        <w:jc w:val="center"/>
        <w:rPr>
          <w:rFonts w:ascii="Times New Roman" w:hAnsi="Times New Roman" w:cs="Times New Roman"/>
          <w:b/>
          <w:bCs/>
          <w:sz w:val="20"/>
          <w:szCs w:val="20"/>
        </w:rPr>
      </w:pPr>
    </w:p>
    <w:p w14:paraId="2B3CA579" w14:textId="77777777" w:rsidR="00BC0049" w:rsidRDefault="00BC0049">
      <w:pPr>
        <w:widowControl w:val="0"/>
        <w:ind w:right="-30"/>
        <w:jc w:val="center"/>
        <w:rPr>
          <w:rFonts w:ascii="Times New Roman" w:hAnsi="Times New Roman" w:cs="Times New Roman"/>
          <w:b/>
          <w:bCs/>
          <w:sz w:val="20"/>
          <w:szCs w:val="20"/>
        </w:rPr>
      </w:pPr>
    </w:p>
    <w:p w14:paraId="50A4DC76" w14:textId="77777777" w:rsidR="00BC0049" w:rsidRDefault="00BC0049">
      <w:pPr>
        <w:widowControl w:val="0"/>
        <w:ind w:right="-30"/>
        <w:jc w:val="center"/>
        <w:rPr>
          <w:rFonts w:ascii="Times New Roman" w:hAnsi="Times New Roman" w:cs="Times New Roman"/>
          <w:b/>
          <w:bCs/>
          <w:sz w:val="20"/>
          <w:szCs w:val="20"/>
        </w:rPr>
      </w:pPr>
    </w:p>
    <w:p w14:paraId="5FAA7BF9" w14:textId="77777777" w:rsidR="00BC0049" w:rsidRDefault="00BC0049">
      <w:pPr>
        <w:widowControl w:val="0"/>
        <w:ind w:right="-30"/>
        <w:jc w:val="center"/>
        <w:rPr>
          <w:rFonts w:ascii="Times New Roman" w:hAnsi="Times New Roman" w:cs="Times New Roman"/>
          <w:b/>
          <w:bCs/>
          <w:sz w:val="20"/>
          <w:szCs w:val="20"/>
        </w:rPr>
      </w:pPr>
    </w:p>
    <w:p w14:paraId="0BFAA74F" w14:textId="77777777" w:rsidR="00371FB2" w:rsidRDefault="00371FB2">
      <w:pPr>
        <w:widowControl w:val="0"/>
        <w:ind w:right="-30"/>
        <w:jc w:val="center"/>
        <w:rPr>
          <w:rFonts w:ascii="Times New Roman" w:hAnsi="Times New Roman" w:cs="Times New Roman"/>
          <w:b/>
          <w:bCs/>
          <w:sz w:val="20"/>
          <w:szCs w:val="20"/>
        </w:rPr>
      </w:pPr>
    </w:p>
    <w:p w14:paraId="2899EE1A" w14:textId="77777777" w:rsidR="00371FB2" w:rsidRDefault="00371FB2">
      <w:pPr>
        <w:widowControl w:val="0"/>
        <w:ind w:right="-30"/>
        <w:jc w:val="center"/>
        <w:rPr>
          <w:rFonts w:ascii="Times New Roman" w:hAnsi="Times New Roman" w:cs="Times New Roman"/>
          <w:b/>
          <w:bCs/>
          <w:sz w:val="20"/>
          <w:szCs w:val="20"/>
        </w:rPr>
      </w:pPr>
    </w:p>
    <w:p w14:paraId="2A62E8E2" w14:textId="77777777" w:rsidR="00BC0049" w:rsidRDefault="002B07EE">
      <w:pPr>
        <w:widowControl w:val="0"/>
        <w:ind w:right="-30"/>
        <w:jc w:val="center"/>
        <w:rPr>
          <w:rFonts w:ascii="Times New Roman" w:hAnsi="Times New Roman" w:cs="Times New Roman"/>
          <w:b/>
          <w:bCs/>
          <w:sz w:val="20"/>
          <w:szCs w:val="20"/>
        </w:rPr>
      </w:pPr>
      <w:r>
        <w:rPr>
          <w:rFonts w:ascii="Times New Roman" w:hAnsi="Times New Roman" w:cs="Times New Roman"/>
          <w:b/>
          <w:bCs/>
          <w:sz w:val="20"/>
          <w:szCs w:val="20"/>
        </w:rPr>
        <w:t>ANEXO IV</w:t>
      </w:r>
    </w:p>
    <w:p w14:paraId="2F8CEF62" w14:textId="77777777" w:rsidR="00BC0049" w:rsidRDefault="00BC0049">
      <w:pPr>
        <w:widowControl w:val="0"/>
        <w:ind w:right="-30"/>
        <w:jc w:val="center"/>
        <w:rPr>
          <w:rFonts w:ascii="Times New Roman" w:hAnsi="Times New Roman" w:cs="Times New Roman"/>
          <w:sz w:val="20"/>
          <w:szCs w:val="20"/>
        </w:rPr>
      </w:pPr>
    </w:p>
    <w:p w14:paraId="4CC84ECE"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Cadastro Reserva</w:t>
      </w:r>
    </w:p>
    <w:p w14:paraId="3B840443" w14:textId="77777777" w:rsidR="00BC0049" w:rsidRDefault="00BC0049">
      <w:pPr>
        <w:widowControl w:val="0"/>
        <w:ind w:right="-30"/>
        <w:jc w:val="center"/>
        <w:rPr>
          <w:rFonts w:ascii="Times New Roman" w:hAnsi="Times New Roman" w:cs="Times New Roman"/>
          <w:sz w:val="20"/>
          <w:szCs w:val="20"/>
        </w:rPr>
      </w:pPr>
    </w:p>
    <w:p w14:paraId="52A4467F" w14:textId="77777777" w:rsidR="00BC0049" w:rsidRDefault="002B07EE">
      <w:pPr>
        <w:widowControl w:val="0"/>
        <w:ind w:right="567" w:firstLine="709"/>
        <w:jc w:val="both"/>
        <w:rPr>
          <w:rFonts w:ascii="Times New Roman" w:hAnsi="Times New Roman" w:cs="Times New Roman"/>
          <w:sz w:val="20"/>
          <w:szCs w:val="20"/>
        </w:rPr>
      </w:pPr>
      <w:r>
        <w:rPr>
          <w:rFonts w:ascii="Times New Roman" w:hAnsi="Times New Roman" w:cs="Times New Roman"/>
          <w:sz w:val="20"/>
          <w:szCs w:val="20"/>
        </w:rPr>
        <w:t>Seguindo a ordem de classificação, segue relação de fornecedores que aceitaram cotar os itens com preços iguais ao adjudicatário:</w:t>
      </w:r>
    </w:p>
    <w:p w14:paraId="03314CE8" w14:textId="77777777" w:rsidR="00BC0049" w:rsidRDefault="00BC0049">
      <w:pPr>
        <w:widowControl w:val="0"/>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3"/>
        <w:gridCol w:w="1110"/>
        <w:gridCol w:w="1439"/>
        <w:gridCol w:w="990"/>
        <w:gridCol w:w="1141"/>
        <w:gridCol w:w="989"/>
        <w:gridCol w:w="901"/>
        <w:gridCol w:w="844"/>
      </w:tblGrid>
      <w:tr w:rsidR="00BC0049" w14:paraId="0FB25F94"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156020CC"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Item</w:t>
            </w:r>
          </w:p>
          <w:p w14:paraId="23D6F4A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do</w:t>
            </w:r>
          </w:p>
          <w:p w14:paraId="08745A2D"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72B429F7"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 xml:space="preserve">Fornecedor </w:t>
            </w:r>
            <w:r>
              <w:rPr>
                <w:rFonts w:ascii="Times New Roman" w:hAnsi="Times New Roman" w:cs="Times New Roman"/>
                <w:i/>
                <w:sz w:val="20"/>
                <w:szCs w:val="20"/>
              </w:rPr>
              <w:t>(razão social, CNPJ/MF, endereço, contatos, representante)</w:t>
            </w:r>
          </w:p>
          <w:p w14:paraId="04BADCB9" w14:textId="77777777" w:rsidR="00BC0049" w:rsidRDefault="00BC0049">
            <w:pPr>
              <w:widowControl w:val="0"/>
              <w:ind w:right="-30"/>
              <w:jc w:val="center"/>
              <w:rPr>
                <w:rFonts w:ascii="Times New Roman" w:hAnsi="Times New Roman" w:cs="Times New Roman"/>
                <w:sz w:val="20"/>
                <w:szCs w:val="20"/>
              </w:rPr>
            </w:pPr>
          </w:p>
        </w:tc>
      </w:tr>
      <w:tr w:rsidR="00BC0049" w14:paraId="538E356C" w14:textId="77777777">
        <w:trPr>
          <w:trHeight w:val="674"/>
        </w:trPr>
        <w:tc>
          <w:tcPr>
            <w:tcW w:w="834" w:type="dxa"/>
            <w:tcBorders>
              <w:left w:val="single" w:sz="2" w:space="0" w:color="000000"/>
              <w:bottom w:val="single" w:sz="2" w:space="0" w:color="000000"/>
            </w:tcBorders>
            <w:vAlign w:val="center"/>
          </w:tcPr>
          <w:p w14:paraId="49097759"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X</w:t>
            </w:r>
          </w:p>
        </w:tc>
        <w:tc>
          <w:tcPr>
            <w:tcW w:w="1143" w:type="dxa"/>
            <w:tcBorders>
              <w:left w:val="single" w:sz="2" w:space="0" w:color="000000"/>
              <w:bottom w:val="single" w:sz="2" w:space="0" w:color="000000"/>
            </w:tcBorders>
          </w:tcPr>
          <w:p w14:paraId="0B346F39" w14:textId="77777777" w:rsidR="00BC0049" w:rsidRDefault="002B07EE">
            <w:pPr>
              <w:widowControl w:val="0"/>
              <w:ind w:right="-30"/>
              <w:jc w:val="both"/>
              <w:rPr>
                <w:rFonts w:ascii="Times New Roman" w:hAnsi="Times New Roman" w:cs="Times New Roman"/>
                <w:sz w:val="20"/>
                <w:szCs w:val="20"/>
              </w:rPr>
            </w:pPr>
            <w:r>
              <w:rPr>
                <w:rFonts w:ascii="Times New Roman" w:hAnsi="Times New Roman" w:cs="Times New Roman"/>
                <w:sz w:val="20"/>
                <w:szCs w:val="20"/>
              </w:rPr>
              <w:t>Especificação</w:t>
            </w:r>
          </w:p>
        </w:tc>
        <w:tc>
          <w:tcPr>
            <w:tcW w:w="1110" w:type="dxa"/>
            <w:tcBorders>
              <w:left w:val="single" w:sz="2" w:space="0" w:color="000000"/>
              <w:bottom w:val="single" w:sz="2" w:space="0" w:color="000000"/>
            </w:tcBorders>
          </w:tcPr>
          <w:p w14:paraId="759B81AB"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Marca</w:t>
            </w:r>
          </w:p>
          <w:p w14:paraId="69CA8484"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exigida no edital)</w:t>
            </w:r>
          </w:p>
        </w:tc>
        <w:tc>
          <w:tcPr>
            <w:tcW w:w="1439" w:type="dxa"/>
            <w:tcBorders>
              <w:left w:val="single" w:sz="2" w:space="0" w:color="000000"/>
              <w:bottom w:val="single" w:sz="2" w:space="0" w:color="000000"/>
            </w:tcBorders>
          </w:tcPr>
          <w:p w14:paraId="194A9E7D"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Modelo</w:t>
            </w:r>
          </w:p>
          <w:p w14:paraId="5EAECF6A"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exigido no edital)</w:t>
            </w:r>
          </w:p>
        </w:tc>
        <w:tc>
          <w:tcPr>
            <w:tcW w:w="990" w:type="dxa"/>
            <w:tcBorders>
              <w:left w:val="single" w:sz="2" w:space="0" w:color="000000"/>
              <w:bottom w:val="single" w:sz="2" w:space="0" w:color="000000"/>
            </w:tcBorders>
          </w:tcPr>
          <w:p w14:paraId="73580393"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Unidade</w:t>
            </w:r>
          </w:p>
        </w:tc>
        <w:tc>
          <w:tcPr>
            <w:tcW w:w="1141" w:type="dxa"/>
            <w:tcBorders>
              <w:left w:val="single" w:sz="2" w:space="0" w:color="000000"/>
              <w:bottom w:val="single" w:sz="2" w:space="0" w:color="000000"/>
            </w:tcBorders>
          </w:tcPr>
          <w:p w14:paraId="128E1817"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w:t>
            </w:r>
          </w:p>
          <w:p w14:paraId="703EDD3B"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Máxima</w:t>
            </w:r>
          </w:p>
        </w:tc>
        <w:tc>
          <w:tcPr>
            <w:tcW w:w="989" w:type="dxa"/>
            <w:tcBorders>
              <w:left w:val="single" w:sz="2" w:space="0" w:color="000000"/>
              <w:bottom w:val="single" w:sz="2" w:space="0" w:color="000000"/>
              <w:right w:val="single" w:sz="2" w:space="0" w:color="000000"/>
            </w:tcBorders>
          </w:tcPr>
          <w:p w14:paraId="36BA071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 Mínima</w:t>
            </w:r>
          </w:p>
        </w:tc>
        <w:tc>
          <w:tcPr>
            <w:tcW w:w="901" w:type="dxa"/>
            <w:tcBorders>
              <w:left w:val="single" w:sz="2" w:space="0" w:color="000000"/>
              <w:bottom w:val="single" w:sz="2" w:space="0" w:color="000000"/>
            </w:tcBorders>
          </w:tcPr>
          <w:p w14:paraId="19AEAB24"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Valor Un</w:t>
            </w:r>
          </w:p>
        </w:tc>
        <w:tc>
          <w:tcPr>
            <w:tcW w:w="844" w:type="dxa"/>
            <w:tcBorders>
              <w:left w:val="single" w:sz="2" w:space="0" w:color="000000"/>
              <w:bottom w:val="single" w:sz="2" w:space="0" w:color="000000"/>
              <w:right w:val="single" w:sz="2" w:space="0" w:color="000000"/>
            </w:tcBorders>
          </w:tcPr>
          <w:p w14:paraId="5CE836E1"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Prazo garantia ou validade</w:t>
            </w:r>
          </w:p>
        </w:tc>
      </w:tr>
      <w:tr w:rsidR="00BC0049" w14:paraId="16A648E4" w14:textId="77777777">
        <w:trPr>
          <w:trHeight w:val="174"/>
        </w:trPr>
        <w:tc>
          <w:tcPr>
            <w:tcW w:w="834" w:type="dxa"/>
            <w:tcBorders>
              <w:left w:val="single" w:sz="2" w:space="0" w:color="000000"/>
              <w:bottom w:val="single" w:sz="2" w:space="0" w:color="000000"/>
            </w:tcBorders>
          </w:tcPr>
          <w:p w14:paraId="11A4485A" w14:textId="77777777" w:rsidR="00BC0049" w:rsidRDefault="00BC0049">
            <w:pPr>
              <w:widowControl w:val="0"/>
              <w:ind w:right="-30"/>
              <w:jc w:val="both"/>
              <w:rPr>
                <w:rFonts w:ascii="Times New Roman" w:hAnsi="Times New Roman" w:cs="Times New Roman"/>
                <w:sz w:val="20"/>
                <w:szCs w:val="20"/>
              </w:rPr>
            </w:pPr>
          </w:p>
        </w:tc>
        <w:tc>
          <w:tcPr>
            <w:tcW w:w="1143" w:type="dxa"/>
            <w:tcBorders>
              <w:left w:val="single" w:sz="2" w:space="0" w:color="000000"/>
              <w:bottom w:val="single" w:sz="2" w:space="0" w:color="000000"/>
            </w:tcBorders>
          </w:tcPr>
          <w:p w14:paraId="66786F8C" w14:textId="77777777" w:rsidR="00BC0049" w:rsidRDefault="00BC0049">
            <w:pPr>
              <w:widowControl w:val="0"/>
              <w:ind w:right="-30"/>
              <w:jc w:val="both"/>
              <w:rPr>
                <w:rFonts w:ascii="Times New Roman" w:hAnsi="Times New Roman" w:cs="Times New Roman"/>
                <w:sz w:val="20"/>
                <w:szCs w:val="20"/>
              </w:rPr>
            </w:pPr>
          </w:p>
        </w:tc>
        <w:tc>
          <w:tcPr>
            <w:tcW w:w="1110" w:type="dxa"/>
            <w:tcBorders>
              <w:left w:val="single" w:sz="2" w:space="0" w:color="000000"/>
              <w:bottom w:val="single" w:sz="2" w:space="0" w:color="000000"/>
            </w:tcBorders>
          </w:tcPr>
          <w:p w14:paraId="355C394F" w14:textId="77777777" w:rsidR="00BC0049" w:rsidRDefault="00BC0049">
            <w:pPr>
              <w:widowControl w:val="0"/>
              <w:ind w:right="-30"/>
              <w:jc w:val="both"/>
              <w:rPr>
                <w:rFonts w:ascii="Times New Roman" w:hAnsi="Times New Roman" w:cs="Times New Roman"/>
                <w:sz w:val="20"/>
                <w:szCs w:val="20"/>
              </w:rPr>
            </w:pPr>
          </w:p>
        </w:tc>
        <w:tc>
          <w:tcPr>
            <w:tcW w:w="1439" w:type="dxa"/>
            <w:tcBorders>
              <w:left w:val="single" w:sz="2" w:space="0" w:color="000000"/>
              <w:bottom w:val="single" w:sz="2" w:space="0" w:color="000000"/>
            </w:tcBorders>
          </w:tcPr>
          <w:p w14:paraId="2E0F514F" w14:textId="77777777" w:rsidR="00BC0049" w:rsidRDefault="00BC0049">
            <w:pPr>
              <w:widowControl w:val="0"/>
              <w:ind w:right="-30"/>
              <w:jc w:val="both"/>
              <w:rPr>
                <w:rFonts w:ascii="Times New Roman" w:hAnsi="Times New Roman" w:cs="Times New Roman"/>
                <w:sz w:val="20"/>
                <w:szCs w:val="20"/>
              </w:rPr>
            </w:pPr>
          </w:p>
        </w:tc>
        <w:tc>
          <w:tcPr>
            <w:tcW w:w="990" w:type="dxa"/>
            <w:tcBorders>
              <w:left w:val="single" w:sz="2" w:space="0" w:color="000000"/>
              <w:bottom w:val="single" w:sz="2" w:space="0" w:color="000000"/>
            </w:tcBorders>
          </w:tcPr>
          <w:p w14:paraId="1CAF13BA" w14:textId="77777777" w:rsidR="00BC0049" w:rsidRDefault="00BC0049">
            <w:pPr>
              <w:widowControl w:val="0"/>
              <w:ind w:right="-30"/>
              <w:jc w:val="both"/>
              <w:rPr>
                <w:rFonts w:ascii="Times New Roman" w:hAnsi="Times New Roman" w:cs="Times New Roman"/>
                <w:sz w:val="20"/>
                <w:szCs w:val="20"/>
              </w:rPr>
            </w:pPr>
          </w:p>
        </w:tc>
        <w:tc>
          <w:tcPr>
            <w:tcW w:w="1141" w:type="dxa"/>
            <w:tcBorders>
              <w:left w:val="single" w:sz="2" w:space="0" w:color="000000"/>
              <w:bottom w:val="single" w:sz="2" w:space="0" w:color="000000"/>
            </w:tcBorders>
          </w:tcPr>
          <w:p w14:paraId="039479C0" w14:textId="77777777" w:rsidR="00BC0049" w:rsidRDefault="00BC0049">
            <w:pPr>
              <w:widowControl w:val="0"/>
              <w:ind w:right="-30"/>
              <w:jc w:val="both"/>
              <w:rPr>
                <w:rFonts w:ascii="Times New Roman" w:hAnsi="Times New Roman" w:cs="Times New Roman"/>
                <w:sz w:val="20"/>
                <w:szCs w:val="20"/>
              </w:rPr>
            </w:pPr>
          </w:p>
        </w:tc>
        <w:tc>
          <w:tcPr>
            <w:tcW w:w="989" w:type="dxa"/>
            <w:tcBorders>
              <w:left w:val="single" w:sz="2" w:space="0" w:color="000000"/>
              <w:bottom w:val="single" w:sz="2" w:space="0" w:color="000000"/>
              <w:right w:val="single" w:sz="2" w:space="0" w:color="000000"/>
            </w:tcBorders>
          </w:tcPr>
          <w:p w14:paraId="720F708C" w14:textId="77777777" w:rsidR="00BC0049" w:rsidRDefault="00BC0049">
            <w:pPr>
              <w:widowControl w:val="0"/>
              <w:ind w:right="-30"/>
              <w:jc w:val="both"/>
              <w:rPr>
                <w:rFonts w:ascii="Times New Roman" w:hAnsi="Times New Roman" w:cs="Times New Roman"/>
                <w:sz w:val="20"/>
                <w:szCs w:val="20"/>
              </w:rPr>
            </w:pPr>
          </w:p>
        </w:tc>
        <w:tc>
          <w:tcPr>
            <w:tcW w:w="901" w:type="dxa"/>
            <w:tcBorders>
              <w:left w:val="single" w:sz="2" w:space="0" w:color="000000"/>
              <w:bottom w:val="single" w:sz="2" w:space="0" w:color="000000"/>
            </w:tcBorders>
          </w:tcPr>
          <w:p w14:paraId="555D94BB" w14:textId="77777777" w:rsidR="00BC0049" w:rsidRDefault="00BC0049">
            <w:pPr>
              <w:widowControl w:val="0"/>
              <w:ind w:right="-30"/>
              <w:jc w:val="both"/>
              <w:rPr>
                <w:rFonts w:ascii="Times New Roman" w:hAnsi="Times New Roman" w:cs="Times New Roman"/>
                <w:sz w:val="20"/>
                <w:szCs w:val="20"/>
              </w:rPr>
            </w:pPr>
          </w:p>
        </w:tc>
        <w:tc>
          <w:tcPr>
            <w:tcW w:w="844" w:type="dxa"/>
            <w:tcBorders>
              <w:left w:val="single" w:sz="2" w:space="0" w:color="000000"/>
              <w:bottom w:val="single" w:sz="2" w:space="0" w:color="000000"/>
              <w:right w:val="single" w:sz="2" w:space="0" w:color="000000"/>
            </w:tcBorders>
          </w:tcPr>
          <w:p w14:paraId="021FBD1A" w14:textId="77777777" w:rsidR="00BC0049" w:rsidRDefault="00BC0049">
            <w:pPr>
              <w:widowControl w:val="0"/>
              <w:ind w:right="-30"/>
              <w:jc w:val="both"/>
              <w:rPr>
                <w:rFonts w:ascii="Times New Roman" w:hAnsi="Times New Roman" w:cs="Times New Roman"/>
                <w:sz w:val="20"/>
                <w:szCs w:val="20"/>
              </w:rPr>
            </w:pPr>
          </w:p>
        </w:tc>
      </w:tr>
    </w:tbl>
    <w:p w14:paraId="04472063" w14:textId="77777777" w:rsidR="00BC0049" w:rsidRDefault="00BC0049">
      <w:pPr>
        <w:widowControl w:val="0"/>
        <w:ind w:right="-30"/>
        <w:jc w:val="center"/>
        <w:rPr>
          <w:rFonts w:ascii="Times New Roman" w:hAnsi="Times New Roman" w:cs="Times New Roman"/>
          <w:sz w:val="20"/>
          <w:szCs w:val="20"/>
        </w:rPr>
      </w:pPr>
    </w:p>
    <w:p w14:paraId="37B21A02" w14:textId="77777777" w:rsidR="00BC0049" w:rsidRDefault="00BC0049">
      <w:pPr>
        <w:widowControl w:val="0"/>
        <w:ind w:right="-30"/>
        <w:jc w:val="center"/>
        <w:rPr>
          <w:rFonts w:ascii="Times New Roman" w:hAnsi="Times New Roman" w:cs="Times New Roman"/>
          <w:sz w:val="20"/>
          <w:szCs w:val="20"/>
        </w:rPr>
      </w:pPr>
    </w:p>
    <w:p w14:paraId="469C805D" w14:textId="77777777" w:rsidR="00BC0049" w:rsidRDefault="002B07EE">
      <w:pPr>
        <w:widowControl w:val="0"/>
        <w:ind w:firstLine="709"/>
        <w:jc w:val="both"/>
        <w:rPr>
          <w:rFonts w:ascii="Times New Roman" w:hAnsi="Times New Roman" w:cs="Times New Roman"/>
          <w:sz w:val="20"/>
          <w:szCs w:val="20"/>
        </w:rPr>
      </w:pPr>
      <w:r>
        <w:rPr>
          <w:rFonts w:ascii="Times New Roman" w:hAnsi="Times New Roman" w:cs="Times New Roman"/>
          <w:sz w:val="20"/>
          <w:szCs w:val="20"/>
        </w:rPr>
        <w:t>Seguindo a ordem de classificação, segue relação de fornecedores que mantiveram sua proposta original:</w:t>
      </w:r>
    </w:p>
    <w:p w14:paraId="7CF54E1E" w14:textId="77777777" w:rsidR="00BC0049" w:rsidRDefault="00BC0049">
      <w:pPr>
        <w:widowControl w:val="0"/>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8"/>
        <w:gridCol w:w="1159"/>
        <w:gridCol w:w="1130"/>
        <w:gridCol w:w="1282"/>
        <w:gridCol w:w="1051"/>
        <w:gridCol w:w="839"/>
        <w:gridCol w:w="844"/>
      </w:tblGrid>
      <w:tr w:rsidR="00BC0049" w14:paraId="2E64C4A9"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69C2C909"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Item</w:t>
            </w:r>
          </w:p>
          <w:p w14:paraId="70A74D1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do</w:t>
            </w:r>
          </w:p>
          <w:p w14:paraId="5D4537A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43741865"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 xml:space="preserve">Fornecedor </w:t>
            </w:r>
            <w:r>
              <w:rPr>
                <w:rFonts w:ascii="Times New Roman" w:hAnsi="Times New Roman" w:cs="Times New Roman"/>
                <w:i/>
                <w:sz w:val="20"/>
                <w:szCs w:val="20"/>
              </w:rPr>
              <w:t>(razão social, CNPJ/MF, endereço, contatos, representante)</w:t>
            </w:r>
          </w:p>
          <w:p w14:paraId="57D8ACA9" w14:textId="77777777" w:rsidR="00BC0049" w:rsidRDefault="00BC0049">
            <w:pPr>
              <w:widowControl w:val="0"/>
              <w:ind w:right="-30"/>
              <w:jc w:val="center"/>
              <w:rPr>
                <w:rFonts w:ascii="Times New Roman" w:hAnsi="Times New Roman" w:cs="Times New Roman"/>
                <w:sz w:val="20"/>
                <w:szCs w:val="20"/>
              </w:rPr>
            </w:pPr>
          </w:p>
        </w:tc>
      </w:tr>
      <w:tr w:rsidR="00BC0049" w14:paraId="4D7B7A94" w14:textId="77777777">
        <w:trPr>
          <w:trHeight w:val="674"/>
        </w:trPr>
        <w:tc>
          <w:tcPr>
            <w:tcW w:w="695" w:type="dxa"/>
            <w:tcBorders>
              <w:left w:val="single" w:sz="2" w:space="0" w:color="000000"/>
              <w:bottom w:val="single" w:sz="2" w:space="0" w:color="000000"/>
            </w:tcBorders>
            <w:vAlign w:val="center"/>
          </w:tcPr>
          <w:p w14:paraId="6AD9452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X</w:t>
            </w:r>
          </w:p>
        </w:tc>
        <w:tc>
          <w:tcPr>
            <w:tcW w:w="1133" w:type="dxa"/>
            <w:tcBorders>
              <w:left w:val="single" w:sz="2" w:space="0" w:color="000000"/>
              <w:bottom w:val="single" w:sz="2" w:space="0" w:color="000000"/>
            </w:tcBorders>
          </w:tcPr>
          <w:p w14:paraId="2C3E1CF8" w14:textId="77777777" w:rsidR="00BC0049" w:rsidRDefault="002B07EE">
            <w:pPr>
              <w:widowControl w:val="0"/>
              <w:ind w:right="-30"/>
              <w:jc w:val="both"/>
              <w:rPr>
                <w:rFonts w:ascii="Times New Roman" w:hAnsi="Times New Roman" w:cs="Times New Roman"/>
                <w:sz w:val="20"/>
                <w:szCs w:val="20"/>
              </w:rPr>
            </w:pPr>
            <w:r>
              <w:rPr>
                <w:rFonts w:ascii="Times New Roman" w:hAnsi="Times New Roman" w:cs="Times New Roman"/>
                <w:sz w:val="20"/>
                <w:szCs w:val="20"/>
              </w:rPr>
              <w:t>Especificação</w:t>
            </w:r>
          </w:p>
        </w:tc>
        <w:tc>
          <w:tcPr>
            <w:tcW w:w="1258" w:type="dxa"/>
            <w:tcBorders>
              <w:left w:val="single" w:sz="2" w:space="0" w:color="000000"/>
              <w:bottom w:val="single" w:sz="2" w:space="0" w:color="000000"/>
            </w:tcBorders>
          </w:tcPr>
          <w:p w14:paraId="65EA140F"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Marca</w:t>
            </w:r>
          </w:p>
          <w:p w14:paraId="6010659B"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exigida no edital)</w:t>
            </w:r>
          </w:p>
        </w:tc>
        <w:tc>
          <w:tcPr>
            <w:tcW w:w="1159" w:type="dxa"/>
            <w:tcBorders>
              <w:left w:val="single" w:sz="2" w:space="0" w:color="000000"/>
              <w:bottom w:val="single" w:sz="2" w:space="0" w:color="000000"/>
            </w:tcBorders>
          </w:tcPr>
          <w:p w14:paraId="7016C33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Modelo</w:t>
            </w:r>
          </w:p>
          <w:p w14:paraId="344B57D7"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exigido no edital)</w:t>
            </w:r>
          </w:p>
        </w:tc>
        <w:tc>
          <w:tcPr>
            <w:tcW w:w="1130" w:type="dxa"/>
            <w:tcBorders>
              <w:left w:val="single" w:sz="2" w:space="0" w:color="000000"/>
              <w:bottom w:val="single" w:sz="2" w:space="0" w:color="000000"/>
            </w:tcBorders>
          </w:tcPr>
          <w:p w14:paraId="4975A48D"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Unidade</w:t>
            </w:r>
          </w:p>
        </w:tc>
        <w:tc>
          <w:tcPr>
            <w:tcW w:w="1282" w:type="dxa"/>
            <w:tcBorders>
              <w:left w:val="single" w:sz="2" w:space="0" w:color="000000"/>
              <w:bottom w:val="single" w:sz="2" w:space="0" w:color="000000"/>
            </w:tcBorders>
          </w:tcPr>
          <w:p w14:paraId="4136A01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w:t>
            </w:r>
          </w:p>
          <w:p w14:paraId="67A7AD20"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Máxima</w:t>
            </w:r>
          </w:p>
        </w:tc>
        <w:tc>
          <w:tcPr>
            <w:tcW w:w="1051" w:type="dxa"/>
            <w:tcBorders>
              <w:left w:val="single" w:sz="2" w:space="0" w:color="000000"/>
              <w:bottom w:val="single" w:sz="2" w:space="0" w:color="000000"/>
              <w:right w:val="single" w:sz="2" w:space="0" w:color="000000"/>
            </w:tcBorders>
          </w:tcPr>
          <w:p w14:paraId="26A9959E"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 Mínima</w:t>
            </w:r>
          </w:p>
        </w:tc>
        <w:tc>
          <w:tcPr>
            <w:tcW w:w="839" w:type="dxa"/>
            <w:tcBorders>
              <w:left w:val="single" w:sz="2" w:space="0" w:color="000000"/>
              <w:bottom w:val="single" w:sz="2" w:space="0" w:color="000000"/>
            </w:tcBorders>
          </w:tcPr>
          <w:p w14:paraId="52DDA4F1"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Valor Un</w:t>
            </w:r>
          </w:p>
        </w:tc>
        <w:tc>
          <w:tcPr>
            <w:tcW w:w="844" w:type="dxa"/>
            <w:tcBorders>
              <w:left w:val="single" w:sz="2" w:space="0" w:color="000000"/>
              <w:bottom w:val="single" w:sz="2" w:space="0" w:color="000000"/>
              <w:right w:val="single" w:sz="2" w:space="0" w:color="000000"/>
            </w:tcBorders>
          </w:tcPr>
          <w:p w14:paraId="1C0D838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Prazo garantia ou validade</w:t>
            </w:r>
          </w:p>
        </w:tc>
      </w:tr>
      <w:tr w:rsidR="00BC0049" w14:paraId="62B98A7E" w14:textId="77777777">
        <w:trPr>
          <w:trHeight w:val="174"/>
        </w:trPr>
        <w:tc>
          <w:tcPr>
            <w:tcW w:w="695" w:type="dxa"/>
            <w:tcBorders>
              <w:left w:val="single" w:sz="2" w:space="0" w:color="000000"/>
              <w:bottom w:val="single" w:sz="2" w:space="0" w:color="000000"/>
            </w:tcBorders>
          </w:tcPr>
          <w:p w14:paraId="151A63DF" w14:textId="77777777" w:rsidR="00BC0049" w:rsidRDefault="00BC0049">
            <w:pPr>
              <w:widowControl w:val="0"/>
              <w:ind w:right="-30"/>
              <w:jc w:val="both"/>
              <w:rPr>
                <w:rFonts w:ascii="Times New Roman" w:hAnsi="Times New Roman" w:cs="Times New Roman"/>
                <w:sz w:val="20"/>
                <w:szCs w:val="20"/>
              </w:rPr>
            </w:pPr>
          </w:p>
        </w:tc>
        <w:tc>
          <w:tcPr>
            <w:tcW w:w="1133" w:type="dxa"/>
            <w:tcBorders>
              <w:left w:val="single" w:sz="2" w:space="0" w:color="000000"/>
              <w:bottom w:val="single" w:sz="2" w:space="0" w:color="000000"/>
            </w:tcBorders>
          </w:tcPr>
          <w:p w14:paraId="30762F44" w14:textId="77777777" w:rsidR="00BC0049" w:rsidRDefault="00BC0049">
            <w:pPr>
              <w:widowControl w:val="0"/>
              <w:ind w:right="-30"/>
              <w:jc w:val="both"/>
              <w:rPr>
                <w:rFonts w:ascii="Times New Roman" w:hAnsi="Times New Roman" w:cs="Times New Roman"/>
                <w:sz w:val="20"/>
                <w:szCs w:val="20"/>
              </w:rPr>
            </w:pPr>
          </w:p>
        </w:tc>
        <w:tc>
          <w:tcPr>
            <w:tcW w:w="1258" w:type="dxa"/>
            <w:tcBorders>
              <w:left w:val="single" w:sz="2" w:space="0" w:color="000000"/>
              <w:bottom w:val="single" w:sz="2" w:space="0" w:color="000000"/>
            </w:tcBorders>
          </w:tcPr>
          <w:p w14:paraId="41000198" w14:textId="77777777" w:rsidR="00BC0049" w:rsidRDefault="00BC0049">
            <w:pPr>
              <w:widowControl w:val="0"/>
              <w:ind w:right="-30"/>
              <w:jc w:val="both"/>
              <w:rPr>
                <w:rFonts w:ascii="Times New Roman" w:hAnsi="Times New Roman" w:cs="Times New Roman"/>
                <w:sz w:val="20"/>
                <w:szCs w:val="20"/>
              </w:rPr>
            </w:pPr>
          </w:p>
        </w:tc>
        <w:tc>
          <w:tcPr>
            <w:tcW w:w="1159" w:type="dxa"/>
            <w:tcBorders>
              <w:left w:val="single" w:sz="2" w:space="0" w:color="000000"/>
              <w:bottom w:val="single" w:sz="2" w:space="0" w:color="000000"/>
            </w:tcBorders>
          </w:tcPr>
          <w:p w14:paraId="3849FF68" w14:textId="77777777" w:rsidR="00BC0049" w:rsidRDefault="00BC0049">
            <w:pPr>
              <w:widowControl w:val="0"/>
              <w:ind w:right="-30"/>
              <w:jc w:val="both"/>
              <w:rPr>
                <w:rFonts w:ascii="Times New Roman" w:hAnsi="Times New Roman" w:cs="Times New Roman"/>
                <w:sz w:val="20"/>
                <w:szCs w:val="20"/>
              </w:rPr>
            </w:pPr>
          </w:p>
        </w:tc>
        <w:tc>
          <w:tcPr>
            <w:tcW w:w="1130" w:type="dxa"/>
            <w:tcBorders>
              <w:left w:val="single" w:sz="2" w:space="0" w:color="000000"/>
              <w:bottom w:val="single" w:sz="2" w:space="0" w:color="000000"/>
            </w:tcBorders>
          </w:tcPr>
          <w:p w14:paraId="09D814CC" w14:textId="77777777" w:rsidR="00BC0049" w:rsidRDefault="00BC0049">
            <w:pPr>
              <w:widowControl w:val="0"/>
              <w:ind w:right="-30"/>
              <w:jc w:val="both"/>
              <w:rPr>
                <w:rFonts w:ascii="Times New Roman" w:hAnsi="Times New Roman" w:cs="Times New Roman"/>
                <w:sz w:val="20"/>
                <w:szCs w:val="20"/>
              </w:rPr>
            </w:pPr>
          </w:p>
        </w:tc>
        <w:tc>
          <w:tcPr>
            <w:tcW w:w="1282" w:type="dxa"/>
            <w:tcBorders>
              <w:left w:val="single" w:sz="2" w:space="0" w:color="000000"/>
              <w:bottom w:val="single" w:sz="2" w:space="0" w:color="000000"/>
            </w:tcBorders>
          </w:tcPr>
          <w:p w14:paraId="41A28BAF" w14:textId="77777777" w:rsidR="00BC0049" w:rsidRDefault="00BC0049">
            <w:pPr>
              <w:widowControl w:val="0"/>
              <w:ind w:right="-30"/>
              <w:jc w:val="both"/>
              <w:rPr>
                <w:rFonts w:ascii="Times New Roman" w:hAnsi="Times New Roman" w:cs="Times New Roman"/>
                <w:sz w:val="20"/>
                <w:szCs w:val="20"/>
              </w:rPr>
            </w:pPr>
          </w:p>
        </w:tc>
        <w:tc>
          <w:tcPr>
            <w:tcW w:w="1051" w:type="dxa"/>
            <w:tcBorders>
              <w:left w:val="single" w:sz="2" w:space="0" w:color="000000"/>
              <w:bottom w:val="single" w:sz="2" w:space="0" w:color="000000"/>
              <w:right w:val="single" w:sz="2" w:space="0" w:color="000000"/>
            </w:tcBorders>
          </w:tcPr>
          <w:p w14:paraId="13D58D8C" w14:textId="77777777" w:rsidR="00BC0049" w:rsidRDefault="00BC0049">
            <w:pPr>
              <w:widowControl w:val="0"/>
              <w:ind w:right="-30"/>
              <w:jc w:val="both"/>
              <w:rPr>
                <w:rFonts w:ascii="Times New Roman" w:hAnsi="Times New Roman" w:cs="Times New Roman"/>
                <w:sz w:val="20"/>
                <w:szCs w:val="20"/>
              </w:rPr>
            </w:pPr>
          </w:p>
        </w:tc>
        <w:tc>
          <w:tcPr>
            <w:tcW w:w="839" w:type="dxa"/>
            <w:tcBorders>
              <w:left w:val="single" w:sz="2" w:space="0" w:color="000000"/>
              <w:bottom w:val="single" w:sz="2" w:space="0" w:color="000000"/>
            </w:tcBorders>
          </w:tcPr>
          <w:p w14:paraId="02A3E697" w14:textId="77777777" w:rsidR="00BC0049" w:rsidRDefault="00BC0049">
            <w:pPr>
              <w:widowControl w:val="0"/>
              <w:ind w:right="-30"/>
              <w:jc w:val="both"/>
              <w:rPr>
                <w:rFonts w:ascii="Times New Roman" w:hAnsi="Times New Roman" w:cs="Times New Roman"/>
                <w:sz w:val="20"/>
                <w:szCs w:val="20"/>
              </w:rPr>
            </w:pPr>
          </w:p>
        </w:tc>
        <w:tc>
          <w:tcPr>
            <w:tcW w:w="844" w:type="dxa"/>
            <w:tcBorders>
              <w:left w:val="single" w:sz="2" w:space="0" w:color="000000"/>
              <w:bottom w:val="single" w:sz="2" w:space="0" w:color="000000"/>
              <w:right w:val="single" w:sz="2" w:space="0" w:color="000000"/>
            </w:tcBorders>
          </w:tcPr>
          <w:p w14:paraId="64D1E135" w14:textId="77777777" w:rsidR="00BC0049" w:rsidRDefault="00BC0049">
            <w:pPr>
              <w:widowControl w:val="0"/>
              <w:ind w:right="-30"/>
              <w:jc w:val="both"/>
              <w:rPr>
                <w:rFonts w:ascii="Times New Roman" w:hAnsi="Times New Roman" w:cs="Times New Roman"/>
                <w:sz w:val="20"/>
                <w:szCs w:val="20"/>
              </w:rPr>
            </w:pPr>
          </w:p>
        </w:tc>
      </w:tr>
    </w:tbl>
    <w:p w14:paraId="0302E542" w14:textId="77777777" w:rsidR="00BC0049" w:rsidRDefault="00BC0049">
      <w:pPr>
        <w:widowControl w:val="0"/>
        <w:ind w:right="-30"/>
        <w:jc w:val="center"/>
        <w:rPr>
          <w:rFonts w:ascii="Times New Roman" w:hAnsi="Times New Roman" w:cs="Times New Roman"/>
          <w:sz w:val="20"/>
          <w:szCs w:val="20"/>
        </w:rPr>
      </w:pPr>
    </w:p>
    <w:p w14:paraId="2121D485" w14:textId="77777777" w:rsidR="00BC0049" w:rsidRDefault="00BC0049">
      <w:pPr>
        <w:jc w:val="center"/>
        <w:rPr>
          <w:rFonts w:ascii="Times New Roman" w:hAnsi="Times New Roman" w:cs="Times New Roman"/>
          <w:sz w:val="20"/>
          <w:szCs w:val="20"/>
        </w:rPr>
      </w:pPr>
    </w:p>
    <w:p w14:paraId="29E2A6FF" w14:textId="77777777" w:rsidR="00BC0049" w:rsidRDefault="00BC0049">
      <w:pPr>
        <w:widowControl w:val="0"/>
        <w:ind w:right="-30"/>
        <w:jc w:val="center"/>
        <w:rPr>
          <w:rFonts w:ascii="Times New Roman" w:hAnsi="Times New Roman" w:cs="Times New Roman"/>
          <w:sz w:val="20"/>
          <w:szCs w:val="20"/>
        </w:rPr>
      </w:pPr>
    </w:p>
    <w:p w14:paraId="772D4359" w14:textId="77777777" w:rsidR="00BC0049" w:rsidRDefault="00BC0049">
      <w:pPr>
        <w:widowControl w:val="0"/>
        <w:ind w:right="-30"/>
        <w:jc w:val="center"/>
        <w:rPr>
          <w:rFonts w:ascii="Times New Roman" w:hAnsi="Times New Roman" w:cs="Times New Roman"/>
          <w:sz w:val="20"/>
          <w:szCs w:val="20"/>
        </w:rPr>
      </w:pPr>
    </w:p>
    <w:p w14:paraId="1E7DAECF" w14:textId="77777777" w:rsidR="00BC0049" w:rsidRDefault="00BC0049">
      <w:pPr>
        <w:widowControl w:val="0"/>
        <w:ind w:right="-30"/>
        <w:jc w:val="center"/>
        <w:rPr>
          <w:rFonts w:ascii="Times New Roman" w:hAnsi="Times New Roman" w:cs="Times New Roman"/>
          <w:sz w:val="20"/>
          <w:szCs w:val="20"/>
        </w:rPr>
      </w:pPr>
    </w:p>
    <w:p w14:paraId="56A8103E" w14:textId="77777777" w:rsidR="00BC0049" w:rsidRDefault="00BC0049">
      <w:pPr>
        <w:widowControl w:val="0"/>
        <w:ind w:right="-30"/>
        <w:jc w:val="center"/>
        <w:rPr>
          <w:rFonts w:ascii="Times New Roman" w:hAnsi="Times New Roman" w:cs="Times New Roman"/>
          <w:sz w:val="20"/>
          <w:szCs w:val="20"/>
        </w:rPr>
      </w:pPr>
    </w:p>
    <w:p w14:paraId="0883FA96" w14:textId="77777777" w:rsidR="00BC0049" w:rsidRDefault="00BC0049">
      <w:pPr>
        <w:widowControl w:val="0"/>
        <w:ind w:right="-30"/>
        <w:rPr>
          <w:rFonts w:ascii="Times New Roman" w:hAnsi="Times New Roman" w:cs="Times New Roman"/>
          <w:sz w:val="20"/>
          <w:szCs w:val="20"/>
        </w:rPr>
      </w:pPr>
    </w:p>
    <w:p w14:paraId="4A30FAB9" w14:textId="77777777" w:rsidR="00BC0049" w:rsidRDefault="00BC0049">
      <w:pPr>
        <w:widowControl w:val="0"/>
        <w:ind w:right="-30"/>
        <w:rPr>
          <w:rFonts w:ascii="Times New Roman" w:hAnsi="Times New Roman" w:cs="Times New Roman"/>
          <w:sz w:val="20"/>
          <w:szCs w:val="20"/>
        </w:rPr>
      </w:pPr>
    </w:p>
    <w:p w14:paraId="540F67D1" w14:textId="77777777" w:rsidR="00BC0049" w:rsidRDefault="00BC0049">
      <w:pPr>
        <w:widowControl w:val="0"/>
        <w:ind w:right="-30"/>
        <w:rPr>
          <w:rFonts w:ascii="Times New Roman" w:hAnsi="Times New Roman" w:cs="Times New Roman"/>
          <w:sz w:val="20"/>
          <w:szCs w:val="20"/>
        </w:rPr>
      </w:pPr>
    </w:p>
    <w:p w14:paraId="6E0EAA3E" w14:textId="77777777" w:rsidR="00BC0049" w:rsidRDefault="00BC0049">
      <w:pPr>
        <w:widowControl w:val="0"/>
        <w:ind w:right="-30"/>
        <w:rPr>
          <w:rFonts w:ascii="Times New Roman" w:hAnsi="Times New Roman" w:cs="Times New Roman"/>
          <w:sz w:val="20"/>
          <w:szCs w:val="20"/>
        </w:rPr>
      </w:pPr>
    </w:p>
    <w:p w14:paraId="43A60D40" w14:textId="77777777" w:rsidR="00BC0049" w:rsidRDefault="00BC0049">
      <w:pPr>
        <w:widowControl w:val="0"/>
        <w:ind w:right="-30"/>
        <w:rPr>
          <w:rFonts w:ascii="Times New Roman" w:hAnsi="Times New Roman" w:cs="Times New Roman"/>
          <w:sz w:val="20"/>
          <w:szCs w:val="20"/>
        </w:rPr>
      </w:pPr>
    </w:p>
    <w:p w14:paraId="54572C7C" w14:textId="77777777" w:rsidR="00BC0049" w:rsidRDefault="00BC0049">
      <w:pPr>
        <w:widowControl w:val="0"/>
        <w:ind w:right="-30"/>
        <w:rPr>
          <w:rFonts w:ascii="Times New Roman" w:hAnsi="Times New Roman" w:cs="Times New Roman"/>
          <w:sz w:val="20"/>
          <w:szCs w:val="20"/>
        </w:rPr>
      </w:pPr>
    </w:p>
    <w:p w14:paraId="2F5281E4" w14:textId="77777777" w:rsidR="00BC0049" w:rsidRDefault="00BC0049">
      <w:pPr>
        <w:widowControl w:val="0"/>
        <w:ind w:right="-30"/>
        <w:rPr>
          <w:rFonts w:ascii="Times New Roman" w:hAnsi="Times New Roman" w:cs="Times New Roman"/>
          <w:sz w:val="20"/>
          <w:szCs w:val="20"/>
        </w:rPr>
      </w:pPr>
    </w:p>
    <w:p w14:paraId="0B4DD070" w14:textId="77777777" w:rsidR="00BC0049" w:rsidRDefault="00BC0049">
      <w:pPr>
        <w:widowControl w:val="0"/>
        <w:ind w:right="-30"/>
        <w:rPr>
          <w:rFonts w:ascii="Times New Roman" w:hAnsi="Times New Roman" w:cs="Times New Roman"/>
          <w:sz w:val="20"/>
          <w:szCs w:val="20"/>
        </w:rPr>
      </w:pPr>
    </w:p>
    <w:p w14:paraId="43420C8A" w14:textId="77777777" w:rsidR="00BC0049" w:rsidRDefault="00BC0049">
      <w:pPr>
        <w:widowControl w:val="0"/>
        <w:ind w:right="-30"/>
        <w:rPr>
          <w:rFonts w:ascii="Times New Roman" w:hAnsi="Times New Roman" w:cs="Times New Roman"/>
          <w:sz w:val="20"/>
          <w:szCs w:val="20"/>
        </w:rPr>
      </w:pPr>
    </w:p>
    <w:p w14:paraId="57E7D848" w14:textId="77777777" w:rsidR="00BC0049" w:rsidRDefault="00BC0049">
      <w:pPr>
        <w:widowControl w:val="0"/>
        <w:ind w:right="-30"/>
        <w:rPr>
          <w:rFonts w:ascii="Times New Roman" w:hAnsi="Times New Roman" w:cs="Times New Roman"/>
          <w:sz w:val="20"/>
          <w:szCs w:val="20"/>
        </w:rPr>
      </w:pPr>
    </w:p>
    <w:p w14:paraId="74612D4D" w14:textId="77777777" w:rsidR="00BC0049" w:rsidRDefault="00BC0049">
      <w:pPr>
        <w:widowControl w:val="0"/>
        <w:ind w:right="-30"/>
        <w:rPr>
          <w:rFonts w:ascii="Times New Roman" w:hAnsi="Times New Roman" w:cs="Times New Roman"/>
          <w:sz w:val="20"/>
          <w:szCs w:val="20"/>
        </w:rPr>
      </w:pPr>
    </w:p>
    <w:p w14:paraId="4F13D96F" w14:textId="77777777" w:rsidR="00BC0049" w:rsidRDefault="00BC0049">
      <w:pPr>
        <w:widowControl w:val="0"/>
        <w:ind w:right="-30"/>
        <w:rPr>
          <w:rFonts w:ascii="Times New Roman" w:hAnsi="Times New Roman" w:cs="Times New Roman"/>
          <w:sz w:val="20"/>
          <w:szCs w:val="20"/>
        </w:rPr>
      </w:pPr>
    </w:p>
    <w:p w14:paraId="478957E8" w14:textId="77777777" w:rsidR="00BC0049" w:rsidRDefault="00BC0049">
      <w:pPr>
        <w:widowControl w:val="0"/>
        <w:ind w:right="-30"/>
        <w:rPr>
          <w:rFonts w:ascii="Times New Roman" w:hAnsi="Times New Roman" w:cs="Times New Roman"/>
          <w:sz w:val="20"/>
          <w:szCs w:val="20"/>
        </w:rPr>
      </w:pPr>
    </w:p>
    <w:p w14:paraId="7AFE3E49" w14:textId="77777777" w:rsidR="00BC0049" w:rsidRDefault="00BC0049">
      <w:pPr>
        <w:widowControl w:val="0"/>
        <w:ind w:right="-30"/>
        <w:rPr>
          <w:rFonts w:ascii="Times New Roman" w:hAnsi="Times New Roman" w:cs="Times New Roman"/>
          <w:sz w:val="20"/>
          <w:szCs w:val="20"/>
        </w:rPr>
      </w:pPr>
    </w:p>
    <w:p w14:paraId="06A88304" w14:textId="77777777" w:rsidR="00BC0049" w:rsidRDefault="00BC0049">
      <w:pPr>
        <w:widowControl w:val="0"/>
        <w:ind w:right="-30"/>
        <w:rPr>
          <w:rFonts w:ascii="Times New Roman" w:hAnsi="Times New Roman" w:cs="Times New Roman"/>
          <w:sz w:val="20"/>
          <w:szCs w:val="20"/>
        </w:rPr>
      </w:pPr>
    </w:p>
    <w:p w14:paraId="09B6D3BF" w14:textId="77777777" w:rsidR="00BC0049" w:rsidRDefault="00BC0049">
      <w:pPr>
        <w:widowControl w:val="0"/>
        <w:ind w:right="-30"/>
        <w:rPr>
          <w:rFonts w:ascii="Times New Roman" w:hAnsi="Times New Roman" w:cs="Times New Roman"/>
          <w:sz w:val="20"/>
          <w:szCs w:val="20"/>
        </w:rPr>
      </w:pPr>
    </w:p>
    <w:p w14:paraId="45E60F11" w14:textId="77777777" w:rsidR="00BC0049" w:rsidRDefault="00BC0049">
      <w:pPr>
        <w:widowControl w:val="0"/>
        <w:ind w:right="-30"/>
        <w:rPr>
          <w:rFonts w:ascii="Times New Roman" w:hAnsi="Times New Roman" w:cs="Times New Roman"/>
          <w:sz w:val="20"/>
          <w:szCs w:val="20"/>
        </w:rPr>
      </w:pPr>
    </w:p>
    <w:p w14:paraId="25DCE05C" w14:textId="77777777" w:rsidR="00BC0049" w:rsidRDefault="00BC0049">
      <w:pPr>
        <w:widowControl w:val="0"/>
        <w:ind w:right="-30"/>
        <w:rPr>
          <w:rFonts w:ascii="Times New Roman" w:hAnsi="Times New Roman" w:cs="Times New Roman"/>
          <w:sz w:val="20"/>
          <w:szCs w:val="20"/>
        </w:rPr>
      </w:pPr>
    </w:p>
    <w:p w14:paraId="2597F374" w14:textId="77777777" w:rsidR="00BC0049" w:rsidRDefault="00BC0049">
      <w:pPr>
        <w:widowControl w:val="0"/>
        <w:ind w:right="-30"/>
        <w:rPr>
          <w:rFonts w:ascii="Times New Roman" w:hAnsi="Times New Roman" w:cs="Times New Roman"/>
          <w:sz w:val="20"/>
          <w:szCs w:val="20"/>
        </w:rPr>
      </w:pPr>
    </w:p>
    <w:p w14:paraId="51636E4C" w14:textId="77777777" w:rsidR="00BC0049" w:rsidRDefault="00BC0049">
      <w:pPr>
        <w:widowControl w:val="0"/>
        <w:ind w:right="-30"/>
        <w:rPr>
          <w:rFonts w:ascii="Times New Roman" w:hAnsi="Times New Roman" w:cs="Times New Roman"/>
          <w:sz w:val="20"/>
          <w:szCs w:val="20"/>
        </w:rPr>
      </w:pPr>
    </w:p>
    <w:p w14:paraId="6E8B4C8C" w14:textId="77777777" w:rsidR="00BC0049" w:rsidRDefault="00BC0049">
      <w:pPr>
        <w:widowControl w:val="0"/>
        <w:ind w:right="-30"/>
        <w:rPr>
          <w:rFonts w:ascii="Times New Roman" w:hAnsi="Times New Roman" w:cs="Times New Roman"/>
          <w:sz w:val="20"/>
          <w:szCs w:val="20"/>
        </w:rPr>
      </w:pPr>
    </w:p>
    <w:p w14:paraId="7104891F" w14:textId="77777777" w:rsidR="00BC0049" w:rsidRDefault="00BC0049">
      <w:pPr>
        <w:widowControl w:val="0"/>
        <w:ind w:right="-30"/>
        <w:rPr>
          <w:rFonts w:ascii="Times New Roman" w:hAnsi="Times New Roman" w:cs="Times New Roman"/>
          <w:sz w:val="20"/>
          <w:szCs w:val="20"/>
        </w:rPr>
      </w:pPr>
    </w:p>
    <w:p w14:paraId="560D6A9D" w14:textId="77777777" w:rsidR="00BC0049" w:rsidRDefault="00BC0049">
      <w:pPr>
        <w:widowControl w:val="0"/>
        <w:ind w:right="-30"/>
        <w:rPr>
          <w:rFonts w:ascii="Times New Roman" w:hAnsi="Times New Roman" w:cs="Times New Roman"/>
          <w:sz w:val="20"/>
          <w:szCs w:val="20"/>
        </w:rPr>
      </w:pPr>
    </w:p>
    <w:p w14:paraId="5BBFE8B8" w14:textId="77777777" w:rsidR="00BC0049" w:rsidRDefault="00BC0049">
      <w:pPr>
        <w:widowControl w:val="0"/>
        <w:ind w:right="-30"/>
        <w:rPr>
          <w:rFonts w:ascii="Times New Roman" w:hAnsi="Times New Roman" w:cs="Times New Roman"/>
          <w:sz w:val="20"/>
          <w:szCs w:val="20"/>
        </w:rPr>
      </w:pPr>
    </w:p>
    <w:p w14:paraId="6C4FB2F5" w14:textId="77777777" w:rsidR="00BC0049" w:rsidRDefault="00BC0049">
      <w:pPr>
        <w:widowControl w:val="0"/>
        <w:ind w:right="-30"/>
        <w:rPr>
          <w:rFonts w:ascii="Times New Roman" w:hAnsi="Times New Roman" w:cs="Times New Roman"/>
          <w:sz w:val="20"/>
          <w:szCs w:val="20"/>
        </w:rPr>
      </w:pPr>
    </w:p>
    <w:p w14:paraId="48915238" w14:textId="77777777" w:rsidR="00BC0049" w:rsidRDefault="00BC0049">
      <w:pPr>
        <w:widowControl w:val="0"/>
        <w:ind w:right="-30"/>
        <w:rPr>
          <w:rFonts w:ascii="Times New Roman" w:hAnsi="Times New Roman" w:cs="Times New Roman"/>
          <w:sz w:val="20"/>
          <w:szCs w:val="20"/>
        </w:rPr>
      </w:pPr>
    </w:p>
    <w:p w14:paraId="0A0C19DF" w14:textId="77777777" w:rsidR="00BC0049" w:rsidRDefault="002B07EE">
      <w:pPr>
        <w:widowControl w:val="0"/>
        <w:ind w:right="-30"/>
        <w:jc w:val="center"/>
        <w:rPr>
          <w:rFonts w:ascii="Times New Roman" w:hAnsi="Times New Roman" w:cs="Times New Roman"/>
          <w:b/>
          <w:bCs/>
          <w:sz w:val="20"/>
          <w:szCs w:val="20"/>
        </w:rPr>
      </w:pPr>
      <w:r>
        <w:rPr>
          <w:rFonts w:ascii="Times New Roman" w:hAnsi="Times New Roman" w:cs="Times New Roman"/>
          <w:b/>
          <w:bCs/>
          <w:sz w:val="20"/>
          <w:szCs w:val="20"/>
        </w:rPr>
        <w:t>ANEXO V</w:t>
      </w:r>
      <w:bookmarkStart w:id="42" w:name="_Hlk195192677"/>
    </w:p>
    <w:p w14:paraId="0D49263B" w14:textId="77777777" w:rsidR="00BC0049" w:rsidRDefault="00BC0049">
      <w:pPr>
        <w:widowControl w:val="0"/>
        <w:ind w:right="-30"/>
        <w:jc w:val="center"/>
        <w:rPr>
          <w:rFonts w:ascii="Times New Roman" w:hAnsi="Times New Roman" w:cs="Times New Roman"/>
          <w:b/>
          <w:bCs/>
          <w:sz w:val="20"/>
          <w:szCs w:val="20"/>
        </w:rPr>
      </w:pPr>
    </w:p>
    <w:p w14:paraId="4A4C4AF9" w14:textId="77777777" w:rsidR="00BC0049" w:rsidRDefault="002B07EE">
      <w:pPr>
        <w:jc w:val="center"/>
        <w:rPr>
          <w:rFonts w:ascii="Times New Roman" w:hAnsi="Times New Roman" w:cs="Times New Roman"/>
          <w:sz w:val="20"/>
          <w:szCs w:val="20"/>
        </w:rPr>
      </w:pPr>
      <w:bookmarkStart w:id="43" w:name="_Hlk229134630"/>
      <w:r>
        <w:rPr>
          <w:rFonts w:ascii="Times New Roman" w:hAnsi="Times New Roman" w:cs="Times New Roman"/>
          <w:b/>
          <w:sz w:val="20"/>
          <w:szCs w:val="20"/>
        </w:rPr>
        <w:t>ESTADO DO RIO GRANDE DO SUL</w:t>
      </w:r>
    </w:p>
    <w:p w14:paraId="6BE50C5E" w14:textId="77777777" w:rsidR="00BC0049" w:rsidRDefault="002B07EE">
      <w:pPr>
        <w:jc w:val="center"/>
        <w:rPr>
          <w:rFonts w:ascii="Times New Roman" w:hAnsi="Times New Roman" w:cs="Times New Roman"/>
          <w:sz w:val="20"/>
          <w:szCs w:val="20"/>
        </w:rPr>
      </w:pPr>
      <w:r>
        <w:rPr>
          <w:rFonts w:ascii="Times New Roman" w:hAnsi="Times New Roman" w:cs="Times New Roman"/>
          <w:b/>
          <w:sz w:val="20"/>
          <w:szCs w:val="20"/>
        </w:rPr>
        <w:t>PREFEITURA MUNICIPAL DE SANTA BÁRBARA DO SUL</w:t>
      </w:r>
    </w:p>
    <w:p w14:paraId="4D187127" w14:textId="77777777" w:rsidR="00BC0049" w:rsidRDefault="002B07EE">
      <w:pPr>
        <w:jc w:val="center"/>
        <w:rPr>
          <w:rFonts w:ascii="Times New Roman" w:hAnsi="Times New Roman" w:cs="Times New Roman"/>
          <w:sz w:val="20"/>
          <w:szCs w:val="20"/>
        </w:rPr>
      </w:pPr>
      <w:r>
        <w:rPr>
          <w:rFonts w:ascii="Times New Roman" w:hAnsi="Times New Roman" w:cs="Times New Roman"/>
          <w:b/>
          <w:sz w:val="20"/>
          <w:szCs w:val="20"/>
        </w:rPr>
        <w:t>AVISO DE LICITAÇÃO</w:t>
      </w:r>
    </w:p>
    <w:p w14:paraId="3DB9BA83" w14:textId="77777777" w:rsidR="00BC0049" w:rsidRDefault="00BC0049">
      <w:pPr>
        <w:jc w:val="both"/>
        <w:rPr>
          <w:rFonts w:ascii="Times New Roman" w:hAnsi="Times New Roman" w:cs="Times New Roman"/>
          <w:sz w:val="20"/>
          <w:szCs w:val="20"/>
        </w:rPr>
      </w:pPr>
    </w:p>
    <w:p w14:paraId="19350929" w14:textId="6C8D0DF6" w:rsidR="00BC0049" w:rsidRDefault="002B07EE">
      <w:pPr>
        <w:spacing w:line="36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Torno público a </w:t>
      </w:r>
      <w:r w:rsidR="00371FB2">
        <w:rPr>
          <w:rFonts w:ascii="Times New Roman" w:hAnsi="Times New Roman" w:cs="Times New Roman"/>
          <w:sz w:val="20"/>
          <w:szCs w:val="20"/>
        </w:rPr>
        <w:t>ABERTURA</w:t>
      </w:r>
      <w:r>
        <w:rPr>
          <w:rFonts w:ascii="Times New Roman" w:hAnsi="Times New Roman" w:cs="Times New Roman"/>
          <w:sz w:val="20"/>
          <w:szCs w:val="20"/>
        </w:rPr>
        <w:t xml:space="preserve"> do Processo Licitatório n° </w:t>
      </w:r>
      <w:r w:rsidR="00371FB2">
        <w:rPr>
          <w:rFonts w:ascii="Times New Roman" w:hAnsi="Times New Roman" w:cs="Times New Roman"/>
          <w:sz w:val="20"/>
          <w:szCs w:val="20"/>
        </w:rPr>
        <w:t>78/2026</w:t>
      </w:r>
      <w:r>
        <w:rPr>
          <w:rFonts w:ascii="Times New Roman" w:hAnsi="Times New Roman" w:cs="Times New Roman"/>
          <w:sz w:val="20"/>
          <w:szCs w:val="20"/>
        </w:rPr>
        <w:t xml:space="preserve">, na modalidade PREGÃO ELETRÔNICO Nº </w:t>
      </w:r>
      <w:r w:rsidR="00371FB2">
        <w:rPr>
          <w:rFonts w:ascii="Times New Roman" w:hAnsi="Times New Roman" w:cs="Times New Roman"/>
          <w:sz w:val="20"/>
          <w:szCs w:val="20"/>
        </w:rPr>
        <w:t>23/2026</w:t>
      </w:r>
      <w:r>
        <w:rPr>
          <w:rFonts w:ascii="Times New Roman" w:hAnsi="Times New Roman" w:cs="Times New Roman"/>
          <w:sz w:val="20"/>
          <w:szCs w:val="20"/>
        </w:rPr>
        <w:t xml:space="preserve">, </w:t>
      </w:r>
      <w:r w:rsidR="0099522B" w:rsidRPr="00371FB2">
        <w:rPr>
          <w:rFonts w:ascii="Gadugi" w:hAnsi="Gadugi" w:cs="Gadugi"/>
          <w:b/>
          <w:bCs/>
          <w:sz w:val="18"/>
          <w:szCs w:val="18"/>
        </w:rPr>
        <w:t>AQUISIÇÃO DE CESTAS BÁSICAS</w:t>
      </w:r>
      <w:r>
        <w:rPr>
          <w:rFonts w:ascii="Times New Roman" w:hAnsi="Times New Roman" w:cs="Times New Roman"/>
          <w:sz w:val="20"/>
          <w:szCs w:val="20"/>
        </w:rPr>
        <w:t xml:space="preserve">, Início das Propostas: 08:00 h do dia </w:t>
      </w:r>
      <w:r w:rsidR="00E21DE4">
        <w:rPr>
          <w:rFonts w:ascii="Times New Roman" w:hAnsi="Times New Roman" w:cs="Times New Roman"/>
          <w:sz w:val="20"/>
          <w:szCs w:val="20"/>
        </w:rPr>
        <w:t>11</w:t>
      </w:r>
      <w:r w:rsidR="00371FB2">
        <w:rPr>
          <w:rFonts w:ascii="Times New Roman" w:hAnsi="Times New Roman" w:cs="Times New Roman"/>
          <w:sz w:val="20"/>
          <w:szCs w:val="20"/>
        </w:rPr>
        <w:t>/05/2026</w:t>
      </w:r>
      <w:r>
        <w:rPr>
          <w:rFonts w:ascii="Times New Roman" w:hAnsi="Times New Roman" w:cs="Times New Roman"/>
          <w:sz w:val="20"/>
          <w:szCs w:val="20"/>
        </w:rPr>
        <w:t xml:space="preserve"> até as 08:00h do dia </w:t>
      </w:r>
      <w:r w:rsidR="00371FB2">
        <w:rPr>
          <w:rFonts w:ascii="Times New Roman" w:hAnsi="Times New Roman" w:cs="Times New Roman"/>
          <w:sz w:val="20"/>
          <w:szCs w:val="20"/>
        </w:rPr>
        <w:t>22/05/2026</w:t>
      </w:r>
      <w:r>
        <w:rPr>
          <w:rFonts w:ascii="Times New Roman" w:hAnsi="Times New Roman" w:cs="Times New Roman"/>
          <w:sz w:val="20"/>
          <w:szCs w:val="20"/>
        </w:rPr>
        <w:t xml:space="preserve">. Início da sessão Pública: às 08:01hs do dia </w:t>
      </w:r>
      <w:r w:rsidR="00371FB2">
        <w:rPr>
          <w:rFonts w:ascii="Times New Roman" w:hAnsi="Times New Roman" w:cs="Times New Roman"/>
          <w:sz w:val="20"/>
          <w:szCs w:val="20"/>
        </w:rPr>
        <w:t>22/05/2026</w:t>
      </w:r>
      <w:r>
        <w:rPr>
          <w:rFonts w:ascii="Times New Roman" w:hAnsi="Times New Roman" w:cs="Times New Roman"/>
          <w:sz w:val="20"/>
          <w:szCs w:val="20"/>
        </w:rPr>
        <w:t xml:space="preserve">, todos via portal no horário de Brasília – DF. O Edital e informações complementares encontram-se a disposição dos interessados, junto à Comissão de Licitações, sito a Av. Eduardo de Brito, 101, Fone: 0xx 55 92000-7948, no horário de expediente e nos Sites: </w:t>
      </w:r>
      <w:hyperlink r:id="rId34">
        <w:r>
          <w:rPr>
            <w:rStyle w:val="Hyperlink"/>
            <w:rFonts w:ascii="Times New Roman" w:hAnsi="Times New Roman" w:cs="Times New Roman"/>
            <w:sz w:val="20"/>
            <w:szCs w:val="20"/>
          </w:rPr>
          <w:t>https://www.santabarbaradosul.rs.gov.br</w:t>
        </w:r>
      </w:hyperlink>
      <w:r>
        <w:rPr>
          <w:rFonts w:ascii="Times New Roman" w:hAnsi="Times New Roman" w:cs="Times New Roman"/>
          <w:sz w:val="20"/>
          <w:szCs w:val="20"/>
        </w:rPr>
        <w:t xml:space="preserve"> /site </w:t>
      </w:r>
      <w:r>
        <w:rPr>
          <w:rStyle w:val="Hyperlink1"/>
          <w:rFonts w:ascii="Times New Roman" w:hAnsi="Times New Roman" w:cs="Times New Roman"/>
          <w:color w:val="auto"/>
          <w:sz w:val="20"/>
          <w:szCs w:val="20"/>
          <w:u w:val="none"/>
        </w:rPr>
        <w:t xml:space="preserve">ou </w:t>
      </w:r>
      <w:hyperlink r:id="rId35">
        <w:r>
          <w:rPr>
            <w:rStyle w:val="Hyperlink"/>
            <w:rFonts w:ascii="Times New Roman" w:hAnsi="Times New Roman" w:cs="Times New Roman"/>
            <w:sz w:val="20"/>
            <w:szCs w:val="20"/>
          </w:rPr>
          <w:t>https://pregaobanrisul.com.br/</w:t>
        </w:r>
      </w:hyperlink>
      <w:r>
        <w:rPr>
          <w:rFonts w:ascii="Times New Roman" w:hAnsi="Times New Roman" w:cs="Times New Roman"/>
          <w:sz w:val="20"/>
          <w:szCs w:val="20"/>
        </w:rPr>
        <w:t>.</w:t>
      </w:r>
    </w:p>
    <w:p w14:paraId="22AD2E02" w14:textId="77777777" w:rsidR="00BC0049" w:rsidRDefault="00BC0049">
      <w:pPr>
        <w:spacing w:line="360" w:lineRule="auto"/>
        <w:ind w:firstLine="426"/>
        <w:jc w:val="both"/>
        <w:rPr>
          <w:rFonts w:ascii="Times New Roman" w:hAnsi="Times New Roman" w:cs="Times New Roman"/>
          <w:sz w:val="20"/>
          <w:szCs w:val="20"/>
        </w:rPr>
      </w:pPr>
    </w:p>
    <w:p w14:paraId="68CABA79" w14:textId="77777777" w:rsidR="00BC0049" w:rsidRDefault="002B07EE">
      <w:pPr>
        <w:spacing w:line="360" w:lineRule="auto"/>
        <w:jc w:val="both"/>
        <w:rPr>
          <w:rFonts w:ascii="Times New Roman" w:hAnsi="Times New Roman" w:cs="Times New Roman"/>
          <w:sz w:val="20"/>
          <w:szCs w:val="20"/>
        </w:rPr>
      </w:pPr>
      <w:r>
        <w:rPr>
          <w:rStyle w:val="Hyperlink1"/>
          <w:rFonts w:ascii="Times New Roman" w:hAnsi="Times New Roman" w:cs="Times New Roman"/>
          <w:i/>
          <w:color w:val="auto"/>
          <w:sz w:val="20"/>
          <w:szCs w:val="20"/>
          <w:u w:val="none"/>
        </w:rPr>
        <w:t xml:space="preserve">Emitido por </w:t>
      </w:r>
      <w:proofErr w:type="spellStart"/>
      <w:r>
        <w:rPr>
          <w:rStyle w:val="Hyperlink1"/>
          <w:rFonts w:ascii="Times New Roman" w:hAnsi="Times New Roman" w:cs="Times New Roman"/>
          <w:i/>
          <w:color w:val="auto"/>
          <w:sz w:val="20"/>
          <w:szCs w:val="20"/>
          <w:u w:val="none"/>
        </w:rPr>
        <w:t>Marivete</w:t>
      </w:r>
      <w:proofErr w:type="spellEnd"/>
      <w:r>
        <w:rPr>
          <w:rStyle w:val="Hyperlink1"/>
          <w:rFonts w:ascii="Times New Roman" w:hAnsi="Times New Roman" w:cs="Times New Roman"/>
          <w:i/>
          <w:color w:val="auto"/>
          <w:sz w:val="20"/>
          <w:szCs w:val="20"/>
          <w:u w:val="none"/>
        </w:rPr>
        <w:t xml:space="preserve"> Martins dos Santos – Pregoeira</w:t>
      </w:r>
    </w:p>
    <w:p w14:paraId="44609331" w14:textId="77777777" w:rsidR="00BC0049" w:rsidRDefault="00BC0049">
      <w:pPr>
        <w:spacing w:line="480" w:lineRule="auto"/>
        <w:jc w:val="both"/>
        <w:rPr>
          <w:rFonts w:ascii="Times New Roman" w:hAnsi="Times New Roman" w:cs="Times New Roman"/>
          <w:sz w:val="20"/>
          <w:szCs w:val="20"/>
        </w:rPr>
      </w:pPr>
    </w:p>
    <w:p w14:paraId="47FB9378" w14:textId="77777777" w:rsidR="00BC0049" w:rsidRDefault="00BC0049">
      <w:pPr>
        <w:spacing w:line="480" w:lineRule="auto"/>
        <w:jc w:val="both"/>
        <w:rPr>
          <w:rFonts w:ascii="Times New Roman" w:hAnsi="Times New Roman" w:cs="Times New Roman"/>
          <w:sz w:val="20"/>
          <w:szCs w:val="20"/>
        </w:rPr>
      </w:pPr>
    </w:p>
    <w:p w14:paraId="1955462D" w14:textId="7174E73B" w:rsidR="00BC0049" w:rsidRDefault="002B07EE">
      <w:pPr>
        <w:spacing w:line="480" w:lineRule="auto"/>
        <w:jc w:val="right"/>
        <w:rPr>
          <w:rFonts w:ascii="Times New Roman" w:hAnsi="Times New Roman" w:cs="Times New Roman"/>
          <w:sz w:val="20"/>
          <w:szCs w:val="20"/>
        </w:rPr>
      </w:pPr>
      <w:r>
        <w:rPr>
          <w:rFonts w:ascii="Times New Roman" w:hAnsi="Times New Roman" w:cs="Times New Roman"/>
          <w:sz w:val="20"/>
          <w:szCs w:val="20"/>
          <w:shd w:val="clear" w:color="auto" w:fill="FFFFFF"/>
        </w:rPr>
        <w:t>Santa Bárbara do Sul/RS</w:t>
      </w:r>
      <w:r w:rsidR="00371FB2">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w:t>
      </w:r>
      <w:r w:rsidR="00371FB2">
        <w:rPr>
          <w:rFonts w:ascii="Times New Roman" w:hAnsi="Times New Roman" w:cs="Times New Roman"/>
          <w:sz w:val="20"/>
          <w:szCs w:val="20"/>
          <w:shd w:val="clear" w:color="auto" w:fill="FFFFFF"/>
        </w:rPr>
        <w:t>0</w:t>
      </w:r>
      <w:r w:rsidR="00E21DE4">
        <w:rPr>
          <w:rFonts w:ascii="Times New Roman" w:hAnsi="Times New Roman" w:cs="Times New Roman"/>
          <w:sz w:val="20"/>
          <w:szCs w:val="20"/>
          <w:shd w:val="clear" w:color="auto" w:fill="FFFFFF"/>
        </w:rPr>
        <w:t>8</w:t>
      </w:r>
      <w:r w:rsidR="00371FB2">
        <w:rPr>
          <w:rFonts w:ascii="Times New Roman" w:hAnsi="Times New Roman" w:cs="Times New Roman"/>
          <w:sz w:val="20"/>
          <w:szCs w:val="20"/>
          <w:shd w:val="clear" w:color="auto" w:fill="FFFFFF"/>
        </w:rPr>
        <w:t xml:space="preserve"> de maio de 2026</w:t>
      </w:r>
      <w:r>
        <w:rPr>
          <w:rFonts w:ascii="Times New Roman" w:hAnsi="Times New Roman" w:cs="Times New Roman"/>
          <w:sz w:val="20"/>
          <w:szCs w:val="20"/>
          <w:shd w:val="clear" w:color="auto" w:fill="FFFFFF"/>
        </w:rPr>
        <w:t>.</w:t>
      </w:r>
    </w:p>
    <w:p w14:paraId="7771EF2E" w14:textId="77777777" w:rsidR="00BC0049" w:rsidRDefault="00BC0049">
      <w:pPr>
        <w:spacing w:line="480" w:lineRule="auto"/>
        <w:jc w:val="both"/>
        <w:rPr>
          <w:rFonts w:ascii="Times New Roman" w:hAnsi="Times New Roman" w:cs="Times New Roman"/>
          <w:sz w:val="20"/>
          <w:szCs w:val="20"/>
        </w:rPr>
      </w:pPr>
    </w:p>
    <w:p w14:paraId="68F1B8CF" w14:textId="77777777" w:rsidR="00BC0049" w:rsidRDefault="00BC0049">
      <w:pPr>
        <w:spacing w:line="480" w:lineRule="auto"/>
        <w:jc w:val="both"/>
        <w:rPr>
          <w:rFonts w:ascii="Times New Roman" w:hAnsi="Times New Roman" w:cs="Times New Roman"/>
          <w:sz w:val="20"/>
          <w:szCs w:val="20"/>
        </w:rPr>
      </w:pPr>
    </w:p>
    <w:p w14:paraId="1C4BDC35" w14:textId="77777777" w:rsidR="00BC0049" w:rsidRDefault="00BC0049">
      <w:pPr>
        <w:spacing w:line="480" w:lineRule="auto"/>
        <w:jc w:val="both"/>
        <w:rPr>
          <w:rFonts w:ascii="Times New Roman" w:hAnsi="Times New Roman" w:cs="Times New Roman"/>
          <w:sz w:val="20"/>
          <w:szCs w:val="20"/>
        </w:rPr>
      </w:pPr>
    </w:p>
    <w:p w14:paraId="254B8C29" w14:textId="77777777" w:rsidR="00BC0049" w:rsidRDefault="002B07EE">
      <w:pPr>
        <w:jc w:val="center"/>
        <w:rPr>
          <w:rFonts w:ascii="Times New Roman" w:hAnsi="Times New Roman" w:cs="Times New Roman"/>
          <w:i/>
          <w:iCs/>
          <w:sz w:val="20"/>
          <w:szCs w:val="20"/>
        </w:rPr>
      </w:pPr>
      <w:r>
        <w:rPr>
          <w:rFonts w:ascii="Times New Roman" w:hAnsi="Times New Roman" w:cs="Times New Roman"/>
          <w:i/>
          <w:iCs/>
          <w:sz w:val="20"/>
          <w:szCs w:val="20"/>
        </w:rPr>
        <w:t xml:space="preserve">Leandro </w:t>
      </w:r>
      <w:proofErr w:type="spellStart"/>
      <w:r>
        <w:rPr>
          <w:rFonts w:ascii="Times New Roman" w:hAnsi="Times New Roman" w:cs="Times New Roman"/>
          <w:i/>
          <w:iCs/>
          <w:sz w:val="20"/>
          <w:szCs w:val="20"/>
        </w:rPr>
        <w:t>Caraffini</w:t>
      </w:r>
      <w:proofErr w:type="spellEnd"/>
      <w:r>
        <w:rPr>
          <w:rFonts w:ascii="Times New Roman" w:hAnsi="Times New Roman" w:cs="Times New Roman"/>
          <w:i/>
          <w:iCs/>
          <w:sz w:val="20"/>
          <w:szCs w:val="20"/>
        </w:rPr>
        <w:t xml:space="preserve"> </w:t>
      </w:r>
      <w:proofErr w:type="spellStart"/>
      <w:r>
        <w:rPr>
          <w:rFonts w:ascii="Times New Roman" w:hAnsi="Times New Roman" w:cs="Times New Roman"/>
          <w:i/>
          <w:iCs/>
          <w:sz w:val="20"/>
          <w:szCs w:val="20"/>
        </w:rPr>
        <w:t>Veneral</w:t>
      </w:r>
      <w:proofErr w:type="spellEnd"/>
    </w:p>
    <w:p w14:paraId="5E4CCF7E" w14:textId="77777777" w:rsidR="00BC0049" w:rsidRDefault="002B07EE">
      <w:pPr>
        <w:spacing w:line="480" w:lineRule="auto"/>
        <w:jc w:val="center"/>
        <w:rPr>
          <w:rFonts w:ascii="Times New Roman" w:hAnsi="Times New Roman" w:cs="Times New Roman"/>
          <w:i/>
          <w:iCs/>
          <w:sz w:val="20"/>
          <w:szCs w:val="20"/>
        </w:rPr>
      </w:pPr>
      <w:bookmarkStart w:id="44" w:name="_Hlk204264885"/>
      <w:r>
        <w:rPr>
          <w:rFonts w:ascii="Times New Roman" w:hAnsi="Times New Roman" w:cs="Times New Roman"/>
          <w:i/>
          <w:iCs/>
          <w:sz w:val="20"/>
          <w:szCs w:val="20"/>
        </w:rPr>
        <w:t>Prefeito</w:t>
      </w:r>
      <w:bookmarkEnd w:id="42"/>
      <w:bookmarkEnd w:id="44"/>
    </w:p>
    <w:bookmarkEnd w:id="43"/>
    <w:p w14:paraId="43C1035E" w14:textId="77777777" w:rsidR="00BC0049" w:rsidRDefault="00BC0049">
      <w:pPr>
        <w:jc w:val="center"/>
        <w:rPr>
          <w:rFonts w:ascii="Times New Roman" w:hAnsi="Times New Roman" w:cs="Times New Roman"/>
          <w:i/>
          <w:iCs/>
          <w:sz w:val="20"/>
          <w:szCs w:val="20"/>
        </w:rPr>
      </w:pPr>
    </w:p>
    <w:p w14:paraId="5EAB0AE2" w14:textId="77777777" w:rsidR="00BC0049" w:rsidRDefault="00BC0049">
      <w:pPr>
        <w:jc w:val="both"/>
        <w:rPr>
          <w:rFonts w:ascii="Times New Roman" w:hAnsi="Times New Roman" w:cs="Times New Roman"/>
          <w:sz w:val="20"/>
          <w:szCs w:val="20"/>
        </w:rPr>
      </w:pPr>
    </w:p>
    <w:p w14:paraId="62CD62DB" w14:textId="77777777" w:rsidR="00BC0049" w:rsidRDefault="00BC0049">
      <w:pPr>
        <w:spacing w:before="288" w:after="288"/>
        <w:ind w:firstLine="567"/>
        <w:jc w:val="center"/>
        <w:rPr>
          <w:rFonts w:ascii="Times New Roman" w:hAnsi="Times New Roman" w:cs="Times New Roman"/>
          <w:sz w:val="20"/>
          <w:szCs w:val="20"/>
        </w:rPr>
      </w:pPr>
    </w:p>
    <w:p w14:paraId="7C5654D4" w14:textId="77777777" w:rsidR="00BC0049" w:rsidRDefault="00BC0049">
      <w:pPr>
        <w:spacing w:before="288" w:after="288"/>
        <w:ind w:firstLine="567"/>
        <w:jc w:val="center"/>
        <w:rPr>
          <w:rFonts w:ascii="Times New Roman" w:hAnsi="Times New Roman" w:cs="Times New Roman"/>
          <w:sz w:val="20"/>
          <w:szCs w:val="20"/>
        </w:rPr>
      </w:pPr>
    </w:p>
    <w:p w14:paraId="17015117" w14:textId="77777777" w:rsidR="00BC0049" w:rsidRDefault="00BC0049">
      <w:pPr>
        <w:spacing w:before="288" w:after="288"/>
        <w:ind w:firstLine="567"/>
        <w:jc w:val="center"/>
        <w:rPr>
          <w:rFonts w:ascii="Times New Roman" w:hAnsi="Times New Roman" w:cs="Times New Roman"/>
          <w:sz w:val="20"/>
          <w:szCs w:val="20"/>
        </w:rPr>
      </w:pPr>
    </w:p>
    <w:p w14:paraId="28908D70" w14:textId="77777777" w:rsidR="00BC0049" w:rsidRDefault="00BC0049">
      <w:pPr>
        <w:rPr>
          <w:rFonts w:ascii="Times New Roman" w:hAnsi="Times New Roman" w:cs="Times New Roman"/>
          <w:sz w:val="20"/>
          <w:szCs w:val="20"/>
        </w:rPr>
      </w:pPr>
    </w:p>
    <w:p w14:paraId="4C8ED05D" w14:textId="77777777" w:rsidR="00BC0049" w:rsidRDefault="00BC0049">
      <w:pPr>
        <w:rPr>
          <w:rFonts w:ascii="Times New Roman" w:hAnsi="Times New Roman" w:cs="Times New Roman"/>
          <w:sz w:val="20"/>
          <w:szCs w:val="20"/>
        </w:rPr>
      </w:pPr>
    </w:p>
    <w:p w14:paraId="1DDC4EFD" w14:textId="77777777" w:rsidR="00BC0049" w:rsidRDefault="00BC0049">
      <w:pPr>
        <w:rPr>
          <w:rFonts w:ascii="Times New Roman" w:hAnsi="Times New Roman" w:cs="Times New Roman"/>
          <w:sz w:val="20"/>
          <w:szCs w:val="20"/>
        </w:rPr>
      </w:pPr>
    </w:p>
    <w:p w14:paraId="27CEF32A" w14:textId="77777777" w:rsidR="00BC0049" w:rsidRDefault="00BC0049">
      <w:pPr>
        <w:rPr>
          <w:rFonts w:ascii="Times New Roman" w:hAnsi="Times New Roman" w:cs="Times New Roman"/>
          <w:sz w:val="20"/>
          <w:szCs w:val="20"/>
        </w:rPr>
      </w:pPr>
    </w:p>
    <w:p w14:paraId="49534F06" w14:textId="77777777" w:rsidR="00BC0049" w:rsidRDefault="00BC0049">
      <w:pPr>
        <w:rPr>
          <w:rFonts w:ascii="Times New Roman" w:hAnsi="Times New Roman" w:cs="Times New Roman"/>
          <w:sz w:val="20"/>
          <w:szCs w:val="20"/>
        </w:rPr>
      </w:pPr>
    </w:p>
    <w:p w14:paraId="1C0B7EEF" w14:textId="77777777" w:rsidR="00BC0049" w:rsidRDefault="00BC0049">
      <w:pPr>
        <w:rPr>
          <w:rFonts w:ascii="Times New Roman" w:hAnsi="Times New Roman" w:cs="Times New Roman"/>
          <w:sz w:val="20"/>
          <w:szCs w:val="20"/>
        </w:rPr>
      </w:pPr>
    </w:p>
    <w:p w14:paraId="001163EE" w14:textId="77777777" w:rsidR="00BC0049" w:rsidRDefault="00BC0049">
      <w:pPr>
        <w:rPr>
          <w:rFonts w:ascii="Times New Roman" w:hAnsi="Times New Roman" w:cs="Times New Roman"/>
          <w:sz w:val="20"/>
          <w:szCs w:val="20"/>
        </w:rPr>
      </w:pPr>
    </w:p>
    <w:p w14:paraId="3633516A" w14:textId="77777777" w:rsidR="00BC0049" w:rsidRDefault="00BC0049">
      <w:pPr>
        <w:rPr>
          <w:rFonts w:ascii="Times New Roman" w:hAnsi="Times New Roman" w:cs="Times New Roman"/>
          <w:sz w:val="20"/>
          <w:szCs w:val="20"/>
        </w:rPr>
      </w:pPr>
    </w:p>
    <w:p w14:paraId="69C732F0" w14:textId="77777777" w:rsidR="00BC0049" w:rsidRDefault="00BC0049">
      <w:pPr>
        <w:rPr>
          <w:rFonts w:ascii="Times New Roman" w:hAnsi="Times New Roman" w:cs="Times New Roman"/>
          <w:sz w:val="20"/>
          <w:szCs w:val="20"/>
        </w:rPr>
      </w:pPr>
    </w:p>
    <w:p w14:paraId="19FA0A17" w14:textId="77777777" w:rsidR="00BC0049" w:rsidRDefault="00BC0049">
      <w:pPr>
        <w:rPr>
          <w:rFonts w:ascii="Times New Roman" w:hAnsi="Times New Roman" w:cs="Times New Roman"/>
          <w:sz w:val="20"/>
          <w:szCs w:val="20"/>
        </w:rPr>
      </w:pPr>
    </w:p>
    <w:p w14:paraId="2861D339" w14:textId="77777777" w:rsidR="00BC0049" w:rsidRDefault="00BC0049">
      <w:pPr>
        <w:rPr>
          <w:rFonts w:ascii="Times New Roman" w:hAnsi="Times New Roman" w:cs="Times New Roman"/>
          <w:sz w:val="20"/>
          <w:szCs w:val="20"/>
        </w:rPr>
      </w:pPr>
    </w:p>
    <w:p w14:paraId="4BF0F465" w14:textId="77777777" w:rsidR="00BC0049" w:rsidRDefault="00BC0049">
      <w:pPr>
        <w:rPr>
          <w:rFonts w:ascii="Times New Roman" w:hAnsi="Times New Roman" w:cs="Times New Roman"/>
          <w:sz w:val="20"/>
          <w:szCs w:val="20"/>
        </w:rPr>
      </w:pPr>
    </w:p>
    <w:p w14:paraId="75DC937D" w14:textId="77777777" w:rsidR="00BC0049" w:rsidRDefault="00BC0049">
      <w:pPr>
        <w:rPr>
          <w:rFonts w:ascii="Times New Roman" w:hAnsi="Times New Roman" w:cs="Times New Roman"/>
          <w:sz w:val="20"/>
          <w:szCs w:val="20"/>
        </w:rPr>
      </w:pPr>
    </w:p>
    <w:p w14:paraId="2A132995" w14:textId="77777777" w:rsidR="00BC0049" w:rsidRDefault="00BC0049">
      <w:pPr>
        <w:rPr>
          <w:rFonts w:ascii="Times New Roman" w:hAnsi="Times New Roman" w:cs="Times New Roman"/>
          <w:sz w:val="20"/>
          <w:szCs w:val="20"/>
        </w:rPr>
      </w:pPr>
    </w:p>
    <w:p w14:paraId="3C2F06AE" w14:textId="77777777" w:rsidR="00BC0049" w:rsidRDefault="00BC0049">
      <w:pPr>
        <w:rPr>
          <w:rFonts w:ascii="Times New Roman" w:hAnsi="Times New Roman" w:cs="Times New Roman"/>
          <w:sz w:val="20"/>
          <w:szCs w:val="20"/>
        </w:rPr>
      </w:pPr>
    </w:p>
    <w:p w14:paraId="73201AF9" w14:textId="77777777" w:rsidR="00BC0049" w:rsidRDefault="00BC0049">
      <w:pPr>
        <w:rPr>
          <w:rFonts w:ascii="Times New Roman" w:hAnsi="Times New Roman" w:cs="Times New Roman"/>
          <w:sz w:val="20"/>
          <w:szCs w:val="20"/>
        </w:rPr>
      </w:pPr>
    </w:p>
    <w:p w14:paraId="31B7B386" w14:textId="77777777" w:rsidR="00BC0049" w:rsidRDefault="00BC0049">
      <w:pPr>
        <w:rPr>
          <w:rFonts w:ascii="Times New Roman" w:hAnsi="Times New Roman" w:cs="Times New Roman"/>
          <w:sz w:val="20"/>
          <w:szCs w:val="20"/>
        </w:rPr>
      </w:pPr>
    </w:p>
    <w:p w14:paraId="6F6EF943" w14:textId="77777777" w:rsidR="00BC0049" w:rsidRDefault="00BC0049">
      <w:pPr>
        <w:rPr>
          <w:rFonts w:ascii="Times New Roman" w:hAnsi="Times New Roman" w:cs="Times New Roman"/>
          <w:sz w:val="20"/>
          <w:szCs w:val="20"/>
        </w:rPr>
      </w:pPr>
    </w:p>
    <w:p w14:paraId="0F5D7A86" w14:textId="77777777" w:rsidR="00BC0049" w:rsidRDefault="00BC0049">
      <w:pPr>
        <w:rPr>
          <w:rFonts w:ascii="Times New Roman" w:hAnsi="Times New Roman" w:cs="Times New Roman"/>
          <w:sz w:val="20"/>
          <w:szCs w:val="20"/>
        </w:rPr>
      </w:pPr>
    </w:p>
    <w:p w14:paraId="103231D6" w14:textId="77777777" w:rsidR="00BC0049" w:rsidRDefault="00BC0049">
      <w:pPr>
        <w:rPr>
          <w:rFonts w:ascii="Times New Roman" w:hAnsi="Times New Roman" w:cs="Times New Roman"/>
          <w:sz w:val="20"/>
          <w:szCs w:val="20"/>
        </w:rPr>
      </w:pPr>
    </w:p>
    <w:p w14:paraId="70AE9955" w14:textId="77777777" w:rsidR="00BC0049" w:rsidRDefault="002B07EE">
      <w:pPr>
        <w:jc w:val="center"/>
        <w:rPr>
          <w:rFonts w:ascii="Times New Roman" w:hAnsi="Times New Roman" w:cs="Times New Roman"/>
          <w:sz w:val="20"/>
          <w:szCs w:val="20"/>
        </w:rPr>
      </w:pPr>
      <w:r>
        <w:rPr>
          <w:rFonts w:ascii="Times New Roman" w:hAnsi="Times New Roman" w:cs="Times New Roman"/>
          <w:b/>
          <w:bCs/>
          <w:sz w:val="20"/>
          <w:szCs w:val="20"/>
        </w:rPr>
        <w:t>ANEXO VI</w:t>
      </w:r>
    </w:p>
    <w:p w14:paraId="753D53BA" w14:textId="77777777" w:rsidR="00BC0049" w:rsidRDefault="002B07EE">
      <w:pPr>
        <w:spacing w:before="200" w:after="200"/>
        <w:jc w:val="center"/>
        <w:rPr>
          <w:rFonts w:ascii="Times New Roman" w:hAnsi="Times New Roman" w:cs="Times New Roman"/>
          <w:sz w:val="20"/>
          <w:szCs w:val="20"/>
        </w:rPr>
      </w:pPr>
      <w:r>
        <w:rPr>
          <w:rFonts w:ascii="Times New Roman" w:eastAsia="Arial" w:hAnsi="Times New Roman" w:cs="Times New Roman"/>
          <w:b/>
          <w:sz w:val="20"/>
          <w:szCs w:val="20"/>
        </w:rPr>
        <w:t>AUTORIZAÇÃO</w:t>
      </w:r>
    </w:p>
    <w:p w14:paraId="4CC1FE88" w14:textId="77777777" w:rsidR="00BC0049" w:rsidRDefault="00BC0049">
      <w:pPr>
        <w:spacing w:before="200" w:after="200"/>
        <w:ind w:firstLine="2835"/>
        <w:jc w:val="both"/>
        <w:rPr>
          <w:rFonts w:ascii="Times New Roman" w:hAnsi="Times New Roman" w:cs="Times New Roman"/>
          <w:sz w:val="20"/>
          <w:szCs w:val="20"/>
        </w:rPr>
      </w:pPr>
    </w:p>
    <w:p w14:paraId="494E79E7" w14:textId="50D0E831" w:rsidR="00BC0049" w:rsidRDefault="002B07EE">
      <w:pPr>
        <w:spacing w:line="480" w:lineRule="auto"/>
        <w:jc w:val="both"/>
        <w:rPr>
          <w:rFonts w:ascii="Times New Roman" w:hAnsi="Times New Roman" w:cs="Times New Roman"/>
          <w:sz w:val="20"/>
          <w:szCs w:val="20"/>
        </w:rPr>
      </w:pPr>
      <w:r>
        <w:rPr>
          <w:rFonts w:ascii="Times New Roman" w:hAnsi="Times New Roman" w:cs="Times New Roman"/>
          <w:sz w:val="20"/>
          <w:szCs w:val="20"/>
        </w:rPr>
        <w:t xml:space="preserve">Considerando o Pedido de Compras anexos ao processo, AUTORIZO a Equipe de Licitações através de pregoeiro (a) instituída pela Portaria n. 355/2025 em consonância ao disposto na Lei Federal nº 14.133, de 01 de abril de 2021, com suas alterações, a abrir processo licitatório próprio para </w:t>
      </w:r>
      <w:r w:rsidR="0099522B" w:rsidRPr="002B07EE">
        <w:rPr>
          <w:rFonts w:ascii="Gadugi" w:hAnsi="Gadugi" w:cs="Gadugi"/>
          <w:b/>
          <w:bCs/>
          <w:sz w:val="18"/>
          <w:szCs w:val="18"/>
        </w:rPr>
        <w:t>AQUISIÇÃO DE CESTAS BÁSICAS</w:t>
      </w:r>
      <w:r>
        <w:rPr>
          <w:rFonts w:ascii="Times New Roman" w:hAnsi="Times New Roman" w:cs="Times New Roman"/>
          <w:sz w:val="20"/>
          <w:szCs w:val="20"/>
        </w:rP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p>
    <w:p w14:paraId="62A76C3B" w14:textId="77777777" w:rsidR="00BC0049" w:rsidRDefault="002B07EE">
      <w:pPr>
        <w:spacing w:before="200" w:after="200"/>
        <w:ind w:firstLine="2835"/>
        <w:jc w:val="both"/>
        <w:rPr>
          <w:rFonts w:ascii="Times New Roman" w:hAnsi="Times New Roman" w:cs="Times New Roman"/>
          <w:sz w:val="20"/>
          <w:szCs w:val="20"/>
        </w:rPr>
      </w:pPr>
      <w:r>
        <w:rPr>
          <w:rFonts w:ascii="Times New Roman" w:hAnsi="Times New Roman" w:cs="Times New Roman"/>
          <w:sz w:val="20"/>
          <w:szCs w:val="20"/>
        </w:rPr>
        <w:br/>
      </w:r>
    </w:p>
    <w:p w14:paraId="4BF0010E" w14:textId="0BA1AD72" w:rsidR="00BC0049" w:rsidRDefault="002B07EE">
      <w:pPr>
        <w:spacing w:before="200" w:after="200"/>
        <w:jc w:val="right"/>
        <w:rPr>
          <w:rFonts w:ascii="Times New Roman" w:hAnsi="Times New Roman" w:cs="Times New Roman"/>
          <w:sz w:val="20"/>
          <w:szCs w:val="20"/>
        </w:rPr>
      </w:pPr>
      <w:r>
        <w:rPr>
          <w:rFonts w:ascii="Times New Roman" w:eastAsia="Arial" w:hAnsi="Times New Roman" w:cs="Times New Roman"/>
          <w:sz w:val="20"/>
          <w:szCs w:val="20"/>
          <w:shd w:val="clear" w:color="auto" w:fill="FFFFFF"/>
        </w:rPr>
        <w:t>Santa Bárbara do Sul/RS, 04 de maio de 2026.</w:t>
      </w:r>
    </w:p>
    <w:p w14:paraId="516545F5" w14:textId="77777777" w:rsidR="00BC0049" w:rsidRDefault="00BC0049">
      <w:pPr>
        <w:spacing w:before="200" w:after="200"/>
        <w:jc w:val="right"/>
        <w:rPr>
          <w:rFonts w:ascii="Times New Roman" w:hAnsi="Times New Roman" w:cs="Times New Roman"/>
          <w:sz w:val="20"/>
          <w:szCs w:val="20"/>
        </w:rPr>
      </w:pPr>
    </w:p>
    <w:p w14:paraId="3539B9F9" w14:textId="77777777" w:rsidR="00BC0049" w:rsidRDefault="00BC0049">
      <w:pPr>
        <w:spacing w:before="200" w:after="200"/>
        <w:jc w:val="both"/>
        <w:rPr>
          <w:rFonts w:ascii="Times New Roman" w:hAnsi="Times New Roman" w:cs="Times New Roman"/>
          <w:sz w:val="20"/>
          <w:szCs w:val="20"/>
        </w:rPr>
      </w:pPr>
    </w:p>
    <w:p w14:paraId="02A04380" w14:textId="77777777" w:rsidR="00BC0049" w:rsidRDefault="002B07EE">
      <w:pPr>
        <w:spacing w:before="200" w:after="200"/>
        <w:jc w:val="both"/>
        <w:rPr>
          <w:rFonts w:ascii="Times New Roman" w:hAnsi="Times New Roman" w:cs="Times New Roman"/>
          <w:sz w:val="20"/>
          <w:szCs w:val="20"/>
        </w:rPr>
      </w:pPr>
      <w:r>
        <w:rPr>
          <w:rFonts w:ascii="Times New Roman" w:hAnsi="Times New Roman" w:cs="Times New Roman"/>
          <w:sz w:val="20"/>
          <w:szCs w:val="20"/>
        </w:rPr>
        <w:br/>
      </w:r>
    </w:p>
    <w:p w14:paraId="594A4843" w14:textId="77777777" w:rsidR="00BC0049" w:rsidRDefault="002B07EE">
      <w:pPr>
        <w:jc w:val="center"/>
        <w:rPr>
          <w:rFonts w:ascii="Times New Roman" w:hAnsi="Times New Roman" w:cs="Times New Roman"/>
          <w:i/>
          <w:iCs/>
          <w:sz w:val="20"/>
          <w:szCs w:val="20"/>
        </w:rPr>
      </w:pPr>
      <w:r>
        <w:rPr>
          <w:rFonts w:ascii="Times New Roman" w:hAnsi="Times New Roman" w:cs="Times New Roman"/>
          <w:i/>
          <w:iCs/>
          <w:sz w:val="20"/>
          <w:szCs w:val="20"/>
        </w:rPr>
        <w:t xml:space="preserve">Leandro </w:t>
      </w:r>
      <w:proofErr w:type="spellStart"/>
      <w:r>
        <w:rPr>
          <w:rFonts w:ascii="Times New Roman" w:hAnsi="Times New Roman" w:cs="Times New Roman"/>
          <w:i/>
          <w:iCs/>
          <w:sz w:val="20"/>
          <w:szCs w:val="20"/>
        </w:rPr>
        <w:t>Caraffini</w:t>
      </w:r>
      <w:proofErr w:type="spellEnd"/>
      <w:r>
        <w:rPr>
          <w:rFonts w:ascii="Times New Roman" w:hAnsi="Times New Roman" w:cs="Times New Roman"/>
          <w:i/>
          <w:iCs/>
          <w:sz w:val="20"/>
          <w:szCs w:val="20"/>
        </w:rPr>
        <w:t xml:space="preserve"> </w:t>
      </w:r>
      <w:proofErr w:type="spellStart"/>
      <w:r>
        <w:rPr>
          <w:rFonts w:ascii="Times New Roman" w:hAnsi="Times New Roman" w:cs="Times New Roman"/>
          <w:i/>
          <w:iCs/>
          <w:sz w:val="20"/>
          <w:szCs w:val="20"/>
        </w:rPr>
        <w:t>Veneral</w:t>
      </w:r>
      <w:proofErr w:type="spellEnd"/>
    </w:p>
    <w:p w14:paraId="11C3061D" w14:textId="77777777" w:rsidR="00BC0049" w:rsidRDefault="002B07EE">
      <w:pPr>
        <w:jc w:val="center"/>
        <w:rPr>
          <w:rFonts w:ascii="Times New Roman" w:hAnsi="Times New Roman" w:cs="Times New Roman"/>
          <w:bCs/>
          <w:i/>
          <w:iCs/>
          <w:sz w:val="20"/>
          <w:szCs w:val="20"/>
        </w:rPr>
      </w:pPr>
      <w:r>
        <w:rPr>
          <w:rFonts w:ascii="Times New Roman" w:hAnsi="Times New Roman" w:cs="Times New Roman"/>
          <w:i/>
          <w:iCs/>
          <w:sz w:val="20"/>
          <w:szCs w:val="20"/>
        </w:rPr>
        <w:t>Prefeito</w:t>
      </w:r>
    </w:p>
    <w:p w14:paraId="01CE53DE" w14:textId="77777777" w:rsidR="00BC0049" w:rsidRDefault="00BC0049">
      <w:pPr>
        <w:rPr>
          <w:rFonts w:ascii="Times New Roman" w:hAnsi="Times New Roman" w:cs="Times New Roman"/>
          <w:i/>
          <w:iCs/>
          <w:sz w:val="20"/>
          <w:szCs w:val="20"/>
        </w:rPr>
      </w:pPr>
    </w:p>
    <w:p w14:paraId="63740A24" w14:textId="77777777" w:rsidR="00BC0049" w:rsidRDefault="00BC0049">
      <w:pPr>
        <w:rPr>
          <w:rFonts w:ascii="Times New Roman" w:hAnsi="Times New Roman" w:cs="Times New Roman"/>
          <w:sz w:val="20"/>
          <w:szCs w:val="20"/>
        </w:rPr>
      </w:pPr>
    </w:p>
    <w:p w14:paraId="75B60482" w14:textId="77777777" w:rsidR="00BC0049" w:rsidRDefault="00BC0049">
      <w:pPr>
        <w:rPr>
          <w:rFonts w:ascii="Times New Roman" w:hAnsi="Times New Roman" w:cs="Times New Roman"/>
          <w:sz w:val="20"/>
          <w:szCs w:val="20"/>
        </w:rPr>
      </w:pPr>
    </w:p>
    <w:p w14:paraId="62D7E29D" w14:textId="77777777" w:rsidR="00BC0049" w:rsidRDefault="00BC0049">
      <w:pPr>
        <w:rPr>
          <w:rFonts w:ascii="Times New Roman" w:hAnsi="Times New Roman" w:cs="Times New Roman"/>
          <w:sz w:val="20"/>
          <w:szCs w:val="20"/>
        </w:rPr>
      </w:pPr>
    </w:p>
    <w:p w14:paraId="0F1D96C0" w14:textId="77777777" w:rsidR="00BC0049" w:rsidRDefault="00BC0049">
      <w:pPr>
        <w:rPr>
          <w:rFonts w:ascii="Times New Roman" w:hAnsi="Times New Roman" w:cs="Times New Roman"/>
          <w:sz w:val="20"/>
          <w:szCs w:val="20"/>
        </w:rPr>
      </w:pPr>
    </w:p>
    <w:p w14:paraId="7D2D04EF" w14:textId="77777777" w:rsidR="00BC0049" w:rsidRDefault="00BC0049">
      <w:pPr>
        <w:rPr>
          <w:rFonts w:ascii="Times New Roman" w:hAnsi="Times New Roman" w:cs="Times New Roman"/>
          <w:sz w:val="20"/>
          <w:szCs w:val="20"/>
        </w:rPr>
      </w:pPr>
    </w:p>
    <w:p w14:paraId="43234613" w14:textId="77777777" w:rsidR="00BC0049" w:rsidRDefault="00BC0049">
      <w:pPr>
        <w:rPr>
          <w:rFonts w:ascii="Times New Roman" w:hAnsi="Times New Roman" w:cs="Times New Roman"/>
          <w:sz w:val="20"/>
          <w:szCs w:val="20"/>
        </w:rPr>
      </w:pPr>
    </w:p>
    <w:p w14:paraId="3B442D7B" w14:textId="77777777" w:rsidR="00BC0049" w:rsidRDefault="00BC0049">
      <w:pPr>
        <w:rPr>
          <w:rFonts w:ascii="Times New Roman" w:hAnsi="Times New Roman" w:cs="Times New Roman"/>
          <w:sz w:val="20"/>
          <w:szCs w:val="20"/>
        </w:rPr>
      </w:pPr>
    </w:p>
    <w:p w14:paraId="419194B6" w14:textId="77777777" w:rsidR="00BC0049" w:rsidRDefault="00BC0049">
      <w:pPr>
        <w:jc w:val="both"/>
        <w:rPr>
          <w:rFonts w:ascii="Times New Roman" w:hAnsi="Times New Roman" w:cs="Times New Roman"/>
          <w:sz w:val="20"/>
          <w:szCs w:val="20"/>
        </w:rPr>
      </w:pPr>
    </w:p>
    <w:p w14:paraId="0902D978" w14:textId="77777777" w:rsidR="00BC0049" w:rsidRDefault="00BC0049">
      <w:pPr>
        <w:jc w:val="both"/>
        <w:rPr>
          <w:rFonts w:ascii="Times New Roman" w:hAnsi="Times New Roman" w:cs="Times New Roman"/>
          <w:sz w:val="20"/>
          <w:szCs w:val="20"/>
        </w:rPr>
      </w:pPr>
    </w:p>
    <w:p w14:paraId="4D5D91C8" w14:textId="77777777" w:rsidR="00BC0049" w:rsidRDefault="00BC0049">
      <w:pPr>
        <w:jc w:val="both"/>
        <w:rPr>
          <w:rFonts w:ascii="Times New Roman" w:hAnsi="Times New Roman" w:cs="Times New Roman"/>
          <w:sz w:val="20"/>
          <w:szCs w:val="20"/>
        </w:rPr>
      </w:pPr>
    </w:p>
    <w:p w14:paraId="19AE808C" w14:textId="77777777" w:rsidR="00BC0049" w:rsidRDefault="00BC0049">
      <w:pPr>
        <w:jc w:val="both"/>
        <w:rPr>
          <w:rFonts w:ascii="Times New Roman" w:hAnsi="Times New Roman" w:cs="Times New Roman"/>
          <w:sz w:val="20"/>
          <w:szCs w:val="20"/>
        </w:rPr>
      </w:pPr>
    </w:p>
    <w:p w14:paraId="56863AFF" w14:textId="77777777" w:rsidR="00BC0049" w:rsidRDefault="00BC0049">
      <w:pPr>
        <w:jc w:val="both"/>
        <w:rPr>
          <w:rFonts w:ascii="Times New Roman" w:hAnsi="Times New Roman" w:cs="Times New Roman"/>
          <w:sz w:val="20"/>
          <w:szCs w:val="20"/>
        </w:rPr>
      </w:pPr>
    </w:p>
    <w:p w14:paraId="7692350E" w14:textId="77777777" w:rsidR="00BC0049" w:rsidRDefault="00BC0049">
      <w:pPr>
        <w:jc w:val="both"/>
        <w:rPr>
          <w:rFonts w:ascii="Times New Roman" w:hAnsi="Times New Roman" w:cs="Times New Roman"/>
          <w:sz w:val="20"/>
          <w:szCs w:val="20"/>
        </w:rPr>
      </w:pPr>
    </w:p>
    <w:p w14:paraId="620A53EB" w14:textId="77777777" w:rsidR="00BC0049" w:rsidRDefault="00BC0049">
      <w:pPr>
        <w:jc w:val="both"/>
        <w:rPr>
          <w:rFonts w:ascii="Times New Roman" w:hAnsi="Times New Roman" w:cs="Times New Roman"/>
          <w:sz w:val="20"/>
          <w:szCs w:val="20"/>
        </w:rPr>
      </w:pPr>
    </w:p>
    <w:p w14:paraId="414245B3" w14:textId="77777777" w:rsidR="00BC0049" w:rsidRDefault="00BC0049">
      <w:pPr>
        <w:jc w:val="both"/>
        <w:rPr>
          <w:rFonts w:ascii="Times New Roman" w:hAnsi="Times New Roman" w:cs="Times New Roman"/>
          <w:sz w:val="20"/>
          <w:szCs w:val="20"/>
        </w:rPr>
      </w:pPr>
    </w:p>
    <w:p w14:paraId="2678AA03" w14:textId="77777777" w:rsidR="00BC0049" w:rsidRDefault="00BC0049">
      <w:pPr>
        <w:jc w:val="both"/>
        <w:rPr>
          <w:rFonts w:ascii="Times New Roman" w:hAnsi="Times New Roman" w:cs="Times New Roman"/>
          <w:sz w:val="20"/>
          <w:szCs w:val="20"/>
        </w:rPr>
      </w:pPr>
    </w:p>
    <w:p w14:paraId="7E1F0197" w14:textId="77777777" w:rsidR="00BC0049" w:rsidRDefault="00BC0049">
      <w:pPr>
        <w:jc w:val="both"/>
        <w:rPr>
          <w:rFonts w:ascii="Times New Roman" w:hAnsi="Times New Roman" w:cs="Times New Roman"/>
          <w:sz w:val="20"/>
          <w:szCs w:val="20"/>
        </w:rPr>
      </w:pPr>
    </w:p>
    <w:p w14:paraId="068CE928" w14:textId="77777777" w:rsidR="00BC0049" w:rsidRDefault="00BC0049">
      <w:pPr>
        <w:jc w:val="both"/>
        <w:rPr>
          <w:rFonts w:ascii="Times New Roman" w:hAnsi="Times New Roman" w:cs="Times New Roman"/>
          <w:sz w:val="20"/>
          <w:szCs w:val="20"/>
        </w:rPr>
      </w:pPr>
    </w:p>
    <w:p w14:paraId="66D95B33" w14:textId="77777777" w:rsidR="00BC0049" w:rsidRDefault="00BC0049">
      <w:pPr>
        <w:jc w:val="both"/>
        <w:rPr>
          <w:rFonts w:ascii="Times New Roman" w:hAnsi="Times New Roman" w:cs="Times New Roman"/>
          <w:sz w:val="20"/>
          <w:szCs w:val="20"/>
        </w:rPr>
      </w:pPr>
    </w:p>
    <w:p w14:paraId="3B8CB228" w14:textId="77777777" w:rsidR="00BC0049" w:rsidRDefault="00BC0049">
      <w:pPr>
        <w:jc w:val="both"/>
        <w:rPr>
          <w:rFonts w:ascii="Times New Roman" w:hAnsi="Times New Roman" w:cs="Times New Roman"/>
          <w:sz w:val="20"/>
          <w:szCs w:val="20"/>
        </w:rPr>
      </w:pPr>
    </w:p>
    <w:sectPr w:rsidR="00BC0049">
      <w:headerReference w:type="default" r:id="rId36"/>
      <w:footerReference w:type="default" r:id="rId37"/>
      <w:headerReference w:type="first" r:id="rId38"/>
      <w:footerReference w:type="first" r:id="rId39"/>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1BB47" w14:textId="77777777" w:rsidR="002B07EE" w:rsidRDefault="002B07EE">
      <w:r>
        <w:separator/>
      </w:r>
    </w:p>
  </w:endnote>
  <w:endnote w:type="continuationSeparator" w:id="0">
    <w:p w14:paraId="04C53669" w14:textId="77777777" w:rsidR="002B07EE" w:rsidRDefault="002B0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D7AA" w14:textId="77777777" w:rsidR="00BC0049" w:rsidRDefault="00BC0049"/>
  <w:p w14:paraId="1C015BDE" w14:textId="77777777" w:rsidR="00BC0049" w:rsidRDefault="00BC0049">
    <w:pPr>
      <w:pStyle w:val="Normal1"/>
      <w:rPr>
        <w:rFonts w:ascii="Arial" w:hAnsi="Arial" w:cs="Arial"/>
        <w:sz w:val="14"/>
        <w:szCs w:val="14"/>
      </w:rPr>
    </w:pPr>
    <w:bookmarkStart w:id="45" w:name="_Hlk135299703"/>
    <w:bookmarkEnd w:id="4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EC7EF" w14:textId="77777777" w:rsidR="00BC0049" w:rsidRDefault="002B07EE">
    <w:r>
      <w:rPr>
        <w:noProof/>
      </w:rPr>
      <w:drawing>
        <wp:anchor distT="0" distB="0" distL="0" distR="114300" simplePos="0" relativeHeight="29" behindDoc="0" locked="0" layoutInCell="0" allowOverlap="1" wp14:anchorId="1308D345" wp14:editId="549DADF2">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65" y="21228"/>
              <wp:lineTo x="21465" y="0"/>
              <wp:lineTo x="-1" y="0"/>
            </wp:wrapPolygon>
          </wp:wrapTight>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r>
      <w:rPr>
        <w:noProof/>
      </w:rPr>
      <w:drawing>
        <wp:anchor distT="0" distB="0" distL="0" distR="114300" simplePos="0" relativeHeight="30" behindDoc="0" locked="0" layoutInCell="0" allowOverlap="1" wp14:anchorId="4026F960" wp14:editId="3239B743">
          <wp:simplePos x="0" y="0"/>
          <wp:positionH relativeFrom="margin">
            <wp:posOffset>533400</wp:posOffset>
          </wp:positionH>
          <wp:positionV relativeFrom="paragraph">
            <wp:posOffset>-469265</wp:posOffset>
          </wp:positionV>
          <wp:extent cx="5400040" cy="1027430"/>
          <wp:effectExtent l="0" t="0" r="0" b="0"/>
          <wp:wrapTight wrapText="bothSides">
            <wp:wrapPolygon edited="0">
              <wp:start x="-1" y="0"/>
              <wp:lineTo x="-1" y="21228"/>
              <wp:lineTo x="21465" y="21228"/>
              <wp:lineTo x="21465" y="0"/>
              <wp:lineTo x="-1" y="0"/>
            </wp:wrapPolygon>
          </wp:wrapTight>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4458CEC7" w14:textId="77777777" w:rsidR="00BC0049" w:rsidRDefault="00BC0049"/>
  <w:p w14:paraId="1E016F8D" w14:textId="77777777" w:rsidR="00BC0049" w:rsidRDefault="00BC00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19C9E" w14:textId="77777777" w:rsidR="002B07EE" w:rsidRDefault="002B07EE">
      <w:r>
        <w:separator/>
      </w:r>
    </w:p>
  </w:footnote>
  <w:footnote w:type="continuationSeparator" w:id="0">
    <w:p w14:paraId="1A0BC244" w14:textId="77777777" w:rsidR="002B07EE" w:rsidRDefault="002B0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D057E" w14:textId="77777777" w:rsidR="00BC0049" w:rsidRDefault="00BC0049">
    <w:pPr>
      <w:pStyle w:val="Cabealho"/>
      <w:jc w:val="right"/>
      <w:rPr>
        <w:rFonts w:ascii="Arial" w:hAnsi="Arial" w:cs="Arial"/>
        <w:sz w:val="20"/>
        <w:szCs w:val="20"/>
      </w:rPr>
    </w:pPr>
  </w:p>
  <w:p w14:paraId="13C89B9A" w14:textId="77777777" w:rsidR="00BC0049" w:rsidRDefault="002B07EE">
    <w:r>
      <w:rPr>
        <w:noProof/>
      </w:rPr>
      <w:drawing>
        <wp:anchor distT="0" distB="0" distL="114300" distR="114300" simplePos="0" relativeHeight="28" behindDoc="1" locked="0" layoutInCell="0" allowOverlap="1" wp14:anchorId="41F7A3FA" wp14:editId="545A96F2">
          <wp:simplePos x="0" y="0"/>
          <wp:positionH relativeFrom="column">
            <wp:posOffset>1302385</wp:posOffset>
          </wp:positionH>
          <wp:positionV relativeFrom="paragraph">
            <wp:posOffset>159385</wp:posOffset>
          </wp:positionV>
          <wp:extent cx="3390900" cy="896620"/>
          <wp:effectExtent l="0" t="0" r="0" b="0"/>
          <wp:wrapSquare wrapText="bothSides"/>
          <wp:docPr id="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
                  <pic:cNvPicPr>
                    <a:picLocks noChangeAspect="1" noChangeArrowheads="1"/>
                  </pic:cNvPicPr>
                </pic:nvPicPr>
                <pic:blipFill>
                  <a:blip r:embed="rId1"/>
                  <a:srcRect l="26388" t="15762" r="24955" b="17745"/>
                  <a:stretch>
                    <a:fillRect/>
                  </a:stretch>
                </pic:blipFill>
                <pic:spPr bwMode="auto">
                  <a:xfrm>
                    <a:off x="0" y="0"/>
                    <a:ext cx="3390900" cy="896620"/>
                  </a:xfrm>
                  <a:prstGeom prst="rect">
                    <a:avLst/>
                  </a:prstGeom>
                  <a:noFill/>
                </pic:spPr>
              </pic:pic>
            </a:graphicData>
          </a:graphic>
        </wp:anchor>
      </w:drawing>
    </w:r>
  </w:p>
  <w:p w14:paraId="12061AD8" w14:textId="77777777" w:rsidR="00BC0049" w:rsidRDefault="00BC0049">
    <w:pPr>
      <w:pStyle w:val="Cabealho"/>
      <w:jc w:val="right"/>
      <w:rPr>
        <w:rFonts w:ascii="Arial" w:hAnsi="Arial" w:cs="Arial"/>
        <w:sz w:val="20"/>
        <w:szCs w:val="20"/>
      </w:rPr>
    </w:pPr>
  </w:p>
  <w:p w14:paraId="0F409747" w14:textId="77777777" w:rsidR="00BC0049" w:rsidRDefault="00BC0049">
    <w:pPr>
      <w:pStyle w:val="Cabealho"/>
      <w:jc w:val="center"/>
      <w:rPr>
        <w:rFonts w:ascii="Arial" w:hAnsi="Arial" w:cs="Arial"/>
        <w:sz w:val="20"/>
        <w:szCs w:val="20"/>
      </w:rPr>
    </w:pPr>
  </w:p>
  <w:p w14:paraId="3BF84B38" w14:textId="77777777" w:rsidR="00BC0049" w:rsidRDefault="00BC0049">
    <w:pPr>
      <w:pStyle w:val="Cabealho"/>
      <w:jc w:val="right"/>
      <w:rPr>
        <w:rFonts w:ascii="Gadugi" w:hAnsi="Gadugi" w:cs="Gadugi"/>
        <w:b/>
        <w:bCs/>
        <w:sz w:val="18"/>
        <w:szCs w:val="18"/>
      </w:rPr>
    </w:pPr>
  </w:p>
  <w:p w14:paraId="3F6A87AC" w14:textId="77777777" w:rsidR="00BC0049" w:rsidRDefault="00BC0049">
    <w:pPr>
      <w:pStyle w:val="Cabealho"/>
      <w:rPr>
        <w:rFonts w:ascii="Gadugi" w:hAnsi="Gadugi" w:cs="Gadugi"/>
        <w:b/>
        <w:bCs/>
        <w:sz w:val="18"/>
        <w:szCs w:val="18"/>
      </w:rPr>
    </w:pPr>
  </w:p>
  <w:p w14:paraId="74E3B3A3" w14:textId="2B714F6D" w:rsidR="00BC0049" w:rsidRDefault="002B07EE">
    <w:pPr>
      <w:pStyle w:val="Cabealho"/>
      <w:jc w:val="right"/>
      <w:rPr>
        <w:rFonts w:ascii="Gadugi" w:hAnsi="Gadugi" w:cs="Gadugi"/>
        <w:b/>
        <w:bCs/>
        <w:sz w:val="18"/>
        <w:szCs w:val="18"/>
      </w:rPr>
    </w:pPr>
    <w:r>
      <w:t xml:space="preserve">Pregão Eletrônico nº </w:t>
    </w:r>
    <w:r w:rsidR="0048351A">
      <w:t>23/2026</w:t>
    </w:r>
  </w:p>
  <w:p w14:paraId="5E6F7278" w14:textId="26EE6DDF" w:rsidR="00BC0049" w:rsidRDefault="002B07EE">
    <w:pPr>
      <w:pStyle w:val="Cabealho"/>
      <w:jc w:val="right"/>
      <w:rPr>
        <w:rFonts w:ascii="Cambria" w:hAnsi="Cambria" w:cs="Cambria"/>
        <w:sz w:val="18"/>
        <w:szCs w:val="18"/>
      </w:rPr>
    </w:pPr>
    <w:r>
      <w:t xml:space="preserve">Registro de Preços nº </w:t>
    </w:r>
    <w:r w:rsidR="0048351A">
      <w:t>18/2026</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EEF57" w14:textId="77777777" w:rsidR="00BC0049" w:rsidRDefault="00BC0049"/>
  <w:p w14:paraId="1C3099F9" w14:textId="77777777" w:rsidR="00BC0049" w:rsidRDefault="002B07EE">
    <w:r>
      <w:rPr>
        <w:noProof/>
      </w:rPr>
      <w:drawing>
        <wp:anchor distT="0" distB="0" distL="114300" distR="114300" simplePos="0" relativeHeight="2" behindDoc="1" locked="0" layoutInCell="0" allowOverlap="1" wp14:anchorId="325D95AF" wp14:editId="4B443743">
          <wp:simplePos x="0" y="0"/>
          <wp:positionH relativeFrom="margin">
            <wp:posOffset>1365885</wp:posOffset>
          </wp:positionH>
          <wp:positionV relativeFrom="paragraph">
            <wp:posOffset>156845</wp:posOffset>
          </wp:positionV>
          <wp:extent cx="3390900" cy="896620"/>
          <wp:effectExtent l="0" t="0" r="0" b="0"/>
          <wp:wrapSquare wrapText="bothSides"/>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1"/>
                  <a:srcRect l="26388" t="15762" r="24955" b="17745"/>
                  <a:stretch>
                    <a:fillRect/>
                  </a:stretch>
                </pic:blipFill>
                <pic:spPr bwMode="auto">
                  <a:xfrm>
                    <a:off x="0" y="0"/>
                    <a:ext cx="3390900" cy="8966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5449"/>
    <w:multiLevelType w:val="multilevel"/>
    <w:tmpl w:val="7A94210E"/>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AEA2BD7"/>
    <w:multiLevelType w:val="multilevel"/>
    <w:tmpl w:val="1450A0F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50397116"/>
    <w:multiLevelType w:val="multilevel"/>
    <w:tmpl w:val="3912F3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2071ED6"/>
    <w:multiLevelType w:val="multilevel"/>
    <w:tmpl w:val="5B32F75C"/>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BAE78EC"/>
    <w:multiLevelType w:val="multilevel"/>
    <w:tmpl w:val="AAF85D4E"/>
    <w:lvl w:ilvl="0">
      <w:start w:val="5"/>
      <w:numFmt w:val="decimal"/>
      <w:lvlText w:val="%1"/>
      <w:lvlJc w:val="left"/>
      <w:pPr>
        <w:tabs>
          <w:tab w:val="num" w:pos="0"/>
        </w:tabs>
        <w:ind w:left="405" w:hanging="405"/>
      </w:pPr>
    </w:lvl>
    <w:lvl w:ilvl="1">
      <w:start w:val="1"/>
      <w:numFmt w:val="decimal"/>
      <w:lvlText w:val="%1.%2"/>
      <w:lvlJc w:val="left"/>
      <w:pPr>
        <w:tabs>
          <w:tab w:val="num" w:pos="0"/>
        </w:tabs>
        <w:ind w:left="1113" w:hanging="405"/>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552" w:hanging="72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328" w:hanging="108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5" w15:restartNumberingAfterBreak="0">
    <w:nsid w:val="6805594C"/>
    <w:multiLevelType w:val="multilevel"/>
    <w:tmpl w:val="03CE49C0"/>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769048DE"/>
    <w:multiLevelType w:val="multilevel"/>
    <w:tmpl w:val="4CC8FC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76963677"/>
    <w:multiLevelType w:val="multilevel"/>
    <w:tmpl w:val="51FEF92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7397284">
    <w:abstractNumId w:val="3"/>
  </w:num>
  <w:num w:numId="2" w16cid:durableId="1468426591">
    <w:abstractNumId w:val="0"/>
  </w:num>
  <w:num w:numId="3" w16cid:durableId="957613300">
    <w:abstractNumId w:val="1"/>
  </w:num>
  <w:num w:numId="4" w16cid:durableId="411589529">
    <w:abstractNumId w:val="7"/>
  </w:num>
  <w:num w:numId="5" w16cid:durableId="154272434">
    <w:abstractNumId w:val="6"/>
  </w:num>
  <w:num w:numId="6" w16cid:durableId="1780181186">
    <w:abstractNumId w:val="4"/>
  </w:num>
  <w:num w:numId="7" w16cid:durableId="1959532584">
    <w:abstractNumId w:val="5"/>
  </w:num>
  <w:num w:numId="8" w16cid:durableId="196354039">
    <w:abstractNumId w:val="2"/>
  </w:num>
  <w:num w:numId="9" w16cid:durableId="195583054">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C0049"/>
    <w:rsid w:val="001C3D24"/>
    <w:rsid w:val="002B07EE"/>
    <w:rsid w:val="00371FB2"/>
    <w:rsid w:val="0048351A"/>
    <w:rsid w:val="004E5C9B"/>
    <w:rsid w:val="006D528E"/>
    <w:rsid w:val="007527D1"/>
    <w:rsid w:val="0099522B"/>
    <w:rsid w:val="00996C65"/>
    <w:rsid w:val="00A12DCF"/>
    <w:rsid w:val="00BC0049"/>
    <w:rsid w:val="00E21DE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38CC77"/>
  <w15:docId w15:val="{5E2E6BD7-5883-44E2-A20C-6BA04C31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E7777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057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santabarbaradosul.rs.gov.br/" TargetMode="External"/><Relationship Id="rId39" Type="http://schemas.openxmlformats.org/officeDocument/2006/relationships/footer" Target="foot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santabarbaradosul.rs.gov.b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gaobanrisu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regaobanrisul.com.br/"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ortaltransparencia.gov.br/sancoes/cnep" TargetMode="External"/><Relationship Id="rId31" Type="http://schemas.openxmlformats.org/officeDocument/2006/relationships/hyperlink" Target="mailto:licita@santabarbaradosul.rs.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pregaobanrisul.com.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santabarbaradosul.rs.gov.br/" TargetMode="External"/><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1882</TotalTime>
  <Pages>29</Pages>
  <Words>17772</Words>
  <Characters>95972</Characters>
  <Application>Microsoft Office Word</Application>
  <DocSecurity>0</DocSecurity>
  <Lines>799</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163</cp:revision>
  <cp:lastPrinted>2026-05-04T15:19:00Z</cp:lastPrinted>
  <dcterms:created xsi:type="dcterms:W3CDTF">2024-02-15T20:07:00Z</dcterms:created>
  <dcterms:modified xsi:type="dcterms:W3CDTF">2026-05-08T15:12:00Z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