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tbl>
      <w:tblPr>
        <w:tblStyle w:val="Tabelacomgrade"/>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nil"/>
              <w:left w:val="nil"/>
              <w:bottom w:val="nil"/>
              <w:right w:val="nil"/>
            </w:tcBorders>
            <w:shd w:color="auto" w:fill="D9D9D9" w:themeFill="background1" w:themeFillShade="d9" w:val="clear"/>
          </w:tcPr>
          <w:p>
            <w:pPr>
              <w:pStyle w:val="Normal"/>
              <w:widowControl w:val="false"/>
              <w:spacing w:before="0" w:after="0"/>
              <w:jc w:val="center"/>
              <w:rPr>
                <w:rFonts w:ascii="Arial" w:hAnsi="Arial"/>
                <w:sz w:val="24"/>
                <w:szCs w:val="24"/>
              </w:rPr>
            </w:pPr>
            <w:r>
              <w:rPr>
                <w:rFonts w:cs="Arial" w:ascii="Arial" w:hAnsi="Arial"/>
                <w:b/>
                <w:bCs/>
                <w:kern w:val="0"/>
                <w:sz w:val="24"/>
                <w:szCs w:val="24"/>
                <w:lang w:val="pt-BR" w:bidi="ar-SA"/>
              </w:rPr>
              <w:t>AVISO DE DISPENSA ELETRÔNICA Nº</w:t>
            </w:r>
            <w:r>
              <w:rPr>
                <w:rFonts w:cs="Arial" w:ascii="Arial" w:hAnsi="Arial"/>
                <w:b/>
                <w:bCs/>
                <w:kern w:val="0"/>
                <w:sz w:val="24"/>
                <w:szCs w:val="24"/>
                <w:shd w:fill="auto" w:val="clear"/>
                <w:lang w:val="pt-BR" w:bidi="ar-SA"/>
              </w:rPr>
              <w:t xml:space="preserve"> </w:t>
            </w:r>
            <w:r>
              <w:rPr>
                <w:rFonts w:cs="Arial" w:ascii="Arial" w:hAnsi="Arial"/>
                <w:b/>
                <w:bCs/>
                <w:kern w:val="0"/>
                <w:sz w:val="24"/>
                <w:szCs w:val="24"/>
                <w:shd w:fill="auto" w:val="clear"/>
                <w:lang w:val="pt-BR" w:bidi="ar-SA"/>
              </w:rPr>
              <w:t>016</w:t>
            </w:r>
            <w:r>
              <w:rPr>
                <w:rFonts w:cs="Arial" w:ascii="Arial" w:hAnsi="Arial"/>
                <w:b/>
                <w:bCs/>
                <w:kern w:val="0"/>
                <w:sz w:val="24"/>
                <w:szCs w:val="24"/>
                <w:shd w:fill="auto" w:val="clear"/>
                <w:lang w:val="pt-BR" w:bidi="ar-SA"/>
              </w:rPr>
              <w:t xml:space="preserve">/2023 </w:t>
            </w:r>
          </w:p>
          <w:p>
            <w:pPr>
              <w:pStyle w:val="Normal"/>
              <w:widowControl w:val="false"/>
              <w:spacing w:before="0" w:after="0"/>
              <w:jc w:val="center"/>
              <w:rPr>
                <w:rFonts w:ascii="Arial" w:hAnsi="Arial" w:cs="Arial"/>
                <w:b/>
                <w:b/>
                <w:bCs/>
                <w:kern w:val="0"/>
                <w:sz w:val="24"/>
                <w:szCs w:val="24"/>
                <w:lang w:val="pt-BR" w:bidi="ar-SA"/>
              </w:rPr>
            </w:pPr>
            <w:r>
              <w:rPr>
                <w:rFonts w:cs="Arial" w:ascii="Arial" w:hAnsi="Arial"/>
                <w:b/>
                <w:bCs/>
                <w:kern w:val="0"/>
                <w:sz w:val="24"/>
                <w:szCs w:val="24"/>
                <w:shd w:fill="auto" w:val="clear"/>
                <w:lang w:val="pt-BR" w:bidi="ar-SA"/>
              </w:rPr>
              <w:t>Lei 14.133/2021</w:t>
            </w:r>
          </w:p>
          <w:p>
            <w:pPr>
              <w:pStyle w:val="Normal"/>
              <w:widowControl w:val="false"/>
              <w:spacing w:before="0" w:after="0"/>
              <w:jc w:val="center"/>
              <w:rPr>
                <w:rFonts w:ascii="Arial" w:hAnsi="Arial"/>
                <w:sz w:val="24"/>
                <w:szCs w:val="24"/>
              </w:rPr>
            </w:pPr>
            <w:r>
              <w:rPr>
                <w:rFonts w:cs="Arial" w:ascii="Arial" w:hAnsi="Arial"/>
                <w:b/>
                <w:bCs/>
                <w:kern w:val="0"/>
                <w:sz w:val="24"/>
                <w:szCs w:val="24"/>
                <w:lang w:val="pt-BR" w:bidi="ar-SA"/>
              </w:rPr>
              <w:t>Processo Administrativo nº 49.078</w:t>
            </w:r>
            <w:r>
              <w:rPr>
                <w:rFonts w:cs="Arial" w:ascii="Arial" w:hAnsi="Arial"/>
                <w:b/>
                <w:bCs/>
                <w:kern w:val="0"/>
                <w:sz w:val="24"/>
                <w:szCs w:val="24"/>
                <w:shd w:fill="auto" w:val="clear"/>
                <w:lang w:val="pt-BR" w:bidi="ar-SA"/>
              </w:rPr>
              <w:t xml:space="preserve">/2023 </w:t>
            </w:r>
          </w:p>
        </w:tc>
      </w:tr>
    </w:tbl>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sz w:val="24"/>
          <w:szCs w:val="24"/>
          <w:lang w:val="pt-BR"/>
        </w:rPr>
        <w:t xml:space="preserve">O </w:t>
      </w:r>
      <w:r>
        <w:rPr>
          <w:rFonts w:cs="Arial" w:ascii="Arial" w:hAnsi="Arial"/>
          <w:b/>
          <w:bCs/>
          <w:sz w:val="24"/>
          <w:szCs w:val="24"/>
          <w:lang w:val="pt-BR"/>
        </w:rPr>
        <w:t>MUNICÍPIO DO RIO GRANDE (RS)</w:t>
      </w:r>
      <w:r>
        <w:rPr>
          <w:rFonts w:cs="Arial" w:ascii="Arial" w:hAnsi="Arial"/>
          <w:sz w:val="24"/>
          <w:szCs w:val="24"/>
          <w:lang w:val="pt-BR"/>
        </w:rPr>
        <w:t>, por intermédio da Secretari</w:t>
      </w:r>
      <w:r>
        <w:rPr>
          <w:rFonts w:cs="Arial" w:ascii="Arial" w:hAnsi="Arial"/>
          <w:sz w:val="24"/>
          <w:szCs w:val="24"/>
          <w:shd w:fill="auto" w:val="clear"/>
          <w:lang w:val="pt-BR"/>
        </w:rPr>
        <w:t xml:space="preserve">a de Município de Gestão Administrativa e Licitações – SMGAL, Superintendência de Compras, Licitações e Contratos – SCLC, torna pública, que realizará </w:t>
      </w:r>
      <w:r>
        <w:rPr>
          <w:rFonts w:cs="Arial" w:ascii="Arial" w:hAnsi="Arial"/>
          <w:b/>
          <w:bCs/>
          <w:sz w:val="24"/>
          <w:szCs w:val="24"/>
          <w:shd w:fill="auto" w:val="clear"/>
          <w:lang w:val="pt-BR"/>
        </w:rPr>
        <w:t>Dispensa Eletrônica</w:t>
      </w:r>
      <w:r>
        <w:rPr>
          <w:rFonts w:cs="Arial" w:ascii="Arial" w:hAnsi="Arial"/>
          <w:sz w:val="24"/>
          <w:szCs w:val="24"/>
          <w:shd w:fill="auto" w:val="clear"/>
          <w:lang w:val="pt-BR"/>
        </w:rPr>
        <w:t xml:space="preserve">, de acordo com o inc. II, art. 75 da Lei 14.133/2021 e, em conformidade com os Decretos Municipais 19.706, 19.707 ambos de 19/01/2023 e 19.710, de 24/01/2023, que regulamentam a Lei 14.133/2021, no âmbito </w:t>
      </w:r>
      <w:r>
        <w:rPr>
          <w:rFonts w:cs="Arial" w:ascii="Arial" w:hAnsi="Arial"/>
          <w:sz w:val="24"/>
          <w:szCs w:val="24"/>
          <w:lang w:val="pt-BR"/>
        </w:rPr>
        <w:t>do Município do Rio Grande/RS.</w:t>
      </w:r>
    </w:p>
    <w:p>
      <w:pPr>
        <w:pStyle w:val="Normal"/>
        <w:jc w:val="both"/>
        <w:rPr>
          <w:rFonts w:ascii="Arial" w:hAnsi="Arial" w:cs="Arial"/>
          <w:sz w:val="24"/>
          <w:szCs w:val="24"/>
          <w:lang w:val="pt-BR"/>
        </w:rPr>
      </w:pPr>
      <w:r>
        <w:rPr>
          <w:rFonts w:cs="Arial" w:ascii="Arial" w:hAnsi="Arial"/>
          <w:sz w:val="24"/>
          <w:szCs w:val="24"/>
          <w:lang w:val="pt-BR"/>
        </w:rPr>
      </w:r>
    </w:p>
    <w:tbl>
      <w:tblPr>
        <w:tblStyle w:val="Tabelacomgrade"/>
        <w:tblW w:w="9634"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3534"/>
        <w:gridCol w:w="6099"/>
        <w:gridCol w:w="1"/>
        <w:gridCol w:w="1"/>
      </w:tblGrid>
      <w:tr>
        <w:trPr/>
        <w:tc>
          <w:tcPr>
            <w:tcW w:w="9634" w:type="dxa"/>
            <w:gridSpan w:val="2"/>
            <w:tcBorders/>
            <w:shd w:color="auto" w:fill="F2F2F2" w:themeFill="background1" w:themeFillShade="f2" w:val="clear"/>
          </w:tcPr>
          <w:p>
            <w:pPr>
              <w:pStyle w:val="Normal"/>
              <w:widowControl w:val="false"/>
              <w:spacing w:before="0" w:after="0"/>
              <w:jc w:val="both"/>
              <w:rPr>
                <w:rFonts w:ascii="Arial" w:hAnsi="Arial"/>
                <w:sz w:val="24"/>
                <w:szCs w:val="24"/>
              </w:rPr>
            </w:pPr>
            <w:r>
              <w:rPr>
                <w:rFonts w:cs="Arial" w:ascii="Arial" w:hAnsi="Arial"/>
                <w:b/>
                <w:bCs/>
                <w:kern w:val="0"/>
                <w:sz w:val="24"/>
                <w:szCs w:val="24"/>
                <w:lang w:val="pt-BR" w:bidi="ar-SA"/>
              </w:rPr>
              <w:t xml:space="preserve">Objeto: Contratação dos serviços, sem dedicação exclusiva de mão de obra para </w:t>
            </w:r>
            <w:r>
              <w:rPr>
                <w:rFonts w:eastAsia="Times New Roman" w:cs="Arial" w:ascii="Arial" w:hAnsi="Arial"/>
                <w:b/>
                <w:bCs/>
                <w:kern w:val="0"/>
                <w:sz w:val="24"/>
                <w:szCs w:val="24"/>
                <w:lang w:val="pt-BR" w:eastAsia="ar-SA" w:bidi="ar-SA"/>
              </w:rPr>
              <w:t>implantação de telas de contenção de pássaros nas dependências do Mercado Público Municipal</w:t>
            </w:r>
            <w:r>
              <w:rPr>
                <w:rFonts w:cs="Arial" w:ascii="Arial" w:hAnsi="Arial"/>
                <w:b/>
                <w:bCs/>
                <w:kern w:val="0"/>
                <w:sz w:val="24"/>
                <w:szCs w:val="24"/>
                <w:lang w:val="pt-BR" w:bidi="ar-SA"/>
              </w:rPr>
              <w:t>, conforme condições, quantidades e exigências estabelecidas neste instrumento e seus anexos.</w:t>
            </w:r>
          </w:p>
        </w:tc>
        <w:tc>
          <w:tcPr>
            <w:tcW w:w="1" w:type="dxa"/>
            <w:tcBorders>
              <w:top w:val="nil"/>
              <w:left w:val="nil"/>
              <w:bottom w:val="nil"/>
              <w:right w:val="nil"/>
            </w:tcBorders>
          </w:tcPr>
          <w:p>
            <w:pPr>
              <w:pStyle w:val="Normal"/>
              <w:widowControl w:val="false"/>
              <w:spacing w:before="0" w:after="0"/>
              <w:jc w:val="left"/>
              <w:rPr>
                <w:rFonts w:ascii="Arial" w:hAnsi="Arial" w:cs="Times New Roman"/>
                <w:kern w:val="0"/>
                <w:sz w:val="24"/>
                <w:szCs w:val="24"/>
                <w:lang w:bidi="ar-SA"/>
              </w:rPr>
            </w:pPr>
            <w:r>
              <w:rPr>
                <w:rFonts w:cs="Times New Roman" w:ascii="Arial" w:hAnsi="Arial"/>
                <w:kern w:val="0"/>
                <w:sz w:val="24"/>
                <w:szCs w:val="24"/>
                <w:lang w:bidi="ar-SA"/>
              </w:rPr>
            </w:r>
          </w:p>
        </w:tc>
      </w:tr>
      <w:tr>
        <w:trPr/>
        <w:tc>
          <w:tcPr>
            <w:tcW w:w="3534" w:type="dxa"/>
            <w:tcBorders/>
            <w:shd w:color="auto" w:fill="F2F2F2" w:themeFill="background1" w:themeFillShade="f2" w:val="clear"/>
          </w:tcPr>
          <w:p>
            <w:pPr>
              <w:pStyle w:val="Normal"/>
              <w:widowControl w:val="false"/>
              <w:spacing w:before="0" w:after="0"/>
              <w:jc w:val="both"/>
              <w:rPr>
                <w:rFonts w:cs="Arial"/>
                <w:b/>
                <w:b/>
                <w:bCs/>
                <w:kern w:val="0"/>
                <w:lang w:val="pt-BR" w:bidi="ar-SA"/>
              </w:rPr>
            </w:pPr>
            <w:r>
              <w:rPr>
                <w:rFonts w:cs="Arial" w:ascii="Arial" w:hAnsi="Arial"/>
                <w:b/>
                <w:bCs/>
                <w:kern w:val="0"/>
                <w:sz w:val="24"/>
                <w:szCs w:val="24"/>
                <w:lang w:val="pt-BR" w:bidi="ar-SA"/>
              </w:rPr>
              <w:t>Critério de Julgamento:</w:t>
            </w:r>
          </w:p>
        </w:tc>
        <w:tc>
          <w:tcPr>
            <w:tcW w:w="6099" w:type="dxa"/>
            <w:tcBorders/>
            <w:shd w:color="auto" w:fill="F2F2F2" w:themeFill="background1" w:themeFillShade="f2" w:val="clear"/>
          </w:tcPr>
          <w:p>
            <w:pPr>
              <w:pStyle w:val="Normal"/>
              <w:widowControl w:val="false"/>
              <w:spacing w:before="0" w:after="0"/>
              <w:jc w:val="both"/>
              <w:rPr>
                <w:rFonts w:cs="Arial"/>
                <w:b/>
                <w:b/>
                <w:bCs/>
                <w:kern w:val="0"/>
                <w:lang w:val="pt-BR" w:bidi="ar-SA"/>
              </w:rPr>
            </w:pPr>
            <w:r>
              <w:rPr>
                <w:rFonts w:cs="Arial" w:ascii="Arial" w:hAnsi="Arial"/>
                <w:b/>
                <w:bCs/>
                <w:kern w:val="0"/>
                <w:sz w:val="24"/>
                <w:szCs w:val="24"/>
                <w:lang w:val="pt-BR" w:bidi="ar-SA"/>
              </w:rPr>
              <w:t>menor preço</w:t>
            </w:r>
          </w:p>
        </w:tc>
      </w:tr>
      <w:tr>
        <w:trPr/>
        <w:tc>
          <w:tcPr>
            <w:tcW w:w="3534" w:type="dxa"/>
            <w:tcBorders/>
            <w:shd w:color="auto" w:fill="F2F2F2" w:themeFill="background1" w:themeFillShade="f2" w:val="clear"/>
          </w:tcPr>
          <w:p>
            <w:pPr>
              <w:pStyle w:val="Normal"/>
              <w:widowControl w:val="false"/>
              <w:spacing w:before="0" w:after="0"/>
              <w:jc w:val="both"/>
              <w:rPr>
                <w:rFonts w:cs="Arial"/>
                <w:b/>
                <w:b/>
                <w:bCs/>
                <w:kern w:val="0"/>
                <w:lang w:val="pt-BR" w:bidi="ar-SA"/>
              </w:rPr>
            </w:pPr>
            <w:r>
              <w:rPr>
                <w:rFonts w:cs="Arial" w:ascii="Arial" w:hAnsi="Arial"/>
                <w:b/>
                <w:bCs/>
                <w:kern w:val="0"/>
                <w:sz w:val="24"/>
                <w:szCs w:val="24"/>
                <w:lang w:val="pt-BR" w:bidi="ar-SA"/>
              </w:rPr>
              <w:t>Exclusividade ME/EPP:</w:t>
            </w:r>
          </w:p>
        </w:tc>
        <w:tc>
          <w:tcPr>
            <w:tcW w:w="6099" w:type="dxa"/>
            <w:tcBorders/>
            <w:shd w:color="auto" w:fill="F2F2F2" w:themeFill="background1" w:themeFillShade="f2" w:val="clear"/>
          </w:tcPr>
          <w:p>
            <w:pPr>
              <w:pStyle w:val="Normal"/>
              <w:widowControl w:val="false"/>
              <w:spacing w:before="0" w:after="0"/>
              <w:jc w:val="both"/>
              <w:rPr>
                <w:rFonts w:cs="Arial"/>
                <w:b/>
                <w:b/>
                <w:bCs/>
                <w:kern w:val="0"/>
                <w:lang w:val="pt-BR" w:bidi="ar-SA"/>
              </w:rPr>
            </w:pPr>
            <w:r>
              <w:rPr>
                <w:rFonts w:cs="Arial" w:ascii="Arial" w:hAnsi="Arial"/>
                <w:b/>
                <w:bCs/>
                <w:kern w:val="0"/>
                <w:sz w:val="24"/>
                <w:szCs w:val="24"/>
                <w:lang w:val="pt-BR" w:bidi="ar-SA"/>
              </w:rPr>
              <w:t>sim</w:t>
            </w:r>
          </w:p>
        </w:tc>
      </w:tr>
      <w:tr>
        <w:trPr/>
        <w:tc>
          <w:tcPr>
            <w:tcW w:w="3534" w:type="dxa"/>
            <w:tcBorders/>
            <w:shd w:color="auto" w:fill="F2F2F2" w:themeFill="background1" w:themeFillShade="f2" w:val="clear"/>
          </w:tcPr>
          <w:p>
            <w:pPr>
              <w:pStyle w:val="Normal"/>
              <w:widowControl w:val="false"/>
              <w:spacing w:before="0" w:after="0"/>
              <w:jc w:val="both"/>
              <w:rPr>
                <w:rFonts w:cs="Arial"/>
                <w:b/>
                <w:b/>
                <w:bCs/>
                <w:kern w:val="0"/>
                <w:lang w:val="pt-BR" w:bidi="ar-SA"/>
              </w:rPr>
            </w:pPr>
            <w:r>
              <w:rPr>
                <w:rFonts w:cs="Arial" w:ascii="Arial" w:hAnsi="Arial"/>
                <w:b/>
                <w:bCs/>
                <w:kern w:val="0"/>
                <w:sz w:val="24"/>
                <w:szCs w:val="24"/>
                <w:lang w:val="pt-BR" w:bidi="ar-SA"/>
              </w:rPr>
              <w:t>Sítio Eletrônico:</w:t>
            </w:r>
          </w:p>
        </w:tc>
        <w:tc>
          <w:tcPr>
            <w:tcW w:w="6099" w:type="dxa"/>
            <w:tcBorders/>
            <w:shd w:color="auto" w:fill="F2F2F2" w:themeFill="background1" w:themeFillShade="f2" w:val="clear"/>
          </w:tcPr>
          <w:p>
            <w:pPr>
              <w:pStyle w:val="Normal"/>
              <w:widowControl w:val="false"/>
              <w:spacing w:before="0" w:after="0"/>
              <w:jc w:val="both"/>
              <w:rPr>
                <w:rFonts w:cs="Arial"/>
                <w:b/>
                <w:b/>
                <w:bCs/>
                <w:kern w:val="0"/>
                <w:lang w:val="pt-BR" w:bidi="ar-SA"/>
              </w:rPr>
            </w:pPr>
            <w:r>
              <w:rPr>
                <w:rFonts w:cs="Arial" w:ascii="Arial" w:hAnsi="Arial"/>
                <w:b/>
                <w:bCs/>
                <w:kern w:val="0"/>
                <w:sz w:val="24"/>
                <w:szCs w:val="24"/>
                <w:lang w:val="pt-BR" w:bidi="ar-SA"/>
              </w:rPr>
              <w:t>bllcompras.com</w:t>
            </w:r>
          </w:p>
        </w:tc>
      </w:tr>
      <w:tr>
        <w:trPr/>
        <w:tc>
          <w:tcPr>
            <w:tcW w:w="3534" w:type="dxa"/>
            <w:tcBorders/>
            <w:shd w:color="auto" w:fill="F2F2F2" w:themeFill="background1" w:themeFillShade="f2" w:val="clear"/>
          </w:tcPr>
          <w:p>
            <w:pPr>
              <w:pStyle w:val="Normal"/>
              <w:widowControl w:val="false"/>
              <w:spacing w:before="0" w:after="0"/>
              <w:jc w:val="both"/>
              <w:rPr>
                <w:rFonts w:cs="Arial"/>
                <w:b/>
                <w:b/>
                <w:bCs/>
                <w:kern w:val="0"/>
                <w:lang w:val="pt-BR" w:bidi="ar-SA"/>
              </w:rPr>
            </w:pPr>
            <w:r>
              <w:rPr>
                <w:rFonts w:cs="Arial" w:ascii="Arial" w:hAnsi="Arial"/>
                <w:b/>
                <w:bCs/>
                <w:kern w:val="0"/>
                <w:sz w:val="24"/>
                <w:szCs w:val="24"/>
                <w:lang w:val="pt-BR" w:bidi="ar-SA"/>
              </w:rPr>
              <w:t>Período de Propostas:</w:t>
            </w:r>
          </w:p>
        </w:tc>
        <w:tc>
          <w:tcPr>
            <w:tcW w:w="6099" w:type="dxa"/>
            <w:tcBorders/>
            <w:shd w:color="auto" w:fill="F2F2F2" w:themeFill="background1" w:themeFillShade="f2" w:val="clear"/>
          </w:tcPr>
          <w:p>
            <w:pPr>
              <w:pStyle w:val="Normal"/>
              <w:widowControl w:val="false"/>
              <w:spacing w:before="0" w:after="0"/>
              <w:jc w:val="both"/>
              <w:rPr>
                <w:highlight w:val="none"/>
                <w:shd w:fill="auto" w:val="clear"/>
              </w:rPr>
            </w:pPr>
            <w:r>
              <w:rPr>
                <w:rFonts w:cs="Arial" w:ascii="Arial" w:hAnsi="Arial"/>
                <w:b/>
                <w:bCs/>
                <w:kern w:val="0"/>
                <w:sz w:val="24"/>
                <w:szCs w:val="24"/>
                <w:shd w:fill="auto" w:val="clear"/>
                <w:lang w:val="pt-BR" w:bidi="ar-SA"/>
              </w:rPr>
              <w:t xml:space="preserve">das 08h de </w:t>
            </w:r>
            <w:r>
              <w:rPr>
                <w:rFonts w:cs="Arial" w:ascii="Arial" w:hAnsi="Arial"/>
                <w:b/>
                <w:bCs/>
                <w:kern w:val="0"/>
                <w:sz w:val="24"/>
                <w:szCs w:val="24"/>
                <w:shd w:fill="auto" w:val="clear"/>
                <w:lang w:val="pt-BR" w:bidi="ar-SA"/>
              </w:rPr>
              <w:t>28/12</w:t>
            </w:r>
            <w:r>
              <w:rPr>
                <w:rFonts w:cs="Arial" w:ascii="Arial" w:hAnsi="Arial"/>
                <w:b/>
                <w:bCs/>
                <w:kern w:val="0"/>
                <w:sz w:val="24"/>
                <w:szCs w:val="24"/>
                <w:shd w:fill="auto" w:val="clear"/>
                <w:lang w:val="pt-BR" w:bidi="ar-SA"/>
              </w:rPr>
              <w:t>/2023 às 9h</w:t>
            </w:r>
            <w:r>
              <w:rPr>
                <w:rFonts w:cs="Arial" w:ascii="Arial" w:hAnsi="Arial"/>
                <w:b/>
                <w:bCs/>
                <w:kern w:val="0"/>
                <w:sz w:val="24"/>
                <w:szCs w:val="24"/>
                <w:shd w:fill="auto" w:val="clear"/>
                <w:lang w:val="pt-BR" w:bidi="ar-SA"/>
              </w:rPr>
              <w:t>30</w:t>
            </w:r>
            <w:r>
              <w:rPr>
                <w:rFonts w:cs="Arial" w:ascii="Arial" w:hAnsi="Arial"/>
                <w:b/>
                <w:bCs/>
                <w:kern w:val="0"/>
                <w:sz w:val="24"/>
                <w:szCs w:val="24"/>
                <w:shd w:fill="auto" w:val="clear"/>
                <w:lang w:val="pt-BR" w:bidi="ar-SA"/>
              </w:rPr>
              <w:t xml:space="preserve">min de </w:t>
            </w:r>
            <w:r>
              <w:rPr>
                <w:rFonts w:cs="Arial" w:ascii="Arial" w:hAnsi="Arial"/>
                <w:b/>
                <w:bCs/>
                <w:kern w:val="0"/>
                <w:sz w:val="24"/>
                <w:szCs w:val="24"/>
                <w:shd w:fill="auto" w:val="clear"/>
                <w:lang w:val="pt-BR" w:bidi="ar-SA"/>
              </w:rPr>
              <w:t>04/01/</w:t>
            </w:r>
            <w:r>
              <w:rPr>
                <w:rFonts w:cs="Arial" w:ascii="Arial" w:hAnsi="Arial"/>
                <w:b/>
                <w:bCs/>
                <w:kern w:val="0"/>
                <w:sz w:val="24"/>
                <w:szCs w:val="24"/>
                <w:shd w:fill="auto" w:val="clear"/>
                <w:lang w:val="pt-BR" w:bidi="ar-SA"/>
              </w:rPr>
              <w:t>202</w:t>
            </w:r>
            <w:r>
              <w:rPr>
                <w:rFonts w:cs="Arial" w:ascii="Arial" w:hAnsi="Arial"/>
                <w:b/>
                <w:bCs/>
                <w:kern w:val="0"/>
                <w:sz w:val="24"/>
                <w:szCs w:val="24"/>
                <w:shd w:fill="auto" w:val="clear"/>
                <w:lang w:val="pt-BR" w:bidi="ar-SA"/>
              </w:rPr>
              <w:t>4</w:t>
            </w:r>
          </w:p>
        </w:tc>
      </w:tr>
      <w:tr>
        <w:trPr/>
        <w:tc>
          <w:tcPr>
            <w:tcW w:w="3534" w:type="dxa"/>
            <w:tcBorders/>
            <w:shd w:color="auto" w:fill="F2F2F2" w:themeFill="background1" w:themeFillShade="f2" w:val="clear"/>
          </w:tcPr>
          <w:p>
            <w:pPr>
              <w:pStyle w:val="Normal"/>
              <w:widowControl w:val="false"/>
              <w:spacing w:before="0" w:after="0"/>
              <w:jc w:val="both"/>
              <w:rPr>
                <w:rFonts w:cs="Arial"/>
                <w:b/>
                <w:b/>
                <w:bCs/>
                <w:kern w:val="0"/>
                <w:lang w:val="pt-BR" w:bidi="ar-SA"/>
              </w:rPr>
            </w:pPr>
            <w:r>
              <w:rPr>
                <w:rFonts w:cs="Arial" w:ascii="Arial" w:hAnsi="Arial"/>
                <w:b/>
                <w:bCs/>
                <w:kern w:val="0"/>
                <w:sz w:val="24"/>
                <w:szCs w:val="24"/>
                <w:lang w:val="pt-BR" w:bidi="ar-SA"/>
              </w:rPr>
              <w:t>Período de Lances:</w:t>
            </w:r>
          </w:p>
        </w:tc>
        <w:tc>
          <w:tcPr>
            <w:tcW w:w="6099" w:type="dxa"/>
            <w:tcBorders/>
            <w:shd w:color="auto" w:fill="F2F2F2" w:themeFill="background1" w:themeFillShade="f2" w:val="clear"/>
          </w:tcPr>
          <w:p>
            <w:pPr>
              <w:pStyle w:val="Normal"/>
              <w:widowControl w:val="false"/>
              <w:spacing w:before="0" w:after="0"/>
              <w:jc w:val="both"/>
              <w:rPr>
                <w:highlight w:val="none"/>
                <w:shd w:fill="auto" w:val="clear"/>
              </w:rPr>
            </w:pPr>
            <w:r>
              <w:rPr>
                <w:rFonts w:cs="Arial" w:ascii="Arial" w:hAnsi="Arial"/>
                <w:b/>
                <w:bCs/>
                <w:kern w:val="0"/>
                <w:sz w:val="24"/>
                <w:szCs w:val="24"/>
                <w:shd w:fill="auto" w:val="clear"/>
                <w:lang w:val="pt-BR" w:bidi="ar-SA"/>
              </w:rPr>
              <w:t xml:space="preserve">das 10h de </w:t>
            </w:r>
            <w:r>
              <w:rPr>
                <w:rFonts w:cs="Arial" w:ascii="Arial" w:hAnsi="Arial"/>
                <w:b/>
                <w:bCs/>
                <w:kern w:val="0"/>
                <w:sz w:val="24"/>
                <w:szCs w:val="24"/>
                <w:shd w:fill="auto" w:val="clear"/>
                <w:lang w:val="pt-BR" w:bidi="ar-SA"/>
              </w:rPr>
              <w:t>04/01/2024</w:t>
            </w:r>
            <w:r>
              <w:rPr>
                <w:rFonts w:cs="Arial" w:ascii="Arial" w:hAnsi="Arial"/>
                <w:b/>
                <w:bCs/>
                <w:kern w:val="0"/>
                <w:sz w:val="24"/>
                <w:szCs w:val="24"/>
                <w:shd w:fill="auto" w:val="clear"/>
                <w:lang w:val="pt-BR" w:bidi="ar-SA"/>
              </w:rPr>
              <w:t xml:space="preserve"> às 16h de </w:t>
            </w:r>
            <w:r>
              <w:rPr>
                <w:rFonts w:cs="Arial" w:ascii="Arial" w:hAnsi="Arial"/>
                <w:b/>
                <w:bCs/>
                <w:kern w:val="0"/>
                <w:sz w:val="24"/>
                <w:szCs w:val="24"/>
                <w:shd w:fill="auto" w:val="clear"/>
                <w:lang w:val="pt-BR" w:bidi="ar-SA"/>
              </w:rPr>
              <w:t>04/01/2024</w:t>
            </w:r>
          </w:p>
        </w:tc>
      </w:tr>
    </w:tbl>
    <w:p>
      <w:pPr>
        <w:pStyle w:val="Normal"/>
        <w:jc w:val="both"/>
        <w:rPr>
          <w:rFonts w:ascii="Arial" w:hAnsi="Arial"/>
          <w:sz w:val="24"/>
          <w:szCs w:val="24"/>
        </w:rPr>
      </w:pPr>
      <w:r>
        <w:rPr>
          <w:rFonts w:cs="Arial" w:ascii="Arial" w:hAnsi="Arial"/>
          <w:b/>
          <w:bCs/>
          <w:sz w:val="24"/>
          <w:szCs w:val="24"/>
          <w:lang w:val="pt-BR"/>
        </w:rPr>
        <w:t>Obs.</w:t>
      </w:r>
      <w:r>
        <w:rPr>
          <w:rFonts w:cs="Arial" w:ascii="Arial" w:hAnsi="Arial"/>
          <w:sz w:val="24"/>
          <w:szCs w:val="24"/>
          <w:lang w:val="pt-BR"/>
        </w:rPr>
        <w:t>: para todas as referências de tempo será considerado o horário oficial de Brasília/DF.</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1. OBJETO DA CONTRATAÇÃO DIRETA</w:t>
      </w:r>
      <w:r>
        <w:rPr>
          <w:rFonts w:cs="Arial" w:ascii="Arial" w:hAnsi="Arial"/>
          <w:sz w:val="24"/>
          <w:szCs w:val="24"/>
          <w:lang w:val="pt-BR"/>
        </w:rPr>
        <w:t>:</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1.1</w:t>
      </w:r>
      <w:r>
        <w:rPr>
          <w:rFonts w:cs="Arial" w:ascii="Arial" w:hAnsi="Arial"/>
          <w:sz w:val="24"/>
          <w:szCs w:val="24"/>
          <w:lang w:val="pt-BR"/>
        </w:rPr>
        <w:t xml:space="preserve">. O objeto da presente dispensa é a escolha da proposta mais vantajosa para a contratação por dispensa de licitação </w:t>
      </w:r>
      <w:r>
        <w:rPr>
          <w:rFonts w:cs="Arial" w:ascii="Arial" w:hAnsi="Arial"/>
          <w:b w:val="false"/>
          <w:bCs w:val="false"/>
          <w:kern w:val="0"/>
          <w:sz w:val="24"/>
          <w:szCs w:val="24"/>
          <w:lang w:val="pt-BR" w:bidi="ar-SA"/>
        </w:rPr>
        <w:t xml:space="preserve">dos serviços, sem dedicação exclusiva de mão de obra para </w:t>
      </w:r>
      <w:r>
        <w:rPr>
          <w:rFonts w:eastAsia="Times New Roman" w:cs="Arial" w:ascii="Arial" w:hAnsi="Arial"/>
          <w:b w:val="false"/>
          <w:bCs w:val="false"/>
          <w:kern w:val="0"/>
          <w:sz w:val="24"/>
          <w:szCs w:val="24"/>
          <w:lang w:val="pt-BR" w:eastAsia="ar-SA" w:bidi="ar-SA"/>
        </w:rPr>
        <w:t>implantação de telas de contenção de pássaros nas dependências do Mercado Público Municipal</w:t>
      </w:r>
      <w:r>
        <w:rPr>
          <w:rFonts w:cs="Arial" w:ascii="Arial" w:hAnsi="Arial"/>
          <w:b w:val="false"/>
          <w:bCs w:val="false"/>
          <w:kern w:val="0"/>
          <w:sz w:val="24"/>
          <w:szCs w:val="24"/>
          <w:lang w:val="pt-BR" w:bidi="ar-SA"/>
        </w:rPr>
        <w:t xml:space="preserve">, </w:t>
      </w:r>
      <w:r>
        <w:rPr>
          <w:rFonts w:cs="Arial" w:ascii="Arial" w:hAnsi="Arial"/>
          <w:sz w:val="24"/>
          <w:szCs w:val="24"/>
          <w:lang w:val="pt-BR"/>
        </w:rPr>
        <w:t>conforme condições, quantidades e exigências estabelecidas neste Aviso de Contratação Direta e seus anexos.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1.2</w:t>
      </w:r>
      <w:r>
        <w:rPr>
          <w:rFonts w:cs="Arial" w:ascii="Arial" w:hAnsi="Arial"/>
          <w:sz w:val="24"/>
          <w:szCs w:val="24"/>
          <w:lang w:val="pt-BR"/>
        </w:rPr>
        <w:t>. A contr</w:t>
      </w:r>
      <w:r>
        <w:rPr>
          <w:rFonts w:cs="Arial" w:ascii="Arial" w:hAnsi="Arial"/>
          <w:sz w:val="24"/>
          <w:szCs w:val="24"/>
          <w:shd w:fill="auto" w:val="clear"/>
          <w:lang w:val="pt-BR"/>
        </w:rPr>
        <w:t>atação será dividida em lote único, conform</w:t>
      </w:r>
      <w:r>
        <w:rPr>
          <w:rFonts w:cs="Arial" w:ascii="Arial" w:hAnsi="Arial"/>
          <w:sz w:val="24"/>
          <w:szCs w:val="24"/>
          <w:lang w:val="pt-BR"/>
        </w:rPr>
        <w:t xml:space="preserve">e tabela constante abaixo. </w:t>
      </w:r>
      <w:r>
        <w:rPr>
          <w:rFonts w:cs="Arial" w:ascii="Arial" w:hAnsi="Arial"/>
          <w:b/>
          <w:bCs/>
          <w:sz w:val="24"/>
          <w:szCs w:val="24"/>
          <w:lang w:val="pt-BR"/>
        </w:rPr>
        <w:t>O valor ofertado deverá ser inferior ao valor de referência</w:t>
      </w:r>
      <w:r>
        <w:rPr>
          <w:rFonts w:cs="Arial" w:ascii="Arial" w:hAnsi="Arial"/>
          <w:sz w:val="24"/>
          <w:szCs w:val="24"/>
          <w:lang w:val="pt-BR"/>
        </w:rPr>
        <w:t>.</w:t>
      </w:r>
    </w:p>
    <w:p>
      <w:pPr>
        <w:pStyle w:val="Normal"/>
        <w:jc w:val="both"/>
        <w:rPr>
          <w:rFonts w:ascii="Arial" w:hAnsi="Arial" w:cs="Calibri Light"/>
          <w:sz w:val="24"/>
          <w:szCs w:val="24"/>
          <w:lang w:val="pt-BR"/>
        </w:rPr>
      </w:pPr>
      <w:r>
        <w:rPr>
          <w:rFonts w:cs="Calibri Light" w:ascii="Arial" w:hAnsi="Arial"/>
          <w:sz w:val="24"/>
          <w:szCs w:val="24"/>
          <w:lang w:val="pt-BR"/>
        </w:rPr>
      </w:r>
    </w:p>
    <w:tbl>
      <w:tblPr>
        <w:tblStyle w:val="Tabelacomgrade"/>
        <w:tblW w:w="9750" w:type="dxa"/>
        <w:jc w:val="left"/>
        <w:tblInd w:w="-26" w:type="dxa"/>
        <w:tblLayout w:type="fixed"/>
        <w:tblCellMar>
          <w:top w:w="0" w:type="dxa"/>
          <w:left w:w="108" w:type="dxa"/>
          <w:bottom w:w="0" w:type="dxa"/>
          <w:right w:w="108" w:type="dxa"/>
        </w:tblCellMar>
        <w:tblLook w:firstRow="1" w:noVBand="1" w:lastRow="0" w:firstColumn="1" w:lastColumn="0" w:noHBand="0" w:val="04a0"/>
      </w:tblPr>
      <w:tblGrid>
        <w:gridCol w:w="719"/>
        <w:gridCol w:w="718"/>
        <w:gridCol w:w="4536"/>
        <w:gridCol w:w="1278"/>
        <w:gridCol w:w="985"/>
        <w:gridCol w:w="1513"/>
      </w:tblGrid>
      <w:tr>
        <w:trPr/>
        <w:tc>
          <w:tcPr>
            <w:tcW w:w="719" w:type="dxa"/>
            <w:tcBorders/>
          </w:tcPr>
          <w:p>
            <w:pPr>
              <w:pStyle w:val="Normal"/>
              <w:widowControl w:val="false"/>
              <w:spacing w:before="0" w:after="0"/>
              <w:jc w:val="center"/>
              <w:rPr>
                <w:rFonts w:cs="Arial"/>
                <w:b/>
                <w:b/>
                <w:bCs/>
                <w:kern w:val="0"/>
                <w:lang w:bidi="ar-SA"/>
              </w:rPr>
            </w:pPr>
            <w:r>
              <w:rPr>
                <w:rFonts w:cs="Arial" w:ascii="Arial" w:hAnsi="Arial"/>
                <w:b/>
                <w:bCs/>
                <w:kern w:val="0"/>
                <w:sz w:val="24"/>
                <w:szCs w:val="24"/>
                <w:lang w:bidi="ar-SA"/>
              </w:rPr>
              <w:t>Lote</w:t>
            </w:r>
          </w:p>
        </w:tc>
        <w:tc>
          <w:tcPr>
            <w:tcW w:w="718" w:type="dxa"/>
            <w:tcBorders/>
          </w:tcPr>
          <w:p>
            <w:pPr>
              <w:pStyle w:val="Normal"/>
              <w:widowControl w:val="false"/>
              <w:spacing w:before="0" w:after="0"/>
              <w:jc w:val="center"/>
              <w:rPr>
                <w:rFonts w:cs="Arial"/>
                <w:b/>
                <w:b/>
                <w:bCs/>
                <w:kern w:val="0"/>
                <w:lang w:bidi="ar-SA"/>
              </w:rPr>
            </w:pPr>
            <w:r>
              <w:rPr>
                <w:rFonts w:cs="Arial" w:ascii="Arial" w:hAnsi="Arial"/>
                <w:b/>
                <w:bCs/>
                <w:kern w:val="0"/>
                <w:sz w:val="24"/>
                <w:szCs w:val="24"/>
                <w:lang w:bidi="ar-SA"/>
              </w:rPr>
              <w:t>Item</w:t>
            </w:r>
          </w:p>
        </w:tc>
        <w:tc>
          <w:tcPr>
            <w:tcW w:w="4536" w:type="dxa"/>
            <w:tcBorders/>
          </w:tcPr>
          <w:p>
            <w:pPr>
              <w:pStyle w:val="Normal"/>
              <w:widowControl w:val="false"/>
              <w:spacing w:before="0" w:after="0"/>
              <w:jc w:val="center"/>
              <w:rPr>
                <w:rFonts w:cs="Arial"/>
                <w:b/>
                <w:b/>
                <w:bCs/>
                <w:kern w:val="0"/>
                <w:lang w:bidi="ar-SA"/>
              </w:rPr>
            </w:pPr>
            <w:r>
              <w:rPr>
                <w:rFonts w:cs="Arial" w:ascii="Arial" w:hAnsi="Arial"/>
                <w:b/>
                <w:bCs/>
                <w:kern w:val="0"/>
                <w:sz w:val="24"/>
                <w:szCs w:val="24"/>
                <w:lang w:bidi="ar-SA"/>
              </w:rPr>
              <w:t>Descrição/Especificação:</w:t>
            </w:r>
          </w:p>
        </w:tc>
        <w:tc>
          <w:tcPr>
            <w:tcW w:w="1278" w:type="dxa"/>
            <w:tcBorders/>
          </w:tcPr>
          <w:p>
            <w:pPr>
              <w:pStyle w:val="Normal"/>
              <w:widowControl w:val="false"/>
              <w:spacing w:before="0" w:after="0"/>
              <w:jc w:val="center"/>
              <w:rPr>
                <w:rFonts w:cs="Arial"/>
                <w:b/>
                <w:b/>
                <w:bCs/>
                <w:kern w:val="0"/>
                <w:lang w:bidi="ar-SA"/>
              </w:rPr>
            </w:pPr>
            <w:r>
              <w:rPr>
                <w:rFonts w:cs="Arial" w:ascii="Arial" w:hAnsi="Arial"/>
                <w:b/>
                <w:bCs/>
                <w:kern w:val="0"/>
                <w:sz w:val="24"/>
                <w:szCs w:val="24"/>
                <w:lang w:bidi="ar-SA"/>
              </w:rPr>
              <w:t xml:space="preserve">Unidade de medida </w:t>
            </w:r>
          </w:p>
        </w:tc>
        <w:tc>
          <w:tcPr>
            <w:tcW w:w="985" w:type="dxa"/>
            <w:tcBorders/>
          </w:tcPr>
          <w:p>
            <w:pPr>
              <w:pStyle w:val="Normal"/>
              <w:widowControl w:val="false"/>
              <w:spacing w:before="0" w:after="0"/>
              <w:jc w:val="center"/>
              <w:rPr>
                <w:rFonts w:cs="Arial"/>
                <w:b/>
                <w:b/>
                <w:bCs/>
                <w:kern w:val="0"/>
                <w:lang w:bidi="ar-SA"/>
              </w:rPr>
            </w:pPr>
            <w:r>
              <w:rPr>
                <w:rFonts w:cs="Arial" w:ascii="Arial" w:hAnsi="Arial"/>
                <w:b/>
                <w:bCs/>
                <w:kern w:val="0"/>
                <w:sz w:val="24"/>
                <w:szCs w:val="24"/>
                <w:lang w:bidi="ar-SA"/>
              </w:rPr>
              <w:t>Qtde.</w:t>
            </w:r>
          </w:p>
        </w:tc>
        <w:tc>
          <w:tcPr>
            <w:tcW w:w="1513" w:type="dxa"/>
            <w:tcBorders/>
          </w:tcPr>
          <w:p>
            <w:pPr>
              <w:pStyle w:val="Normal"/>
              <w:widowControl w:val="false"/>
              <w:spacing w:before="0" w:after="0"/>
              <w:jc w:val="center"/>
              <w:rPr>
                <w:rFonts w:cs="Arial"/>
                <w:b/>
                <w:b/>
                <w:bCs/>
                <w:kern w:val="0"/>
                <w:lang w:bidi="ar-SA"/>
              </w:rPr>
            </w:pPr>
            <w:r>
              <w:rPr>
                <w:rFonts w:cs="Arial" w:ascii="Arial" w:hAnsi="Arial"/>
                <w:b/>
                <w:bCs/>
                <w:kern w:val="0"/>
                <w:sz w:val="24"/>
                <w:szCs w:val="24"/>
                <w:lang w:bidi="ar-SA"/>
              </w:rPr>
              <w:t>Vlr Est.</w:t>
            </w:r>
          </w:p>
        </w:tc>
      </w:tr>
      <w:tr>
        <w:trPr/>
        <w:tc>
          <w:tcPr>
            <w:tcW w:w="719" w:type="dxa"/>
            <w:tcBorders/>
            <w:vAlign w:val="center"/>
          </w:tcPr>
          <w:p>
            <w:pPr>
              <w:pStyle w:val="Normal"/>
              <w:widowControl w:val="false"/>
              <w:spacing w:before="0" w:after="0"/>
              <w:jc w:val="center"/>
              <w:rPr>
                <w:rFonts w:ascii="Arial" w:hAnsi="Arial" w:cs="Arial"/>
                <w:sz w:val="24"/>
                <w:szCs w:val="24"/>
              </w:rPr>
            </w:pPr>
            <w:r>
              <w:rPr>
                <w:rFonts w:cs="Arial" w:ascii="Arial" w:hAnsi="Arial"/>
                <w:sz w:val="24"/>
                <w:szCs w:val="24"/>
              </w:rPr>
              <w:t>1</w:t>
            </w:r>
          </w:p>
        </w:tc>
        <w:tc>
          <w:tcPr>
            <w:tcW w:w="718" w:type="dxa"/>
            <w:tcBorders/>
            <w:vAlign w:val="center"/>
          </w:tcPr>
          <w:p>
            <w:pPr>
              <w:pStyle w:val="Normal"/>
              <w:widowControl w:val="false"/>
              <w:spacing w:before="0" w:after="0"/>
              <w:jc w:val="center"/>
              <w:rPr>
                <w:rFonts w:ascii="Arial" w:hAnsi="Arial" w:cs="Arial"/>
                <w:sz w:val="24"/>
                <w:szCs w:val="24"/>
              </w:rPr>
            </w:pPr>
            <w:r>
              <w:rPr>
                <w:rFonts w:cs="Arial" w:ascii="Arial" w:hAnsi="Arial"/>
                <w:sz w:val="24"/>
                <w:szCs w:val="24"/>
              </w:rPr>
              <w:t>1</w:t>
            </w:r>
          </w:p>
        </w:tc>
        <w:tc>
          <w:tcPr>
            <w:tcW w:w="4536" w:type="dxa"/>
            <w:tcBorders/>
            <w:vAlign w:val="center"/>
          </w:tcPr>
          <w:p>
            <w:pPr>
              <w:pStyle w:val="Normal"/>
              <w:widowControl w:val="false"/>
              <w:spacing w:before="0" w:after="0"/>
              <w:jc w:val="both"/>
              <w:rPr>
                <w:rFonts w:ascii="Arial" w:hAnsi="Arial" w:eastAsia="HG Mincho Light J" w:cs="Arial"/>
                <w:color w:val="000000"/>
                <w:kern w:val="0"/>
                <w:lang w:val="pt-PT" w:eastAsia="zh-CN" w:bidi="ar-SA"/>
              </w:rPr>
            </w:pPr>
            <w:r>
              <w:rPr>
                <w:rFonts w:eastAsia="HG Mincho Light J" w:cs="Arial" w:ascii="Arial" w:hAnsi="Arial"/>
                <w:color w:val="000000"/>
                <w:kern w:val="0"/>
                <w:sz w:val="26"/>
                <w:szCs w:val="26"/>
                <w:lang w:val="pt-PT" w:eastAsia="zh-CN" w:bidi="ar-SA"/>
              </w:rPr>
              <w:t xml:space="preserve">Serviço de implantação de telas de contenção de pássaros nas dependências do Mercado Público Municipal </w:t>
            </w:r>
          </w:p>
        </w:tc>
        <w:tc>
          <w:tcPr>
            <w:tcW w:w="1278" w:type="dxa"/>
            <w:tcBorders/>
            <w:vAlign w:val="center"/>
          </w:tcPr>
          <w:p>
            <w:pPr>
              <w:pStyle w:val="Normal"/>
              <w:widowControl w:val="false"/>
              <w:spacing w:before="0" w:after="0"/>
              <w:jc w:val="center"/>
              <w:rPr>
                <w:rFonts w:ascii="Arial" w:hAnsi="Arial" w:cs="Arial"/>
                <w:sz w:val="24"/>
                <w:szCs w:val="24"/>
              </w:rPr>
            </w:pPr>
            <w:r>
              <w:rPr>
                <w:rFonts w:cs="Arial" w:ascii="Arial" w:hAnsi="Arial"/>
                <w:sz w:val="24"/>
                <w:szCs w:val="24"/>
              </w:rPr>
              <w:t>Unidade</w:t>
            </w:r>
          </w:p>
        </w:tc>
        <w:tc>
          <w:tcPr>
            <w:tcW w:w="985" w:type="dxa"/>
            <w:tcBorders/>
            <w:vAlign w:val="center"/>
          </w:tcPr>
          <w:p>
            <w:pPr>
              <w:pStyle w:val="Normal"/>
              <w:widowControl w:val="false"/>
              <w:spacing w:before="0" w:after="0"/>
              <w:jc w:val="center"/>
              <w:rPr>
                <w:rFonts w:cs="Arial"/>
                <w:kern w:val="0"/>
                <w:lang w:bidi="ar-SA"/>
              </w:rPr>
            </w:pPr>
            <w:r>
              <w:rPr>
                <w:rFonts w:cs="Arial" w:ascii="Arial" w:hAnsi="Arial"/>
                <w:kern w:val="0"/>
                <w:sz w:val="24"/>
                <w:szCs w:val="24"/>
                <w:lang w:bidi="ar-SA"/>
              </w:rPr>
              <w:t>01</w:t>
            </w:r>
          </w:p>
        </w:tc>
        <w:tc>
          <w:tcPr>
            <w:tcW w:w="1513" w:type="dxa"/>
            <w:tcBorders/>
            <w:vAlign w:val="center"/>
          </w:tcPr>
          <w:p>
            <w:pPr>
              <w:pStyle w:val="Normal"/>
              <w:widowControl w:val="false"/>
              <w:spacing w:before="0" w:after="0"/>
              <w:jc w:val="center"/>
              <w:rPr>
                <w:rFonts w:ascii="Arial" w:hAnsi="Arial"/>
                <w:sz w:val="24"/>
                <w:szCs w:val="24"/>
              </w:rPr>
            </w:pPr>
            <w:r>
              <w:rPr>
                <w:rFonts w:cs="Arial" w:ascii="Arial" w:hAnsi="Arial"/>
                <w:kern w:val="0"/>
                <w:sz w:val="24"/>
                <w:szCs w:val="24"/>
                <w:lang w:bidi="ar-SA"/>
              </w:rPr>
              <w:t>R$3.200,00</w:t>
            </w:r>
          </w:p>
        </w:tc>
      </w:tr>
    </w:tbl>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1.3</w:t>
      </w:r>
      <w:r>
        <w:rPr>
          <w:rFonts w:cs="Arial" w:ascii="Arial" w:hAnsi="Arial"/>
          <w:sz w:val="24"/>
          <w:szCs w:val="24"/>
          <w:lang w:val="pt-BR"/>
        </w:rPr>
        <w:t>. O critério de julgamento adotado se</w:t>
      </w:r>
      <w:r>
        <w:rPr>
          <w:rFonts w:cs="Arial" w:ascii="Arial" w:hAnsi="Arial"/>
          <w:sz w:val="24"/>
          <w:szCs w:val="24"/>
          <w:shd w:fill="auto" w:val="clear"/>
          <w:lang w:val="pt-BR"/>
        </w:rPr>
        <w:t>rá o menor preço, observadas as exigências contidas neste Aviso de Contratação Direta e seus Anexos quanto à</w:t>
      </w:r>
      <w:r>
        <w:rPr>
          <w:rFonts w:cs="Arial" w:ascii="Arial" w:hAnsi="Arial"/>
          <w:sz w:val="24"/>
          <w:szCs w:val="24"/>
          <w:lang w:val="pt-BR"/>
        </w:rPr>
        <w:t>s especificações do objeto.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1.4</w:t>
      </w:r>
      <w:r>
        <w:rPr>
          <w:rFonts w:cs="Arial" w:ascii="Arial" w:hAnsi="Arial"/>
          <w:sz w:val="24"/>
          <w:szCs w:val="24"/>
          <w:lang w:val="pt-BR"/>
        </w:rPr>
        <w:t>. Integram este Aviso de Contratação Direta, para todos os fins e efeitos, independente de transcrição os seguintes anexos:</w:t>
      </w:r>
    </w:p>
    <w:p>
      <w:pPr>
        <w:pStyle w:val="Normal"/>
        <w:jc w:val="both"/>
        <w:rPr>
          <w:rFonts w:ascii="Arial" w:hAnsi="Arial"/>
          <w:sz w:val="24"/>
          <w:szCs w:val="24"/>
        </w:rPr>
      </w:pPr>
      <w:r>
        <w:rPr>
          <w:rFonts w:ascii="Arial" w:hAnsi="Arial"/>
          <w:sz w:val="24"/>
          <w:szCs w:val="24"/>
        </w:rPr>
      </w:r>
    </w:p>
    <w:p>
      <w:pPr>
        <w:pStyle w:val="Normal"/>
        <w:jc w:val="both"/>
        <w:rPr>
          <w:rFonts w:cs="Arial"/>
          <w:lang w:val="pt-BR"/>
        </w:rPr>
      </w:pPr>
      <w:r>
        <w:rPr>
          <w:rFonts w:cs="Arial" w:ascii="Arial" w:hAnsi="Arial"/>
          <w:sz w:val="24"/>
          <w:szCs w:val="24"/>
          <w:lang w:val="pt-BR"/>
        </w:rPr>
        <w:t xml:space="preserve">Anexo I - Termo de Referência </w:t>
      </w:r>
    </w:p>
    <w:p>
      <w:pPr>
        <w:pStyle w:val="Normal"/>
        <w:jc w:val="both"/>
        <w:rPr>
          <w:rFonts w:cs="Arial"/>
          <w:lang w:val="pt-BR"/>
        </w:rPr>
      </w:pPr>
      <w:r>
        <w:rPr>
          <w:rFonts w:cs="Arial" w:ascii="Arial" w:hAnsi="Arial"/>
          <w:sz w:val="24"/>
          <w:szCs w:val="24"/>
          <w:lang w:val="pt-BR"/>
        </w:rPr>
        <w:t>Anexo II - Documentação exigida para Habilitação</w:t>
      </w:r>
    </w:p>
    <w:p>
      <w:pPr>
        <w:pStyle w:val="Normal"/>
        <w:jc w:val="both"/>
        <w:rPr>
          <w:rFonts w:cs="Arial"/>
          <w:lang w:val="pt-BR"/>
        </w:rPr>
      </w:pPr>
      <w:r>
        <w:rPr>
          <w:rFonts w:cs="Arial" w:ascii="Arial" w:hAnsi="Arial"/>
          <w:sz w:val="24"/>
          <w:szCs w:val="24"/>
          <w:lang w:val="pt-BR"/>
        </w:rPr>
        <w:t>Anexo III - Modelo de Proposta</w:t>
      </w:r>
    </w:p>
    <w:p>
      <w:pPr>
        <w:pStyle w:val="Normal"/>
        <w:jc w:val="both"/>
        <w:rPr>
          <w:rFonts w:ascii="Arial" w:hAnsi="Arial"/>
          <w:sz w:val="24"/>
          <w:szCs w:val="24"/>
        </w:rPr>
      </w:pPr>
      <w:r>
        <w:rPr>
          <w:rFonts w:cs="Arial" w:ascii="Arial" w:hAnsi="Arial"/>
          <w:sz w:val="24"/>
          <w:szCs w:val="24"/>
          <w:lang w:val="pt-BR"/>
        </w:rPr>
        <w:t>Anexo IV - Minuta de Anexo à Nota de Empenho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 PARTICIPAÇÃO NA DISPENSA ELETRÔNICA</w:t>
      </w:r>
      <w:r>
        <w:rPr>
          <w:rFonts w:cs="Arial" w:ascii="Arial" w:hAnsi="Arial"/>
          <w:sz w:val="24"/>
          <w:szCs w:val="24"/>
          <w:lang w:val="pt-BR"/>
        </w:rPr>
        <w:t>:</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pPr>
      <w:r>
        <w:rPr>
          <w:rFonts w:cs="Arial" w:ascii="Arial" w:hAnsi="Arial"/>
          <w:b/>
          <w:bCs/>
          <w:sz w:val="24"/>
          <w:szCs w:val="24"/>
          <w:lang w:val="pt-BR"/>
        </w:rPr>
        <w:t>2.1</w:t>
      </w:r>
      <w:r>
        <w:rPr>
          <w:rFonts w:cs="Arial" w:ascii="Arial" w:hAnsi="Arial"/>
          <w:sz w:val="24"/>
          <w:szCs w:val="24"/>
          <w:lang w:val="pt-BR"/>
        </w:rPr>
        <w:t xml:space="preserve">. </w:t>
      </w:r>
      <w:r>
        <w:rPr>
          <w:rFonts w:cs="Arial" w:ascii="Arial" w:hAnsi="Arial"/>
          <w:sz w:val="24"/>
          <w:szCs w:val="24"/>
          <w:shd w:fill="auto" w:val="clear"/>
          <w:lang w:val="pt-BR"/>
        </w:rPr>
        <w:t>A participação na presente dispensa eletrônica se dará mediante Sistema de Dispensa Eletrônica integrante do</w:t>
      </w:r>
      <w:r>
        <w:rPr>
          <w:rFonts w:eastAsia="HG Mincho Light J" w:cs="Arial" w:ascii="Arial" w:hAnsi="Arial"/>
          <w:color w:val="000000"/>
          <w:kern w:val="0"/>
          <w:sz w:val="24"/>
          <w:szCs w:val="24"/>
          <w:shd w:fill="auto" w:val="clear"/>
          <w:lang w:val="pt-BR" w:eastAsia="zh-CN" w:bidi="ar-SA"/>
        </w:rPr>
        <w:t xml:space="preserve"> Sis</w:t>
      </w:r>
      <w:r>
        <w:rPr>
          <w:rFonts w:eastAsia="HG Mincho Light J" w:cs="Arial" w:ascii="Arial" w:hAnsi="Arial"/>
          <w:b w:val="false"/>
          <w:bCs w:val="false"/>
          <w:color w:val="000000"/>
          <w:kern w:val="0"/>
          <w:sz w:val="24"/>
          <w:szCs w:val="24"/>
          <w:shd w:fill="auto" w:val="clear"/>
          <w:lang w:val="pt-BR" w:eastAsia="zh-CN" w:bidi="ar-SA"/>
        </w:rPr>
        <w:t xml:space="preserve">tema </w:t>
      </w:r>
      <w:r>
        <w:rPr>
          <w:rFonts w:eastAsia="HG Mincho Light J" w:cs="Arial" w:ascii="Arial" w:hAnsi="Arial"/>
          <w:b w:val="false"/>
          <w:bCs w:val="false"/>
          <w:i w:val="false"/>
          <w:caps w:val="false"/>
          <w:smallCaps w:val="false"/>
          <w:color w:val="000000"/>
          <w:spacing w:val="0"/>
          <w:kern w:val="0"/>
          <w:sz w:val="24"/>
          <w:szCs w:val="24"/>
          <w:shd w:fill="auto" w:val="clear"/>
          <w:lang w:val="pt-BR" w:eastAsia="zh-CN" w:bidi="ar-SA"/>
        </w:rPr>
        <w:t>Bolsa de Licitações e Leilões do Brasil</w:t>
      </w:r>
      <w:r>
        <w:rPr>
          <w:rFonts w:eastAsia="HG Mincho Light J" w:cs="Arial" w:ascii="Arial" w:hAnsi="Arial"/>
          <w:b w:val="false"/>
          <w:bCs w:val="false"/>
          <w:color w:val="000000"/>
          <w:kern w:val="0"/>
          <w:sz w:val="24"/>
          <w:szCs w:val="24"/>
          <w:shd w:fill="auto" w:val="clear"/>
          <w:lang w:val="pt-BR" w:eastAsia="zh-CN" w:bidi="ar-SA"/>
        </w:rPr>
        <w:t xml:space="preserve">  –</w:t>
      </w:r>
      <w:r>
        <w:rPr>
          <w:rFonts w:eastAsia="HG Mincho Light J" w:cs="Arial" w:ascii="Arial" w:hAnsi="Arial"/>
          <w:color w:val="000000"/>
          <w:kern w:val="0"/>
          <w:sz w:val="24"/>
          <w:szCs w:val="24"/>
          <w:shd w:fill="auto" w:val="clear"/>
          <w:lang w:val="pt-BR" w:eastAsia="zh-CN" w:bidi="ar-SA"/>
        </w:rPr>
        <w:t xml:space="preserve"> BLL Compras, disponível no endereço eletrônico: https://bll.org.br/.</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2.1.1</w:t>
      </w:r>
      <w:r>
        <w:rPr>
          <w:rFonts w:cs="Arial" w:ascii="Arial" w:hAnsi="Arial"/>
          <w:sz w:val="24"/>
          <w:szCs w:val="24"/>
          <w:lang w:val="pt-BR"/>
        </w:rPr>
        <w:t>.</w:t>
        <w:tab/>
        <w:t>Os fornecedores deverão atender aos procedimentos previstos para a Dispensa Eletrônica, conforme o Portal BLL, para acesso ao sistema e operacionalização.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2.1.2</w:t>
      </w:r>
      <w:r>
        <w:rPr>
          <w:rFonts w:cs="Arial" w:ascii="Arial" w:hAnsi="Arial"/>
          <w:sz w:val="24"/>
          <w:szCs w:val="24"/>
          <w:lang w:val="pt-BR"/>
        </w:rPr>
        <w:t>.</w:t>
        <w:tab/>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2.2</w:t>
      </w:r>
      <w:r>
        <w:rPr>
          <w:rFonts w:cs="Arial" w:ascii="Arial" w:hAnsi="Arial"/>
          <w:sz w:val="24"/>
          <w:szCs w:val="24"/>
          <w:lang w:val="pt-BR"/>
        </w:rPr>
        <w:t>. Não poderão participar desta dispensa os fornecedores: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2.2.1</w:t>
      </w:r>
      <w:r>
        <w:rPr>
          <w:rFonts w:cs="Arial" w:ascii="Arial" w:hAnsi="Arial"/>
          <w:sz w:val="24"/>
          <w:szCs w:val="24"/>
          <w:lang w:val="pt-BR"/>
        </w:rPr>
        <w:t>.</w:t>
        <w:tab/>
        <w:t>que não atendam às condições deste Aviso de Contratação Direta e seus anexos;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2.2.2</w:t>
      </w:r>
      <w:r>
        <w:rPr>
          <w:rFonts w:cs="Arial" w:ascii="Arial" w:hAnsi="Arial"/>
          <w:sz w:val="24"/>
          <w:szCs w:val="24"/>
          <w:lang w:val="pt-BR"/>
        </w:rPr>
        <w:t>.</w:t>
        <w:tab/>
        <w:t>estrangeiros que não tenham representação legal no Brasil com poderes expressos para receber citação e responder administrativa ou judicialmente;</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2.2.3</w:t>
      </w:r>
      <w:r>
        <w:rPr>
          <w:rFonts w:cs="Arial" w:ascii="Arial" w:hAnsi="Arial"/>
          <w:sz w:val="24"/>
          <w:szCs w:val="24"/>
          <w:lang w:val="pt-BR"/>
        </w:rPr>
        <w:t>.</w:t>
        <w:tab/>
        <w:t>que se enquadrem nas seguintes vedações:</w:t>
      </w:r>
    </w:p>
    <w:p>
      <w:pPr>
        <w:pStyle w:val="Normal"/>
        <w:jc w:val="both"/>
        <w:rPr>
          <w:rFonts w:ascii="Arial" w:hAnsi="Arial"/>
          <w:sz w:val="24"/>
          <w:szCs w:val="24"/>
        </w:rPr>
      </w:pPr>
      <w:r>
        <w:rPr>
          <w:rFonts w:cs="Arial" w:ascii="Arial" w:hAnsi="Arial"/>
          <w:b/>
          <w:bCs/>
          <w:sz w:val="24"/>
          <w:szCs w:val="24"/>
          <w:lang w:val="pt-BR"/>
        </w:rPr>
        <w:t>a</w:t>
      </w:r>
      <w:r>
        <w:rPr>
          <w:rFonts w:cs="Arial" w:ascii="Arial" w:hAnsi="Arial"/>
          <w:sz w:val="24"/>
          <w:szCs w:val="24"/>
          <w:lang w:val="pt-BR"/>
        </w:rPr>
        <w:t>) autor do anteprojeto, do projeto básico ou do projeto executivo, pessoa física ou jurídica, quando a contratação versar sobre obra, serviços ou fornecimento de bens a ele relacionados;</w:t>
      </w:r>
    </w:p>
    <w:p>
      <w:pPr>
        <w:pStyle w:val="Normal"/>
        <w:jc w:val="both"/>
        <w:rPr>
          <w:rFonts w:ascii="Arial" w:hAnsi="Arial"/>
          <w:sz w:val="24"/>
          <w:szCs w:val="24"/>
        </w:rPr>
      </w:pPr>
      <w:r>
        <w:rPr>
          <w:rFonts w:cs="Arial" w:ascii="Arial" w:hAnsi="Arial"/>
          <w:b/>
          <w:bCs/>
          <w:sz w:val="24"/>
          <w:szCs w:val="24"/>
          <w:lang w:val="pt-BR"/>
        </w:rPr>
        <w:t>b</w:t>
      </w:r>
      <w:r>
        <w:rPr>
          <w:rFonts w:cs="Arial" w:ascii="Arial" w:hAnsi="Arial"/>
          <w:sz w:val="24"/>
          <w:szCs w:val="24"/>
          <w:lang w:val="pt-BR"/>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jc w:val="both"/>
        <w:rPr>
          <w:rFonts w:ascii="Arial" w:hAnsi="Arial"/>
          <w:sz w:val="24"/>
          <w:szCs w:val="24"/>
        </w:rPr>
      </w:pPr>
      <w:r>
        <w:rPr>
          <w:rFonts w:cs="Arial" w:ascii="Arial" w:hAnsi="Arial"/>
          <w:b/>
          <w:bCs/>
          <w:sz w:val="24"/>
          <w:szCs w:val="24"/>
          <w:lang w:val="pt-BR"/>
        </w:rPr>
        <w:t>c</w:t>
      </w:r>
      <w:r>
        <w:rPr>
          <w:rFonts w:cs="Arial" w:ascii="Arial" w:hAnsi="Arial"/>
          <w:sz w:val="24"/>
          <w:szCs w:val="24"/>
          <w:lang w:val="pt-BR"/>
        </w:rPr>
        <w:t>) pessoa física ou jurídica que se encontre, ao tempo da contratação, impossibilitada de contratar em decorrência de sanção que lhe foi imposta;</w:t>
      </w:r>
    </w:p>
    <w:p>
      <w:pPr>
        <w:pStyle w:val="Normal"/>
        <w:jc w:val="both"/>
        <w:rPr>
          <w:rFonts w:ascii="Arial" w:hAnsi="Arial"/>
          <w:sz w:val="24"/>
          <w:szCs w:val="24"/>
        </w:rPr>
      </w:pPr>
      <w:r>
        <w:rPr>
          <w:rFonts w:cs="Arial" w:ascii="Arial" w:hAnsi="Arial"/>
          <w:b/>
          <w:bCs/>
          <w:sz w:val="24"/>
          <w:szCs w:val="24"/>
          <w:lang w:val="pt-BR"/>
        </w:rPr>
        <w:t>d</w:t>
      </w:r>
      <w:r>
        <w:rPr>
          <w:rFonts w:cs="Arial" w:ascii="Arial" w:hAnsi="Arial"/>
          <w:sz w:val="24"/>
          <w:szCs w:val="24"/>
          <w:lang w:val="pt-BR"/>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jc w:val="both"/>
        <w:rPr>
          <w:rFonts w:ascii="Arial" w:hAnsi="Arial"/>
          <w:sz w:val="24"/>
          <w:szCs w:val="24"/>
        </w:rPr>
      </w:pPr>
      <w:r>
        <w:rPr>
          <w:rFonts w:cs="Arial" w:ascii="Arial" w:hAnsi="Arial"/>
          <w:b/>
          <w:bCs/>
          <w:sz w:val="24"/>
          <w:szCs w:val="24"/>
          <w:lang w:val="pt-BR"/>
        </w:rPr>
        <w:t>e</w:t>
      </w:r>
      <w:r>
        <w:rPr>
          <w:rFonts w:cs="Arial" w:ascii="Arial" w:hAnsi="Arial"/>
          <w:sz w:val="24"/>
          <w:szCs w:val="24"/>
          <w:lang w:val="pt-BR"/>
        </w:rPr>
        <w:t>) empresas controladoras, controladas ou coligadas, nos termos da Lei 6.404/1976, concorrendo entre si;</w:t>
      </w:r>
    </w:p>
    <w:p>
      <w:pPr>
        <w:pStyle w:val="Normal"/>
        <w:jc w:val="both"/>
        <w:rPr>
          <w:rFonts w:ascii="Arial" w:hAnsi="Arial"/>
          <w:sz w:val="24"/>
          <w:szCs w:val="24"/>
        </w:rPr>
      </w:pPr>
      <w:r>
        <w:rPr>
          <w:rFonts w:cs="Arial" w:ascii="Arial" w:hAnsi="Arial"/>
          <w:b/>
          <w:bCs/>
          <w:sz w:val="24"/>
          <w:szCs w:val="24"/>
          <w:lang w:val="pt-BR"/>
        </w:rPr>
        <w:t>f</w:t>
      </w:r>
      <w:r>
        <w:rPr>
          <w:rFonts w:cs="Arial" w:ascii="Arial" w:hAnsi="Arial"/>
          <w:sz w:val="24"/>
          <w:szCs w:val="24"/>
          <w:lang w:val="pt-BR"/>
        </w:rPr>
        <w:t>) pessoa física ou jurídica que, nos 05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2.2.3.1</w:t>
      </w:r>
      <w:r>
        <w:rPr>
          <w:rFonts w:cs="Arial" w:ascii="Arial" w:hAnsi="Arial"/>
          <w:sz w:val="24"/>
          <w:szCs w:val="24"/>
          <w:lang w:val="pt-BR"/>
        </w:rPr>
        <w:t>. Equiparam-se aos autores do projeto as empresas integrantes do mesmo grupo econômico.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2.2.3.2</w:t>
      </w:r>
      <w:r>
        <w:rPr>
          <w:rFonts w:cs="Arial" w:ascii="Arial" w:hAnsi="Arial"/>
          <w:sz w:val="24"/>
          <w:szCs w:val="24"/>
          <w:lang w:val="pt-BR"/>
        </w:rPr>
        <w:t>. Aplica-se o disposto na alínea “c”  do item 2.2.3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2.2.4</w:t>
      </w:r>
      <w:r>
        <w:rPr>
          <w:rFonts w:cs="Arial" w:ascii="Arial" w:hAnsi="Arial"/>
          <w:sz w:val="24"/>
          <w:szCs w:val="24"/>
          <w:lang w:val="pt-BR"/>
        </w:rPr>
        <w:t>.</w:t>
        <w:tab/>
        <w:t>Organizações da Sociedade Civil de Interesse Público - OSCIP, atuando nessa condição (Acórdão 746/2014-TCU-Plenário).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2.2.5</w:t>
      </w:r>
      <w:r>
        <w:rPr>
          <w:rFonts w:cs="Arial" w:ascii="Arial" w:hAnsi="Arial"/>
          <w:sz w:val="24"/>
          <w:szCs w:val="24"/>
          <w:lang w:val="pt-BR"/>
        </w:rPr>
        <w:t>. Empresas em regime de consórcio, sob pena de restrição à competitividade, conforme justificativa no Termo de Referência (Anexo I).</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2.3</w:t>
      </w:r>
      <w:r>
        <w:rPr>
          <w:rFonts w:cs="Arial" w:ascii="Arial" w:hAnsi="Arial"/>
          <w:sz w:val="24"/>
          <w:szCs w:val="24"/>
          <w:lang w:val="pt-BR"/>
        </w:rPr>
        <w:t>. Será permitida a participação de Cooperativas, desde que apresentem demonstrativo de atuação em regime cooperado, com repartição de receitas e despesas entre os cooperados e atendam ao art. 16 da Lei 14.133/21 e demais documentos exigidos no Anexo II.</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2.3.1</w:t>
      </w:r>
      <w:r>
        <w:rPr>
          <w:rFonts w:cs="Arial" w:ascii="Arial" w:hAnsi="Arial"/>
          <w:sz w:val="24"/>
          <w:szCs w:val="24"/>
          <w:lang w:val="pt-BR"/>
        </w:rPr>
        <w:t>. Em sendo permitida a participação de cooperativas, serão estendidas a elas os benefícios previstos para as microempresas e empresas de pequeno porte quando elas atenderem ao disposto no art. 34 da Lei 11.488/2007.</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 INGRESSO NA DISPENSA ELETRÔNICA E CADASTRAMENTO DA PROPOSTA INICIAL</w:t>
      </w:r>
      <w:r>
        <w:rPr>
          <w:rFonts w:cs="Arial" w:ascii="Arial" w:hAnsi="Arial"/>
          <w:sz w:val="24"/>
          <w:szCs w:val="24"/>
          <w:lang w:val="pt-BR"/>
        </w:rPr>
        <w:t>:</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3.1</w:t>
      </w:r>
      <w:r>
        <w:rPr>
          <w:rFonts w:cs="Arial" w:ascii="Arial" w:hAnsi="Arial"/>
          <w:sz w:val="24"/>
          <w:szCs w:val="24"/>
          <w:lang w:val="pt-BR"/>
        </w:rPr>
        <w:t>. O ingresso do fornecedor na disputa da dispensa eletrônica se dará com o cadastramento de sua proposta inicial, na forma deste item.</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3.2</w:t>
      </w:r>
      <w:r>
        <w:rPr>
          <w:rFonts w:cs="Arial" w:ascii="Arial" w:hAnsi="Arial"/>
          <w:sz w:val="24"/>
          <w:szCs w:val="24"/>
          <w:lang w:val="pt-BR"/>
        </w:rPr>
        <w:t>.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3.2.1</w:t>
      </w:r>
      <w:r>
        <w:rPr>
          <w:rFonts w:cs="Arial" w:ascii="Arial" w:hAnsi="Arial"/>
          <w:sz w:val="24"/>
          <w:szCs w:val="24"/>
          <w:lang w:val="pt-BR"/>
        </w:rPr>
        <w:t>.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3.3</w:t>
      </w:r>
      <w:r>
        <w:rPr>
          <w:rFonts w:cs="Arial" w:ascii="Arial" w:hAnsi="Arial"/>
          <w:sz w:val="24"/>
          <w:szCs w:val="24"/>
          <w:lang w:val="pt-BR"/>
        </w:rPr>
        <w:t>. Todas as especificações do objeto contidas na proposta, em especial o preço, vinculam a Contratada.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3.4</w:t>
      </w:r>
      <w:r>
        <w:rPr>
          <w:rFonts w:cs="Arial" w:ascii="Arial" w:hAnsi="Arial"/>
          <w:sz w:val="24"/>
          <w:szCs w:val="24"/>
          <w:lang w:val="pt-BR"/>
        </w:rPr>
        <w:t>. Nos valores propostos estarão inclusos todos os custos operacionais, encargos previdenciários, trabalhistas, tributários, comerciais e quaisquer outros que incidam direta ou indiretamente na prestação dos serviços.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3.4.1</w:t>
      </w:r>
      <w:r>
        <w:rPr>
          <w:rFonts w:cs="Arial" w:ascii="Arial" w:hAnsi="Arial"/>
          <w:sz w:val="24"/>
          <w:szCs w:val="24"/>
          <w:lang w:val="pt-BR"/>
        </w:rPr>
        <w:t>. 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3.5</w:t>
      </w:r>
      <w:r>
        <w:rPr>
          <w:rFonts w:cs="Arial" w:ascii="Arial" w:hAnsi="Arial"/>
          <w:sz w:val="24"/>
          <w:szCs w:val="24"/>
          <w:lang w:val="pt-BR"/>
        </w:rPr>
        <w:t xml:space="preserve">. Se o regime tributário da empresa implicar o recolhimento de tributos em percentuais variáveis, a cotação adequada será a que corresponde à média dos efetivos recolhimentos da empresa nos últimos doze meses. </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3.6</w:t>
      </w:r>
      <w:r>
        <w:rPr>
          <w:rFonts w:cs="Arial" w:ascii="Arial" w:hAnsi="Arial"/>
          <w:sz w:val="24"/>
          <w:szCs w:val="24"/>
          <w:lang w:val="pt-BR"/>
        </w:rPr>
        <w:t>. Independentemente do percentual de tributo inserido na planilha, no pagamento serão retidos na fonte os percentuais estabelecidos na legislação vigente.</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3.7</w:t>
      </w:r>
      <w:r>
        <w:rPr>
          <w:rFonts w:cs="Arial" w:ascii="Arial" w:hAnsi="Arial"/>
          <w:sz w:val="24"/>
          <w:szCs w:val="24"/>
          <w:lang w:val="pt-BR"/>
        </w:rPr>
        <w:t>.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3.8</w:t>
      </w:r>
      <w:r>
        <w:rPr>
          <w:rFonts w:cs="Arial" w:ascii="Arial" w:hAnsi="Arial"/>
          <w:sz w:val="24"/>
          <w:szCs w:val="24"/>
          <w:lang w:val="pt-BR"/>
        </w:rPr>
        <w:t>. Uma vez enviada a proposta no sistema, os fornecedores NÃO poderão retirá-la, substituí-la ou modificá-la.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3.9</w:t>
      </w:r>
      <w:r>
        <w:rPr>
          <w:rFonts w:cs="Arial" w:ascii="Arial" w:hAnsi="Arial"/>
          <w:sz w:val="24"/>
          <w:szCs w:val="24"/>
          <w:lang w:val="pt-BR"/>
        </w:rPr>
        <w:t>. Fica facultado ao fornecedor, ao cadastrar sua proposta inicial, a parametrização de valor final mínimo, com o registro do seu lance final aceitável (menor preço ou maior desconto, conforme o caso).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3.10.</w:t>
      </w:r>
      <w:r>
        <w:rPr>
          <w:rFonts w:cs="Arial" w:ascii="Arial" w:hAnsi="Arial"/>
          <w:sz w:val="24"/>
          <w:szCs w:val="24"/>
          <w:lang w:val="pt-BR"/>
        </w:rPr>
        <w:t xml:space="preserve"> Feita essa opção, os lances serão enviados automaticamente pelo sistema, respeitados os limites cadastrados pelo fornecedor e o intervalo mínimo entre lances previsto neste aviso. </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3.10.1.</w:t>
      </w:r>
      <w:r>
        <w:rPr>
          <w:rFonts w:cs="Arial" w:ascii="Arial" w:hAnsi="Arial"/>
          <w:sz w:val="24"/>
          <w:szCs w:val="24"/>
          <w:lang w:val="pt-BR"/>
        </w:rPr>
        <w:t xml:space="preserve"> Sem prejuízo do disposto acima, os lances poderão ser enviados manualmente, na forma da seção respectiva deste Aviso de Contratação Direta;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3.10.2</w:t>
      </w:r>
      <w:r>
        <w:rPr>
          <w:rFonts w:cs="Arial" w:ascii="Arial" w:hAnsi="Arial"/>
          <w:sz w:val="24"/>
          <w:szCs w:val="24"/>
          <w:lang w:val="pt-BR"/>
        </w:rPr>
        <w:t>. O valor final mínimo poderá ser alterado pelo fornecedor durante a fase de disputa, desde que não assuma valor superior a lance já registrado por ele no sistema.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3.10.3</w:t>
      </w:r>
      <w:r>
        <w:rPr>
          <w:rFonts w:cs="Arial" w:ascii="Arial" w:hAnsi="Arial"/>
          <w:sz w:val="24"/>
          <w:szCs w:val="24"/>
          <w:lang w:val="pt-BR"/>
        </w:rPr>
        <w:t>. 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4. FASE DE LANCES</w:t>
      </w:r>
      <w:r>
        <w:rPr>
          <w:rFonts w:cs="Arial" w:ascii="Arial" w:hAnsi="Arial"/>
          <w:sz w:val="24"/>
          <w:szCs w:val="24"/>
          <w:lang w:val="pt-BR"/>
        </w:rPr>
        <w:t>:</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4.1</w:t>
      </w:r>
      <w:r>
        <w:rPr>
          <w:rFonts w:cs="Arial" w:ascii="Arial" w:hAnsi="Arial"/>
          <w:sz w:val="24"/>
          <w:szCs w:val="24"/>
          <w:lang w:val="pt-BR"/>
        </w:rPr>
        <w:t>. A partir do horário 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4.2</w:t>
      </w:r>
      <w:r>
        <w:rPr>
          <w:rFonts w:cs="Arial" w:ascii="Arial" w:hAnsi="Arial"/>
          <w:sz w:val="24"/>
          <w:szCs w:val="24"/>
          <w:lang w:val="pt-BR"/>
        </w:rPr>
        <w:t xml:space="preserve">. Iniciada a etapa competitiva, os fornecedores deverão encaminhar lances exclusivamente por meio de sistema eletrônico, sendo imediatamente informados do seu recebimento e do valor consignado no registro. </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4.2.1</w:t>
      </w:r>
      <w:r>
        <w:rPr>
          <w:rFonts w:cs="Arial" w:ascii="Arial" w:hAnsi="Arial"/>
          <w:sz w:val="24"/>
          <w:szCs w:val="24"/>
          <w:lang w:val="pt-BR"/>
        </w:rPr>
        <w:t xml:space="preserve">. </w:t>
      </w:r>
      <w:r>
        <w:rPr>
          <w:rFonts w:cs="Arial" w:ascii="Arial" w:hAnsi="Arial"/>
          <w:sz w:val="24"/>
          <w:szCs w:val="24"/>
          <w:shd w:fill="auto" w:val="clear"/>
          <w:lang w:val="pt-BR"/>
        </w:rPr>
        <w:t>O lance deverá ser ofertado pelo valor total do item.</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4.3</w:t>
      </w:r>
      <w:r>
        <w:rPr>
          <w:rFonts w:cs="Arial" w:ascii="Arial" w:hAnsi="Arial"/>
          <w:sz w:val="24"/>
          <w:szCs w:val="24"/>
          <w:lang w:val="pt-BR"/>
        </w:rPr>
        <w:t>. O fornecedor somente poderá oferecer valor inferior em relação ao último lance por ele ofertado e registrado pelo sistema.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4.3.1</w:t>
      </w:r>
      <w:r>
        <w:rPr>
          <w:rFonts w:cs="Arial" w:ascii="Arial" w:hAnsi="Arial"/>
          <w:sz w:val="24"/>
          <w:szCs w:val="24"/>
          <w:lang w:val="pt-BR"/>
        </w:rPr>
        <w:t>.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4.4</w:t>
      </w:r>
      <w:r>
        <w:rPr>
          <w:rFonts w:cs="Arial" w:ascii="Arial" w:hAnsi="Arial"/>
          <w:sz w:val="24"/>
          <w:szCs w:val="24"/>
          <w:lang w:val="pt-BR"/>
        </w:rPr>
        <w:t>. Havendo lances iguais ao menor já ofertado, prevalecerá aquele que for recebido e registrado primeiro no sistema.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4.5</w:t>
      </w:r>
      <w:r>
        <w:rPr>
          <w:rFonts w:cs="Arial" w:ascii="Arial" w:hAnsi="Arial"/>
          <w:sz w:val="24"/>
          <w:szCs w:val="24"/>
          <w:lang w:val="pt-BR"/>
        </w:rPr>
        <w:t>. Caso o fornecedor não apresente lances, concorrerá com o valor de sua proposta.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4.6</w:t>
      </w:r>
      <w:r>
        <w:rPr>
          <w:rFonts w:cs="Arial" w:ascii="Arial" w:hAnsi="Arial"/>
          <w:sz w:val="24"/>
          <w:szCs w:val="24"/>
          <w:lang w:val="pt-BR"/>
        </w:rPr>
        <w:t>. Durante o procedimento, os fornecedores serão informados, em tempo real, do valor do menor lance registrado, vedada a identificação do fornecedor.</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4.7</w:t>
      </w:r>
      <w:r>
        <w:rPr>
          <w:rFonts w:cs="Arial" w:ascii="Arial" w:hAnsi="Arial"/>
          <w:sz w:val="24"/>
          <w:szCs w:val="24"/>
          <w:lang w:val="pt-BR"/>
        </w:rPr>
        <w:t>. Imediatamente após o término do prazo estabelecido para a fase de lances, haverá o seu encerramento, com o ordenamento e divulgação dos lances, pelo sistema, em ordem crescente de classificação.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4.7.1</w:t>
      </w:r>
      <w:r>
        <w:rPr>
          <w:rFonts w:cs="Arial" w:ascii="Arial" w:hAnsi="Arial"/>
          <w:sz w:val="24"/>
          <w:szCs w:val="24"/>
          <w:lang w:val="pt-BR"/>
        </w:rPr>
        <w:t>. O encerramento da fase de lances ocorrerá de forma automática pontualmente no horário indicado, sem qualquer possibilidade de prorrogação e não havendo tempo aleatório ou mecanismo similar.</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 JULGAMENTO DAS PROPOSTAS DE PREÇO</w:t>
      </w:r>
      <w:r>
        <w:rPr>
          <w:rFonts w:cs="Arial" w:ascii="Arial" w:hAnsi="Arial"/>
          <w:sz w:val="24"/>
          <w:szCs w:val="24"/>
          <w:lang w:val="pt-BR"/>
        </w:rPr>
        <w:t>:</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5.1</w:t>
      </w:r>
      <w:r>
        <w:rPr>
          <w:rFonts w:cs="Arial" w:ascii="Arial" w:hAnsi="Arial"/>
          <w:sz w:val="24"/>
          <w:szCs w:val="24"/>
          <w:lang w:val="pt-BR"/>
        </w:rPr>
        <w:t>. Encerrada a fase de lances, será verificada a conformidade da proposta classificada em primeiro lugar quanto à adequação do objeto e à compatibilidade do preço em relação ao estipulado para a contratação.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5.2</w:t>
      </w:r>
      <w:r>
        <w:rPr>
          <w:rFonts w:cs="Arial" w:ascii="Arial" w:hAnsi="Arial"/>
          <w:sz w:val="24"/>
          <w:szCs w:val="24"/>
          <w:lang w:val="pt-BR"/>
        </w:rPr>
        <w:t>. No caso de o preço da proposta vencedora estar acima ou igual ao estimado pela Administração, haverá a negociação de condições mais vantajosas.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5.2.1</w:t>
      </w:r>
      <w:r>
        <w:rPr>
          <w:rFonts w:cs="Arial" w:ascii="Arial" w:hAnsi="Arial"/>
          <w:sz w:val="24"/>
          <w:szCs w:val="24"/>
          <w:lang w:val="pt-BR"/>
        </w:rPr>
        <w:t>. Neste caso, será encaminhada contraproposta ao fornecedor que tenha apresentado o melhor preço, para que seja obtida melhor proposta com preço inferior ao estimado pela Administração.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5.2.2</w:t>
      </w:r>
      <w:r>
        <w:rPr>
          <w:rFonts w:cs="Arial" w:ascii="Arial" w:hAnsi="Arial"/>
          <w:sz w:val="24"/>
          <w:szCs w:val="24"/>
          <w:lang w:val="pt-BR"/>
        </w:rPr>
        <w:t>. A negociação poderá ser feita com os demais fornecedores classificados, respeitada a ordem de classificação, quando o primeiro colocado, mesmo após a negociação, for desclassificado em razão de sua proposta permanecer em desacordo com o valor definido para a contratação.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5.2.3</w:t>
      </w:r>
      <w:r>
        <w:rPr>
          <w:rFonts w:cs="Arial" w:ascii="Arial" w:hAnsi="Arial"/>
          <w:sz w:val="24"/>
          <w:szCs w:val="24"/>
          <w:lang w:val="pt-BR"/>
        </w:rPr>
        <w:t>. Em qualquer caso, concluída a negociação, o resultado será registrado na ata do procedimento da dispensa eletrônica.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5.3</w:t>
      </w:r>
      <w:r>
        <w:rPr>
          <w:rFonts w:cs="Arial" w:ascii="Arial" w:hAnsi="Arial"/>
          <w:sz w:val="24"/>
          <w:szCs w:val="24"/>
          <w:lang w:val="pt-BR"/>
        </w:rPr>
        <w:t>. Estando o preço compatível, será solicitado o envio da proposta e, se necessário, de documentos complementares, adequada ao último lance.</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5.4</w:t>
      </w:r>
      <w:r>
        <w:rPr>
          <w:rFonts w:cs="Arial" w:ascii="Arial" w:hAnsi="Arial"/>
          <w:sz w:val="24"/>
          <w:szCs w:val="24"/>
          <w:lang w:val="pt-BR"/>
        </w:rPr>
        <w:t>. O prazo de validade da proposta não será inferior a 60 (sessenta) dias, a contar da data de sua apresentação.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5.5</w:t>
      </w:r>
      <w:r>
        <w:rPr>
          <w:rFonts w:cs="Arial" w:ascii="Arial" w:hAnsi="Arial"/>
          <w:sz w:val="24"/>
          <w:szCs w:val="24"/>
          <w:lang w:val="pt-BR"/>
        </w:rPr>
        <w:t xml:space="preserve">. Será desclassificada a proposta vencedora que: </w:t>
      </w:r>
    </w:p>
    <w:p>
      <w:pPr>
        <w:pStyle w:val="Normal"/>
        <w:jc w:val="both"/>
        <w:rPr>
          <w:rFonts w:ascii="Arial" w:hAnsi="Arial"/>
          <w:sz w:val="24"/>
          <w:szCs w:val="24"/>
        </w:rPr>
      </w:pPr>
      <w:r>
        <w:rPr>
          <w:rFonts w:cs="Arial" w:ascii="Arial" w:hAnsi="Arial"/>
          <w:b/>
          <w:bCs/>
          <w:sz w:val="24"/>
          <w:szCs w:val="24"/>
          <w:lang w:val="pt-BR"/>
        </w:rPr>
        <w:t>a</w:t>
      </w:r>
      <w:r>
        <w:rPr>
          <w:rFonts w:cs="Arial" w:ascii="Arial" w:hAnsi="Arial"/>
          <w:sz w:val="24"/>
          <w:szCs w:val="24"/>
          <w:lang w:val="pt-BR"/>
        </w:rPr>
        <w:t>) contiver vícios insanáveis;</w:t>
      </w:r>
    </w:p>
    <w:p>
      <w:pPr>
        <w:pStyle w:val="Normal"/>
        <w:jc w:val="both"/>
        <w:rPr>
          <w:rFonts w:ascii="Arial" w:hAnsi="Arial"/>
          <w:sz w:val="24"/>
          <w:szCs w:val="24"/>
        </w:rPr>
      </w:pPr>
      <w:r>
        <w:rPr>
          <w:rFonts w:cs="Arial" w:ascii="Arial" w:hAnsi="Arial"/>
          <w:b/>
          <w:bCs/>
          <w:sz w:val="24"/>
          <w:szCs w:val="24"/>
          <w:lang w:val="pt-BR"/>
        </w:rPr>
        <w:t>b</w:t>
      </w:r>
      <w:r>
        <w:rPr>
          <w:rFonts w:cs="Arial" w:ascii="Arial" w:hAnsi="Arial"/>
          <w:sz w:val="24"/>
          <w:szCs w:val="24"/>
          <w:lang w:val="pt-BR"/>
        </w:rPr>
        <w:t>) não obedecer às especificações técnicas pormenorizadas neste aviso ou em seus anexos;</w:t>
      </w:r>
    </w:p>
    <w:p>
      <w:pPr>
        <w:pStyle w:val="Normal"/>
        <w:jc w:val="both"/>
        <w:rPr>
          <w:rFonts w:ascii="Arial" w:hAnsi="Arial"/>
          <w:sz w:val="24"/>
          <w:szCs w:val="24"/>
        </w:rPr>
      </w:pPr>
      <w:r>
        <w:rPr>
          <w:rFonts w:cs="Arial" w:ascii="Arial" w:hAnsi="Arial"/>
          <w:b/>
          <w:bCs/>
          <w:sz w:val="24"/>
          <w:szCs w:val="24"/>
          <w:lang w:val="pt-BR"/>
        </w:rPr>
        <w:t>c</w:t>
      </w:r>
      <w:r>
        <w:rPr>
          <w:rFonts w:cs="Arial" w:ascii="Arial" w:hAnsi="Arial"/>
          <w:sz w:val="24"/>
          <w:szCs w:val="24"/>
          <w:lang w:val="pt-BR"/>
        </w:rPr>
        <w:t>) apresentar preços inexequíveis ou permanecerem acima do preço máximo definido para a contratação;</w:t>
      </w:r>
    </w:p>
    <w:p>
      <w:pPr>
        <w:pStyle w:val="Normal"/>
        <w:jc w:val="both"/>
        <w:rPr>
          <w:rFonts w:ascii="Arial" w:hAnsi="Arial"/>
          <w:sz w:val="24"/>
          <w:szCs w:val="24"/>
        </w:rPr>
      </w:pPr>
      <w:r>
        <w:rPr>
          <w:rFonts w:cs="Arial" w:ascii="Arial" w:hAnsi="Arial"/>
          <w:b/>
          <w:bCs/>
          <w:sz w:val="24"/>
          <w:szCs w:val="24"/>
          <w:lang w:val="pt-BR"/>
        </w:rPr>
        <w:t>d</w:t>
      </w:r>
      <w:r>
        <w:rPr>
          <w:rFonts w:cs="Arial" w:ascii="Arial" w:hAnsi="Arial"/>
          <w:sz w:val="24"/>
          <w:szCs w:val="24"/>
          <w:lang w:val="pt-BR"/>
        </w:rPr>
        <w:t>) não tiverem sua exequibilidade demonstrada, quando exigido pela Administração;</w:t>
      </w:r>
    </w:p>
    <w:p>
      <w:pPr>
        <w:pStyle w:val="Normal"/>
        <w:jc w:val="both"/>
        <w:rPr>
          <w:rFonts w:ascii="Arial" w:hAnsi="Arial"/>
          <w:sz w:val="24"/>
          <w:szCs w:val="24"/>
        </w:rPr>
      </w:pPr>
      <w:r>
        <w:rPr>
          <w:rFonts w:cs="Arial" w:ascii="Arial" w:hAnsi="Arial"/>
          <w:b/>
          <w:bCs/>
          <w:sz w:val="24"/>
          <w:szCs w:val="24"/>
          <w:lang w:val="pt-BR"/>
        </w:rPr>
        <w:t>e</w:t>
      </w:r>
      <w:r>
        <w:rPr>
          <w:rFonts w:cs="Arial" w:ascii="Arial" w:hAnsi="Arial"/>
          <w:sz w:val="24"/>
          <w:szCs w:val="24"/>
          <w:lang w:val="pt-BR"/>
        </w:rPr>
        <w:t>) apresentar desconformidade com quaisquer outras exigências deste aviso ou seus anexos, desde que insanável.</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5.6</w:t>
      </w:r>
      <w:r>
        <w:rPr>
          <w:rFonts w:cs="Arial" w:ascii="Arial" w:hAnsi="Arial"/>
          <w:sz w:val="24"/>
          <w:szCs w:val="24"/>
          <w:lang w:val="pt-BR"/>
        </w:rPr>
        <w:t>. Quando o fornecedor não conseguir comprovar que possui ou possuirá recursos suficientes para executar a contento o objeto, será considerada inexequível a proposta de preços ou menor lance que:</w:t>
      </w:r>
    </w:p>
    <w:p>
      <w:pPr>
        <w:pStyle w:val="Normal"/>
        <w:jc w:val="both"/>
        <w:rPr>
          <w:rFonts w:ascii="Arial" w:hAnsi="Arial"/>
          <w:sz w:val="24"/>
          <w:szCs w:val="24"/>
        </w:rPr>
      </w:pPr>
      <w:r>
        <w:rPr>
          <w:rFonts w:cs="Arial" w:ascii="Arial" w:hAnsi="Arial"/>
          <w:b/>
          <w:bCs/>
          <w:sz w:val="24"/>
          <w:szCs w:val="24"/>
          <w:lang w:val="pt-BR"/>
        </w:rPr>
        <w:t>a</w:t>
      </w:r>
      <w:r>
        <w:rPr>
          <w:rFonts w:cs="Arial" w:ascii="Arial" w:hAnsi="Arial"/>
          <w:sz w:val="24"/>
          <w:szCs w:val="24"/>
          <w:lang w:val="pt-BR"/>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ormal"/>
        <w:jc w:val="both"/>
        <w:rPr>
          <w:rFonts w:ascii="Arial" w:hAnsi="Arial"/>
          <w:sz w:val="24"/>
          <w:szCs w:val="24"/>
        </w:rPr>
      </w:pPr>
      <w:r>
        <w:rPr>
          <w:rFonts w:cs="Arial" w:ascii="Arial" w:hAnsi="Arial"/>
          <w:b/>
          <w:bCs/>
          <w:sz w:val="24"/>
          <w:szCs w:val="24"/>
          <w:lang w:val="pt-BR"/>
        </w:rPr>
        <w:t>b</w:t>
      </w:r>
      <w:r>
        <w:rPr>
          <w:rFonts w:cs="Arial" w:ascii="Arial" w:hAnsi="Arial"/>
          <w:sz w:val="24"/>
          <w:szCs w:val="24"/>
          <w:lang w:val="pt-BR"/>
        </w:rPr>
        <w:t xml:space="preserve">) apresentar um ou mais valores da planilha de custo que sejam inferiores àqueles fixados em instrumentos de caráter normativo obrigatório, tais como leis, medidas </w:t>
      </w:r>
      <w:r>
        <w:rPr>
          <w:rFonts w:cs="Arial" w:ascii="Arial" w:hAnsi="Arial"/>
          <w:sz w:val="24"/>
          <w:szCs w:val="24"/>
          <w:shd w:fill="auto" w:val="clear"/>
          <w:lang w:val="pt-BR"/>
        </w:rPr>
        <w:t>provisórias e convenções coletivas de trabalho vigentes.</w:t>
      </w:r>
    </w:p>
    <w:p>
      <w:pPr>
        <w:pStyle w:val="Normal"/>
        <w:jc w:val="both"/>
        <w:rPr>
          <w:rFonts w:ascii="Arial" w:hAnsi="Arial" w:cs="Arial"/>
          <w:sz w:val="24"/>
          <w:szCs w:val="24"/>
          <w:highlight w:val="none"/>
          <w:shd w:fill="auto" w:val="clear"/>
          <w:lang w:val="pt-BR"/>
        </w:rPr>
      </w:pPr>
      <w:r>
        <w:rPr>
          <w:rFonts w:cs="Arial" w:ascii="Arial" w:hAnsi="Arial"/>
          <w:sz w:val="24"/>
          <w:szCs w:val="24"/>
          <w:shd w:fill="auto" w:val="clear"/>
          <w:lang w:val="pt-BR"/>
        </w:rPr>
      </w:r>
    </w:p>
    <w:p>
      <w:pPr>
        <w:pStyle w:val="Normal"/>
        <w:jc w:val="both"/>
        <w:rPr>
          <w:rFonts w:ascii="Arial" w:hAnsi="Arial"/>
          <w:sz w:val="24"/>
          <w:szCs w:val="24"/>
        </w:rPr>
      </w:pPr>
      <w:r>
        <w:rPr>
          <w:rFonts w:cs="Arial" w:ascii="Arial" w:hAnsi="Arial"/>
          <w:b/>
          <w:bCs/>
          <w:sz w:val="24"/>
          <w:szCs w:val="24"/>
          <w:shd w:fill="auto" w:val="clear"/>
          <w:lang w:val="pt-BR"/>
        </w:rPr>
        <w:t>5.7</w:t>
      </w:r>
      <w:r>
        <w:rPr>
          <w:rFonts w:cs="Arial" w:ascii="Arial" w:hAnsi="Arial"/>
          <w:sz w:val="24"/>
          <w:szCs w:val="24"/>
          <w:shd w:fill="auto" w:val="clear"/>
          <w:lang w:val="pt-BR"/>
        </w:rPr>
        <w:t>. Se houver indícios de inexequibilidade da proposta de preço, ou em caso da necessidade de esclarecimentos complementares, poderão ser efetuadas diligências, para que a empr</w:t>
      </w:r>
      <w:r>
        <w:rPr>
          <w:rFonts w:cs="Arial" w:ascii="Arial" w:hAnsi="Arial"/>
          <w:sz w:val="24"/>
          <w:szCs w:val="24"/>
          <w:lang w:val="pt-BR"/>
        </w:rPr>
        <w:t>esa comprove a exequibilidade da proposta.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5.8</w:t>
      </w:r>
      <w:r>
        <w:rPr>
          <w:rFonts w:cs="Arial" w:ascii="Arial" w:hAnsi="Arial"/>
          <w:sz w:val="24"/>
          <w:szCs w:val="24"/>
          <w:lang w:val="pt-BR"/>
        </w:rPr>
        <w:t>. Erros no preenchimento da planilha não constituem motivo para a desclassificação da proposta. A planilha poderá ser ajustada pelo fornecedor, no prazo indicado pelo sistema, desde que não haja majoração do preço.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5.9.</w:t>
      </w:r>
      <w:r>
        <w:rPr>
          <w:rFonts w:cs="Arial" w:ascii="Arial" w:hAnsi="Arial"/>
          <w:sz w:val="24"/>
          <w:szCs w:val="24"/>
          <w:lang w:val="pt-BR"/>
        </w:rPr>
        <w:t xml:space="preserve"> O ajuste de que trata este dispositivo se limita a sanar erros ou falhas que não alterem a substância das propostas.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5.9.1</w:t>
      </w:r>
      <w:r>
        <w:rPr>
          <w:rFonts w:cs="Arial" w:ascii="Arial" w:hAnsi="Arial"/>
          <w:sz w:val="24"/>
          <w:szCs w:val="24"/>
          <w:lang w:val="pt-BR"/>
        </w:rPr>
        <w:t>. Considera-se erro no preenchimento da planilha passível de correção a indicação de recolhimento de impostos e contribuições na forma do Simples Nacional, quando não cabível esse regime.</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5.10</w:t>
      </w:r>
      <w:r>
        <w:rPr>
          <w:rFonts w:cs="Arial" w:ascii="Arial" w:hAnsi="Arial"/>
          <w:sz w:val="24"/>
          <w:szCs w:val="24"/>
          <w:lang w:val="pt-BR"/>
        </w:rPr>
        <w:t>. Para fins de análise da proposta quanto ao cumprimento das especificações do objeto, poderá ser colhida a manifestação escrita do setor requisitante do serviço ou da área especializada no objeto.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5.11</w:t>
      </w:r>
      <w:r>
        <w:rPr>
          <w:rFonts w:cs="Arial" w:ascii="Arial" w:hAnsi="Arial"/>
          <w:sz w:val="24"/>
          <w:szCs w:val="24"/>
          <w:lang w:val="pt-BR"/>
        </w:rPr>
        <w:t>. Se a proposta ou lance vencedor for desclassificado, será examinada a proposta ou lance subsequente, e, assim sucessivamente, na ordem de classificação.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5.12</w:t>
      </w:r>
      <w:r>
        <w:rPr>
          <w:rFonts w:cs="Arial" w:ascii="Arial" w:hAnsi="Arial"/>
          <w:sz w:val="24"/>
          <w:szCs w:val="24"/>
          <w:lang w:val="pt-BR"/>
        </w:rPr>
        <w:t>. Havendo necessidade, a sessão será suspensa, informando-se no “chat” a nova data e horário para a sua continuidade.</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5.13</w:t>
      </w:r>
      <w:r>
        <w:rPr>
          <w:rFonts w:cs="Arial" w:ascii="Arial" w:hAnsi="Arial"/>
          <w:sz w:val="24"/>
          <w:szCs w:val="24"/>
          <w:lang w:val="pt-BR"/>
        </w:rPr>
        <w:t xml:space="preserve">. Encerrada a análise quanto à aceitação da proposta, se iniciará a fase de habilitação, observado o disposto neste Aviso de Contratação Direta. </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 HABILITAÇÃO</w:t>
      </w:r>
      <w:r>
        <w:rPr>
          <w:rFonts w:cs="Arial" w:ascii="Arial" w:hAnsi="Arial"/>
          <w:sz w:val="24"/>
          <w:szCs w:val="24"/>
          <w:lang w:val="pt-BR"/>
        </w:rPr>
        <w:t>:</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6.1</w:t>
      </w:r>
      <w:r>
        <w:rPr>
          <w:rFonts w:cs="Arial" w:ascii="Arial" w:hAnsi="Arial"/>
          <w:sz w:val="24"/>
          <w:szCs w:val="24"/>
          <w:lang w:val="pt-BR"/>
        </w:rPr>
        <w:t xml:space="preserve">. Os documentos a serem exigidos para fins de habilitação constam do </w:t>
      </w:r>
      <w:r>
        <w:rPr>
          <w:rFonts w:cs="Arial" w:ascii="Arial" w:hAnsi="Arial"/>
          <w:b/>
          <w:bCs/>
          <w:sz w:val="24"/>
          <w:szCs w:val="24"/>
          <w:lang w:val="pt-BR"/>
        </w:rPr>
        <w:t>Anexo II – Documentação Exigida para Habilitação</w:t>
      </w:r>
      <w:r>
        <w:rPr>
          <w:rFonts w:cs="Arial" w:ascii="Arial" w:hAnsi="Arial"/>
          <w:sz w:val="24"/>
          <w:szCs w:val="24"/>
          <w:lang w:val="pt-BR"/>
        </w:rPr>
        <w:t xml:space="preserve"> deste aviso e serão solicitados do fornecedor mais bem classificado da fase de lances.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6.2</w:t>
      </w:r>
      <w:r>
        <w:rPr>
          <w:rFonts w:cs="Arial" w:ascii="Arial" w:hAnsi="Arial"/>
          <w:sz w:val="24"/>
          <w:szCs w:val="24"/>
          <w:lang w:val="pt-BR"/>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Normal"/>
        <w:jc w:val="both"/>
        <w:rPr>
          <w:rFonts w:ascii="Arial" w:hAnsi="Arial"/>
          <w:sz w:val="24"/>
          <w:szCs w:val="24"/>
        </w:rPr>
      </w:pPr>
      <w:r>
        <w:rPr>
          <w:rFonts w:cs="Arial" w:ascii="Arial" w:hAnsi="Arial"/>
          <w:b/>
          <w:bCs/>
          <w:sz w:val="24"/>
          <w:szCs w:val="24"/>
          <w:lang w:val="pt-BR"/>
        </w:rPr>
        <w:t>a</w:t>
      </w:r>
      <w:r>
        <w:rPr>
          <w:rFonts w:cs="Arial" w:ascii="Arial" w:hAnsi="Arial"/>
          <w:sz w:val="24"/>
          <w:szCs w:val="24"/>
          <w:lang w:val="pt-BR"/>
        </w:rPr>
        <w:t xml:space="preserve">) SICAF;  </w:t>
      </w:r>
    </w:p>
    <w:p>
      <w:pPr>
        <w:pStyle w:val="Normal"/>
        <w:jc w:val="both"/>
        <w:rPr>
          <w:rFonts w:ascii="Arial" w:hAnsi="Arial"/>
          <w:sz w:val="24"/>
          <w:szCs w:val="24"/>
        </w:rPr>
      </w:pPr>
      <w:r>
        <w:rPr>
          <w:rFonts w:cs="Arial" w:ascii="Arial" w:hAnsi="Arial"/>
          <w:b/>
          <w:bCs/>
          <w:sz w:val="24"/>
          <w:szCs w:val="24"/>
          <w:lang w:val="pt-BR"/>
        </w:rPr>
        <w:t>b</w:t>
      </w:r>
      <w:r>
        <w:rPr>
          <w:rFonts w:cs="Arial" w:ascii="Arial" w:hAnsi="Arial"/>
          <w:sz w:val="24"/>
          <w:szCs w:val="24"/>
          <w:lang w:val="pt-BR"/>
        </w:rPr>
        <w:t xml:space="preserve">) Cadastro Nacional de Empresas Inidôneas e Suspensas - CEIS, mantido pela Controladoria-Geral da União (www.portaldatransparencia.gov.br/ceis);  </w:t>
      </w:r>
    </w:p>
    <w:p>
      <w:pPr>
        <w:pStyle w:val="Normal"/>
        <w:jc w:val="both"/>
        <w:rPr>
          <w:rFonts w:ascii="Arial" w:hAnsi="Arial"/>
          <w:sz w:val="24"/>
          <w:szCs w:val="24"/>
        </w:rPr>
      </w:pPr>
      <w:r>
        <w:rPr>
          <w:rFonts w:cs="Arial" w:ascii="Arial" w:hAnsi="Arial"/>
          <w:b/>
          <w:bCs/>
          <w:sz w:val="24"/>
          <w:szCs w:val="24"/>
          <w:lang w:val="pt-BR"/>
        </w:rPr>
        <w:t>c</w:t>
      </w:r>
      <w:r>
        <w:rPr>
          <w:rFonts w:cs="Arial" w:ascii="Arial" w:hAnsi="Arial"/>
          <w:sz w:val="24"/>
          <w:szCs w:val="24"/>
          <w:lang w:val="pt-BR"/>
        </w:rPr>
        <w:t xml:space="preserve">) Cadastro Nacional de Condenações Cíveis por Atos de Improbidade Administrativa, mantido pelo Conselho Nacional de Justiça (www.cnj.jus.br/improbidade_adm/consultar_requerido.php).  </w:t>
      </w:r>
    </w:p>
    <w:p>
      <w:pPr>
        <w:pStyle w:val="Normal"/>
        <w:jc w:val="both"/>
        <w:rPr>
          <w:rFonts w:ascii="Arial" w:hAnsi="Arial"/>
          <w:sz w:val="24"/>
          <w:szCs w:val="24"/>
        </w:rPr>
      </w:pPr>
      <w:r>
        <w:rPr>
          <w:rFonts w:cs="Arial" w:ascii="Arial" w:hAnsi="Arial"/>
          <w:b/>
          <w:bCs/>
          <w:sz w:val="24"/>
          <w:szCs w:val="24"/>
          <w:lang w:val="pt-BR"/>
        </w:rPr>
        <w:t>d</w:t>
      </w:r>
      <w:r>
        <w:rPr>
          <w:rFonts w:cs="Arial" w:ascii="Arial" w:hAnsi="Arial"/>
          <w:sz w:val="24"/>
          <w:szCs w:val="24"/>
          <w:lang w:val="pt-BR"/>
        </w:rPr>
        <w:t xml:space="preserve">) Lista de Inidôneos mantida pelo Tribunal de Contas da União - TCU; </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6.2.1</w:t>
      </w:r>
      <w:r>
        <w:rPr>
          <w:rFonts w:cs="Arial" w:ascii="Arial" w:hAnsi="Arial"/>
          <w:sz w:val="24"/>
          <w:szCs w:val="24"/>
          <w:lang w:val="pt-BR"/>
        </w:rPr>
        <w:t>. Para a consulta de fornecedores pessoa jurídica poderá haver a substituição das consultas das alíneas “b”, “c” e “d” acima pela Consulta Consolidada de Pessoa Jurídica do TCU (https://certidoesapf.apps.tcu.gov.br/)</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6.2.2</w:t>
      </w:r>
      <w:r>
        <w:rPr>
          <w:rFonts w:cs="Arial" w:ascii="Arial" w:hAnsi="Arial"/>
          <w:sz w:val="24"/>
          <w:szCs w:val="24"/>
          <w:lang w:val="pt-BR"/>
        </w:rPr>
        <w:t>. A consulta aos cadastros será realizada em nome da empresa fornecedora e também de seu sócio majoritário, por força do art. 12 da Lei 8.429/1992, que prevê, dentre as sanções impostas ao responsável pela prática de ato de improbidade administrativa, a proibição de contratar com o Poder Público, inclusive por intermédio de pessoa jurídica da qual seja sócio majoritário.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6.2.2.1</w:t>
      </w:r>
      <w:r>
        <w:rPr>
          <w:rFonts w:cs="Arial" w:ascii="Arial" w:hAnsi="Arial"/>
          <w:sz w:val="24"/>
          <w:szCs w:val="24"/>
          <w:lang w:val="pt-BR"/>
        </w:rPr>
        <w:t>. Caso conste na Consulta de Situação do Fornecedor a existência de Ocorrências Impeditivas Indiretas, o gestor diligenciará para verificar se houve fraude por parte das empresas apontadas no Relatório de Ocorrências Impeditivas Indiretas.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6.2.2.1.1</w:t>
      </w:r>
      <w:r>
        <w:rPr>
          <w:rFonts w:cs="Arial" w:ascii="Arial" w:hAnsi="Arial"/>
          <w:sz w:val="24"/>
          <w:szCs w:val="24"/>
          <w:lang w:val="pt-BR"/>
        </w:rPr>
        <w:t>. A tentativa de burla será verificada por meio dos vínculos societários, linhas de fornecimento similares, dentre outros.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6.2.2.1.2</w:t>
      </w:r>
      <w:r>
        <w:rPr>
          <w:rFonts w:cs="Arial" w:ascii="Arial" w:hAnsi="Arial"/>
          <w:sz w:val="24"/>
          <w:szCs w:val="24"/>
          <w:lang w:val="pt-BR"/>
        </w:rPr>
        <w:t>. O fornecedor será convocado para manifestação previamente à sua desclassificação.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6.2.3</w:t>
      </w:r>
      <w:r>
        <w:rPr>
          <w:rFonts w:cs="Arial" w:ascii="Arial" w:hAnsi="Arial"/>
          <w:sz w:val="24"/>
          <w:szCs w:val="24"/>
          <w:lang w:val="pt-BR"/>
        </w:rPr>
        <w:t>.</w:t>
        <w:tab/>
        <w:t>Constatada a existência de sanção, o fornecedor será reputado inabilitado, por falta de condição de participação.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6.3</w:t>
      </w:r>
      <w:r>
        <w:rPr>
          <w:rFonts w:cs="Arial" w:ascii="Arial" w:hAnsi="Arial"/>
          <w:sz w:val="24"/>
          <w:szCs w:val="24"/>
          <w:lang w:val="pt-BR"/>
        </w:rPr>
        <w:t>. Caso atendidas as condições de participação, a habilitação dos fornecedores será verificada por meio do upload dos documentos constantes no Anexo II ou do SICAF, nos documentos por ele abrangidos.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6.3.1</w:t>
      </w:r>
      <w:r>
        <w:rPr>
          <w:rFonts w:cs="Arial" w:ascii="Arial" w:hAnsi="Arial"/>
          <w:sz w:val="24"/>
          <w:szCs w:val="24"/>
          <w:lang w:val="pt-BR"/>
        </w:rPr>
        <w:t>. É dever do fornecedor atualizar previamente as comprovações constantes do SICAF para que estejam vigentes na data da abertura da sessão pública, ou encaminhar, quando solicitado, a respectiva documentação atualizada.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6.3.2</w:t>
      </w:r>
      <w:r>
        <w:rPr>
          <w:rFonts w:cs="Arial" w:ascii="Arial" w:hAnsi="Arial"/>
          <w:sz w:val="24"/>
          <w:szCs w:val="24"/>
          <w:lang w:val="pt-BR"/>
        </w:rPr>
        <w:t>. O descumprimento do subitem acima implicará a inabilitação do fornecedor, exceto se a consulta aos sítios eletrônicos oficiais emissores de certidões lograr êxito em encontrar a(s) certidão(ões) válida(s).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6.4</w:t>
      </w:r>
      <w:r>
        <w:rPr>
          <w:rFonts w:cs="Arial" w:ascii="Arial" w:hAnsi="Arial"/>
          <w:sz w:val="24"/>
          <w:szCs w:val="24"/>
          <w:lang w:val="pt-BR"/>
        </w:rPr>
        <w:t>.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6.5</w:t>
      </w:r>
      <w:r>
        <w:rPr>
          <w:rFonts w:cs="Arial" w:ascii="Arial" w:hAnsi="Arial"/>
          <w:sz w:val="24"/>
          <w:szCs w:val="24"/>
          <w:lang w:val="pt-BR"/>
        </w:rPr>
        <w:t>. Somente haverá a necessidade de comprovação do preenchimento de requisitos mediante apresentação dos documentos originais não-digitais quando houver dúvida em relação à integridade do documento digital.</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6.6</w:t>
      </w:r>
      <w:r>
        <w:rPr>
          <w:rFonts w:cs="Arial" w:ascii="Arial" w:hAnsi="Arial"/>
          <w:sz w:val="24"/>
          <w:szCs w:val="24"/>
          <w:lang w:val="pt-BR"/>
        </w:rPr>
        <w:t>. O fornecedor enquadrado como microempreendedor individual que pretenda auferir os benefícios do tratamento diferenciado previstos na Lei Complementar 123/2006, estará dispensado (a) da prova de inscrição nos cadastros de contribuintes estadual e municipal e (b) da apresentação do balanço patrimonial e das demonstrações contábeis do último exercício.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shd w:fill="auto" w:val="clear"/>
          <w:lang w:val="pt-BR"/>
        </w:rPr>
        <w:t>6.7</w:t>
      </w:r>
      <w:r>
        <w:rPr>
          <w:rFonts w:cs="Arial" w:ascii="Arial" w:hAnsi="Arial"/>
          <w:sz w:val="24"/>
          <w:szCs w:val="24"/>
          <w:shd w:fill="auto" w:val="clear"/>
          <w:lang w:val="pt-BR"/>
        </w:rPr>
        <w:t>. Havendo necessidade de analisar minuciosamente os documentos exigidos, a sessão será suspensa, sendo inform</w:t>
      </w:r>
      <w:r>
        <w:rPr>
          <w:rFonts w:cs="Arial" w:ascii="Arial" w:hAnsi="Arial"/>
          <w:sz w:val="24"/>
          <w:szCs w:val="24"/>
          <w:lang w:val="pt-BR"/>
        </w:rPr>
        <w:t>ada a nova data e horário para a sua continuidade.</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6.8</w:t>
      </w:r>
      <w:r>
        <w:rPr>
          <w:rFonts w:cs="Arial" w:ascii="Arial" w:hAnsi="Arial"/>
          <w:sz w:val="24"/>
          <w:szCs w:val="24"/>
          <w:lang w:val="pt-BR"/>
        </w:rPr>
        <w:t>. Será inabilitado o fornecedor que não comprovar sua habilitação, seja por não apresentar quaisquer dos documentos exigidos, ou apresentá-los em desacordo com o estabelecido neste Aviso de Contratação Direta.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6.8.1</w:t>
      </w:r>
      <w:r>
        <w:rPr>
          <w:rFonts w:cs="Arial" w:ascii="Arial" w:hAnsi="Arial"/>
          <w:sz w:val="24"/>
          <w:szCs w:val="24"/>
          <w:lang w:val="pt-BR"/>
        </w:rPr>
        <w:t>. Na hipótese de o fornecedor não atender às exigências para a habilitação, a Administração examinará a proposta subsequente e assim sucessivamente, na ordem de classificação, até a apuração de uma proposta que atenda às especificações do objeto e as condições de habilitação.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6.9</w:t>
      </w:r>
      <w:r>
        <w:rPr>
          <w:rFonts w:cs="Arial" w:ascii="Arial" w:hAnsi="Arial"/>
          <w:sz w:val="24"/>
          <w:szCs w:val="24"/>
          <w:lang w:val="pt-BR"/>
        </w:rPr>
        <w:t>. Constatado o atendimento às exigências de habilitação, o fornecedor será habilitado.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7. CONTRATAÇÃO</w:t>
      </w:r>
      <w:r>
        <w:rPr>
          <w:rFonts w:cs="Arial" w:ascii="Arial" w:hAnsi="Arial"/>
          <w:sz w:val="24"/>
          <w:szCs w:val="24"/>
          <w:lang w:val="pt-BR"/>
        </w:rPr>
        <w:t>:</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7.1</w:t>
      </w:r>
      <w:r>
        <w:rPr>
          <w:rFonts w:cs="Arial" w:ascii="Arial" w:hAnsi="Arial"/>
          <w:sz w:val="24"/>
          <w:szCs w:val="24"/>
          <w:lang w:val="pt-BR"/>
        </w:rPr>
        <w:t>. Após a homologação e adjudicação, caso se conclua pela contratação, será firmado Anexo à Nota de Empenho ou emitido instrumento equivalente.</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7.2</w:t>
      </w:r>
      <w:r>
        <w:rPr>
          <w:rFonts w:cs="Arial" w:ascii="Arial" w:hAnsi="Arial"/>
          <w:sz w:val="24"/>
          <w:szCs w:val="24"/>
          <w:lang w:val="pt-BR"/>
        </w:rPr>
        <w:t xml:space="preserve">. O adjudicatário terá o prazo de 05 (cinco) dias úteis, contados a partir da data de sua convocação, para assinar o Anexo à Nota de Empenho ou aceitar instrumento equivalente, conforme o caso, sob pena de decair do direito à contratação, sem prejuízo das sanções previstas neste Aviso de Contratação Direta. </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7.2.1</w:t>
      </w:r>
      <w:r>
        <w:rPr>
          <w:rFonts w:cs="Arial" w:ascii="Arial" w:hAnsi="Arial"/>
          <w:sz w:val="24"/>
          <w:szCs w:val="24"/>
          <w:lang w:val="pt-BR"/>
        </w:rPr>
        <w:t xml:space="preserve">. Alternativamente à convocação para comparecer perante a Administração para a assinatura do Anexo à Nota de Empenho, a Administração poderá encaminhá-lo para assinatura, mediante correspondência postal com aviso de recebimento (AR) ou meio eletrônico, para que seja assinado e devolvido no prazo de 03 (três) dias úteis, a contar da data de seu recebimento. </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7.2.2</w:t>
      </w:r>
      <w:r>
        <w:rPr>
          <w:rFonts w:cs="Arial" w:ascii="Arial" w:hAnsi="Arial"/>
          <w:sz w:val="24"/>
          <w:szCs w:val="24"/>
          <w:lang w:val="pt-BR"/>
        </w:rPr>
        <w:t>. O prazo previsto para assinatura do Anexo à Nota de Empenho ou aceitação da nota de empenho ou instrumento equivalente poderá ser prorrogado 01 (uma) vez, por igual período, por solicitação justificada do adjudicatário e aceita pela Administração.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7.3</w:t>
      </w:r>
      <w:r>
        <w:rPr>
          <w:rFonts w:cs="Arial" w:ascii="Arial" w:hAnsi="Arial"/>
          <w:sz w:val="24"/>
          <w:szCs w:val="24"/>
          <w:lang w:val="pt-BR"/>
        </w:rPr>
        <w:t>. O Aceite da Nota de Empenho ou do instrumento equivalente, emitida à empresa adjudicada, implica no reconhecimento de que:</w:t>
      </w:r>
    </w:p>
    <w:p>
      <w:pPr>
        <w:pStyle w:val="Normal"/>
        <w:jc w:val="both"/>
        <w:rPr>
          <w:rFonts w:ascii="Arial" w:hAnsi="Arial"/>
          <w:sz w:val="24"/>
          <w:szCs w:val="24"/>
        </w:rPr>
      </w:pPr>
      <w:r>
        <w:rPr>
          <w:rFonts w:cs="Arial" w:ascii="Arial" w:hAnsi="Arial"/>
          <w:b/>
          <w:bCs/>
          <w:sz w:val="24"/>
          <w:szCs w:val="24"/>
          <w:lang w:val="pt-BR"/>
        </w:rPr>
        <w:t>a</w:t>
      </w:r>
      <w:r>
        <w:rPr>
          <w:rFonts w:cs="Arial" w:ascii="Arial" w:hAnsi="Arial"/>
          <w:sz w:val="24"/>
          <w:szCs w:val="24"/>
          <w:lang w:val="pt-BR"/>
        </w:rPr>
        <w:t>) referida Nota está substituindo o contrato, aplicando-se à relação de negócios ali estabelecida as disposições da Lei 14.133/2021;</w:t>
      </w:r>
    </w:p>
    <w:p>
      <w:pPr>
        <w:pStyle w:val="Normal"/>
        <w:jc w:val="both"/>
        <w:rPr>
          <w:rFonts w:ascii="Arial" w:hAnsi="Arial"/>
          <w:sz w:val="24"/>
          <w:szCs w:val="24"/>
        </w:rPr>
      </w:pPr>
      <w:r>
        <w:rPr>
          <w:rFonts w:cs="Arial" w:ascii="Arial" w:hAnsi="Arial"/>
          <w:b/>
          <w:bCs/>
          <w:sz w:val="24"/>
          <w:szCs w:val="24"/>
          <w:lang w:val="pt-BR"/>
        </w:rPr>
        <w:t>b</w:t>
      </w:r>
      <w:r>
        <w:rPr>
          <w:rFonts w:cs="Arial" w:ascii="Arial" w:hAnsi="Arial"/>
          <w:sz w:val="24"/>
          <w:szCs w:val="24"/>
          <w:lang w:val="pt-BR"/>
        </w:rPr>
        <w:t>) a contratada se vincula à sua proposta e às previsões contidas no Aviso de Contratação Direta e seus anexos;</w:t>
      </w:r>
    </w:p>
    <w:p>
      <w:pPr>
        <w:pStyle w:val="Normal"/>
        <w:jc w:val="both"/>
        <w:rPr>
          <w:rFonts w:ascii="Arial" w:hAnsi="Arial"/>
          <w:sz w:val="24"/>
          <w:szCs w:val="24"/>
        </w:rPr>
      </w:pPr>
      <w:r>
        <w:rPr>
          <w:rFonts w:cs="Arial" w:ascii="Arial" w:hAnsi="Arial"/>
          <w:b/>
          <w:bCs/>
          <w:sz w:val="24"/>
          <w:szCs w:val="24"/>
          <w:lang w:val="pt-BR"/>
        </w:rPr>
        <w:t>c</w:t>
      </w:r>
      <w:r>
        <w:rPr>
          <w:rFonts w:cs="Arial" w:ascii="Arial" w:hAnsi="Arial"/>
          <w:sz w:val="24"/>
          <w:szCs w:val="24"/>
          <w:lang w:val="pt-BR"/>
        </w:rPr>
        <w:t>) a contratada reconhece que as hipóteses de rescisão são aquelas previstas nos arts. 137 e 138 da Lei 14.133/21 e reconhece os direitos da Administração previstos nos arts. 137 a 139 da mesma Lei.</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7.4</w:t>
      </w:r>
      <w:r>
        <w:rPr>
          <w:rFonts w:cs="Arial" w:ascii="Arial" w:hAnsi="Arial"/>
          <w:sz w:val="24"/>
          <w:szCs w:val="24"/>
          <w:lang w:val="pt-BR"/>
        </w:rPr>
        <w:t xml:space="preserve">. O prazo de vigência da contratação é de 30 (trinta) dias prorrogáveis conforme previsão nos anexos a este Aviso de Contratação Direta. </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7.5</w:t>
      </w:r>
      <w:r>
        <w:rPr>
          <w:rFonts w:cs="Arial" w:ascii="Arial" w:hAnsi="Arial"/>
          <w:sz w:val="24"/>
          <w:szCs w:val="24"/>
          <w:lang w:val="pt-BR"/>
        </w:rPr>
        <w:t>. Na assinatura do contrato ou do instrumento equivalente será exigida a comprovação das condições de habilitação e contratação consignadas neste aviso, que deverão ser mantidas pelo fornecedor durante a vigência do contrato.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8. SANÇÕES</w:t>
      </w:r>
      <w:r>
        <w:rPr>
          <w:rFonts w:cs="Arial" w:ascii="Arial" w:hAnsi="Arial"/>
          <w:sz w:val="24"/>
          <w:szCs w:val="24"/>
          <w:lang w:val="pt-BR"/>
        </w:rPr>
        <w:t>:</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8.1</w:t>
      </w:r>
      <w:r>
        <w:rPr>
          <w:rFonts w:cs="Arial" w:ascii="Arial" w:hAnsi="Arial"/>
          <w:sz w:val="24"/>
          <w:szCs w:val="24"/>
          <w:lang w:val="pt-BR"/>
        </w:rPr>
        <w:t xml:space="preserve">. Comete infração administrativa o fornecedor que cometer quaisquer das infrações previstas no art. 155 da Lei 14.133, de 2021, quais sejam: </w:t>
      </w:r>
    </w:p>
    <w:p>
      <w:pPr>
        <w:pStyle w:val="Normal"/>
        <w:jc w:val="both"/>
        <w:rPr>
          <w:rFonts w:ascii="Arial" w:hAnsi="Arial"/>
          <w:sz w:val="24"/>
          <w:szCs w:val="24"/>
        </w:rPr>
      </w:pPr>
      <w:r>
        <w:rPr>
          <w:rFonts w:cs="Arial" w:ascii="Arial" w:hAnsi="Arial"/>
          <w:b/>
          <w:bCs/>
          <w:sz w:val="24"/>
          <w:szCs w:val="24"/>
          <w:lang w:val="pt-BR"/>
        </w:rPr>
        <w:t xml:space="preserve">I </w:t>
      </w:r>
      <w:r>
        <w:rPr>
          <w:rFonts w:cs="Arial" w:ascii="Arial" w:hAnsi="Arial"/>
          <w:sz w:val="24"/>
          <w:szCs w:val="24"/>
          <w:lang w:val="pt-BR"/>
        </w:rPr>
        <w:t>-  dar causa à inexecução parcial do contrato;</w:t>
      </w:r>
    </w:p>
    <w:p>
      <w:pPr>
        <w:pStyle w:val="Normal"/>
        <w:jc w:val="both"/>
        <w:rPr>
          <w:rFonts w:ascii="Arial" w:hAnsi="Arial"/>
          <w:sz w:val="24"/>
          <w:szCs w:val="24"/>
        </w:rPr>
      </w:pPr>
      <w:r>
        <w:rPr>
          <w:rFonts w:cs="Arial" w:ascii="Arial" w:hAnsi="Arial"/>
          <w:b/>
          <w:bCs/>
          <w:sz w:val="24"/>
          <w:szCs w:val="24"/>
          <w:lang w:val="pt-BR"/>
        </w:rPr>
        <w:t>II</w:t>
      </w:r>
      <w:r>
        <w:rPr>
          <w:rFonts w:cs="Arial" w:ascii="Arial" w:hAnsi="Arial"/>
          <w:sz w:val="24"/>
          <w:szCs w:val="24"/>
          <w:lang w:val="pt-BR"/>
        </w:rPr>
        <w:t xml:space="preserve"> - dar causa à inexecução parcial do contrato que cause grave dano à Administração, ao funcionamento dos serviços públicos ou ao interesse coletivo;</w:t>
      </w:r>
    </w:p>
    <w:p>
      <w:pPr>
        <w:pStyle w:val="Normal"/>
        <w:jc w:val="both"/>
        <w:rPr>
          <w:rFonts w:ascii="Arial" w:hAnsi="Arial"/>
          <w:sz w:val="24"/>
          <w:szCs w:val="24"/>
        </w:rPr>
      </w:pPr>
      <w:r>
        <w:rPr>
          <w:rFonts w:cs="Arial" w:ascii="Arial" w:hAnsi="Arial"/>
          <w:b/>
          <w:bCs/>
          <w:sz w:val="24"/>
          <w:szCs w:val="24"/>
          <w:lang w:val="pt-BR"/>
        </w:rPr>
        <w:t>III</w:t>
      </w:r>
      <w:r>
        <w:rPr>
          <w:rFonts w:cs="Arial" w:ascii="Arial" w:hAnsi="Arial"/>
          <w:sz w:val="24"/>
          <w:szCs w:val="24"/>
          <w:lang w:val="pt-BR"/>
        </w:rPr>
        <w:t xml:space="preserve"> - dar causa à inexecução total do contrato;</w:t>
      </w:r>
    </w:p>
    <w:p>
      <w:pPr>
        <w:pStyle w:val="Normal"/>
        <w:jc w:val="both"/>
        <w:rPr>
          <w:rFonts w:ascii="Arial" w:hAnsi="Arial"/>
          <w:sz w:val="24"/>
          <w:szCs w:val="24"/>
        </w:rPr>
      </w:pPr>
      <w:r>
        <w:rPr>
          <w:rFonts w:cs="Arial" w:ascii="Arial" w:hAnsi="Arial"/>
          <w:b/>
          <w:bCs/>
          <w:sz w:val="24"/>
          <w:szCs w:val="24"/>
          <w:lang w:val="pt-BR"/>
        </w:rPr>
        <w:t>IV</w:t>
      </w:r>
      <w:r>
        <w:rPr>
          <w:rFonts w:cs="Arial" w:ascii="Arial" w:hAnsi="Arial"/>
          <w:sz w:val="24"/>
          <w:szCs w:val="24"/>
          <w:lang w:val="pt-BR"/>
        </w:rPr>
        <w:t xml:space="preserve"> - deixar de entregar a documentação exigida para o certame;</w:t>
      </w:r>
    </w:p>
    <w:p>
      <w:pPr>
        <w:pStyle w:val="Normal"/>
        <w:jc w:val="both"/>
        <w:rPr>
          <w:rFonts w:ascii="Arial" w:hAnsi="Arial"/>
          <w:sz w:val="24"/>
          <w:szCs w:val="24"/>
        </w:rPr>
      </w:pPr>
      <w:r>
        <w:rPr>
          <w:rFonts w:cs="Arial" w:ascii="Arial" w:hAnsi="Arial"/>
          <w:b/>
          <w:bCs/>
          <w:sz w:val="24"/>
          <w:szCs w:val="24"/>
          <w:lang w:val="pt-BR"/>
        </w:rPr>
        <w:t>V</w:t>
      </w:r>
      <w:r>
        <w:rPr>
          <w:rFonts w:cs="Arial" w:ascii="Arial" w:hAnsi="Arial"/>
          <w:sz w:val="24"/>
          <w:szCs w:val="24"/>
          <w:lang w:val="pt-BR"/>
        </w:rPr>
        <w:t xml:space="preserve"> - não manter a proposta, salvo em decorrência de fato superveniente devidamente justificado;</w:t>
      </w:r>
    </w:p>
    <w:p>
      <w:pPr>
        <w:pStyle w:val="Normal"/>
        <w:jc w:val="both"/>
        <w:rPr>
          <w:rFonts w:ascii="Arial" w:hAnsi="Arial"/>
          <w:sz w:val="24"/>
          <w:szCs w:val="24"/>
        </w:rPr>
      </w:pPr>
      <w:r>
        <w:rPr>
          <w:rFonts w:cs="Arial" w:ascii="Arial" w:hAnsi="Arial"/>
          <w:b/>
          <w:bCs/>
          <w:sz w:val="24"/>
          <w:szCs w:val="24"/>
          <w:lang w:val="pt-BR"/>
        </w:rPr>
        <w:t>VI</w:t>
      </w:r>
      <w:r>
        <w:rPr>
          <w:rFonts w:cs="Arial" w:ascii="Arial" w:hAnsi="Arial"/>
          <w:sz w:val="24"/>
          <w:szCs w:val="24"/>
          <w:lang w:val="pt-BR"/>
        </w:rPr>
        <w:t xml:space="preserve"> - não celebrar o contrato ou não entregar a documentação exigida para a contratação, quando convocado dentro do prazo de validade de sua proposta;</w:t>
      </w:r>
    </w:p>
    <w:p>
      <w:pPr>
        <w:pStyle w:val="Normal"/>
        <w:jc w:val="both"/>
        <w:rPr>
          <w:rFonts w:ascii="Arial" w:hAnsi="Arial"/>
          <w:sz w:val="24"/>
          <w:szCs w:val="24"/>
        </w:rPr>
      </w:pPr>
      <w:r>
        <w:rPr>
          <w:rFonts w:cs="Arial" w:ascii="Arial" w:hAnsi="Arial"/>
          <w:b/>
          <w:bCs/>
          <w:sz w:val="24"/>
          <w:szCs w:val="24"/>
          <w:lang w:val="pt-BR"/>
        </w:rPr>
        <w:t>VII</w:t>
      </w:r>
      <w:r>
        <w:rPr>
          <w:rFonts w:cs="Arial" w:ascii="Arial" w:hAnsi="Arial"/>
          <w:sz w:val="24"/>
          <w:szCs w:val="24"/>
          <w:lang w:val="pt-BR"/>
        </w:rPr>
        <w:t xml:space="preserve"> - ensejar o retardamento da execução ou da entrega do objeto da licitação sem motivo justificado;</w:t>
      </w:r>
    </w:p>
    <w:p>
      <w:pPr>
        <w:pStyle w:val="Normal"/>
        <w:jc w:val="both"/>
        <w:rPr>
          <w:rFonts w:ascii="Arial" w:hAnsi="Arial"/>
          <w:sz w:val="24"/>
          <w:szCs w:val="24"/>
        </w:rPr>
      </w:pPr>
      <w:r>
        <w:rPr>
          <w:rFonts w:cs="Arial" w:ascii="Arial" w:hAnsi="Arial"/>
          <w:b/>
          <w:bCs/>
          <w:sz w:val="24"/>
          <w:szCs w:val="24"/>
          <w:lang w:val="pt-BR"/>
        </w:rPr>
        <w:t>VIII</w:t>
      </w:r>
      <w:r>
        <w:rPr>
          <w:rFonts w:cs="Arial" w:ascii="Arial" w:hAnsi="Arial"/>
          <w:sz w:val="24"/>
          <w:szCs w:val="24"/>
          <w:lang w:val="pt-BR"/>
        </w:rPr>
        <w:t xml:space="preserve"> - apresentar declaração ou documentação falsa exigida para o certame ou prestar declaração falsa durante a dispensa eletrônica ou a execução do contrato;</w:t>
      </w:r>
    </w:p>
    <w:p>
      <w:pPr>
        <w:pStyle w:val="Normal"/>
        <w:jc w:val="both"/>
        <w:rPr>
          <w:rFonts w:ascii="Arial" w:hAnsi="Arial"/>
          <w:sz w:val="24"/>
          <w:szCs w:val="24"/>
        </w:rPr>
      </w:pPr>
      <w:r>
        <w:rPr>
          <w:rFonts w:cs="Arial" w:ascii="Arial" w:hAnsi="Arial"/>
          <w:b/>
          <w:bCs/>
          <w:sz w:val="24"/>
          <w:szCs w:val="24"/>
          <w:lang w:val="pt-BR"/>
        </w:rPr>
        <w:t>IX</w:t>
      </w:r>
      <w:r>
        <w:rPr>
          <w:rFonts w:cs="Arial" w:ascii="Arial" w:hAnsi="Arial"/>
          <w:sz w:val="24"/>
          <w:szCs w:val="24"/>
          <w:lang w:val="pt-BR"/>
        </w:rPr>
        <w:t xml:space="preserve"> - fraudar a dispensa eletrônica ou praticar ato fraudulento na execução do contrato;</w:t>
      </w:r>
    </w:p>
    <w:p>
      <w:pPr>
        <w:pStyle w:val="Normal"/>
        <w:jc w:val="both"/>
        <w:rPr>
          <w:rFonts w:ascii="Arial" w:hAnsi="Arial"/>
          <w:sz w:val="24"/>
          <w:szCs w:val="24"/>
        </w:rPr>
      </w:pPr>
      <w:r>
        <w:rPr>
          <w:rFonts w:cs="Arial" w:ascii="Arial" w:hAnsi="Arial"/>
          <w:b/>
          <w:bCs/>
          <w:sz w:val="24"/>
          <w:szCs w:val="24"/>
          <w:lang w:val="pt-BR"/>
        </w:rPr>
        <w:t>X</w:t>
      </w:r>
      <w:r>
        <w:rPr>
          <w:rFonts w:cs="Arial" w:ascii="Arial" w:hAnsi="Arial"/>
          <w:sz w:val="24"/>
          <w:szCs w:val="24"/>
          <w:lang w:val="pt-BR"/>
        </w:rPr>
        <w:t xml:space="preserve"> - comportar-se de modo inidôneo ou cometer fraude de qualquer natureza;</w:t>
      </w:r>
    </w:p>
    <w:p>
      <w:pPr>
        <w:pStyle w:val="Normal"/>
        <w:jc w:val="both"/>
        <w:rPr>
          <w:rFonts w:ascii="Arial" w:hAnsi="Arial"/>
          <w:sz w:val="24"/>
          <w:szCs w:val="24"/>
        </w:rPr>
      </w:pPr>
      <w:r>
        <w:rPr>
          <w:rFonts w:cs="Arial" w:ascii="Arial" w:hAnsi="Arial"/>
          <w:b/>
          <w:bCs/>
          <w:sz w:val="24"/>
          <w:szCs w:val="24"/>
          <w:lang w:val="pt-BR"/>
        </w:rPr>
        <w:t>a</w:t>
      </w:r>
      <w:r>
        <w:rPr>
          <w:rFonts w:cs="Arial" w:ascii="Arial" w:hAnsi="Arial"/>
          <w:sz w:val="24"/>
          <w:szCs w:val="24"/>
          <w:lang w:val="pt-BR"/>
        </w:rPr>
        <w:t>)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ascii="Arial" w:hAnsi="Arial"/>
          <w:sz w:val="24"/>
          <w:szCs w:val="24"/>
        </w:rPr>
      </w:pPr>
      <w:r>
        <w:rPr>
          <w:rFonts w:cs="Arial" w:ascii="Arial" w:hAnsi="Arial"/>
          <w:b/>
          <w:bCs/>
          <w:sz w:val="24"/>
          <w:szCs w:val="24"/>
          <w:lang w:val="pt-BR"/>
        </w:rPr>
        <w:t>XI</w:t>
      </w:r>
      <w:r>
        <w:rPr>
          <w:rFonts w:cs="Arial" w:ascii="Arial" w:hAnsi="Arial"/>
          <w:sz w:val="24"/>
          <w:szCs w:val="24"/>
          <w:lang w:val="pt-BR"/>
        </w:rPr>
        <w:t xml:space="preserve"> - praticar atos ilícitos com vistas a frustrar os objetivos deste certame.</w:t>
      </w:r>
    </w:p>
    <w:p>
      <w:pPr>
        <w:pStyle w:val="Normal"/>
        <w:jc w:val="both"/>
        <w:rPr>
          <w:rFonts w:ascii="Arial" w:hAnsi="Arial"/>
          <w:sz w:val="24"/>
          <w:szCs w:val="24"/>
        </w:rPr>
      </w:pPr>
      <w:r>
        <w:rPr>
          <w:rFonts w:cs="Arial" w:ascii="Arial" w:hAnsi="Arial"/>
          <w:b/>
          <w:bCs/>
          <w:sz w:val="24"/>
          <w:szCs w:val="24"/>
          <w:lang w:val="pt-BR"/>
        </w:rPr>
        <w:t>XII</w:t>
      </w:r>
      <w:r>
        <w:rPr>
          <w:rFonts w:cs="Arial" w:ascii="Arial" w:hAnsi="Arial"/>
          <w:sz w:val="24"/>
          <w:szCs w:val="24"/>
          <w:lang w:val="pt-BR"/>
        </w:rPr>
        <w:t xml:space="preserve"> - praticar ato lesivo previsto no art. 5º da Lei 12.846/2013.</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8.2</w:t>
      </w:r>
      <w:r>
        <w:rPr>
          <w:rFonts w:cs="Arial" w:ascii="Arial" w:hAnsi="Arial"/>
          <w:sz w:val="24"/>
          <w:szCs w:val="24"/>
          <w:lang w:val="pt-BR"/>
        </w:rPr>
        <w:t>. O fornecedor que cometer qualquer das infrações discriminadas nos subitens anteriores ficará sujeito, sem prejuízo da responsabilidade civil e criminal, às seguintes sanções:</w:t>
      </w:r>
    </w:p>
    <w:p>
      <w:pPr>
        <w:pStyle w:val="Normal"/>
        <w:jc w:val="both"/>
        <w:rPr>
          <w:rFonts w:ascii="Arial" w:hAnsi="Arial"/>
          <w:sz w:val="24"/>
          <w:szCs w:val="24"/>
        </w:rPr>
      </w:pPr>
      <w:r>
        <w:rPr>
          <w:rFonts w:cs="Arial" w:ascii="Arial" w:hAnsi="Arial"/>
          <w:b/>
          <w:bCs/>
          <w:sz w:val="24"/>
          <w:szCs w:val="24"/>
          <w:lang w:val="pt-BR"/>
        </w:rPr>
        <w:t>a</w:t>
      </w:r>
      <w:r>
        <w:rPr>
          <w:rFonts w:cs="Arial" w:ascii="Arial" w:hAnsi="Arial"/>
          <w:sz w:val="24"/>
          <w:szCs w:val="24"/>
          <w:lang w:val="pt-BR"/>
        </w:rPr>
        <w:t>) Advertência pela falta do inc. I do item 8.1 deste Aviso de Contratação Direta, quando não se justificar a imposição de penalidade mais grave;</w:t>
      </w:r>
    </w:p>
    <w:p>
      <w:pPr>
        <w:pStyle w:val="Normal"/>
        <w:jc w:val="both"/>
        <w:rPr>
          <w:rFonts w:ascii="Arial" w:hAnsi="Arial"/>
          <w:sz w:val="24"/>
          <w:szCs w:val="24"/>
        </w:rPr>
      </w:pPr>
      <w:r>
        <w:rPr>
          <w:rFonts w:cs="Arial" w:ascii="Arial" w:hAnsi="Arial"/>
          <w:b/>
          <w:bCs/>
          <w:sz w:val="24"/>
          <w:szCs w:val="24"/>
          <w:lang w:val="pt-BR"/>
        </w:rPr>
        <w:t>b</w:t>
      </w:r>
      <w:r>
        <w:rPr>
          <w:rFonts w:cs="Arial" w:ascii="Arial" w:hAnsi="Arial"/>
          <w:sz w:val="24"/>
          <w:szCs w:val="24"/>
          <w:lang w:val="pt-BR"/>
        </w:rPr>
        <w:t>) Multa de 20% (vinte por cento) sobre o valor estimado do(s) item(s) prejudicado(s) pela conduta do fornecedor, por qualquer das infrações dos inc. I a XII do item 8.1;</w:t>
      </w:r>
    </w:p>
    <w:p>
      <w:pPr>
        <w:pStyle w:val="Normal"/>
        <w:jc w:val="both"/>
        <w:rPr>
          <w:rFonts w:ascii="Arial" w:hAnsi="Arial"/>
          <w:sz w:val="24"/>
          <w:szCs w:val="24"/>
        </w:rPr>
      </w:pPr>
      <w:r>
        <w:rPr>
          <w:rFonts w:cs="Arial" w:ascii="Arial" w:hAnsi="Arial"/>
          <w:b/>
          <w:bCs/>
          <w:sz w:val="24"/>
          <w:szCs w:val="24"/>
          <w:lang w:val="pt-BR"/>
        </w:rPr>
        <w:t>c</w:t>
      </w:r>
      <w:r>
        <w:rPr>
          <w:rFonts w:cs="Arial" w:ascii="Arial" w:hAnsi="Arial"/>
          <w:sz w:val="24"/>
          <w:szCs w:val="24"/>
          <w:lang w:val="pt-BR"/>
        </w:rPr>
        <w:t>) Impedimento de licitar e contratar no âmbito da Administração Pública direta e indireta do Município, pelo prazo máximo de 3 (três) anos, nos casos dos incs. II a VII do item 8.1 deste Aviso de Contratação Direta, quando não se justificar a imposição de penalidade mais grave;</w:t>
      </w:r>
    </w:p>
    <w:p>
      <w:pPr>
        <w:pStyle w:val="Normal"/>
        <w:jc w:val="both"/>
        <w:rPr>
          <w:rFonts w:ascii="Arial" w:hAnsi="Arial"/>
          <w:sz w:val="24"/>
          <w:szCs w:val="24"/>
        </w:rPr>
      </w:pPr>
      <w:r>
        <w:rPr>
          <w:rFonts w:cs="Arial" w:ascii="Arial" w:hAnsi="Arial"/>
          <w:b/>
          <w:bCs/>
          <w:sz w:val="24"/>
          <w:szCs w:val="24"/>
          <w:lang w:val="pt-BR"/>
        </w:rPr>
        <w:t>d</w:t>
      </w:r>
      <w:r>
        <w:rPr>
          <w:rFonts w:cs="Arial" w:ascii="Arial" w:hAnsi="Arial"/>
          <w:sz w:val="24"/>
          <w:szCs w:val="24"/>
          <w:lang w:val="pt-BR"/>
        </w:rPr>
        <w:t>) Declaração de inidoneidade para licitar ou contratar, que impedirá o responsável de licitar ou contratar no âmbito da Administração Pública direta e indireta de todos os entes federativos, pelo prazo mínimo de 3 (três) anos e máximo de 6 (seis) anos, nos casos dos incs. VIII a XII do item 8.1, bem como nos demais casos que justifiquem a imposição da penalidade mais grave;</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8.3</w:t>
      </w:r>
      <w:r>
        <w:rPr>
          <w:rFonts w:cs="Arial" w:ascii="Arial" w:hAnsi="Arial"/>
          <w:sz w:val="24"/>
          <w:szCs w:val="24"/>
          <w:lang w:val="pt-BR"/>
        </w:rPr>
        <w:t>. Na aplicação das sanções serão considerados:</w:t>
      </w:r>
    </w:p>
    <w:p>
      <w:pPr>
        <w:pStyle w:val="Normal"/>
        <w:jc w:val="both"/>
        <w:rPr>
          <w:rFonts w:ascii="Arial" w:hAnsi="Arial"/>
          <w:sz w:val="24"/>
          <w:szCs w:val="24"/>
        </w:rPr>
      </w:pPr>
      <w:r>
        <w:rPr>
          <w:rFonts w:cs="Arial" w:ascii="Arial" w:hAnsi="Arial"/>
          <w:b/>
          <w:bCs/>
          <w:sz w:val="24"/>
          <w:szCs w:val="24"/>
          <w:lang w:val="pt-BR"/>
        </w:rPr>
        <w:t>a</w:t>
      </w:r>
      <w:r>
        <w:rPr>
          <w:rFonts w:cs="Arial" w:ascii="Arial" w:hAnsi="Arial"/>
          <w:sz w:val="24"/>
          <w:szCs w:val="24"/>
          <w:lang w:val="pt-BR"/>
        </w:rPr>
        <w:t>) a natureza e a gravidade da infração cometida;</w:t>
      </w:r>
    </w:p>
    <w:p>
      <w:pPr>
        <w:pStyle w:val="Normal"/>
        <w:jc w:val="both"/>
        <w:rPr>
          <w:rFonts w:ascii="Arial" w:hAnsi="Arial"/>
          <w:sz w:val="24"/>
          <w:szCs w:val="24"/>
        </w:rPr>
      </w:pPr>
      <w:r>
        <w:rPr>
          <w:rFonts w:cs="Arial" w:ascii="Arial" w:hAnsi="Arial"/>
          <w:b/>
          <w:bCs/>
          <w:sz w:val="24"/>
          <w:szCs w:val="24"/>
          <w:lang w:val="pt-BR"/>
        </w:rPr>
        <w:t>b</w:t>
      </w:r>
      <w:r>
        <w:rPr>
          <w:rFonts w:cs="Arial" w:ascii="Arial" w:hAnsi="Arial"/>
          <w:sz w:val="24"/>
          <w:szCs w:val="24"/>
          <w:lang w:val="pt-BR"/>
        </w:rPr>
        <w:t>) as peculiaridades do caso concreto;</w:t>
      </w:r>
    </w:p>
    <w:p>
      <w:pPr>
        <w:pStyle w:val="Normal"/>
        <w:jc w:val="both"/>
        <w:rPr>
          <w:rFonts w:ascii="Arial" w:hAnsi="Arial"/>
          <w:sz w:val="24"/>
          <w:szCs w:val="24"/>
        </w:rPr>
      </w:pPr>
      <w:r>
        <w:rPr>
          <w:rFonts w:cs="Arial" w:ascii="Arial" w:hAnsi="Arial"/>
          <w:b/>
          <w:bCs/>
          <w:sz w:val="24"/>
          <w:szCs w:val="24"/>
          <w:lang w:val="pt-BR"/>
        </w:rPr>
        <w:t>c</w:t>
      </w:r>
      <w:r>
        <w:rPr>
          <w:rFonts w:cs="Arial" w:ascii="Arial" w:hAnsi="Arial"/>
          <w:sz w:val="24"/>
          <w:szCs w:val="24"/>
          <w:lang w:val="pt-BR"/>
        </w:rPr>
        <w:t>) as circunstâncias agravantes ou atenuantes;</w:t>
      </w:r>
    </w:p>
    <w:p>
      <w:pPr>
        <w:pStyle w:val="Normal"/>
        <w:jc w:val="both"/>
        <w:rPr>
          <w:rFonts w:ascii="Arial" w:hAnsi="Arial"/>
          <w:sz w:val="24"/>
          <w:szCs w:val="24"/>
        </w:rPr>
      </w:pPr>
      <w:r>
        <w:rPr>
          <w:rFonts w:cs="Arial" w:ascii="Arial" w:hAnsi="Arial"/>
          <w:b/>
          <w:bCs/>
          <w:sz w:val="24"/>
          <w:szCs w:val="24"/>
          <w:lang w:val="pt-BR"/>
        </w:rPr>
        <w:t>d</w:t>
      </w:r>
      <w:r>
        <w:rPr>
          <w:rFonts w:cs="Arial" w:ascii="Arial" w:hAnsi="Arial"/>
          <w:sz w:val="24"/>
          <w:szCs w:val="24"/>
          <w:lang w:val="pt-BR"/>
        </w:rPr>
        <w:t>) os danos que dela provierem para a Administração Pública;</w:t>
      </w:r>
    </w:p>
    <w:p>
      <w:pPr>
        <w:pStyle w:val="Normal"/>
        <w:jc w:val="both"/>
        <w:rPr>
          <w:rFonts w:ascii="Arial" w:hAnsi="Arial"/>
          <w:sz w:val="24"/>
          <w:szCs w:val="24"/>
        </w:rPr>
      </w:pPr>
      <w:r>
        <w:rPr>
          <w:rFonts w:cs="Arial" w:ascii="Arial" w:hAnsi="Arial"/>
          <w:b/>
          <w:bCs/>
          <w:sz w:val="24"/>
          <w:szCs w:val="24"/>
          <w:lang w:val="pt-BR"/>
        </w:rPr>
        <w:t>e</w:t>
      </w:r>
      <w:r>
        <w:rPr>
          <w:rFonts w:cs="Arial" w:ascii="Arial" w:hAnsi="Arial"/>
          <w:sz w:val="24"/>
          <w:szCs w:val="24"/>
          <w:lang w:val="pt-BR"/>
        </w:rPr>
        <w:t>) a implantação ou o aperfeiçoamento de programa de integridade, conforme normas e orientações dos órgãos de controle.</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8.4</w:t>
      </w:r>
      <w:r>
        <w:rPr>
          <w:rFonts w:cs="Arial" w:ascii="Arial" w:hAnsi="Arial"/>
          <w:sz w:val="24"/>
          <w:szCs w:val="24"/>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8.5</w:t>
      </w:r>
      <w:r>
        <w:rPr>
          <w:rFonts w:cs="Arial" w:ascii="Arial" w:hAnsi="Arial"/>
          <w:sz w:val="24"/>
          <w:szCs w:val="24"/>
          <w:lang w:val="pt-BR"/>
        </w:rPr>
        <w:t>. A aplicação das sanções previstas neste Aviso de Contratação Direta, em hipótese alguma, exime da obrigação de reparação integral do dano causado à Administração Pública.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8.6</w:t>
      </w:r>
      <w:r>
        <w:rPr>
          <w:rFonts w:cs="Arial" w:ascii="Arial" w:hAnsi="Arial"/>
          <w:sz w:val="24"/>
          <w:szCs w:val="24"/>
          <w:lang w:val="pt-BR"/>
        </w:rPr>
        <w:t>. A penalidade de multa pode ser aplicada cumulativamente com as demais sanções.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8.7</w:t>
      </w:r>
      <w:r>
        <w:rPr>
          <w:rFonts w:cs="Arial" w:ascii="Arial" w:hAnsi="Arial"/>
          <w:sz w:val="24"/>
          <w:szCs w:val="24"/>
          <w:lang w:val="pt-BR"/>
        </w:rPr>
        <w:t>. Se, durante o processo de aplicação de penalidade, houver indícios de prática de infração administrativa tipificada pela Lei 12.846/2013, como ato lesivo à administração pública nacional ou estrangeira, cópias do processo administrativo necessárias à apuração da responsabilidade da empresa deverão ser remetidas ao Sr. Secretário de Município de Gestão Administrativa e Licitações (SMGAL), com despacho fundamentado, para ciência e decisão sobre a eventual instauração de investigação preliminar ou Processo Administrativo de Responsabilização – PAR, dando ciência à Central do Sistema de Controle Interno.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8.8</w:t>
      </w:r>
      <w:r>
        <w:rPr>
          <w:rFonts w:cs="Arial" w:ascii="Arial" w:hAnsi="Arial"/>
          <w:sz w:val="24"/>
          <w:szCs w:val="24"/>
          <w:lang w:val="pt-BR"/>
        </w:rPr>
        <w:t>. A apuração e o julgamento das demais infrações administrativas não consideradas como ato lesivo à Administração Pública nacional ou estrangeira nos termos da Lei 12.846/2013, seguirão seu rito normal na SMGAL.</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8.9</w:t>
      </w:r>
      <w:r>
        <w:rPr>
          <w:rFonts w:cs="Arial" w:ascii="Arial" w:hAnsi="Arial"/>
          <w:sz w:val="24"/>
          <w:szCs w:val="24"/>
          <w:lang w:val="pt-BR"/>
        </w:rPr>
        <w:t xml:space="preserve">. O processamento do PAR não interfere no seguimento regular dos processos administrativos específicos para apuração da ocorrência de danos e prejuízos à Administração resultantes de ato lesivo cometido por pessoa jurídica, com ou sem a participação de agente público. </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8.10</w:t>
      </w:r>
      <w:r>
        <w:rPr>
          <w:rFonts w:cs="Arial" w:ascii="Arial" w:hAnsi="Arial"/>
          <w:sz w:val="24"/>
          <w:szCs w:val="24"/>
          <w:lang w:val="pt-BR"/>
        </w:rPr>
        <w:t>. A aplicação de qualquer das penalidades previstas realizar-se-á em processo administrativo que assegurará o contraditório e a ampla defesa ao fornecedor/adjudicatário, observando-se o procedimento previsto na Lei 14.133/2021.</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8.11</w:t>
      </w:r>
      <w:r>
        <w:rPr>
          <w:rFonts w:cs="Arial" w:ascii="Arial" w:hAnsi="Arial"/>
          <w:sz w:val="24"/>
          <w:szCs w:val="24"/>
          <w:lang w:val="pt-BR"/>
        </w:rPr>
        <w:t>. As sanções por atos praticados no decorrer da contratação estão previstas nos anexos a este Aviso.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 DAS DISPOSIÇÕES GERAIS</w:t>
      </w:r>
      <w:r>
        <w:rPr>
          <w:rFonts w:cs="Arial" w:ascii="Arial" w:hAnsi="Arial"/>
          <w:sz w:val="24"/>
          <w:szCs w:val="24"/>
          <w:lang w:val="pt-BR"/>
        </w:rPr>
        <w:t>:</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9.1</w:t>
      </w:r>
      <w:r>
        <w:rPr>
          <w:rFonts w:cs="Arial" w:ascii="Arial" w:hAnsi="Arial"/>
          <w:sz w:val="24"/>
          <w:szCs w:val="24"/>
          <w:lang w:val="pt-BR"/>
        </w:rPr>
        <w:t xml:space="preserve">. O procedimento será divulgado no </w:t>
      </w:r>
      <w:r>
        <w:rPr>
          <w:rFonts w:eastAsia="HG Mincho Light J" w:cs="Arial" w:ascii="Arial" w:hAnsi="Arial"/>
          <w:color w:val="000000"/>
          <w:kern w:val="0"/>
          <w:sz w:val="24"/>
          <w:szCs w:val="24"/>
          <w:shd w:fill="auto" w:val="clear"/>
          <w:lang w:val="pt-BR" w:eastAsia="zh-CN" w:bidi="ar-SA"/>
        </w:rPr>
        <w:t>Sis</w:t>
      </w:r>
      <w:r>
        <w:rPr>
          <w:rFonts w:eastAsia="HG Mincho Light J" w:cs="Arial" w:ascii="Arial" w:hAnsi="Arial"/>
          <w:b w:val="false"/>
          <w:bCs w:val="false"/>
          <w:color w:val="000000"/>
          <w:kern w:val="0"/>
          <w:sz w:val="24"/>
          <w:szCs w:val="24"/>
          <w:shd w:fill="auto" w:val="clear"/>
          <w:lang w:val="pt-BR" w:eastAsia="zh-CN" w:bidi="ar-SA"/>
        </w:rPr>
        <w:t xml:space="preserve">tema </w:t>
      </w:r>
      <w:r>
        <w:rPr>
          <w:rFonts w:eastAsia="HG Mincho Light J" w:cs="Arial" w:ascii="Arial" w:hAnsi="Arial"/>
          <w:b w:val="false"/>
          <w:bCs w:val="false"/>
          <w:i w:val="false"/>
          <w:caps w:val="false"/>
          <w:smallCaps w:val="false"/>
          <w:color w:val="000000"/>
          <w:spacing w:val="0"/>
          <w:kern w:val="0"/>
          <w:sz w:val="24"/>
          <w:szCs w:val="24"/>
          <w:shd w:fill="auto" w:val="clear"/>
          <w:lang w:val="pt-BR" w:eastAsia="zh-CN" w:bidi="ar-SA"/>
        </w:rPr>
        <w:t>Bolsa de Licitações e Leilões do Brasil</w:t>
      </w:r>
      <w:r>
        <w:rPr>
          <w:rFonts w:eastAsia="HG Mincho Light J" w:cs="Arial" w:ascii="Arial" w:hAnsi="Arial"/>
          <w:b w:val="false"/>
          <w:bCs w:val="false"/>
          <w:color w:val="000000"/>
          <w:kern w:val="0"/>
          <w:sz w:val="24"/>
          <w:szCs w:val="24"/>
          <w:shd w:fill="auto" w:val="clear"/>
          <w:lang w:val="pt-BR" w:eastAsia="zh-CN" w:bidi="ar-SA"/>
        </w:rPr>
        <w:t xml:space="preserve">  –</w:t>
      </w:r>
      <w:r>
        <w:rPr>
          <w:rFonts w:eastAsia="HG Mincho Light J" w:cs="Arial" w:ascii="Arial" w:hAnsi="Arial"/>
          <w:color w:val="000000"/>
          <w:kern w:val="0"/>
          <w:sz w:val="24"/>
          <w:szCs w:val="24"/>
          <w:shd w:fill="auto" w:val="clear"/>
          <w:lang w:val="pt-BR" w:eastAsia="zh-CN" w:bidi="ar-SA"/>
        </w:rPr>
        <w:t xml:space="preserve"> BLL Compras, no Portal da Transparência do Município: riogrande.atende.net/cidadao</w:t>
      </w:r>
      <w:r>
        <w:rPr>
          <w:rFonts w:cs="Arial" w:ascii="Arial" w:hAnsi="Arial"/>
          <w:sz w:val="24"/>
          <w:szCs w:val="24"/>
          <w:lang w:val="pt-BR"/>
        </w:rPr>
        <w:t xml:space="preserve"> e no Portal Nacional de Contratações Públicas - PNCP.</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9.2</w:t>
      </w:r>
      <w:r>
        <w:rPr>
          <w:rFonts w:cs="Arial" w:ascii="Arial" w:hAnsi="Arial"/>
          <w:sz w:val="24"/>
          <w:szCs w:val="24"/>
          <w:lang w:val="pt-BR"/>
        </w:rPr>
        <w:t>. No caso de todos os fornecedores restarem desclassificados ou inabilitados (procedimento fracassado), a Administração poderá:</w:t>
      </w:r>
    </w:p>
    <w:p>
      <w:pPr>
        <w:pStyle w:val="Normal"/>
        <w:jc w:val="both"/>
        <w:rPr>
          <w:rFonts w:ascii="Arial" w:hAnsi="Arial"/>
          <w:sz w:val="24"/>
          <w:szCs w:val="24"/>
        </w:rPr>
      </w:pPr>
      <w:r>
        <w:rPr>
          <w:rFonts w:cs="Arial" w:ascii="Arial" w:hAnsi="Arial"/>
          <w:b/>
          <w:bCs/>
          <w:sz w:val="24"/>
          <w:szCs w:val="24"/>
          <w:lang w:val="pt-BR"/>
        </w:rPr>
        <w:t>a</w:t>
      </w:r>
      <w:r>
        <w:rPr>
          <w:rFonts w:cs="Arial" w:ascii="Arial" w:hAnsi="Arial"/>
          <w:sz w:val="24"/>
          <w:szCs w:val="24"/>
          <w:lang w:val="pt-BR"/>
        </w:rPr>
        <w:t>) republicar o presente aviso com uma nova data;</w:t>
      </w:r>
    </w:p>
    <w:p>
      <w:pPr>
        <w:pStyle w:val="Normal"/>
        <w:jc w:val="both"/>
        <w:rPr>
          <w:rFonts w:ascii="Arial" w:hAnsi="Arial"/>
          <w:sz w:val="24"/>
          <w:szCs w:val="24"/>
        </w:rPr>
      </w:pPr>
      <w:r>
        <w:rPr>
          <w:rFonts w:cs="Arial" w:ascii="Arial" w:hAnsi="Arial"/>
          <w:b/>
          <w:bCs/>
          <w:sz w:val="24"/>
          <w:szCs w:val="24"/>
          <w:lang w:val="pt-BR"/>
        </w:rPr>
        <w:t>b</w:t>
      </w:r>
      <w:r>
        <w:rPr>
          <w:rFonts w:cs="Arial" w:ascii="Arial" w:hAnsi="Arial"/>
          <w:sz w:val="24"/>
          <w:szCs w:val="24"/>
          <w:lang w:val="pt-BR"/>
        </w:rPr>
        <w:t>) valer-se, para a contratação, de proposta obtida na pesquisa de preços que serviu de base ao procedimento, se houver, privilegiando-se os menores preços, sempre que possível, e desde que atendidas às condições de habilitação exigidas.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9.3</w:t>
      </w:r>
      <w:r>
        <w:rPr>
          <w:rFonts w:cs="Arial" w:ascii="Arial" w:hAnsi="Arial"/>
          <w:sz w:val="24"/>
          <w:szCs w:val="24"/>
          <w:lang w:val="pt-BR"/>
        </w:rPr>
        <w:t>. No caso do item anterior, a contratação será operacionalizada fora deste procedimento, através de Ato de Autorização de Contratação Direta, fixando prazo para que possa haver adequação das propostas ou da documentação de habilitação, conforme o caso.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9.4</w:t>
      </w:r>
      <w:r>
        <w:rPr>
          <w:rFonts w:cs="Arial" w:ascii="Arial" w:hAnsi="Arial"/>
          <w:sz w:val="24"/>
          <w:szCs w:val="24"/>
          <w:lang w:val="pt-BR"/>
        </w:rPr>
        <w:t>. As providências do item 9.2 poderão ser utilizadas se não houver o comparecimento de quaisquer fornecedores interessados (procedimento deserto).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9.5</w:t>
      </w:r>
      <w:r>
        <w:rPr>
          <w:rFonts w:cs="Arial" w:ascii="Arial" w:hAnsi="Arial"/>
          <w:sz w:val="24"/>
          <w:szCs w:val="24"/>
          <w:lang w:val="pt-BR"/>
        </w:rPr>
        <w:t>. 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9.6</w:t>
      </w:r>
      <w:r>
        <w:rPr>
          <w:rFonts w:cs="Arial" w:ascii="Arial" w:hAnsi="Arial"/>
          <w:sz w:val="24"/>
          <w:szCs w:val="24"/>
          <w:lang w:val="pt-BR"/>
        </w:rPr>
        <w:t>. Caberá ao fornecedor acompanhar as operações, ficando responsável pelo ônus decorrente da perda do negócio diante da inobservância de quaisquer mensagens emitidas pela Administração ou de sua desconexão.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9.7</w:t>
      </w:r>
      <w:r>
        <w:rPr>
          <w:rFonts w:cs="Arial" w:ascii="Arial" w:hAnsi="Arial"/>
          <w:sz w:val="24"/>
          <w:szCs w:val="24"/>
          <w:lang w:val="pt-BR"/>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9.8</w:t>
      </w:r>
      <w:r>
        <w:rPr>
          <w:rFonts w:cs="Arial" w:ascii="Arial" w:hAnsi="Arial"/>
          <w:sz w:val="24"/>
          <w:szCs w:val="24"/>
          <w:lang w:val="pt-BR"/>
        </w:rPr>
        <w:t>. Os horários estabelecidos na divulgação deste procedimento e durante o envio de lances observarão o horário de Brasília-DF, inclusive para contagem de tempo e registro no Sistema e na documentação relativa ao procedimento.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9.9</w:t>
      </w:r>
      <w:r>
        <w:rPr>
          <w:rFonts w:cs="Arial" w:ascii="Arial" w:hAnsi="Arial"/>
          <w:sz w:val="24"/>
          <w:szCs w:val="24"/>
          <w:lang w:val="pt-BR"/>
        </w:rPr>
        <w:t>.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9.10</w:t>
      </w:r>
      <w:r>
        <w:rPr>
          <w:rFonts w:cs="Arial" w:ascii="Arial" w:hAnsi="Arial"/>
          <w:sz w:val="24"/>
          <w:szCs w:val="24"/>
          <w:lang w:val="pt-BR"/>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9.11</w:t>
      </w:r>
      <w:r>
        <w:rPr>
          <w:rFonts w:cs="Arial" w:ascii="Arial" w:hAnsi="Arial"/>
          <w:sz w:val="24"/>
          <w:szCs w:val="24"/>
          <w:lang w:val="pt-BR"/>
        </w:rPr>
        <w:t>. 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9.12</w:t>
      </w:r>
      <w:r>
        <w:rPr>
          <w:rFonts w:cs="Arial" w:ascii="Arial" w:hAnsi="Arial"/>
          <w:sz w:val="24"/>
          <w:szCs w:val="24"/>
          <w:lang w:val="pt-BR"/>
        </w:rPr>
        <w:t>. Em caso de divergência entre disposições deste Aviso de Contratação Direta e de seus anexos ou demais peças que compõem o processo, prevalecerá as deste Aviso.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9.13</w:t>
      </w:r>
      <w:r>
        <w:rPr>
          <w:rFonts w:cs="Arial" w:ascii="Arial" w:hAnsi="Arial"/>
          <w:sz w:val="24"/>
          <w:szCs w:val="24"/>
          <w:lang w:val="pt-BR"/>
        </w:rPr>
        <w:t>. Da sessão pública será divulgada Ata no sistema eletrônico.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cs="Arial"/>
          <w:sz w:val="24"/>
          <w:szCs w:val="24"/>
          <w:lang w:val="pt-BR"/>
        </w:rPr>
      </w:pPr>
      <w:r>
        <w:rPr>
          <w:rFonts w:cs="Arial" w:ascii="Arial" w:hAnsi="Arial"/>
          <w:sz w:val="24"/>
          <w:szCs w:val="24"/>
          <w:lang w:val="pt-BR"/>
        </w:rPr>
      </w:r>
    </w:p>
    <w:p>
      <w:pPr>
        <w:pStyle w:val="Normal"/>
        <w:jc w:val="center"/>
        <w:rPr>
          <w:highlight w:val="none"/>
          <w:shd w:fill="auto" w:val="clear"/>
        </w:rPr>
      </w:pPr>
      <w:r>
        <w:rPr>
          <w:rFonts w:cs="Arial" w:ascii="Arial" w:hAnsi="Arial"/>
          <w:b/>
          <w:bCs/>
          <w:sz w:val="24"/>
          <w:szCs w:val="24"/>
          <w:shd w:fill="auto" w:val="clear"/>
          <w:lang w:val="pt-BR"/>
        </w:rPr>
        <w:t>Rio Grande/RS, 18 de dezembro de 2023.</w:t>
      </w:r>
    </w:p>
    <w:p>
      <w:pPr>
        <w:pStyle w:val="Normal"/>
        <w:jc w:val="both"/>
        <w:rPr>
          <w:rFonts w:ascii="Arial" w:hAnsi="Arial" w:cs="Arial"/>
          <w:sz w:val="24"/>
          <w:szCs w:val="24"/>
          <w:highlight w:val="none"/>
          <w:shd w:fill="FFFF00" w:val="clear"/>
          <w:lang w:val="pt-BR"/>
        </w:rPr>
      </w:pPr>
      <w:r>
        <w:rPr>
          <w:rFonts w:cs="Arial" w:ascii="Arial" w:hAnsi="Arial"/>
          <w:sz w:val="24"/>
          <w:szCs w:val="24"/>
          <w:shd w:fill="FFFF00" w:val="clear"/>
          <w:lang w:val="pt-BR"/>
        </w:rPr>
      </w:r>
    </w:p>
    <w:p>
      <w:pPr>
        <w:pStyle w:val="Normal"/>
        <w:jc w:val="center"/>
        <w:rPr>
          <w:rFonts w:cs="Arial"/>
          <w:b/>
          <w:b/>
          <w:bCs/>
          <w:lang w:val="pt-BR"/>
        </w:rPr>
      </w:pPr>
      <w:r>
        <w:rPr>
          <w:rFonts w:cs="Arial" w:ascii="Arial" w:hAnsi="Arial"/>
          <w:b/>
          <w:bCs/>
          <w:sz w:val="24"/>
          <w:szCs w:val="24"/>
          <w:lang w:val="pt-BR"/>
        </w:rPr>
        <w:t>Deivid Moraes Mendes</w:t>
      </w:r>
    </w:p>
    <w:p>
      <w:pPr>
        <w:pStyle w:val="Normal"/>
        <w:jc w:val="center"/>
        <w:rPr>
          <w:rFonts w:cs="Arial"/>
          <w:b/>
          <w:b/>
          <w:bCs/>
          <w:lang w:val="pt-BR"/>
        </w:rPr>
      </w:pPr>
      <w:r>
        <w:rPr>
          <w:rFonts w:cs="Arial" w:ascii="Arial" w:hAnsi="Arial"/>
          <w:b/>
          <w:bCs/>
          <w:sz w:val="24"/>
          <w:szCs w:val="24"/>
          <w:lang w:val="pt-BR"/>
        </w:rPr>
        <w:t>Secretário de Município Gestão Administrativa e Licitações</w:t>
      </w:r>
    </w:p>
    <w:p>
      <w:pPr>
        <w:pStyle w:val="Normal"/>
        <w:jc w:val="both"/>
        <w:rPr>
          <w:rFonts w:ascii="Arial" w:hAnsi="Arial"/>
          <w:sz w:val="24"/>
          <w:szCs w:val="24"/>
        </w:rPr>
      </w:pPr>
      <w:r>
        <w:rPr/>
      </w:r>
    </w:p>
    <w:sectPr>
      <w:headerReference w:type="default" r:id="rId2"/>
      <w:footerReference w:type="default" r:id="rId3"/>
      <w:type w:val="nextPage"/>
      <w:pgSz w:w="11906" w:h="16838"/>
      <w:pgMar w:left="1134" w:right="1134" w:gutter="0" w:header="425" w:top="1675" w:footer="936" w:bottom="1162"/>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StarSymbol">
    <w:altName w:val="Arial Unicode MS"/>
    <w:charset w:val="00"/>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Arial">
    <w:charset w:val="00"/>
    <w:family w:val="roman"/>
    <w:pitch w:val="variable"/>
  </w:font>
  <w:font w:name="Liberation Sans">
    <w:altName w:val="Arial"/>
    <w:charset w:val="00"/>
    <w:family w:val="roman"/>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Arial Unicode MS">
    <w:charset w:val="00"/>
    <w:family w:val="roman"/>
    <w:pitch w:val="variable"/>
  </w:font>
  <w:font w:name="Calibri Ligh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both"/>
      <w:rPr>
        <w:rFonts w:ascii="Calibri Light" w:hAnsi="Calibri Light" w:cs="Calibri Light"/>
        <w:b/>
        <w:b/>
        <w:bCs/>
        <w:smallCaps/>
        <w:szCs w:val="20"/>
        <w:u w:val="single"/>
      </w:rPr>
    </w:pPr>
    <w:r>
      <w:rPr>
        <w:rFonts w:cs="Calibri Light" w:ascii="Calibri Light" w:hAnsi="Calibri Light"/>
        <w:b/>
        <w:bCs/>
        <w:smallCaps/>
        <w:szCs w:val="20"/>
        <w:u w:val="single"/>
      </w:rPr>
    </w:r>
  </w:p>
  <w:p>
    <w:pPr>
      <w:pStyle w:val="Rodap"/>
      <w:jc w:val="right"/>
      <w:rPr>
        <w:rFonts w:ascii="Calibri Light" w:hAnsi="Calibri Light" w:cs="Calibri Light"/>
        <w:szCs w:val="20"/>
      </w:rPr>
    </w:pPr>
    <w:r>
      <w:rPr>
        <w:rFonts w:cs="Calibri Light" w:ascii="Calibri Light" w:hAnsi="Calibri Light"/>
        <w:szCs w:val="20"/>
        <w:lang w:val="pt-BR"/>
      </w:rPr>
      <w:t xml:space="preserve">Página </w:t>
    </w:r>
    <w:r>
      <w:rPr>
        <w:rFonts w:cs="Calibri Light" w:ascii="Calibri Light" w:hAnsi="Calibri Light"/>
        <w:szCs w:val="20"/>
      </w:rPr>
      <w:fldChar w:fldCharType="begin"/>
    </w:r>
    <w:r>
      <w:rPr>
        <w:szCs w:val="20"/>
        <w:rFonts w:cs="Calibri Light" w:ascii="Calibri Light" w:hAnsi="Calibri Light"/>
      </w:rPr>
      <w:instrText xml:space="preserve"> PAGE </w:instrText>
    </w:r>
    <w:r>
      <w:rPr>
        <w:szCs w:val="20"/>
        <w:rFonts w:cs="Calibri Light" w:ascii="Calibri Light" w:hAnsi="Calibri Light"/>
      </w:rPr>
      <w:fldChar w:fldCharType="separate"/>
    </w:r>
    <w:r>
      <w:rPr>
        <w:szCs w:val="20"/>
        <w:rFonts w:cs="Calibri Light" w:ascii="Calibri Light" w:hAnsi="Calibri Light"/>
      </w:rPr>
      <w:t>13</w:t>
    </w:r>
    <w:r>
      <w:rPr>
        <w:szCs w:val="20"/>
        <w:rFonts w:cs="Calibri Light" w:ascii="Calibri Light" w:hAnsi="Calibri Light"/>
      </w:rPr>
      <w:fldChar w:fldCharType="end"/>
    </w:r>
    <w:r>
      <w:rPr>
        <w:rFonts w:cs="Calibri Light" w:ascii="Calibri Light" w:hAnsi="Calibri Light"/>
        <w:szCs w:val="20"/>
        <w:lang w:val="pt-BR"/>
      </w:rPr>
      <w:t xml:space="preserve"> de </w:t>
    </w:r>
    <w:r>
      <w:rPr>
        <w:rFonts w:cs="Calibri Light" w:ascii="Calibri Light" w:hAnsi="Calibri Light"/>
        <w:szCs w:val="20"/>
      </w:rPr>
      <w:fldChar w:fldCharType="begin"/>
    </w:r>
    <w:r>
      <w:rPr>
        <w:szCs w:val="20"/>
        <w:rFonts w:cs="Calibri Light" w:ascii="Calibri Light" w:hAnsi="Calibri Light"/>
      </w:rPr>
      <w:instrText xml:space="preserve"> NUMPAGES </w:instrText>
    </w:r>
    <w:r>
      <w:rPr>
        <w:szCs w:val="20"/>
        <w:rFonts w:cs="Calibri Light" w:ascii="Calibri Light" w:hAnsi="Calibri Light"/>
      </w:rPr>
      <w:fldChar w:fldCharType="separate"/>
    </w:r>
    <w:r>
      <w:rPr>
        <w:szCs w:val="20"/>
        <w:rFonts w:cs="Calibri Light" w:ascii="Calibri Light" w:hAnsi="Calibri Light"/>
      </w:rPr>
      <w:t>13</w:t>
    </w:r>
    <w:r>
      <w:rPr>
        <w:szCs w:val="20"/>
        <w:rFonts w:cs="Calibri Light" w:ascii="Calibri Light" w:hAnsi="Calibri Light"/>
      </w:rPr>
      <w:fldChar w:fldCharType="end"/>
    </w:r>
  </w:p>
  <w:p>
    <w:pPr>
      <w:pStyle w:val="Rodap"/>
      <w:ind w:right="-1418" w:hanging="0"/>
      <w:jc w:val="center"/>
      <w:rPr>
        <w:rFonts w:cs="Arial Unicode MS"/>
        <w:b/>
        <w:b/>
        <w:i/>
        <w:i/>
      </w:rPr>
    </w:pPr>
    <w:r>
      <w:rPr>
        <w:rFonts w:cs="Arial Unicode MS"/>
        <w:b/>
        <w:i/>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jc w:val="center"/>
      <w:rPr>
        <w:rFonts w:ascii="Arial Unicode MS" w:hAnsi="Arial Unicode MS" w:eastAsia="Arial Unicode MS" w:cs="Arial Unicode MS"/>
        <w:b/>
        <w:b/>
        <w:sz w:val="24"/>
      </w:rPr>
    </w:pPr>
    <w:r>
      <w:drawing>
        <wp:anchor behindDoc="1" distT="0" distB="0" distL="0" distR="0" simplePos="0" locked="0" layoutInCell="0" allowOverlap="1" relativeHeight="14">
          <wp:simplePos x="0" y="0"/>
          <wp:positionH relativeFrom="column">
            <wp:posOffset>-174625</wp:posOffset>
          </wp:positionH>
          <wp:positionV relativeFrom="paragraph">
            <wp:posOffset>-129540</wp:posOffset>
          </wp:positionV>
          <wp:extent cx="802640" cy="865505"/>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75" t="-63" r="-75" b="-63"/>
                  <a:stretch>
                    <a:fillRect/>
                  </a:stretch>
                </pic:blipFill>
                <pic:spPr bwMode="auto">
                  <a:xfrm>
                    <a:off x="0" y="0"/>
                    <a:ext cx="802640" cy="865505"/>
                  </a:xfrm>
                  <a:prstGeom prst="rect">
                    <a:avLst/>
                  </a:prstGeom>
                </pic:spPr>
              </pic:pic>
            </a:graphicData>
          </a:graphic>
        </wp:anchor>
      </w:drawing>
    </w:r>
    <w:r>
      <w:rPr>
        <w:rFonts w:eastAsia="Arial Unicode MS" w:cs="Arial Unicode MS" w:ascii="Arial Unicode MS" w:hAnsi="Arial Unicode MS"/>
        <w:b/>
        <w:sz w:val="24"/>
      </w:rPr>
      <w:t>Estado do Rio Grande do Sul</w:t>
    </w:r>
  </w:p>
  <w:p>
    <w:pPr>
      <w:pStyle w:val="Normal"/>
      <w:spacing w:lineRule="auto" w:line="276"/>
      <w:ind w:hanging="0"/>
      <w:jc w:val="center"/>
      <w:rPr>
        <w:rFonts w:ascii="Arial Unicode MS" w:hAnsi="Arial Unicode MS" w:eastAsia="Arial Unicode MS" w:cs="Arial Unicode MS"/>
        <w:b/>
        <w:b/>
        <w:sz w:val="24"/>
      </w:rPr>
    </w:pPr>
    <w:r>
      <w:rPr>
        <w:rFonts w:eastAsia="Arial Unicode MS" w:cs="Arial Unicode MS" w:ascii="Arial Unicode MS" w:hAnsi="Arial Unicode MS"/>
        <w:b/>
        <w:sz w:val="24"/>
      </w:rPr>
      <w:t>Prefeitura Municipal do Rio Grande</w:t>
    </w:r>
  </w:p>
  <w:p>
    <w:pPr>
      <w:pStyle w:val="Normal"/>
      <w:spacing w:lineRule="auto" w:line="276"/>
      <w:ind w:hanging="0"/>
      <w:jc w:val="center"/>
      <w:rPr>
        <w:rFonts w:ascii="Arial Unicode MS" w:hAnsi="Arial Unicode MS" w:eastAsia="Arial Unicode MS" w:cs="Arial Unicode MS"/>
        <w:sz w:val="24"/>
      </w:rPr>
    </w:pPr>
    <w:r>
      <w:rPr>
        <w:rFonts w:eastAsia="Arial Unicode MS" w:cs="Arial Unicode MS" w:ascii="Arial Unicode MS" w:hAnsi="Arial Unicode MS"/>
        <w:b/>
        <w:bCs/>
        <w:sz w:val="24"/>
      </w:rPr>
      <w:t>Superintendência de Compras, Licitações e Contratos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isplayBackgroundShape/>
  <w:embedSystemFonts/>
  <w:defaultTabStop w:val="708"/>
  <w:autoHyphenation w:val="true"/>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f0974"/>
    <w:pPr>
      <w:widowControl/>
      <w:suppressAutoHyphens w:val="true"/>
      <w:bidi w:val="0"/>
      <w:spacing w:before="0" w:after="0"/>
      <w:jc w:val="left"/>
    </w:pPr>
    <w:rPr>
      <w:rFonts w:ascii="Times New Roman" w:hAnsi="Times New Roman" w:eastAsia="HG Mincho Light J" w:cs="Times New Roman"/>
      <w:color w:val="000000"/>
      <w:kern w:val="0"/>
      <w:sz w:val="20"/>
      <w:szCs w:val="24"/>
      <w:lang w:val="pt-PT" w:eastAsia="zh-CN" w:bidi="ar-SA"/>
    </w:rPr>
  </w:style>
  <w:style w:type="paragraph" w:styleId="Ttulo1">
    <w:name w:val="Heading 1"/>
    <w:basedOn w:val="Normal"/>
    <w:next w:val="Normal"/>
    <w:qFormat/>
    <w:pPr>
      <w:keepNext w:val="true"/>
      <w:numPr>
        <w:ilvl w:val="0"/>
        <w:numId w:val="1"/>
      </w:numPr>
      <w:outlineLvl w:val="0"/>
    </w:pPr>
    <w:rPr>
      <w:sz w:val="24"/>
    </w:rPr>
  </w:style>
  <w:style w:type="paragraph" w:styleId="Ttulo2">
    <w:name w:val="Heading 2"/>
    <w:basedOn w:val="WWTtulo"/>
    <w:next w:val="Corpodotexto"/>
    <w:qFormat/>
    <w:pPr>
      <w:outlineLvl w:val="1"/>
    </w:pPr>
    <w:rPr>
      <w:b/>
      <w:i/>
    </w:rPr>
  </w:style>
  <w:style w:type="paragraph" w:styleId="Ttulo4">
    <w:name w:val="Heading 4"/>
    <w:basedOn w:val="Normal"/>
    <w:next w:val="Normal"/>
    <w:qFormat/>
    <w:pPr>
      <w:keepNext w:val="true"/>
      <w:numPr>
        <w:ilvl w:val="3"/>
        <w:numId w:val="1"/>
      </w:numPr>
      <w:pBdr>
        <w:top w:val="single" w:sz="4" w:space="1" w:color="000000"/>
        <w:left w:val="single" w:sz="4" w:space="1" w:color="000000"/>
        <w:bottom w:val="single" w:sz="4" w:space="1" w:color="000000"/>
        <w:right w:val="single" w:sz="4" w:space="1" w:color="000000"/>
      </w:pBdr>
      <w:spacing w:lineRule="auto" w:line="480" w:before="0" w:after="120"/>
      <w:ind w:left="3841" w:hanging="0"/>
      <w:outlineLvl w:val="3"/>
    </w:pPr>
    <w:rPr>
      <w:i/>
      <w:sz w:val="24"/>
    </w:rPr>
  </w:style>
  <w:style w:type="paragraph" w:styleId="Ttulo6">
    <w:name w:val="Heading 6"/>
    <w:basedOn w:val="Normal"/>
    <w:next w:val="Normal"/>
    <w:qFormat/>
    <w:pPr>
      <w:keepNext w:val="true"/>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Ttulo7">
    <w:name w:val="Heading 7"/>
    <w:basedOn w:val="Normal"/>
    <w:next w:val="Normal"/>
    <w:qFormat/>
    <w:pPr>
      <w:keepNext w:val="true"/>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3" w:customStyle="1">
    <w:name w:val="Fonte parág. padrão3"/>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Fontepargpadro2" w:customStyle="1">
    <w:name w:val="Fonte parág. padrão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8Num7z0" w:customStyle="1">
    <w:name w:val="WW8Num7z0"/>
    <w:qFormat/>
    <w:rPr>
      <w:rFonts w:ascii="Wingdings" w:hAnsi="Wingdings" w:cs="Wingdings"/>
    </w:rPr>
  </w:style>
  <w:style w:type="character" w:styleId="WW8Num8z0" w:customStyle="1">
    <w:name w:val="WW8Num8z0"/>
    <w:qFormat/>
    <w:rPr>
      <w:rFonts w:ascii="Wingdings" w:hAnsi="Wingdings" w:cs="Wingdings"/>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Caracteresdenotaderodap">
    <w:name w:val="Caracteres de nota de rodapé"/>
    <w:uiPriority w:val="99"/>
    <w:semiHidden/>
    <w:unhideWhenUsed/>
    <w:qFormat/>
    <w:rsid w:val="003e35fc"/>
    <w:rPr>
      <w:vertAlign w:val="superscript"/>
    </w:rPr>
  </w:style>
  <w:style w:type="character" w:styleId="Smbolosdenumerao" w:customStyle="1">
    <w:name w:val="Símbolos de numeração"/>
    <w:qFormat/>
    <w:rPr/>
  </w:style>
  <w:style w:type="character" w:styleId="Marcas" w:customStyle="1">
    <w:name w:val="Marcas"/>
    <w:qFormat/>
    <w:rPr>
      <w:rFonts w:ascii="StarSymbol" w:hAnsi="StarSymbol" w:cs="StarSymbol"/>
      <w:sz w:val="18"/>
    </w:rPr>
  </w:style>
  <w:style w:type="character" w:styleId="LinkdaInternet">
    <w:name w:val="Hyperlink"/>
    <w:rPr>
      <w:color w:val="000080"/>
      <w:u w:val="single"/>
    </w:rPr>
  </w:style>
  <w:style w:type="character" w:styleId="Caracteresdenotadefim" w:customStyle="1">
    <w:name w:val="Caracteres de nota de fim"/>
    <w:qFormat/>
    <w:rPr/>
  </w:style>
  <w:style w:type="character" w:styleId="Nfase">
    <w:name w:val="Emphasis"/>
    <w:qFormat/>
    <w:rPr>
      <w:i/>
      <w:iCs/>
    </w:rPr>
  </w:style>
  <w:style w:type="character" w:styleId="Strong">
    <w:name w:val="Strong"/>
    <w:qFormat/>
    <w:rPr>
      <w:b/>
      <w:bCs/>
    </w:rPr>
  </w:style>
  <w:style w:type="character" w:styleId="WWFontepargpadro" w:customStyle="1">
    <w:name w:val="WW-Fonte parág. padrão"/>
    <w:qFormat/>
    <w:rPr/>
  </w:style>
  <w:style w:type="character" w:styleId="Fontepargpadro1" w:customStyle="1">
    <w:name w:val="Fonte parág. padrão1"/>
    <w:qFormat/>
    <w:rPr/>
  </w:style>
  <w:style w:type="character" w:styleId="Style101" w:customStyle="1">
    <w:name w:val="style101"/>
    <w:basedOn w:val="Fontepargpadro1"/>
    <w:qFormat/>
    <w:rPr/>
  </w:style>
  <w:style w:type="character" w:styleId="Titulo1" w:customStyle="1">
    <w:name w:val="titulo1"/>
    <w:qFormat/>
    <w:rPr>
      <w:rFonts w:ascii="Verdana" w:hAnsi="Verdana" w:cs="Verdana"/>
      <w:b/>
      <w:bCs/>
      <w:sz w:val="20"/>
      <w:szCs w:val="20"/>
    </w:rPr>
  </w:style>
  <w:style w:type="character" w:styleId="Marcadores" w:customStyle="1">
    <w:name w:val="Marcadores"/>
    <w:qFormat/>
    <w:rPr>
      <w:rFonts w:ascii="StarSymbol" w:hAnsi="StarSymbol" w:eastAsia="StarSymbol" w:cs="StarSymbol"/>
      <w:sz w:val="18"/>
      <w:szCs w:val="18"/>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Object" w:customStyle="1">
    <w:name w:val="object"/>
    <w:qFormat/>
    <w:rPr/>
  </w:style>
  <w:style w:type="character" w:styleId="RodapChar" w:customStyle="1">
    <w:name w:val="Rodapé Char"/>
    <w:uiPriority w:val="99"/>
    <w:qFormat/>
    <w:rPr>
      <w:rFonts w:eastAsia="HG Mincho Light J"/>
      <w:color w:val="000000"/>
      <w:szCs w:val="24"/>
      <w:lang w:val="pt-PT"/>
    </w:rPr>
  </w:style>
  <w:style w:type="character" w:styleId="PargrafoNormalChar" w:customStyle="1">
    <w:name w:val="Parágrafo Normal Char"/>
    <w:qFormat/>
    <w:rPr>
      <w:rFonts w:ascii="Ecofont Vera Sans" w:hAnsi="Ecofont Vera Sans" w:cs="Arial"/>
      <w:sz w:val="22"/>
      <w:szCs w:val="24"/>
    </w:rPr>
  </w:style>
  <w:style w:type="character" w:styleId="TextodenotaderodapChar" w:customStyle="1">
    <w:name w:val="Texto de nota de rodapé Char"/>
    <w:qFormat/>
    <w:rPr>
      <w:rFonts w:ascii="Arial" w:hAnsi="Arial" w:cs="Arial"/>
    </w:rPr>
  </w:style>
  <w:style w:type="character" w:styleId="TextodenotaderodapChar1" w:customStyle="1">
    <w:name w:val="Texto de nota de rodapé Char1"/>
    <w:qFormat/>
    <w:rPr>
      <w:rFonts w:eastAsia="HG Mincho Light J"/>
      <w:color w:val="000000"/>
      <w:lang w:val="pt-PT"/>
    </w:rPr>
  </w:style>
  <w:style w:type="character" w:styleId="Refdenotaderodap1" w:customStyle="1">
    <w:name w:val="Ref. de nota de rodapé1"/>
    <w:qFormat/>
    <w:rPr>
      <w:vertAlign w:val="superscript"/>
    </w:rPr>
  </w:style>
  <w:style w:type="character" w:styleId="Recuodecorpodetexto2Char" w:customStyle="1">
    <w:name w:val="Recuo de corpo de texto 2 Char"/>
    <w:qFormat/>
    <w:rPr>
      <w:rFonts w:eastAsia="HG Mincho Light J"/>
      <w:color w:val="000000"/>
      <w:szCs w:val="24"/>
      <w:lang w:val="pt-PT"/>
    </w:rPr>
  </w:style>
  <w:style w:type="character" w:styleId="Ncoradanotaderodap">
    <w:name w:val="Footnote Reference"/>
    <w:rPr>
      <w:vertAlign w:val="superscript"/>
    </w:rPr>
  </w:style>
  <w:style w:type="character" w:styleId="PlaceholderText">
    <w:name w:val="Placeholder Text"/>
    <w:basedOn w:val="DefaultParagraphFont"/>
    <w:uiPriority w:val="99"/>
    <w:semiHidden/>
    <w:qFormat/>
    <w:rsid w:val="00ba37d1"/>
    <w:rPr>
      <w:color w:val="808080"/>
    </w:rPr>
  </w:style>
  <w:style w:type="character" w:styleId="UnresolvedMention">
    <w:name w:val="Unresolved Mention"/>
    <w:basedOn w:val="DefaultParagraphFont"/>
    <w:uiPriority w:val="99"/>
    <w:semiHidden/>
    <w:unhideWhenUsed/>
    <w:qFormat/>
    <w:rsid w:val="00ba37d1"/>
    <w:rPr>
      <w:color w:val="605E5C"/>
      <w:shd w:fill="E1DFDD" w:val="clear"/>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before="0" w:after="120"/>
    </w:pPr>
    <w:rPr/>
  </w:style>
  <w:style w:type="paragraph" w:styleId="Lista">
    <w:name w:val="List"/>
    <w:basedOn w:val="Corpodotexto"/>
    <w:pPr/>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3" w:customStyle="1">
    <w:name w:val="Título3"/>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rPr>
  </w:style>
  <w:style w:type="paragraph" w:styleId="WWTtulo" w:customStyle="1">
    <w:name w:val="WW-Título"/>
    <w:basedOn w:val="Normal"/>
    <w:next w:val="Corpodotexto"/>
    <w:qFormat/>
    <w:pPr>
      <w:keepNext w:val="true"/>
      <w:spacing w:before="240" w:after="120"/>
    </w:pPr>
    <w:rPr>
      <w:rFonts w:ascii="Albany" w:hAnsi="Albany" w:cs="Albany"/>
      <w:sz w:val="28"/>
    </w:rPr>
  </w:style>
  <w:style w:type="paragraph" w:styleId="Ttulo21" w:customStyle="1">
    <w:name w:val="Título2"/>
    <w:basedOn w:val="Normal"/>
    <w:next w:val="Corpodotexto"/>
    <w:qFormat/>
    <w:pPr>
      <w:keepNext w:val="true"/>
      <w:spacing w:before="240" w:after="120"/>
    </w:pPr>
    <w:rPr>
      <w:rFonts w:ascii="Helvetica" w:hAnsi="Helvetica" w:cs="Tahoma"/>
      <w:sz w:val="28"/>
      <w:szCs w:val="28"/>
    </w:rPr>
  </w:style>
  <w:style w:type="paragraph" w:styleId="Ttulo11" w:customStyle="1">
    <w:name w:val="Título1"/>
    <w:basedOn w:val="Normal"/>
    <w:next w:val="Corpodotexto"/>
    <w:qFormat/>
    <w:pPr>
      <w:keepNext w:val="true"/>
      <w:spacing w:before="240" w:after="120"/>
    </w:pPr>
    <w:rPr>
      <w:rFonts w:ascii="Liberation Sans" w:hAnsi="Liberation Sans" w:eastAsia="WenQuanYi Zen Hei" w:cs="Lohit Devanagari"/>
      <w:sz w:val="28"/>
      <w:szCs w:val="28"/>
    </w:rPr>
  </w:style>
  <w:style w:type="paragraph" w:styleId="Legenda1" w:customStyle="1">
    <w:name w:val="Legenda1"/>
    <w:basedOn w:val="Normal"/>
    <w:qFormat/>
    <w:pPr>
      <w:suppressLineNumbers/>
      <w:spacing w:before="120" w:after="120"/>
    </w:pPr>
    <w:rPr>
      <w:i/>
      <w:iCs/>
      <w:szCs w:val="20"/>
    </w:rPr>
  </w:style>
  <w:style w:type="paragraph" w:styleId="Captulo" w:customStyle="1">
    <w:name w:val="Capítulo"/>
    <w:basedOn w:val="Normal"/>
    <w:next w:val="Corpodotexto"/>
    <w:qFormat/>
    <w:pPr>
      <w:keepNext w:val="true"/>
      <w:spacing w:before="240" w:after="120"/>
    </w:pPr>
    <w:rPr>
      <w:rFonts w:ascii="DejaVu Sans" w:hAnsi="DejaVu Sans" w:eastAsia="DejaVu Sans" w:cs="DejaVu Sans"/>
      <w:sz w:val="28"/>
      <w:szCs w:val="28"/>
    </w:rPr>
  </w:style>
  <w:style w:type="paragraph" w:styleId="Suspensodorecuo" w:customStyle="1">
    <w:name w:val="Suspensão do recuo"/>
    <w:basedOn w:val="Normal"/>
    <w:qFormat/>
    <w:pPr>
      <w:spacing w:lineRule="auto" w:line="360" w:before="240" w:after="0"/>
      <w:ind w:firstLine="1134"/>
    </w:pPr>
    <w:rPr/>
  </w:style>
  <w:style w:type="paragraph" w:styleId="Corpodotextorecuado">
    <w:name w:val="Body Text Indent"/>
    <w:basedOn w:val="Normal"/>
    <w:pPr>
      <w:ind w:firstLine="1800"/>
      <w:jc w:val="center"/>
    </w:pPr>
    <w:rPr>
      <w:b/>
      <w:bCs/>
      <w:sz w:val="32"/>
    </w:rPr>
  </w:style>
  <w:style w:type="paragraph" w:styleId="CabealhoeRodap">
    <w:name w:val="Cabeçalho e Rodapé"/>
    <w:basedOn w:val="Normal"/>
    <w:qFormat/>
    <w:pPr/>
    <w:rPr/>
  </w:style>
  <w:style w:type="paragraph" w:styleId="Cabealho">
    <w:name w:val="Header"/>
    <w:basedOn w:val="Normal"/>
    <w:pPr>
      <w:tabs>
        <w:tab w:val="clear" w:pos="708"/>
        <w:tab w:val="center" w:pos="4419" w:leader="none"/>
        <w:tab w:val="right" w:pos="8838" w:leader="none"/>
      </w:tabs>
    </w:pPr>
    <w:rPr/>
  </w:style>
  <w:style w:type="paragraph" w:styleId="Rodap">
    <w:name w:val="Footer"/>
    <w:basedOn w:val="Normal"/>
    <w:uiPriority w:val="99"/>
    <w:pPr>
      <w:tabs>
        <w:tab w:val="clear" w:pos="708"/>
        <w:tab w:val="center" w:pos="4419" w:leader="none"/>
        <w:tab w:val="right" w:pos="8838" w:leader="none"/>
      </w:tabs>
    </w:pPr>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i/>
      <w:iCs/>
    </w:rPr>
  </w:style>
  <w:style w:type="paragraph" w:styleId="Subttulo">
    <w:name w:val="Subtitle"/>
    <w:basedOn w:val="Ttulo21"/>
    <w:next w:val="Corpodotexto"/>
    <w:qFormat/>
    <w:pPr>
      <w:jc w:val="center"/>
    </w:pPr>
    <w:rPr>
      <w:i/>
      <w:iCs/>
    </w:rPr>
  </w:style>
  <w:style w:type="paragraph" w:styleId="Citaes" w:customStyle="1">
    <w:name w:val="Citações"/>
    <w:basedOn w:val="Normal"/>
    <w:qFormat/>
    <w:pPr>
      <w:spacing w:before="0" w:after="283"/>
      <w:ind w:left="567" w:right="567" w:hanging="0"/>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Western" w:customStyle="1">
    <w:name w:val="western"/>
    <w:basedOn w:val="Normal"/>
    <w:qFormat/>
    <w:pPr>
      <w:spacing w:before="280" w:after="119"/>
    </w:pPr>
    <w:rPr/>
  </w:style>
  <w:style w:type="paragraph" w:styleId="Corpodetexto31" w:customStyle="1">
    <w:name w:val="Corpo de texto 31"/>
    <w:basedOn w:val="Normal"/>
    <w:qFormat/>
    <w:pPr>
      <w:spacing w:before="0" w:after="120"/>
    </w:pPr>
    <w:rPr>
      <w:sz w:val="16"/>
      <w:szCs w:val="16"/>
    </w:rPr>
  </w:style>
  <w:style w:type="paragraph" w:styleId="Contedodoquadro" w:customStyle="1">
    <w:name w:val="Conteúdo do quadro"/>
    <w:basedOn w:val="Corpodotexto"/>
    <w:qFormat/>
    <w:pPr/>
    <w:rPr/>
  </w:style>
  <w:style w:type="paragraph" w:styleId="Textocomum" w:customStyle="1">
    <w:name w:val="Texto comum"/>
    <w:basedOn w:val="Normal"/>
    <w:qFormat/>
    <w:pPr>
      <w:suppressAutoHyphens w:val="false"/>
      <w:spacing w:lineRule="auto" w:line="360"/>
      <w:ind w:left="567" w:firstLine="720"/>
      <w:jc w:val="both"/>
    </w:pPr>
    <w:rPr>
      <w:sz w:val="24"/>
    </w:rPr>
  </w:style>
  <w:style w:type="paragraph" w:styleId="Corpodetexto32" w:customStyle="1">
    <w:name w:val="Corpo de texto 32"/>
    <w:basedOn w:val="Normal"/>
    <w:qFormat/>
    <w:pPr>
      <w:spacing w:lineRule="auto" w:line="360"/>
    </w:pPr>
    <w:rPr>
      <w:b/>
      <w:bCs/>
    </w:rPr>
  </w:style>
  <w:style w:type="paragraph" w:styleId="Corpodetexto22" w:customStyle="1">
    <w:name w:val="Corpo de texto 22"/>
    <w:basedOn w:val="Normal"/>
    <w:qFormat/>
    <w:pPr>
      <w:widowControl w:val="false"/>
      <w:suppressAutoHyphens w:val="false"/>
      <w:spacing w:lineRule="auto" w:line="360"/>
      <w:jc w:val="both"/>
    </w:pPr>
    <w:rPr>
      <w:spacing w:val="20"/>
      <w:sz w:val="24"/>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3" w:customStyle="1">
    <w:name w:val="Edital - Nível 3"/>
    <w:basedOn w:val="EditalNvel2"/>
    <w:qFormat/>
    <w:pPr/>
    <w:rPr/>
  </w:style>
  <w:style w:type="paragraph" w:styleId="StyleHeading411pt" w:customStyle="1">
    <w:name w:val="Style Heading 4 + 11 pt"/>
    <w:basedOn w:val="Ttulo4"/>
    <w:next w:val="Normal"/>
    <w:qFormat/>
    <w:pPr>
      <w:numPr>
        <w:ilvl w:val="0"/>
        <w:numId w:val="0"/>
      </w:numPr>
      <w:tabs>
        <w:tab w:val="clear" w:pos="708"/>
        <w:tab w:val="left" w:pos="360" w:leader="none"/>
      </w:tabs>
      <w:suppressAutoHyphens w:val="false"/>
      <w:ind w:left="3841" w:hanging="0"/>
      <w:jc w:val="both"/>
    </w:pPr>
    <w:rPr>
      <w:rFonts w:ascii="Arial" w:hAnsi="Arial" w:cs="Arial"/>
      <w:bCs/>
      <w:iCs/>
      <w:sz w:val="22"/>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left="4536" w:right="4" w:firstLine="1134"/>
      <w:jc w:val="both"/>
    </w:pPr>
    <w:rPr>
      <w:rFonts w:ascii="Albertus Medium" w:hAnsi="Albertus Medium" w:cs="Albertus Medium"/>
      <w:b/>
    </w:rPr>
  </w:style>
  <w:style w:type="paragraph" w:styleId="Recuodaprimeiralinha" w:customStyle="1">
    <w:name w:val="Recuo da primeira linha"/>
    <w:basedOn w:val="Corpodotexto"/>
    <w:qFormat/>
    <w:pPr>
      <w:ind w:firstLine="283"/>
    </w:pPr>
    <w:rPr/>
  </w:style>
  <w:style w:type="paragraph" w:styleId="BalloonText">
    <w:name w:val="Balloon Text"/>
    <w:basedOn w:val="Normal"/>
    <w:qFormat/>
    <w:pPr/>
    <w:rPr>
      <w:rFonts w:ascii="Segoe UI" w:hAnsi="Segoe UI" w:cs="Segoe UI"/>
      <w:sz w:val="18"/>
      <w:szCs w:val="18"/>
    </w:rPr>
  </w:style>
  <w:style w:type="paragraph" w:styleId="EmentaTtulo" w:customStyle="1">
    <w:name w:val="Ementa - Título"/>
    <w:basedOn w:val="Normal"/>
    <w:qFormat/>
    <w:pPr>
      <w:suppressAutoHyphens w:val="false"/>
      <w:ind w:left="2835" w:hanging="0"/>
      <w:jc w:val="both"/>
    </w:pPr>
    <w:rPr>
      <w:rFonts w:ascii="Arial" w:hAnsi="Arial" w:cs="Arial"/>
      <w:b/>
      <w:bCs/>
      <w:caps/>
      <w:kern w:val="2"/>
      <w:sz w:val="22"/>
      <w:szCs w:val="22"/>
    </w:rPr>
  </w:style>
  <w:style w:type="paragraph" w:styleId="EmentaCorpo" w:customStyle="1">
    <w:name w:val="Ementa - Corpo"/>
    <w:basedOn w:val="Normal"/>
    <w:qFormat/>
    <w:pPr>
      <w:suppressAutoHyphens w:val="false"/>
      <w:ind w:left="2835" w:hanging="0"/>
      <w:jc w:val="both"/>
    </w:pPr>
    <w:rPr>
      <w:rFonts w:ascii="Arial" w:hAnsi="Arial" w:cs="Arial"/>
      <w:b/>
      <w:bCs/>
      <w:kern w:val="2"/>
      <w:sz w:val="22"/>
      <w:szCs w:val="2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auto"/>
      <w:sz w:val="22"/>
      <w:lang w:val="x-none"/>
    </w:rPr>
  </w:style>
  <w:style w:type="paragraph" w:styleId="Notaderodap">
    <w:name w:val="Footnote Text"/>
    <w:basedOn w:val="Normal"/>
    <w:pPr>
      <w:suppressAutoHyphens w:val="false"/>
      <w:jc w:val="both"/>
    </w:pPr>
    <w:rPr>
      <w:rFonts w:ascii="Arial" w:hAnsi="Arial" w:eastAsia="Times New Roman" w:cs="Arial"/>
      <w:color w:val="auto"/>
      <w:szCs w:val="20"/>
      <w:lang w:val="x-none"/>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extbody" w:customStyle="1">
    <w:name w:val="Text body"/>
    <w:basedOn w:val="Standard"/>
    <w:qFormat/>
    <w:pPr>
      <w:spacing w:before="0" w:after="120"/>
    </w:pPr>
    <w:rPr/>
  </w:style>
  <w:style w:type="paragraph" w:styleId="NormalWeb">
    <w:name w:val="Normal (Web)"/>
    <w:basedOn w:val="Normal"/>
    <w:qFormat/>
    <w:pPr>
      <w:suppressAutoHyphens w:val="false"/>
      <w:spacing w:before="100" w:after="100"/>
    </w:pPr>
    <w:rPr>
      <w:rFonts w:eastAsia="Times New Roman"/>
      <w:color w:val="auto"/>
      <w:sz w:val="24"/>
      <w:lang w:val="pt-BR"/>
    </w:rPr>
  </w:style>
  <w:style w:type="paragraph" w:styleId="Recuodecorpodetexto21" w:customStyle="1">
    <w:name w:val="Recuo de corpo de texto 21"/>
    <w:basedOn w:val="Normal"/>
    <w:qFormat/>
    <w:pPr>
      <w:spacing w:lineRule="auto" w:line="480" w:before="0" w:after="120"/>
      <w:ind w:left="283" w:hanging="0"/>
    </w:pPr>
    <w:rPr/>
  </w:style>
  <w:style w:type="paragraph" w:styleId="Texto2" w:customStyle="1">
    <w:name w:val="texto2"/>
    <w:basedOn w:val="Normal"/>
    <w:qFormat/>
    <w:pPr>
      <w:suppressAutoHyphens w:val="false"/>
      <w:spacing w:before="100" w:after="100"/>
    </w:pPr>
    <w:rPr>
      <w:rFonts w:eastAsia="Times New Roman"/>
      <w:color w:val="auto"/>
      <w:sz w:val="24"/>
      <w:lang w:val="pt-BR"/>
    </w:rPr>
  </w:style>
  <w:style w:type="paragraph" w:styleId="Artart" w:customStyle="1">
    <w:name w:val="artart"/>
    <w:basedOn w:val="Normal"/>
    <w:qFormat/>
    <w:pPr>
      <w:suppressAutoHyphens w:val="false"/>
      <w:spacing w:before="100" w:after="100"/>
    </w:pPr>
    <w:rPr>
      <w:rFonts w:eastAsia="Times New Roman"/>
      <w:color w:val="auto"/>
      <w:sz w:val="24"/>
      <w:lang w:val="pt-BR"/>
    </w:rPr>
  </w:style>
  <w:style w:type="paragraph" w:styleId="ListParagraph">
    <w:name w:val="List Paragraph"/>
    <w:basedOn w:val="Normal"/>
    <w:uiPriority w:val="34"/>
    <w:qFormat/>
    <w:rsid w:val="001d033d"/>
    <w:pPr>
      <w:spacing w:before="0" w:after="0"/>
      <w:ind w:left="720" w:hanging="0"/>
      <w:contextualSpacing/>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5e1d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PGM.dotx</Template>
  <TotalTime>227</TotalTime>
  <Application>LibreOffice/7.4.5.1$Windows_X86_64 LibreOffice_project/9c0871452b3918c1019dde9bfac75448afc4b57f</Application>
  <AppVersion>15.0000</AppVersion>
  <Pages>13</Pages>
  <Words>4483</Words>
  <Characters>25727</Characters>
  <CharactersWithSpaces>30045</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2023-02-04T13:55:00Z</dcterms:created>
  <dc:creator>Maria Teresa F Corrêa</dc:creator>
  <dc:description/>
  <dc:language>pt-BR</dc:language>
  <cp:lastModifiedBy/>
  <cp:lastPrinted>2021-07-16T13:58:00Z</cp:lastPrinted>
  <dcterms:modified xsi:type="dcterms:W3CDTF">2023-12-27T12:48:32Z</dcterms:modified>
  <cp:revision>26</cp:revision>
  <dc:subject/>
  <dc:title>Parecer Juridico</dc:title>
</cp:coreProperties>
</file>

<file path=docProps/custom.xml><?xml version="1.0" encoding="utf-8"?>
<Properties xmlns="http://schemas.openxmlformats.org/officeDocument/2006/custom-properties" xmlns:vt="http://schemas.openxmlformats.org/officeDocument/2006/docPropsVTypes"/>
</file>