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rFonts w:ascii="Arial Nova Light" w:hAnsi="Arial Nova Light" w:cs="Calibri Light"/>
          <w:b/>
          <w:b/>
          <w:bCs/>
          <w:sz w:val="32"/>
          <w:szCs w:val="32"/>
          <w:lang w:val="pt-BR"/>
        </w:rPr>
      </w:pPr>
      <w:r>
        <w:rPr>
          <w:rFonts w:cs="Calibri Light" w:ascii="Arial Nova Light" w:hAnsi="Arial Nova Light"/>
          <w:b/>
          <w:bCs/>
          <w:sz w:val="32"/>
          <w:szCs w:val="32"/>
          <w:lang w:val="pt-BR"/>
        </w:rPr>
      </w:r>
    </w:p>
    <w:p>
      <w:pPr>
        <w:pStyle w:val="Normal"/>
        <w:jc w:val="center"/>
        <w:rPr>
          <w:rFonts w:cs="Calibri Light"/>
          <w:b/>
          <w:b/>
          <w:bCs/>
          <w:lang w:val="pt-BR"/>
        </w:rPr>
      </w:pPr>
      <w:r>
        <w:rPr>
          <w:rFonts w:cs="Calibri Light" w:ascii="Arial" w:hAnsi="Arial" w:cstheme="majorHAnsi"/>
          <w:b/>
          <w:bCs/>
          <w:sz w:val="24"/>
          <w:szCs w:val="24"/>
          <w:lang w:val="pt-BR"/>
        </w:rPr>
        <w:t>ANEXO À NOTA DE EMPENHO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sz w:val="24"/>
          <w:szCs w:val="24"/>
          <w:lang w:val="pt-BR"/>
        </w:rPr>
        <w:t>Processo Adm</w:t>
      </w:r>
      <w:r>
        <w:rPr>
          <w:rFonts w:cs="Calibri Light" w:ascii="Arial" w:hAnsi="Arial" w:cstheme="majorHAnsi"/>
          <w:sz w:val="24"/>
          <w:szCs w:val="24"/>
          <w:shd w:fill="auto" w:val="clear"/>
          <w:lang w:val="pt-BR"/>
        </w:rPr>
        <w:t>inistrativo: 49078/2023</w:t>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cs="Calibri Light"/>
                <w:b/>
                <w:b/>
                <w:bCs/>
                <w:lang w:val="pt-BR"/>
              </w:rPr>
            </w:pPr>
            <w:r>
              <w:rPr>
                <w:rFonts w:cs="Calibri Light" w:ascii="Arial" w:hAnsi="Arial" w:cstheme="majorHAnsi"/>
                <w:b/>
                <w:bCs/>
                <w:kern w:val="0"/>
                <w:sz w:val="24"/>
                <w:szCs w:val="24"/>
                <w:lang w:val="pt-BR" w:bidi="ar-SA"/>
              </w:rPr>
              <w:t>1. DO OBJETO E DA VINCULAÇÃO AO INSTRUMENTO CONVOCATÓRIO:</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1.1</w:t>
      </w:r>
      <w:r>
        <w:rPr>
          <w:rFonts w:cs="Calibri Light" w:ascii="Arial" w:hAnsi="Arial" w:cstheme="majorHAnsi"/>
          <w:sz w:val="24"/>
          <w:szCs w:val="24"/>
          <w:lang w:val="pt-BR"/>
        </w:rPr>
        <w:t>. Constitui objeto deste contrato a prestação de serviços</w:t>
      </w:r>
      <w:r>
        <w:rPr>
          <w:rFonts w:cs="Arial" w:ascii="Arial" w:hAnsi="Arial"/>
          <w:b w:val="false"/>
          <w:bCs w:val="false"/>
          <w:kern w:val="0"/>
          <w:sz w:val="24"/>
          <w:szCs w:val="24"/>
          <w:lang w:val="pt-BR" w:bidi="ar-SA"/>
        </w:rPr>
        <w:t xml:space="preserve">, sem dedicação exclusiva de mão de obra para </w:t>
      </w:r>
      <w:r>
        <w:rPr>
          <w:rFonts w:eastAsia="Times New Roman" w:cs="Arial" w:ascii="Arial" w:hAnsi="Arial"/>
          <w:b w:val="false"/>
          <w:bCs w:val="false"/>
          <w:kern w:val="0"/>
          <w:sz w:val="24"/>
          <w:szCs w:val="24"/>
          <w:lang w:val="pt-BR" w:eastAsia="ar-SA" w:bidi="ar-SA"/>
        </w:rPr>
        <w:t>implantação de telas de contenção de pássaros nas dependências do mercado público municipal</w:t>
      </w:r>
      <w:r>
        <w:rPr>
          <w:rFonts w:cs="Calibri Light" w:ascii="Arial" w:hAnsi="Arial" w:cstheme="majorHAnsi"/>
          <w:sz w:val="24"/>
          <w:szCs w:val="24"/>
          <w:lang w:val="pt-BR"/>
        </w:rPr>
        <w:t>, conforme especificações constantes no Termo de Referência.</w:t>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706" w:type="dxa"/>
        <w:jc w:val="left"/>
        <w:tblInd w:w="-78" w:type="dxa"/>
        <w:tblLayout w:type="fixed"/>
        <w:tblCellMar>
          <w:top w:w="0" w:type="dxa"/>
          <w:left w:w="108" w:type="dxa"/>
          <w:bottom w:w="0" w:type="dxa"/>
          <w:right w:w="108" w:type="dxa"/>
        </w:tblCellMar>
        <w:tblLook w:firstRow="1" w:noVBand="1" w:lastRow="0" w:firstColumn="1" w:lastColumn="0" w:noHBand="0" w:val="04a0"/>
      </w:tblPr>
      <w:tblGrid>
        <w:gridCol w:w="726"/>
        <w:gridCol w:w="4310"/>
        <w:gridCol w:w="1242"/>
        <w:gridCol w:w="1221"/>
        <w:gridCol w:w="1117"/>
        <w:gridCol w:w="1089"/>
      </w:tblGrid>
      <w:tr>
        <w:trPr/>
        <w:tc>
          <w:tcPr>
            <w:tcW w:w="726" w:type="dxa"/>
            <w:tcBorders/>
            <w:vAlign w:val="center"/>
          </w:tcPr>
          <w:p>
            <w:pPr>
              <w:pStyle w:val="Normal"/>
              <w:widowControl w:val="false"/>
              <w:spacing w:before="0" w:after="0"/>
              <w:jc w:val="center"/>
              <w:rPr>
                <w:rFonts w:cs="Calibri Light"/>
                <w:b/>
                <w:b/>
                <w:bCs/>
                <w:lang w:val="pt-BR"/>
              </w:rPr>
            </w:pPr>
            <w:r>
              <w:rPr>
                <w:rFonts w:cs="Calibri Light" w:ascii="Arial" w:hAnsi="Arial" w:cstheme="majorHAnsi"/>
                <w:b/>
                <w:bCs/>
                <w:kern w:val="0"/>
                <w:sz w:val="24"/>
                <w:szCs w:val="24"/>
                <w:lang w:val="pt-BR" w:bidi="ar-SA"/>
              </w:rPr>
              <w:t>Item</w:t>
            </w:r>
          </w:p>
        </w:tc>
        <w:tc>
          <w:tcPr>
            <w:tcW w:w="4310" w:type="dxa"/>
            <w:tcBorders/>
            <w:vAlign w:val="center"/>
          </w:tcPr>
          <w:p>
            <w:pPr>
              <w:pStyle w:val="Normal"/>
              <w:widowControl w:val="false"/>
              <w:spacing w:before="0" w:after="0"/>
              <w:jc w:val="center"/>
              <w:rPr>
                <w:rFonts w:cs="Calibri Light"/>
                <w:b/>
                <w:b/>
                <w:bCs/>
                <w:lang w:val="pt-BR"/>
              </w:rPr>
            </w:pPr>
            <w:r>
              <w:rPr>
                <w:rFonts w:cs="Calibri Light" w:ascii="Arial" w:hAnsi="Arial" w:cstheme="majorHAnsi"/>
                <w:b/>
                <w:bCs/>
                <w:kern w:val="0"/>
                <w:sz w:val="24"/>
                <w:szCs w:val="24"/>
                <w:lang w:val="pt-BR" w:bidi="ar-SA"/>
              </w:rPr>
              <w:t>Descrição/Especificação</w:t>
            </w:r>
          </w:p>
        </w:tc>
        <w:tc>
          <w:tcPr>
            <w:tcW w:w="1242" w:type="dxa"/>
            <w:tcBorders/>
            <w:vAlign w:val="center"/>
          </w:tcPr>
          <w:p>
            <w:pPr>
              <w:pStyle w:val="Normal"/>
              <w:widowControl w:val="false"/>
              <w:spacing w:before="0" w:after="0"/>
              <w:jc w:val="center"/>
              <w:rPr>
                <w:rFonts w:cs="Calibri Light"/>
                <w:b/>
                <w:b/>
                <w:bCs/>
                <w:lang w:val="pt-BR"/>
              </w:rPr>
            </w:pPr>
            <w:r>
              <w:rPr>
                <w:rFonts w:cs="Calibri Light" w:ascii="Arial" w:hAnsi="Arial" w:cstheme="majorHAnsi"/>
                <w:b/>
                <w:bCs/>
                <w:kern w:val="0"/>
                <w:sz w:val="24"/>
                <w:szCs w:val="24"/>
                <w:lang w:val="pt-BR" w:bidi="ar-SA"/>
              </w:rPr>
              <w:t>Unidade de medida</w:t>
            </w:r>
          </w:p>
        </w:tc>
        <w:tc>
          <w:tcPr>
            <w:tcW w:w="1221" w:type="dxa"/>
            <w:tcBorders/>
            <w:vAlign w:val="center"/>
          </w:tcPr>
          <w:p>
            <w:pPr>
              <w:pStyle w:val="Normal"/>
              <w:widowControl w:val="false"/>
              <w:spacing w:before="0" w:after="0"/>
              <w:jc w:val="center"/>
              <w:rPr>
                <w:rFonts w:cs="Calibri Light"/>
                <w:b/>
                <w:b/>
                <w:bCs/>
                <w:lang w:val="pt-BR"/>
              </w:rPr>
            </w:pPr>
            <w:r>
              <w:rPr>
                <w:rFonts w:cs="Calibri Light" w:ascii="Arial" w:hAnsi="Arial" w:cstheme="majorHAnsi"/>
                <w:b/>
                <w:bCs/>
                <w:kern w:val="0"/>
                <w:sz w:val="24"/>
                <w:szCs w:val="24"/>
                <w:lang w:val="pt-BR" w:bidi="ar-SA"/>
              </w:rPr>
              <w:t>Qtde.</w:t>
            </w:r>
          </w:p>
        </w:tc>
        <w:tc>
          <w:tcPr>
            <w:tcW w:w="1117" w:type="dxa"/>
            <w:tcBorders/>
            <w:vAlign w:val="center"/>
          </w:tcPr>
          <w:p>
            <w:pPr>
              <w:pStyle w:val="Normal"/>
              <w:widowControl w:val="false"/>
              <w:spacing w:before="0" w:after="0"/>
              <w:jc w:val="center"/>
              <w:rPr>
                <w:rFonts w:cs="Calibri Light"/>
                <w:b/>
                <w:b/>
                <w:bCs/>
                <w:lang w:val="pt-BR"/>
              </w:rPr>
            </w:pPr>
            <w:r>
              <w:rPr>
                <w:rFonts w:cs="Calibri Light" w:ascii="Arial" w:hAnsi="Arial" w:cstheme="majorHAnsi"/>
                <w:b/>
                <w:bCs/>
                <w:kern w:val="0"/>
                <w:sz w:val="24"/>
                <w:szCs w:val="24"/>
                <w:lang w:val="pt-BR" w:bidi="ar-SA"/>
              </w:rPr>
              <w:t>Vlr Unit.</w:t>
            </w:r>
          </w:p>
        </w:tc>
        <w:tc>
          <w:tcPr>
            <w:tcW w:w="1089" w:type="dxa"/>
            <w:tcBorders/>
            <w:vAlign w:val="center"/>
          </w:tcPr>
          <w:p>
            <w:pPr>
              <w:pStyle w:val="Normal"/>
              <w:widowControl w:val="false"/>
              <w:spacing w:before="0" w:after="0"/>
              <w:jc w:val="center"/>
              <w:rPr>
                <w:rFonts w:cs="Calibri Light"/>
                <w:b/>
                <w:b/>
                <w:bCs/>
                <w:lang w:val="pt-BR"/>
              </w:rPr>
            </w:pPr>
            <w:r>
              <w:rPr>
                <w:rFonts w:cs="Calibri Light" w:ascii="Arial" w:hAnsi="Arial" w:cstheme="majorHAnsi"/>
                <w:b/>
                <w:bCs/>
                <w:kern w:val="0"/>
                <w:sz w:val="24"/>
                <w:szCs w:val="24"/>
                <w:lang w:val="pt-BR" w:bidi="ar-SA"/>
              </w:rPr>
              <w:t>Vlr Total</w:t>
            </w:r>
          </w:p>
        </w:tc>
      </w:tr>
      <w:tr>
        <w:trPr/>
        <w:tc>
          <w:tcPr>
            <w:tcW w:w="726" w:type="dxa"/>
            <w:tcBorders/>
            <w:vAlign w:val="center"/>
          </w:tcPr>
          <w:p>
            <w:pPr>
              <w:pStyle w:val="Normal"/>
              <w:widowControl w:val="false"/>
              <w:spacing w:before="0" w:after="0"/>
              <w:jc w:val="center"/>
              <w:rPr>
                <w:rFonts w:ascii="Arial" w:hAnsi="Arial" w:cs="Calibri Light"/>
                <w:kern w:val="0"/>
                <w:sz w:val="24"/>
                <w:szCs w:val="24"/>
                <w:lang w:val="pt-BR" w:bidi="ar-SA"/>
              </w:rPr>
            </w:pPr>
            <w:r>
              <w:rPr>
                <w:rFonts w:cs="Calibri Light" w:ascii="Arial" w:hAnsi="Arial" w:cstheme="majorHAnsi"/>
                <w:kern w:val="0"/>
                <w:sz w:val="24"/>
                <w:szCs w:val="24"/>
                <w:lang w:val="pt-BR" w:bidi="ar-SA"/>
              </w:rPr>
              <w:t>1</w:t>
            </w:r>
          </w:p>
        </w:tc>
        <w:tc>
          <w:tcPr>
            <w:tcW w:w="4310" w:type="dxa"/>
            <w:tcBorders/>
            <w:vAlign w:val="center"/>
          </w:tcPr>
          <w:p>
            <w:pPr>
              <w:pStyle w:val="Normal"/>
              <w:widowControl w:val="false"/>
              <w:spacing w:before="0" w:after="0"/>
              <w:jc w:val="both"/>
              <w:rPr>
                <w:rFonts w:ascii="Arial" w:hAnsi="Arial"/>
              </w:rPr>
            </w:pPr>
            <w:r>
              <w:rPr>
                <w:rFonts w:eastAsia="HG Mincho Light J" w:cs="Arial" w:ascii="Arial" w:hAnsi="Arial"/>
                <w:color w:val="000000"/>
                <w:lang w:val="pt-PT" w:eastAsia="zh-CN"/>
              </w:rPr>
              <w:t xml:space="preserve">Serviço de implantação de telas de contenção de pássaros nas dependências do Mercado Público Municipal </w:t>
            </w:r>
          </w:p>
        </w:tc>
        <w:tc>
          <w:tcPr>
            <w:tcW w:w="1242" w:type="dxa"/>
            <w:tcBorders/>
            <w:vAlign w:val="center"/>
          </w:tcPr>
          <w:p>
            <w:pPr>
              <w:pStyle w:val="Normal"/>
              <w:widowControl w:val="false"/>
              <w:spacing w:before="0" w:after="0"/>
              <w:jc w:val="center"/>
              <w:rPr>
                <w:rFonts w:ascii="Arial" w:hAnsi="Arial" w:cs="Calibri Light"/>
                <w:kern w:val="0"/>
                <w:sz w:val="24"/>
                <w:szCs w:val="24"/>
                <w:lang w:val="pt-BR" w:bidi="ar-SA"/>
              </w:rPr>
            </w:pPr>
            <w:r>
              <w:rPr>
                <w:rFonts w:cs="Calibri Light" w:ascii="Arial" w:hAnsi="Arial" w:cstheme="majorHAnsi"/>
                <w:kern w:val="0"/>
                <w:sz w:val="24"/>
                <w:szCs w:val="24"/>
                <w:lang w:val="pt-BR" w:bidi="ar-SA"/>
              </w:rPr>
              <w:t>UN</w:t>
            </w:r>
          </w:p>
        </w:tc>
        <w:tc>
          <w:tcPr>
            <w:tcW w:w="1221" w:type="dxa"/>
            <w:tcBorders/>
            <w:vAlign w:val="center"/>
          </w:tcPr>
          <w:p>
            <w:pPr>
              <w:pStyle w:val="Normal"/>
              <w:widowControl w:val="false"/>
              <w:spacing w:before="0" w:after="0"/>
              <w:jc w:val="center"/>
              <w:rPr>
                <w:rFonts w:ascii="Arial" w:hAnsi="Arial" w:cs="Calibri Light"/>
                <w:kern w:val="0"/>
                <w:sz w:val="24"/>
                <w:szCs w:val="24"/>
                <w:lang w:val="pt-BR" w:bidi="ar-SA"/>
              </w:rPr>
            </w:pPr>
            <w:r>
              <w:rPr>
                <w:rFonts w:cs="Calibri Light" w:ascii="Arial" w:hAnsi="Arial" w:cstheme="majorHAnsi"/>
                <w:kern w:val="0"/>
                <w:sz w:val="24"/>
                <w:szCs w:val="24"/>
                <w:lang w:val="pt-BR" w:bidi="ar-SA"/>
              </w:rPr>
              <w:t>01</w:t>
            </w:r>
          </w:p>
        </w:tc>
        <w:tc>
          <w:tcPr>
            <w:tcW w:w="1117" w:type="dxa"/>
            <w:tcBorders/>
            <w:vAlign w:val="center"/>
          </w:tcPr>
          <w:p>
            <w:pPr>
              <w:pStyle w:val="Normal"/>
              <w:widowControl w:val="false"/>
              <w:spacing w:before="0" w:after="0"/>
              <w:jc w:val="center"/>
              <w:rPr>
                <w:rFonts w:ascii="Arial" w:hAnsi="Arial" w:cs="Calibri Light"/>
                <w:kern w:val="0"/>
                <w:sz w:val="24"/>
                <w:szCs w:val="24"/>
                <w:lang w:val="pt-BR" w:bidi="ar-SA"/>
              </w:rPr>
            </w:pPr>
            <w:r>
              <w:rPr>
                <w:rFonts w:cs="Calibri Light" w:ascii="Arial" w:hAnsi="Arial" w:cstheme="majorHAnsi"/>
                <w:kern w:val="0"/>
                <w:sz w:val="24"/>
                <w:szCs w:val="24"/>
                <w:lang w:val="pt-BR" w:bidi="ar-SA"/>
              </w:rPr>
              <w:t xml:space="preserve">R$ </w:t>
            </w:r>
            <w:r>
              <w:rPr>
                <w:rFonts w:cs="Calibri Light" w:ascii="Arial" w:hAnsi="Arial" w:cstheme="majorHAnsi"/>
                <w:kern w:val="0"/>
                <w:sz w:val="24"/>
                <w:szCs w:val="24"/>
                <w:shd w:fill="FFFF00" w:val="clear"/>
                <w:lang w:val="pt-BR" w:bidi="ar-SA"/>
              </w:rPr>
              <w:t>XX</w:t>
            </w:r>
          </w:p>
        </w:tc>
        <w:tc>
          <w:tcPr>
            <w:tcW w:w="1089" w:type="dxa"/>
            <w:tcBorders/>
            <w:vAlign w:val="center"/>
          </w:tcPr>
          <w:p>
            <w:pPr>
              <w:pStyle w:val="Normal"/>
              <w:widowControl w:val="false"/>
              <w:spacing w:before="0" w:after="0"/>
              <w:jc w:val="center"/>
              <w:rPr>
                <w:rFonts w:ascii="Arial" w:hAnsi="Arial" w:cs="Calibri Light"/>
                <w:kern w:val="0"/>
                <w:sz w:val="24"/>
                <w:szCs w:val="24"/>
                <w:lang w:val="pt-BR" w:bidi="ar-SA"/>
              </w:rPr>
            </w:pPr>
            <w:r>
              <w:rPr>
                <w:rFonts w:cs="Calibri Light" w:ascii="Arial" w:hAnsi="Arial" w:cstheme="majorHAnsi"/>
                <w:kern w:val="0"/>
                <w:sz w:val="24"/>
                <w:szCs w:val="24"/>
                <w:lang w:val="pt-BR" w:bidi="ar-SA"/>
              </w:rPr>
              <w:t xml:space="preserve">R$ </w:t>
            </w:r>
            <w:r>
              <w:rPr>
                <w:rFonts w:cs="Calibri Light" w:ascii="Arial" w:hAnsi="Arial" w:cstheme="majorHAnsi"/>
                <w:kern w:val="0"/>
                <w:sz w:val="24"/>
                <w:szCs w:val="24"/>
                <w:shd w:fill="FFFF00" w:val="clear"/>
                <w:lang w:val="pt-BR" w:bidi="ar-SA"/>
              </w:rPr>
              <w:t>XX</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1.2</w:t>
      </w:r>
      <w:r>
        <w:rPr>
          <w:rFonts w:cs="Calibri Light" w:ascii="Arial" w:hAnsi="Arial" w:cstheme="majorHAnsi"/>
          <w:sz w:val="24"/>
          <w:szCs w:val="24"/>
          <w:lang w:val="pt-BR"/>
        </w:rPr>
        <w:t>. São anexos a este instrumento e vinculam esta contratação, independentemente de transcrição:</w:t>
      </w:r>
    </w:p>
    <w:p>
      <w:pPr>
        <w:pStyle w:val="Normal"/>
        <w:jc w:val="both"/>
        <w:rPr>
          <w:rFonts w:ascii="Arial" w:hAnsi="Arial"/>
          <w:sz w:val="24"/>
          <w:szCs w:val="24"/>
        </w:rPr>
      </w:pPr>
      <w:r>
        <w:rPr>
          <w:rFonts w:cs="Calibri Light" w:ascii="Arial" w:hAnsi="Arial" w:cstheme="majorHAnsi"/>
          <w:b/>
          <w:bCs/>
          <w:sz w:val="24"/>
          <w:szCs w:val="24"/>
          <w:lang w:val="pt-BR"/>
        </w:rPr>
        <w:t>1.2.1</w:t>
      </w:r>
      <w:r>
        <w:rPr>
          <w:rFonts w:cs="Calibri Light" w:ascii="Arial" w:hAnsi="Arial" w:cstheme="majorHAnsi"/>
          <w:sz w:val="24"/>
          <w:szCs w:val="24"/>
          <w:lang w:val="pt-BR"/>
        </w:rPr>
        <w:t>. O Termo de Referência que embasou a contratação.</w:t>
      </w:r>
    </w:p>
    <w:p>
      <w:pPr>
        <w:pStyle w:val="Normal"/>
        <w:jc w:val="both"/>
        <w:rPr>
          <w:rFonts w:ascii="Arial" w:hAnsi="Arial"/>
          <w:sz w:val="24"/>
          <w:szCs w:val="24"/>
        </w:rPr>
      </w:pPr>
      <w:r>
        <w:rPr>
          <w:rFonts w:cs="Calibri Light" w:ascii="Arial" w:hAnsi="Arial" w:cstheme="majorHAnsi"/>
          <w:b/>
          <w:bCs/>
          <w:sz w:val="24"/>
          <w:szCs w:val="24"/>
          <w:lang w:val="pt-BR"/>
        </w:rPr>
        <w:t>1.2.2</w:t>
      </w:r>
      <w:r>
        <w:rPr>
          <w:rFonts w:cs="Calibri Light" w:ascii="Arial" w:hAnsi="Arial" w:cstheme="majorHAnsi"/>
          <w:sz w:val="24"/>
          <w:szCs w:val="24"/>
          <w:lang w:val="pt-BR"/>
        </w:rPr>
        <w:t>. O Aviso de Dispensa Elet</w:t>
      </w:r>
      <w:r>
        <w:rPr>
          <w:rFonts w:cs="Calibri Light" w:ascii="Arial" w:hAnsi="Arial" w:cstheme="majorHAnsi"/>
          <w:sz w:val="24"/>
          <w:szCs w:val="24"/>
          <w:shd w:fill="auto" w:val="clear"/>
          <w:lang w:val="pt-BR"/>
        </w:rPr>
        <w:t xml:space="preserve">rônica </w:t>
      </w:r>
      <w:r>
        <w:rPr>
          <w:rFonts w:cs="Calibri Light" w:ascii="Arial" w:hAnsi="Arial" w:cstheme="majorHAnsi"/>
          <w:sz w:val="24"/>
          <w:szCs w:val="24"/>
          <w:shd w:fill="auto" w:val="clear"/>
          <w:lang w:val="pt-BR"/>
        </w:rPr>
        <w:t>016</w:t>
      </w:r>
      <w:r>
        <w:rPr>
          <w:rFonts w:cs="Calibri Light" w:ascii="Arial" w:hAnsi="Arial" w:cstheme="majorHAnsi"/>
          <w:sz w:val="24"/>
          <w:szCs w:val="24"/>
          <w:shd w:fill="auto" w:val="clear"/>
          <w:lang w:val="pt-BR"/>
        </w:rPr>
        <w:t>/2023</w:t>
      </w:r>
      <w:r>
        <w:rPr>
          <w:rFonts w:cs="Calibri Light" w:ascii="Arial" w:hAnsi="Arial" w:cstheme="majorHAnsi"/>
          <w:sz w:val="24"/>
          <w:szCs w:val="24"/>
          <w:shd w:fill="auto" w:val="clear"/>
          <w:lang w:val="pt-BR"/>
        </w:rPr>
        <w:t>.</w:t>
      </w:r>
    </w:p>
    <w:p>
      <w:pPr>
        <w:pStyle w:val="Normal"/>
        <w:jc w:val="both"/>
        <w:rPr>
          <w:rFonts w:ascii="Arial" w:hAnsi="Arial"/>
          <w:sz w:val="24"/>
          <w:szCs w:val="24"/>
        </w:rPr>
      </w:pPr>
      <w:r>
        <w:rPr>
          <w:rFonts w:cs="Calibri Light" w:ascii="Arial" w:hAnsi="Arial" w:cstheme="majorHAnsi"/>
          <w:b/>
          <w:bCs/>
          <w:sz w:val="24"/>
          <w:szCs w:val="24"/>
          <w:lang w:val="pt-BR"/>
        </w:rPr>
        <w:t>1.2.3</w:t>
      </w:r>
      <w:r>
        <w:rPr>
          <w:rFonts w:cs="Calibri Light" w:ascii="Arial" w:hAnsi="Arial" w:cstheme="majorHAnsi"/>
          <w:sz w:val="24"/>
          <w:szCs w:val="24"/>
          <w:lang w:val="pt-BR"/>
        </w:rPr>
        <w:t>. A Proposta do Contratado.</w:t>
      </w:r>
    </w:p>
    <w:p>
      <w:pPr>
        <w:pStyle w:val="Normal"/>
        <w:jc w:val="both"/>
        <w:rPr>
          <w:rFonts w:ascii="Arial" w:hAnsi="Arial"/>
          <w:sz w:val="24"/>
          <w:szCs w:val="24"/>
        </w:rPr>
      </w:pPr>
      <w:r>
        <w:rPr>
          <w:rFonts w:cs="Calibri Light" w:ascii="Arial" w:hAnsi="Arial" w:cstheme="majorHAnsi"/>
          <w:b/>
          <w:bCs/>
          <w:sz w:val="24"/>
          <w:szCs w:val="24"/>
          <w:lang w:val="pt-BR"/>
        </w:rPr>
        <w:t>1.2.4</w:t>
      </w:r>
      <w:r>
        <w:rPr>
          <w:rFonts w:cs="Calibri Light" w:ascii="Arial" w:hAnsi="Arial" w:cstheme="majorHAnsi"/>
          <w:sz w:val="24"/>
          <w:szCs w:val="24"/>
          <w:lang w:val="pt-BR"/>
        </w:rPr>
        <w:t>. Eventuais anexos dos documentos supracitados.</w:t>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2. DA VIGÊNCIA E PRORROGAÇÃO</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2.1</w:t>
      </w:r>
      <w:r>
        <w:rPr>
          <w:rFonts w:cs="Calibri Light" w:ascii="Arial" w:hAnsi="Arial" w:cstheme="majorHAnsi"/>
          <w:sz w:val="24"/>
          <w:szCs w:val="24"/>
          <w:lang w:val="pt-BR"/>
        </w:rPr>
        <w:t>. O presente Contrato terá vigência de</w:t>
      </w:r>
      <w:r>
        <w:rPr>
          <w:rFonts w:cs="Calibri Light" w:ascii="Arial" w:hAnsi="Arial" w:cstheme="majorHAnsi"/>
          <w:sz w:val="24"/>
          <w:szCs w:val="24"/>
          <w:shd w:fill="auto" w:val="clear"/>
          <w:lang w:val="pt-BR"/>
        </w:rPr>
        <w:t xml:space="preserve"> 30 (dias), contados do recebimento da Nota de Empenho</w:t>
      </w:r>
      <w:r>
        <w:rPr>
          <w:rFonts w:cs="Calibri Light" w:ascii="Arial" w:hAnsi="Arial" w:cstheme="majorHAnsi"/>
          <w:sz w:val="24"/>
          <w:szCs w:val="24"/>
          <w:lang w:val="pt-BR"/>
        </w:rPr>
        <w:t>, de acordo com o art. 105 da Lei 14.133/2021.</w:t>
      </w:r>
    </w:p>
    <w:p>
      <w:pPr>
        <w:pStyle w:val="Normal"/>
        <w:jc w:val="both"/>
        <w:rPr>
          <w:rFonts w:ascii="Arial" w:hAnsi="Arial"/>
          <w:sz w:val="24"/>
          <w:szCs w:val="24"/>
        </w:rPr>
      </w:pPr>
      <w:r>
        <w:rPr>
          <w:rFonts w:cs="Calibri Light" w:ascii="Arial" w:hAnsi="Arial" w:cstheme="majorHAnsi"/>
          <w:b/>
          <w:bCs/>
          <w:sz w:val="24"/>
          <w:szCs w:val="24"/>
          <w:lang w:val="pt-BR"/>
        </w:rPr>
        <w:t>2.1.1</w:t>
      </w:r>
      <w:r>
        <w:rPr>
          <w:rFonts w:cs="Calibri Light" w:ascii="Arial" w:hAnsi="Arial"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3. DO PREÇO</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3.1</w:t>
      </w:r>
      <w:r>
        <w:rPr>
          <w:rFonts w:cs="Calibri Light" w:ascii="Arial" w:hAnsi="Arial" w:cstheme="majorHAnsi"/>
          <w:sz w:val="24"/>
          <w:szCs w:val="24"/>
          <w:lang w:val="pt-BR"/>
        </w:rPr>
        <w:t xml:space="preserve">. O valor total do contrato é de R$ </w:t>
      </w:r>
      <w:r>
        <w:rPr>
          <w:rFonts w:cs="Calibri Light" w:ascii="Arial" w:hAnsi="Arial" w:cstheme="majorHAnsi"/>
          <w:sz w:val="24"/>
          <w:szCs w:val="24"/>
          <w:highlight w:val="yellow"/>
          <w:lang w:val="pt-BR"/>
        </w:rPr>
        <w:t>0000,00</w:t>
      </w:r>
      <w:r>
        <w:rPr>
          <w:rFonts w:cs="Calibri Light" w:ascii="Arial" w:hAnsi="Arial" w:cstheme="majorHAnsi"/>
          <w:sz w:val="24"/>
          <w:szCs w:val="24"/>
          <w:lang w:val="pt-BR"/>
        </w:rPr>
        <w:t xml:space="preserve"> (</w:t>
      </w:r>
      <w:r>
        <w:rPr>
          <w:rFonts w:cs="Calibri Light" w:ascii="Arial" w:hAnsi="Arial" w:cstheme="majorHAnsi"/>
          <w:sz w:val="24"/>
          <w:szCs w:val="24"/>
          <w:highlight w:val="yellow"/>
          <w:lang w:val="pt-BR"/>
        </w:rPr>
        <w:t>valor por extenso</w:t>
      </w:r>
      <w:r>
        <w:rPr>
          <w:rFonts w:cs="Calibri Light" w:ascii="Arial" w:hAnsi="Arial" w:cstheme="majorHAnsi"/>
          <w:sz w:val="24"/>
          <w:szCs w:val="24"/>
          <w:lang w:val="pt-BR"/>
        </w:rPr>
        <w:t>).</w:t>
      </w:r>
    </w:p>
    <w:p>
      <w:pPr>
        <w:pStyle w:val="Normal"/>
        <w:jc w:val="both"/>
        <w:rPr>
          <w:rFonts w:ascii="Arial" w:hAnsi="Arial"/>
          <w:sz w:val="24"/>
          <w:szCs w:val="24"/>
        </w:rPr>
      </w:pPr>
      <w:r>
        <w:rPr>
          <w:rFonts w:cs="Calibri Light" w:ascii="Arial" w:hAnsi="Arial" w:cstheme="majorHAnsi"/>
          <w:b/>
          <w:bCs/>
          <w:sz w:val="24"/>
          <w:szCs w:val="24"/>
          <w:lang w:val="pt-BR"/>
        </w:rPr>
        <w:t>3.2</w:t>
      </w:r>
      <w:r>
        <w:rPr>
          <w:rFonts w:cs="Calibri Light" w:ascii="Arial" w:hAnsi="Arial" w:cstheme="majorHAnsi"/>
          <w:sz w:val="24"/>
          <w:szCs w:val="24"/>
          <w:lang w:val="pt-BR"/>
        </w:rPr>
        <w:t>. No valor acima estão incluídas todas as despesas ordinárias diretas e indiretas decorrentes da execução do objeto, inclusive tributos e/ou impostos, encargos sociais, trabalhistas, previdenciários, fiscais e comerciais incidentes, frete, seguro e outros necessários ao cumprimento integral do objeto da contratação.</w:t>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4. DA FORMA DE PAGAMENTO</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4.1</w:t>
      </w:r>
      <w:r>
        <w:rPr>
          <w:rFonts w:cs="Calibri Light" w:ascii="Arial" w:hAnsi="Arial" w:cstheme="majorHAnsi"/>
          <w:sz w:val="24"/>
          <w:szCs w:val="24"/>
          <w:lang w:val="pt-BR"/>
        </w:rPr>
        <w:t>. O pagamento será realizado através de ordem bancária, para crédito em banco, agência e conta corrente indicados pelo contratado.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4.2</w:t>
      </w:r>
      <w:r>
        <w:rPr>
          <w:rFonts w:cs="Calibri Light" w:ascii="Arial" w:hAnsi="Arial" w:cstheme="majorHAnsi"/>
          <w:sz w:val="24"/>
          <w:szCs w:val="24"/>
          <w:lang w:val="pt-BR"/>
        </w:rPr>
        <w:t>. Será considerada data do pagamento o dia em que constar como emitida a ordem bancária para pagamento.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highlight w:val="none"/>
          <w:shd w:fill="auto" w:val="clear"/>
        </w:rPr>
      </w:pPr>
      <w:r>
        <w:rPr>
          <w:rFonts w:cs="Calibri Light" w:ascii="Arial" w:hAnsi="Arial" w:cstheme="majorHAnsi"/>
          <w:b/>
          <w:bCs/>
          <w:sz w:val="24"/>
          <w:szCs w:val="24"/>
          <w:shd w:fill="auto" w:val="clear"/>
          <w:lang w:val="pt-BR"/>
        </w:rPr>
        <w:t>4.3</w:t>
      </w:r>
      <w:r>
        <w:rPr>
          <w:rFonts w:cs="Calibri Light" w:ascii="Arial" w:hAnsi="Arial" w:cstheme="majorHAnsi"/>
          <w:sz w:val="24"/>
          <w:szCs w:val="24"/>
          <w:shd w:fill="auto" w:val="clear"/>
          <w:lang w:val="pt-BR"/>
        </w:rPr>
        <w:t>. O pagamento será efetuado em ordem cronológica de pagamentos municipais e no prazo mínimo de 30 (trinta) dias após a liquidação.</w:t>
      </w:r>
    </w:p>
    <w:p>
      <w:pPr>
        <w:pStyle w:val="Normal"/>
        <w:jc w:val="both"/>
        <w:rPr>
          <w:rFonts w:ascii="Arial" w:hAnsi="Arial"/>
          <w:sz w:val="24"/>
          <w:szCs w:val="24"/>
        </w:rPr>
      </w:pPr>
      <w:r>
        <w:rPr>
          <w:rFonts w:cs="Calibri Light" w:ascii="Arial" w:hAnsi="Arial" w:cstheme="majorHAnsi"/>
          <w:b/>
          <w:bCs/>
          <w:sz w:val="24"/>
          <w:szCs w:val="24"/>
          <w:lang w:val="pt-BR"/>
        </w:rPr>
        <w:t>4.3.1</w:t>
      </w:r>
      <w:r>
        <w:rPr>
          <w:rFonts w:cs="Calibri Light" w:ascii="Arial" w:hAnsi="Arial"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jc w:val="both"/>
        <w:rPr>
          <w:rFonts w:ascii="Arial" w:hAnsi="Arial"/>
          <w:sz w:val="24"/>
          <w:szCs w:val="24"/>
        </w:rPr>
      </w:pPr>
      <w:r>
        <w:rPr>
          <w:rFonts w:cs="Calibri Light" w:ascii="Arial" w:hAnsi="Arial" w:cstheme="majorHAnsi"/>
          <w:b/>
          <w:bCs/>
          <w:sz w:val="24"/>
          <w:szCs w:val="24"/>
          <w:lang w:val="pt-BR"/>
        </w:rPr>
        <w:t>4.3.2</w:t>
      </w:r>
      <w:r>
        <w:rPr>
          <w:rFonts w:cs="Calibri Light" w:ascii="Arial" w:hAnsi="Arial" w:cstheme="majorHAnsi"/>
          <w:sz w:val="24"/>
          <w:szCs w:val="24"/>
          <w:lang w:val="pt-BR"/>
        </w:rPr>
        <w:t>. Considera-se ocorrido o recebimento da nota fiscal ou fatura quando o órgão Contratante atestar a execução do objeto do contrato.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4.4</w:t>
      </w:r>
      <w:r>
        <w:rPr>
          <w:rFonts w:cs="Calibri Light" w:ascii="Arial" w:hAnsi="Arial"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4.5</w:t>
      </w:r>
      <w:r>
        <w:rPr>
          <w:rFonts w:cs="Calibri Light" w:ascii="Arial" w:hAnsi="Arial" w:cstheme="majorHAnsi"/>
          <w:sz w:val="24"/>
          <w:szCs w:val="24"/>
          <w:lang w:val="pt-BR"/>
        </w:rPr>
        <w:t>. A emissão da Nota Fiscal/Fatura será precedida do recebimento do objeto da contratação, conforme disposto no Termo de Referência.</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4.6</w:t>
      </w:r>
      <w:r>
        <w:rPr>
          <w:rFonts w:cs="Calibri Light" w:ascii="Arial" w:hAnsi="Arial" w:cstheme="majorHAnsi"/>
          <w:sz w:val="24"/>
          <w:szCs w:val="24"/>
          <w:lang w:val="pt-BR"/>
        </w:rPr>
        <w:t>. Quando houver glosa parcial do objeto, a Contratante comunicará a empresa para que emita a nota fiscal ou fatura com o valor exato dimensionado.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4.7</w:t>
      </w:r>
      <w:r>
        <w:rPr>
          <w:rFonts w:cs="Calibri Light" w:ascii="Arial" w:hAnsi="Arial"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4.8</w:t>
      </w:r>
      <w:r>
        <w:rPr>
          <w:rFonts w:cs="Calibri Light" w:ascii="Arial" w:hAnsi="Arial"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4.9</w:t>
      </w:r>
      <w:r>
        <w:rPr>
          <w:rFonts w:cs="Calibri Light" w:ascii="Arial" w:hAnsi="Arial" w:cstheme="majorHAnsi"/>
          <w:sz w:val="24"/>
          <w:szCs w:val="24"/>
          <w:lang w:val="pt-BR"/>
        </w:rPr>
        <w:t>.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w:t>
      </w:r>
    </w:p>
    <w:p>
      <w:pPr>
        <w:pStyle w:val="Normal"/>
        <w:jc w:val="both"/>
        <w:rPr>
          <w:rFonts w:ascii="Arial" w:hAnsi="Arial"/>
          <w:sz w:val="24"/>
          <w:szCs w:val="24"/>
        </w:rPr>
      </w:pPr>
      <w:r>
        <w:rPr>
          <w:rFonts w:cs="Calibri Light" w:ascii="Arial" w:hAnsi="Arial" w:cstheme="majorHAnsi"/>
          <w:b/>
          <w:bCs/>
          <w:sz w:val="24"/>
          <w:szCs w:val="24"/>
          <w:lang w:val="pt-BR"/>
        </w:rPr>
        <w:t>4.9.1</w:t>
      </w:r>
      <w:r>
        <w:rPr>
          <w:rFonts w:cs="Calibri Light" w:ascii="Arial" w:hAnsi="Arial" w:cstheme="majorHAnsi"/>
          <w:sz w:val="24"/>
          <w:szCs w:val="24"/>
          <w:lang w:val="pt-BR"/>
        </w:rPr>
        <w:t xml:space="preserve">. Previamente à emissão de nota de empenho, a Administração deverá realizar consulta ao SICAF para: </w:t>
      </w:r>
    </w:p>
    <w:p>
      <w:pPr>
        <w:pStyle w:val="Normal"/>
        <w:jc w:val="both"/>
        <w:rPr>
          <w:rFonts w:ascii="Arial" w:hAnsi="Arial"/>
          <w:sz w:val="24"/>
          <w:szCs w:val="24"/>
        </w:rPr>
      </w:pPr>
      <w:r>
        <w:rPr>
          <w:rFonts w:cs="Calibri Light" w:ascii="Arial" w:hAnsi="Arial" w:cstheme="majorHAnsi"/>
          <w:b/>
          <w:bCs/>
          <w:sz w:val="24"/>
          <w:szCs w:val="24"/>
          <w:lang w:val="pt-BR"/>
        </w:rPr>
        <w:t>a</w:t>
      </w:r>
      <w:r>
        <w:rPr>
          <w:rFonts w:cs="Calibri Light" w:ascii="Arial" w:hAnsi="Arial" w:cstheme="majorHAnsi"/>
          <w:sz w:val="24"/>
          <w:szCs w:val="24"/>
          <w:lang w:val="pt-BR"/>
        </w:rPr>
        <w:t xml:space="preserve">) verificar a manutenção das condições de habilitação exigidas; </w:t>
      </w:r>
    </w:p>
    <w:p>
      <w:pPr>
        <w:pStyle w:val="Normal"/>
        <w:jc w:val="both"/>
        <w:rPr>
          <w:rFonts w:ascii="Arial" w:hAnsi="Arial"/>
          <w:sz w:val="24"/>
          <w:szCs w:val="24"/>
        </w:rPr>
      </w:pPr>
      <w:r>
        <w:rPr>
          <w:rFonts w:cs="Calibri Light" w:ascii="Arial" w:hAnsi="Arial" w:cstheme="majorHAnsi"/>
          <w:b/>
          <w:bCs/>
          <w:sz w:val="24"/>
          <w:szCs w:val="24"/>
          <w:lang w:val="pt-BR"/>
        </w:rPr>
        <w:t>b</w:t>
      </w:r>
      <w:r>
        <w:rPr>
          <w:rFonts w:cs="Calibri Light" w:ascii="Arial" w:hAnsi="Arial"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jc w:val="both"/>
        <w:rPr>
          <w:rFonts w:ascii="Arial" w:hAnsi="Arial"/>
          <w:sz w:val="24"/>
          <w:szCs w:val="24"/>
        </w:rPr>
      </w:pPr>
      <w:r>
        <w:rPr>
          <w:rFonts w:cs="Calibri Light" w:ascii="Arial" w:hAnsi="Arial" w:cstheme="majorHAnsi"/>
          <w:b/>
          <w:bCs/>
          <w:sz w:val="24"/>
          <w:szCs w:val="24"/>
          <w:lang w:val="pt-BR"/>
        </w:rPr>
        <w:t>4.9.2</w:t>
      </w:r>
      <w:r>
        <w:rPr>
          <w:rFonts w:cs="Calibri Light" w:ascii="Arial" w:hAnsi="Arial"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jc w:val="both"/>
        <w:rPr>
          <w:rFonts w:ascii="Arial" w:hAnsi="Arial"/>
          <w:sz w:val="24"/>
          <w:szCs w:val="24"/>
        </w:rPr>
      </w:pPr>
      <w:r>
        <w:rPr>
          <w:rFonts w:cs="Calibri Light" w:ascii="Arial" w:hAnsi="Arial" w:cstheme="majorHAnsi"/>
          <w:b/>
          <w:bCs/>
          <w:sz w:val="24"/>
          <w:szCs w:val="24"/>
          <w:lang w:val="pt-BR"/>
        </w:rPr>
        <w:t>4.9.2.1</w:t>
      </w:r>
      <w:r>
        <w:rPr>
          <w:rFonts w:cs="Calibri Light" w:ascii="Arial" w:hAnsi="Arial" w:cstheme="majorHAnsi"/>
          <w:sz w:val="24"/>
          <w:szCs w:val="24"/>
          <w:lang w:val="pt-BR"/>
        </w:rPr>
        <w:t>.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Normal"/>
        <w:jc w:val="both"/>
        <w:rPr>
          <w:rFonts w:ascii="Arial" w:hAnsi="Arial"/>
          <w:sz w:val="24"/>
          <w:szCs w:val="24"/>
        </w:rPr>
      </w:pPr>
      <w:r>
        <w:rPr>
          <w:rFonts w:cs="Calibri Light" w:ascii="Arial" w:hAnsi="Arial" w:cstheme="majorHAnsi"/>
          <w:b/>
          <w:bCs/>
          <w:sz w:val="24"/>
          <w:szCs w:val="24"/>
          <w:lang w:val="pt-BR"/>
        </w:rPr>
        <w:t>4.9.2.2</w:t>
      </w:r>
      <w:r>
        <w:rPr>
          <w:rFonts w:cs="Calibri Light" w:ascii="Arial" w:hAnsi="Arial"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jc w:val="both"/>
        <w:rPr>
          <w:rFonts w:ascii="Arial" w:hAnsi="Arial"/>
          <w:sz w:val="24"/>
          <w:szCs w:val="24"/>
        </w:rPr>
      </w:pPr>
      <w:r>
        <w:rPr>
          <w:rFonts w:cs="Calibri Light" w:ascii="Arial" w:hAnsi="Arial" w:cstheme="majorHAnsi"/>
          <w:b/>
          <w:bCs/>
          <w:sz w:val="24"/>
          <w:szCs w:val="24"/>
          <w:lang w:val="pt-BR"/>
        </w:rPr>
        <w:t>4.9.2.3</w:t>
      </w:r>
      <w:r>
        <w:rPr>
          <w:rFonts w:cs="Calibri Light" w:ascii="Arial" w:hAnsi="Arial" w:cstheme="majorHAnsi"/>
          <w:sz w:val="24"/>
          <w:szCs w:val="24"/>
          <w:lang w:val="pt-BR"/>
        </w:rPr>
        <w:t>. Havendo a efetiva execução do objeto, os pagamentos serão realizados normalmente, até que se decida pela rescisão do contrato, caso o Contratado não regularize sua situação junto ao SICAF.</w:t>
      </w:r>
    </w:p>
    <w:p>
      <w:pPr>
        <w:pStyle w:val="Normal"/>
        <w:jc w:val="both"/>
        <w:rPr>
          <w:rFonts w:ascii="Arial" w:hAnsi="Arial"/>
          <w:sz w:val="24"/>
          <w:szCs w:val="24"/>
        </w:rPr>
      </w:pPr>
      <w:r>
        <w:rPr>
          <w:rFonts w:cs="Calibri Light" w:ascii="Arial" w:hAnsi="Arial" w:cstheme="majorHAnsi"/>
          <w:b/>
          <w:bCs/>
          <w:sz w:val="24"/>
          <w:szCs w:val="24"/>
          <w:lang w:val="pt-BR"/>
        </w:rPr>
        <w:t>4.9.3</w:t>
      </w:r>
      <w:r>
        <w:rPr>
          <w:rFonts w:cs="Calibri Light" w:ascii="Arial" w:hAnsi="Arial" w:cstheme="majorHAnsi"/>
          <w:sz w:val="24"/>
          <w:szCs w:val="24"/>
          <w:lang w:val="pt-BR"/>
        </w:rPr>
        <w:t>. Quando do pagamento, será efetuada a retenção tributária prevista na legislação aplicável.</w:t>
      </w:r>
    </w:p>
    <w:p>
      <w:pPr>
        <w:pStyle w:val="Normal"/>
        <w:jc w:val="both"/>
        <w:rPr>
          <w:rFonts w:ascii="Arial" w:hAnsi="Arial"/>
          <w:sz w:val="24"/>
          <w:szCs w:val="24"/>
        </w:rPr>
      </w:pPr>
      <w:r>
        <w:rPr>
          <w:rFonts w:cs="Calibri Light" w:ascii="Arial" w:hAnsi="Arial" w:cstheme="majorHAnsi"/>
          <w:b/>
          <w:bCs/>
          <w:sz w:val="24"/>
          <w:szCs w:val="24"/>
          <w:lang w:val="pt-BR"/>
        </w:rPr>
        <w:t>4.9.3.1</w:t>
      </w:r>
      <w:r>
        <w:rPr>
          <w:rFonts w:cs="Calibri Light" w:ascii="Arial" w:hAnsi="Arial" w:cstheme="majorHAnsi"/>
          <w:sz w:val="24"/>
          <w:szCs w:val="24"/>
          <w:lang w:val="pt-BR"/>
        </w:rPr>
        <w:t>. Independentemente do percentual de tributo inserido na planilha, no pagamento serão retidos na fonte os percentuais estabelecidos na legislação vigente.</w:t>
      </w:r>
    </w:p>
    <w:p>
      <w:pPr>
        <w:pStyle w:val="Normal"/>
        <w:jc w:val="both"/>
        <w:rPr>
          <w:rFonts w:ascii="Arial" w:hAnsi="Arial"/>
          <w:sz w:val="24"/>
          <w:szCs w:val="24"/>
        </w:rPr>
      </w:pPr>
      <w:r>
        <w:rPr>
          <w:rFonts w:cs="Calibri Light" w:ascii="Arial" w:hAnsi="Arial" w:cstheme="majorHAnsi"/>
          <w:b/>
          <w:bCs/>
          <w:sz w:val="24"/>
          <w:szCs w:val="24"/>
          <w:lang w:val="pt-BR"/>
        </w:rPr>
        <w:t>4.9.3.2</w:t>
      </w:r>
      <w:r>
        <w:rPr>
          <w:rFonts w:cs="Calibri Light" w:ascii="Arial" w:hAnsi="Arial"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5. DO REAJUSTE</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5.1</w:t>
      </w:r>
      <w:r>
        <w:rPr>
          <w:rFonts w:cs="Calibri Light" w:ascii="Arial" w:hAnsi="Arial" w:cstheme="majorHAnsi"/>
          <w:sz w:val="24"/>
          <w:szCs w:val="24"/>
          <w:lang w:val="pt-BR"/>
        </w:rPr>
        <w:t>. Os preços inicialmente contratados são fixos e irreajustáveis no prazo de um ano contado da data do orçamento estimado.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5.2</w:t>
      </w:r>
      <w:r>
        <w:rPr>
          <w:rFonts w:cs="Calibri Light" w:ascii="Arial" w:hAnsi="Arial" w:cstheme="majorHAnsi"/>
          <w:sz w:val="24"/>
          <w:szCs w:val="24"/>
          <w:lang w:val="pt-BR"/>
        </w:rPr>
        <w:t>. Após o interregno de um ano, e independentemente de pedido do Contratado, os preços iniciais serão reajustados, mediante a aplicação, pelo Contratante, do índice IPCA-E (Índice Nacional de Preços ao Consumidor Amplo Especial), conforme OS 008/2021/SMGAL, exclusivamente para as obrigações iniciadas e concluídas após a ocorrência da anualidade.</w:t>
      </w:r>
    </w:p>
    <w:p>
      <w:pPr>
        <w:pStyle w:val="Normal"/>
        <w:jc w:val="both"/>
        <w:rPr>
          <w:rFonts w:ascii="Arial" w:hAnsi="Arial"/>
          <w:sz w:val="24"/>
          <w:szCs w:val="24"/>
        </w:rPr>
      </w:pPr>
      <w:r>
        <w:rPr>
          <w:rFonts w:cs="Calibri Light" w:ascii="Arial" w:hAnsi="Arial" w:cstheme="majorHAnsi"/>
          <w:b/>
          <w:bCs/>
          <w:sz w:val="24"/>
          <w:szCs w:val="24"/>
          <w:lang w:val="pt-BR"/>
        </w:rPr>
        <w:t>5.2.1</w:t>
      </w:r>
      <w:r>
        <w:rPr>
          <w:rFonts w:cs="Calibri Light" w:ascii="Arial" w:hAnsi="Arial" w:cstheme="majorHAnsi"/>
          <w:sz w:val="24"/>
          <w:szCs w:val="24"/>
          <w:lang w:val="pt-BR"/>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jc w:val="both"/>
        <w:rPr>
          <w:rFonts w:ascii="Arial" w:hAnsi="Arial"/>
          <w:sz w:val="24"/>
          <w:szCs w:val="24"/>
        </w:rPr>
      </w:pPr>
      <w:r>
        <w:rPr>
          <w:rFonts w:cs="Calibri Light" w:ascii="Arial" w:hAnsi="Arial" w:cstheme="majorHAnsi"/>
          <w:b/>
          <w:bCs/>
          <w:sz w:val="24"/>
          <w:szCs w:val="24"/>
          <w:lang w:val="pt-BR"/>
        </w:rPr>
        <w:t>5.2.2</w:t>
      </w:r>
      <w:r>
        <w:rPr>
          <w:rFonts w:cs="Calibri Light" w:ascii="Arial" w:hAnsi="Arial" w:cstheme="majorHAnsi"/>
          <w:sz w:val="24"/>
          <w:szCs w:val="24"/>
          <w:lang w:val="pt-BR"/>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Arial" w:hAnsi="Arial"/>
          <w:sz w:val="24"/>
          <w:szCs w:val="24"/>
        </w:rPr>
      </w:pPr>
      <w:r>
        <w:rPr>
          <w:rFonts w:cs="Calibri Light" w:ascii="Arial" w:hAnsi="Arial" w:cstheme="majorHAnsi"/>
          <w:b/>
          <w:bCs/>
          <w:sz w:val="24"/>
          <w:szCs w:val="24"/>
          <w:lang w:val="pt-BR"/>
        </w:rPr>
        <w:t>5.2.2.1</w:t>
      </w:r>
      <w:r>
        <w:rPr>
          <w:rFonts w:cs="Calibri Light" w:ascii="Arial" w:hAnsi="Arial" w:cstheme="majorHAnsi"/>
          <w:sz w:val="24"/>
          <w:szCs w:val="24"/>
          <w:lang w:val="pt-BR"/>
        </w:rPr>
        <w:t>. Na ausência de previsão legal quanto ao índice substituto, as partes elegerão novo índice oficial, para reajustamento do preço do valor remanescente, por meio de termo aditivo.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5.3</w:t>
      </w:r>
      <w:r>
        <w:rPr>
          <w:rFonts w:cs="Calibri Light" w:ascii="Arial" w:hAnsi="Arial" w:cstheme="majorHAnsi"/>
          <w:sz w:val="24"/>
          <w:szCs w:val="24"/>
          <w:lang w:val="pt-BR"/>
        </w:rPr>
        <w:t>. Nos reajustes subsequentes ao primeiro, o interregno mínimo de um ano será contado a partir dos efeitos financeiros do último reajuste.</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5.4</w:t>
      </w:r>
      <w:r>
        <w:rPr>
          <w:rFonts w:cs="Calibri Light" w:ascii="Arial" w:hAnsi="Arial" w:cstheme="majorHAnsi"/>
          <w:sz w:val="24"/>
          <w:szCs w:val="24"/>
          <w:lang w:val="pt-BR"/>
        </w:rPr>
        <w:t>. O reajuste será concedido mediante simples apostila, conforme dispõe o art. 136 da Lei 14.133/2021.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5.5</w:t>
      </w:r>
      <w:r>
        <w:rPr>
          <w:rFonts w:cs="Calibri Light" w:ascii="Arial" w:hAnsi="Arial" w:cstheme="majorHAnsi"/>
          <w:sz w:val="24"/>
          <w:szCs w:val="24"/>
          <w:lang w:val="pt-BR"/>
        </w:rPr>
        <w:t>. Nas aferições finais, o índice utilizado para reajuste será, obrigatoriamente, o definitivo.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5.6</w:t>
      </w:r>
      <w:r>
        <w:rPr>
          <w:rFonts w:cs="Calibri Light" w:ascii="Arial" w:hAnsi="Arial" w:cstheme="majorHAnsi"/>
          <w:sz w:val="24"/>
          <w:szCs w:val="24"/>
          <w:lang w:val="pt-BR"/>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5.7</w:t>
      </w:r>
      <w:r>
        <w:rPr>
          <w:rFonts w:cs="Calibri Light" w:ascii="Arial" w:hAnsi="Arial" w:cstheme="majorHAnsi"/>
          <w:sz w:val="24"/>
          <w:szCs w:val="24"/>
          <w:lang w:val="pt-BR"/>
        </w:rPr>
        <w:t xml:space="preserve">. Na ausência de previsão legal quanto ao índice substituto, as partes elegerão novo índice oficial, para reajustamento do preço do valor remanescente, por meio de termo aditivo. </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5.8</w:t>
      </w:r>
      <w:r>
        <w:rPr>
          <w:rFonts w:cs="Calibri Light" w:ascii="Arial" w:hAnsi="Arial" w:cstheme="majorHAnsi"/>
          <w:sz w:val="24"/>
          <w:szCs w:val="24"/>
          <w:lang w:val="pt-BR"/>
        </w:rPr>
        <w:t>. O reajuste será realizado por apostilamento.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6. DA FONTE DE RECURSOS</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6.1</w:t>
      </w:r>
      <w:r>
        <w:rPr>
          <w:rFonts w:cs="Calibri Light" w:ascii="Arial" w:hAnsi="Arial" w:cstheme="majorHAnsi"/>
          <w:sz w:val="24"/>
          <w:szCs w:val="24"/>
          <w:lang w:val="pt-BR"/>
        </w:rPr>
        <w:t>. A despesa correrá por conta da seguinte dotação orçamentária:</w:t>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cs="Calibri Light" w:ascii="Arial" w:hAnsi="Arial" w:cstheme="majorHAnsi"/>
          <w:sz w:val="24"/>
          <w:szCs w:val="24"/>
          <w:lang w:val="pt-BR"/>
        </w:rPr>
        <w:t xml:space="preserve">07 – Secretaria de Municipio da Pesca, Agricultura e Cooperativismo </w:t>
      </w:r>
    </w:p>
    <w:p>
      <w:pPr>
        <w:pStyle w:val="Normal"/>
        <w:jc w:val="both"/>
        <w:rPr>
          <w:rFonts w:ascii="Arial" w:hAnsi="Arial"/>
          <w:sz w:val="24"/>
          <w:szCs w:val="24"/>
        </w:rPr>
      </w:pPr>
      <w:r>
        <w:rPr>
          <w:rFonts w:cs="Calibri Light" w:ascii="Arial" w:hAnsi="Arial" w:cstheme="majorHAnsi"/>
          <w:sz w:val="24"/>
          <w:szCs w:val="24"/>
          <w:lang w:val="pt-BR"/>
        </w:rPr>
        <w:t xml:space="preserve">03 – Superintendência de Cooperativismo e Abastecimento </w:t>
      </w:r>
    </w:p>
    <w:p>
      <w:pPr>
        <w:pStyle w:val="Normal"/>
        <w:jc w:val="both"/>
        <w:rPr>
          <w:rFonts w:ascii="Arial" w:hAnsi="Arial"/>
          <w:sz w:val="24"/>
          <w:szCs w:val="24"/>
        </w:rPr>
      </w:pPr>
      <w:r>
        <w:rPr>
          <w:rFonts w:cs="Calibri Light" w:ascii="Arial" w:hAnsi="Arial" w:cstheme="majorHAnsi"/>
          <w:sz w:val="24"/>
          <w:szCs w:val="24"/>
          <w:lang w:val="pt-BR"/>
        </w:rPr>
        <w:t xml:space="preserve">20 – Agricultura </w:t>
      </w:r>
    </w:p>
    <w:p>
      <w:pPr>
        <w:pStyle w:val="Normal"/>
        <w:jc w:val="both"/>
        <w:rPr>
          <w:rFonts w:ascii="Arial" w:hAnsi="Arial"/>
          <w:sz w:val="24"/>
          <w:szCs w:val="24"/>
        </w:rPr>
      </w:pPr>
      <w:r>
        <w:rPr>
          <w:rFonts w:cs="Calibri Light" w:ascii="Arial" w:hAnsi="Arial" w:cstheme="majorHAnsi"/>
          <w:sz w:val="24"/>
          <w:szCs w:val="24"/>
          <w:lang w:val="pt-BR"/>
        </w:rPr>
        <w:t xml:space="preserve">605 – Abastecimento </w:t>
      </w:r>
    </w:p>
    <w:p>
      <w:pPr>
        <w:pStyle w:val="Normal"/>
        <w:jc w:val="both"/>
        <w:rPr>
          <w:rFonts w:ascii="Arial" w:hAnsi="Arial"/>
          <w:sz w:val="24"/>
          <w:szCs w:val="24"/>
        </w:rPr>
      </w:pPr>
      <w:r>
        <w:rPr>
          <w:rFonts w:cs="Calibri Light" w:ascii="Arial" w:hAnsi="Arial" w:cstheme="majorHAnsi"/>
          <w:sz w:val="24"/>
          <w:szCs w:val="24"/>
          <w:lang w:val="pt-BR"/>
        </w:rPr>
        <w:t xml:space="preserve">0005 – Foco no Desenvolvimento do Setor Primário </w:t>
      </w:r>
    </w:p>
    <w:p>
      <w:pPr>
        <w:pStyle w:val="Normal"/>
        <w:jc w:val="both"/>
        <w:rPr>
          <w:rFonts w:ascii="Arial" w:hAnsi="Arial"/>
          <w:sz w:val="24"/>
          <w:szCs w:val="24"/>
        </w:rPr>
      </w:pPr>
      <w:r>
        <w:rPr>
          <w:rFonts w:cs="Calibri Light" w:ascii="Arial" w:hAnsi="Arial" w:cstheme="majorHAnsi"/>
          <w:sz w:val="24"/>
          <w:szCs w:val="24"/>
          <w:lang w:val="pt-BR"/>
        </w:rPr>
        <w:t xml:space="preserve">2222 – Manutenção do Fundo do Mercado Municipal </w:t>
      </w:r>
    </w:p>
    <w:p>
      <w:pPr>
        <w:pStyle w:val="Normal"/>
        <w:jc w:val="both"/>
        <w:rPr>
          <w:rFonts w:ascii="Arial" w:hAnsi="Arial"/>
          <w:sz w:val="24"/>
          <w:szCs w:val="24"/>
        </w:rPr>
      </w:pPr>
      <w:r>
        <w:rPr>
          <w:rFonts w:cs="Calibri Light" w:ascii="Arial" w:hAnsi="Arial" w:cstheme="majorHAnsi"/>
          <w:sz w:val="24"/>
          <w:szCs w:val="24"/>
          <w:lang w:val="pt-BR"/>
        </w:rPr>
        <w:t>3.3.90.39.00.00.00.00 – Outros Serviços de Terc.- Pessoa Juridica</w:t>
      </w:r>
    </w:p>
    <w:p>
      <w:pPr>
        <w:pStyle w:val="Normal"/>
        <w:jc w:val="both"/>
        <w:rPr>
          <w:rFonts w:ascii="Arial" w:hAnsi="Arial"/>
          <w:sz w:val="24"/>
          <w:szCs w:val="24"/>
        </w:rPr>
      </w:pPr>
      <w:r>
        <w:rPr>
          <w:rFonts w:cs="Calibri Light" w:ascii="Arial" w:hAnsi="Arial" w:cstheme="majorHAnsi"/>
          <w:sz w:val="24"/>
          <w:szCs w:val="24"/>
          <w:lang w:val="pt-BR"/>
        </w:rPr>
        <w:t xml:space="preserve">3.3.90.39.16.00.00.00- Manutenção e Conservação de Bens Móveis </w:t>
      </w:r>
    </w:p>
    <w:p>
      <w:pPr>
        <w:pStyle w:val="Normal"/>
        <w:jc w:val="both"/>
        <w:rPr>
          <w:rFonts w:ascii="Arial" w:hAnsi="Arial"/>
          <w:sz w:val="24"/>
          <w:szCs w:val="24"/>
        </w:rPr>
      </w:pPr>
      <w:r>
        <w:rPr>
          <w:rFonts w:cs="Calibri Light" w:ascii="Arial" w:hAnsi="Arial" w:cstheme="majorHAnsi"/>
          <w:sz w:val="24"/>
          <w:szCs w:val="24"/>
          <w:lang w:val="pt-BR"/>
        </w:rPr>
        <w:t xml:space="preserve">Código reduzido: 985 </w:t>
      </w:r>
    </w:p>
    <w:p>
      <w:pPr>
        <w:pStyle w:val="Normal"/>
        <w:jc w:val="both"/>
        <w:rPr>
          <w:rFonts w:ascii="Arial" w:hAnsi="Arial"/>
          <w:sz w:val="24"/>
          <w:szCs w:val="24"/>
        </w:rPr>
      </w:pPr>
      <w:r>
        <w:rPr>
          <w:rFonts w:cs="Calibri Light" w:ascii="Arial" w:hAnsi="Arial" w:cstheme="majorHAnsi"/>
          <w:sz w:val="24"/>
          <w:szCs w:val="24"/>
          <w:lang w:val="pt-BR"/>
        </w:rPr>
        <w:t xml:space="preserve">Vínculo: 7591824 </w:t>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7. DO MODELO DE EXECUÇÃO E GESTÃO CONTRATUAIS</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7.1</w:t>
      </w:r>
      <w:r>
        <w:rPr>
          <w:rFonts w:cs="Calibri Light" w:ascii="Arial" w:hAnsi="Arial" w:cstheme="majorHAnsi"/>
          <w:sz w:val="24"/>
          <w:szCs w:val="24"/>
          <w:lang w:val="pt-BR"/>
        </w:rPr>
        <w:t>. O modelo de gestão, assim como os prazos e condições de conclusão, entrega, observação e recebimento definitivo constam no Termo de Referência, anexo a este Contrato.</w:t>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8. DA SUBCONTRATAÇÃO</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8.1</w:t>
      </w:r>
      <w:r>
        <w:rPr>
          <w:rFonts w:cs="Calibri Light" w:ascii="Arial" w:hAnsi="Arial" w:cstheme="majorHAnsi"/>
          <w:sz w:val="24"/>
          <w:szCs w:val="24"/>
          <w:lang w:val="pt-BR"/>
        </w:rPr>
        <w:t>. Conforme previsto no Termo de Referência.</w:t>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9. DAS OBRIGAÇÕES DA CONTRATANTE</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9.1</w:t>
      </w:r>
      <w:r>
        <w:rPr>
          <w:rFonts w:cs="Calibri Light" w:ascii="Arial" w:hAnsi="Arial" w:cstheme="majorHAnsi"/>
          <w:sz w:val="24"/>
          <w:szCs w:val="24"/>
          <w:lang w:val="pt-BR"/>
        </w:rPr>
        <w:t>. Exigir o cumprimento de todas as obrigações assumidas pelo Contratado, de acordo com este instrumento e seus anexos.</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9.2</w:t>
      </w:r>
      <w:r>
        <w:rPr>
          <w:rFonts w:cs="Calibri Light" w:ascii="Arial" w:hAnsi="Arial" w:cstheme="majorHAnsi"/>
          <w:sz w:val="24"/>
          <w:szCs w:val="24"/>
          <w:lang w:val="pt-BR"/>
        </w:rPr>
        <w:t>. Receber o objeto no prazo e condições estabelecidas no Termo de Referência.</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9.3</w:t>
      </w:r>
      <w:r>
        <w:rPr>
          <w:rFonts w:cs="Calibri Light" w:ascii="Arial" w:hAnsi="Arial" w:cstheme="majorHAnsi"/>
          <w:sz w:val="24"/>
          <w:szCs w:val="24"/>
          <w:lang w:val="pt-BR"/>
        </w:rPr>
        <w:t>. Notificar o Contratado, por escrito, sobre vícios, defeitos ou incorreções verificadas no objeto fornecido, para que seja por ele substituído, reparado ou corrigido, no total ou em parte, às suas expensas.</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9.4</w:t>
      </w:r>
      <w:r>
        <w:rPr>
          <w:rFonts w:cs="Calibri Light" w:ascii="Arial" w:hAnsi="Arial" w:cstheme="majorHAnsi"/>
          <w:sz w:val="24"/>
          <w:szCs w:val="24"/>
          <w:lang w:val="pt-BR"/>
        </w:rPr>
        <w:t>. Acompanhar e fiscalizar a execução e o cumprimento das obrigações pelo Contratado.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9.5</w:t>
      </w:r>
      <w:r>
        <w:rPr>
          <w:rFonts w:cs="Calibri Light" w:ascii="Arial" w:hAnsi="Arial" w:cstheme="majorHAnsi"/>
          <w:sz w:val="24"/>
          <w:szCs w:val="24"/>
          <w:lang w:val="pt-BR"/>
        </w:rPr>
        <w:t>. Efetuar o pagamento ao Contratado do valor correspondente ao fornecimento do objeto, no prazo, forma e condições estabelecidos no presente instrumento.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9.6</w:t>
      </w:r>
      <w:r>
        <w:rPr>
          <w:rFonts w:cs="Calibri Light" w:ascii="Arial" w:hAnsi="Arial" w:cstheme="majorHAnsi"/>
          <w:sz w:val="24"/>
          <w:szCs w:val="24"/>
          <w:lang w:val="pt-BR"/>
        </w:rPr>
        <w:t>. Aplicar ao Contratado sanções motivadas pela inexecução total ou parcial da avença.</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9.7</w:t>
      </w:r>
      <w:r>
        <w:rPr>
          <w:rFonts w:cs="Calibri Light" w:ascii="Arial" w:hAnsi="Arial" w:cstheme="majorHAnsi"/>
          <w:sz w:val="24"/>
          <w:szCs w:val="24"/>
          <w:lang w:val="pt-BR"/>
        </w:rPr>
        <w:t>. Emitir decisão sobre todas as solicitações e reclamações relacionadas à execução do presente, ressalvados os requerimentos manifestamente impertinentes, meramente protelatórios ou de nenhum interesse para a boa execução do ajuste.</w:t>
      </w:r>
    </w:p>
    <w:p>
      <w:pPr>
        <w:pStyle w:val="Normal"/>
        <w:jc w:val="both"/>
        <w:rPr>
          <w:rFonts w:ascii="Arial" w:hAnsi="Arial"/>
          <w:sz w:val="24"/>
          <w:szCs w:val="24"/>
        </w:rPr>
      </w:pPr>
      <w:r>
        <w:rPr>
          <w:rFonts w:cs="Calibri Light" w:ascii="Arial" w:hAnsi="Arial" w:cstheme="majorHAnsi"/>
          <w:b/>
          <w:bCs/>
          <w:sz w:val="24"/>
          <w:szCs w:val="24"/>
          <w:lang w:val="pt-BR"/>
        </w:rPr>
        <w:t>9.7.1</w:t>
      </w:r>
      <w:r>
        <w:rPr>
          <w:rFonts w:cs="Calibri Light" w:ascii="Arial" w:hAnsi="Arial" w:cstheme="majorHAnsi"/>
          <w:sz w:val="24"/>
          <w:szCs w:val="24"/>
          <w:lang w:val="pt-BR"/>
        </w:rPr>
        <w:t>. Concluída a instrução do requerimento, a Administração terá o prazo de 30 (trinta) dias para decidir, admitida a prorrogação motivada por igual período.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9.8</w:t>
      </w:r>
      <w:r>
        <w:rPr>
          <w:rFonts w:cs="Calibri Light" w:ascii="Arial" w:hAnsi="Arial" w:cstheme="majorHAnsi"/>
          <w:sz w:val="24"/>
          <w:szCs w:val="24"/>
          <w:lang w:val="pt-BR"/>
        </w:rPr>
        <w:t>. A Administração não responderá por quaisquer compromissos assumidos pelo Contratado com terceiros, ainda que vinculados à execução deste, bem como por qualquer dano causado a terceiros em decorrência de ato do Contratado, de seus empregados, prepostos ou subordinados.</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10. DAS OBRIGAÇÕES DO CONTRATADO</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10.1</w:t>
      </w:r>
      <w:r>
        <w:rPr>
          <w:rFonts w:cs="Calibri Light" w:ascii="Arial" w:hAnsi="Arial" w:cstheme="majorHAnsi"/>
          <w:sz w:val="24"/>
          <w:szCs w:val="24"/>
          <w:lang w:val="pt-BR"/>
        </w:rPr>
        <w:t>. O Contratado deve cumprir todas as obrigações constantes deste Contrato e em seus anexos, assumindo como exclusivamente seus os riscos e as despesas decorrentes da boa e perfeita execução do objeto.</w:t>
      </w:r>
    </w:p>
    <w:p>
      <w:pPr>
        <w:pStyle w:val="Normal"/>
        <w:jc w:val="both"/>
        <w:rPr>
          <w:rFonts w:ascii="Arial" w:hAnsi="Arial"/>
          <w:sz w:val="24"/>
          <w:szCs w:val="24"/>
        </w:rPr>
      </w:pPr>
      <w:r>
        <w:rPr>
          <w:rFonts w:cs="Calibri Light" w:ascii="Arial" w:hAnsi="Arial" w:cstheme="majorHAnsi"/>
          <w:b/>
          <w:bCs/>
          <w:sz w:val="24"/>
          <w:szCs w:val="24"/>
          <w:lang w:val="pt-BR"/>
        </w:rPr>
        <w:t>10.1.1</w:t>
      </w:r>
      <w:r>
        <w:rPr>
          <w:rFonts w:cs="Calibri Light" w:ascii="Arial" w:hAnsi="Arial" w:cstheme="majorHAnsi"/>
          <w:sz w:val="24"/>
          <w:szCs w:val="24"/>
          <w:lang w:val="pt-BR"/>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10.2</w:t>
      </w:r>
      <w:r>
        <w:rPr>
          <w:rFonts w:cs="Calibri Light" w:ascii="Arial" w:hAnsi="Arial" w:cstheme="majorHAnsi"/>
          <w:sz w:val="24"/>
          <w:szCs w:val="24"/>
          <w:lang w:val="pt-BR"/>
        </w:rPr>
        <w:t>. Efetuar a entrega do objeto em perfeitas condições, conforme especificações, prazo e local constantes no Termo de Referência,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10.3</w:t>
      </w:r>
      <w:r>
        <w:rPr>
          <w:rFonts w:cs="Calibri Light" w:ascii="Arial" w:hAnsi="Arial" w:cstheme="majorHAnsi"/>
          <w:sz w:val="24"/>
          <w:szCs w:val="24"/>
          <w:lang w:val="pt-BR"/>
        </w:rPr>
        <w:t>. Responsabilizar-se pelos vícios e danos decorrentes do objeto, de acordo com os arts. 12, 13 e 17 a 27, do Código de Defesa do Consumidor (Lei 8.078/1990).</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10.4</w:t>
      </w:r>
      <w:r>
        <w:rPr>
          <w:rFonts w:cs="Calibri Light" w:ascii="Arial" w:hAnsi="Arial" w:cstheme="majorHAnsi"/>
          <w:sz w:val="24"/>
          <w:szCs w:val="24"/>
          <w:lang w:val="pt-BR"/>
        </w:rPr>
        <w:t>. Substituir, reparar ou corrigir, às suas expensas, no prazo fixado no Termo de Referência, o objeto com avarias ou defeitos.</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10.5</w:t>
      </w:r>
      <w:r>
        <w:rPr>
          <w:rFonts w:cs="Calibri Light" w:ascii="Arial" w:hAnsi="Arial" w:cstheme="majorHAnsi"/>
          <w:sz w:val="24"/>
          <w:szCs w:val="24"/>
          <w:lang w:val="pt-BR"/>
        </w:rPr>
        <w:t>. Comunicar ao Contratante, no prazo máximo de 24 (vinte e quatro) horas que antecede a data da entrega, os motivos que impossibilitem o cumprimento do prazo previsto, com a devida comprovação.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10.6</w:t>
      </w:r>
      <w:r>
        <w:rPr>
          <w:rFonts w:cs="Calibri Light" w:ascii="Arial" w:hAnsi="Arial" w:cstheme="majorHAnsi"/>
          <w:sz w:val="24"/>
          <w:szCs w:val="24"/>
          <w:lang w:val="pt-BR"/>
        </w:rPr>
        <w:t>. Manter durante toda a vigência, compatibilidade com as obrigações assumidas, todas as condições de habilitação e qualificação exigidas na contratação.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10.7</w:t>
      </w:r>
      <w:r>
        <w:rPr>
          <w:rFonts w:cs="Calibri Light" w:ascii="Arial" w:hAnsi="Arial" w:cstheme="majorHAnsi"/>
          <w:sz w:val="24"/>
          <w:szCs w:val="24"/>
          <w:lang w:val="pt-BR"/>
        </w:rPr>
        <w:t>. Manter atualizado os seus dados no Portal Nacional de Contratações Públicas (PNCP), conforme legislação vigente.</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10.8</w:t>
      </w:r>
      <w:r>
        <w:rPr>
          <w:rFonts w:cs="Calibri Light" w:ascii="Arial" w:hAnsi="Arial" w:cstheme="majorHAnsi"/>
          <w:sz w:val="24"/>
          <w:szCs w:val="24"/>
          <w:lang w:val="pt-BR"/>
        </w:rPr>
        <w:t>. Guardar sigilo sobre todas as informações obtidas em decorrência do cumprimento do contrato.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10.9</w:t>
      </w:r>
      <w:r>
        <w:rPr>
          <w:rFonts w:cs="Calibri Light" w:ascii="Arial" w:hAnsi="Arial" w:cstheme="majorHAnsi"/>
          <w:sz w:val="24"/>
          <w:szCs w:val="24"/>
          <w:lang w:val="pt-BR"/>
        </w:rPr>
        <w:t>. Arcar com o ônus decorrente de eventual equívoco no dimensionamento dos quantitativos de sua proposta, devendo complementá-los, caso o previsto inicialmente em sua proposta não seja satisfatório para o atendimento ao objeto da licitação, exceto quando houver:</w:t>
      </w:r>
    </w:p>
    <w:p>
      <w:pPr>
        <w:pStyle w:val="Normal"/>
        <w:jc w:val="both"/>
        <w:rPr>
          <w:rFonts w:ascii="Arial" w:hAnsi="Arial"/>
          <w:sz w:val="24"/>
          <w:szCs w:val="24"/>
        </w:rPr>
      </w:pPr>
      <w:r>
        <w:rPr>
          <w:rFonts w:cs="Calibri Light" w:ascii="Arial" w:hAnsi="Arial" w:cstheme="majorHAnsi"/>
          <w:b/>
          <w:bCs/>
          <w:sz w:val="24"/>
          <w:szCs w:val="24"/>
          <w:lang w:val="pt-BR"/>
        </w:rPr>
        <w:t>a</w:t>
      </w:r>
      <w:r>
        <w:rPr>
          <w:rFonts w:cs="Calibri Light" w:ascii="Arial" w:hAnsi="Arial" w:cstheme="majorHAnsi"/>
          <w:sz w:val="24"/>
          <w:szCs w:val="24"/>
          <w:lang w:val="pt-BR"/>
        </w:rPr>
        <w:t>) alteração qualitativa do projeto ou de suas especificações pelo Município;</w:t>
      </w:r>
    </w:p>
    <w:p>
      <w:pPr>
        <w:pStyle w:val="Normal"/>
        <w:jc w:val="both"/>
        <w:rPr>
          <w:rFonts w:ascii="Arial" w:hAnsi="Arial"/>
          <w:sz w:val="24"/>
          <w:szCs w:val="24"/>
        </w:rPr>
      </w:pPr>
      <w:r>
        <w:rPr>
          <w:rFonts w:cs="Calibri Light" w:ascii="Arial" w:hAnsi="Arial" w:cstheme="majorHAnsi"/>
          <w:b/>
          <w:bCs/>
          <w:sz w:val="24"/>
          <w:szCs w:val="24"/>
          <w:lang w:val="pt-BR"/>
        </w:rPr>
        <w:t>b</w:t>
      </w:r>
      <w:r>
        <w:rPr>
          <w:rFonts w:cs="Calibri Light" w:ascii="Arial" w:hAnsi="Arial" w:cstheme="majorHAnsi"/>
          <w:sz w:val="24"/>
          <w:szCs w:val="24"/>
          <w:lang w:val="pt-BR"/>
        </w:rPr>
        <w:t>) retardamento na expedição da ordem de execução do serviço ou autorização de fornecimento, interrupção da execução do contrato ou diminuição do ritmo do trabalho, por ordem e no interesse do Município;</w:t>
      </w:r>
    </w:p>
    <w:p>
      <w:pPr>
        <w:pStyle w:val="Normal"/>
        <w:jc w:val="both"/>
        <w:rPr>
          <w:rFonts w:ascii="Arial" w:hAnsi="Arial"/>
          <w:sz w:val="24"/>
          <w:szCs w:val="24"/>
        </w:rPr>
      </w:pPr>
      <w:r>
        <w:rPr>
          <w:rFonts w:cs="Calibri Light" w:ascii="Arial" w:hAnsi="Arial" w:cstheme="majorHAnsi"/>
          <w:b/>
          <w:bCs/>
          <w:sz w:val="24"/>
          <w:szCs w:val="24"/>
          <w:lang w:val="pt-BR"/>
        </w:rPr>
        <w:t>c</w:t>
      </w:r>
      <w:r>
        <w:rPr>
          <w:rFonts w:cs="Calibri Light" w:ascii="Arial" w:hAnsi="Arial" w:cstheme="majorHAnsi"/>
          <w:sz w:val="24"/>
          <w:szCs w:val="24"/>
          <w:lang w:val="pt-BR"/>
        </w:rPr>
        <w:t>) aumento das quantidades inicialmente previstas no contrato, nos limites permitidos pela Lei 14.133/2021.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10.10</w:t>
      </w:r>
      <w:r>
        <w:rPr>
          <w:rFonts w:cs="Calibri Light" w:ascii="Arial" w:hAnsi="Arial" w:cstheme="majorHAnsi"/>
          <w:sz w:val="24"/>
          <w:szCs w:val="24"/>
          <w:lang w:val="pt-BR"/>
        </w:rPr>
        <w:t>. Cumprir, durante todo o período de execução, a reserva de cargos prevista em lei para pessoa com deficiência, para reabilitado da Previdência Social ou para aprendiz, bem como as reservas de cargos previstas na legislação (art. 116 da Lei 14.133/2021).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10.11</w:t>
      </w:r>
      <w:r>
        <w:rPr>
          <w:rFonts w:cs="Calibri Light" w:ascii="Arial" w:hAnsi="Arial" w:cstheme="majorHAnsi"/>
          <w:sz w:val="24"/>
          <w:szCs w:val="24"/>
          <w:lang w:val="pt-BR"/>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10.12</w:t>
      </w:r>
      <w:r>
        <w:rPr>
          <w:rFonts w:cs="Calibri Light" w:ascii="Arial" w:hAnsi="Arial" w:cstheme="majorHAnsi"/>
          <w:sz w:val="24"/>
          <w:szCs w:val="24"/>
          <w:lang w:val="pt-BR"/>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10.13</w:t>
      </w:r>
      <w:r>
        <w:rPr>
          <w:rFonts w:cs="Calibri Light" w:ascii="Arial" w:hAnsi="Arial" w:cstheme="majorHAnsi"/>
          <w:sz w:val="24"/>
          <w:szCs w:val="24"/>
          <w:lang w:val="pt-BR"/>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10.14</w:t>
      </w:r>
      <w:r>
        <w:rPr>
          <w:rFonts w:cs="Calibri Light" w:ascii="Arial" w:hAnsi="Arial" w:cstheme="majorHAnsi"/>
          <w:sz w:val="24"/>
          <w:szCs w:val="24"/>
          <w:lang w:val="pt-BR"/>
        </w:rPr>
        <w:t>. Submeter previamente, por escrito, ao Contratante, para análise e aprovação, quaisquer mudanças nos métodos executivos que fujam às especificações do Termo de Referência ou instrumento congênere.</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10.15</w:t>
      </w:r>
      <w:r>
        <w:rPr>
          <w:rFonts w:cs="Calibri Light" w:ascii="Arial" w:hAnsi="Arial" w:cstheme="majorHAnsi"/>
          <w:sz w:val="24"/>
          <w:szCs w:val="24"/>
          <w:lang w:val="pt-BR"/>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10.17</w:t>
      </w:r>
      <w:r>
        <w:rPr>
          <w:rFonts w:cs="Calibri Light" w:ascii="Arial" w:hAnsi="Arial" w:cstheme="majorHAnsi"/>
          <w:sz w:val="24"/>
          <w:szCs w:val="24"/>
          <w:lang w:val="pt-BR"/>
        </w:rPr>
        <w:t>. Comunicar ao Fiscal do contrato, no prazo de 24 (vinte e quatro) horas, qualquer ocorrência anormal ou acidente que se verifique no local dos serviços.</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10.18</w:t>
      </w:r>
      <w:r>
        <w:rPr>
          <w:rFonts w:cs="Calibri Light" w:ascii="Arial" w:hAnsi="Arial" w:cstheme="majorHAnsi"/>
          <w:sz w:val="24"/>
          <w:szCs w:val="24"/>
          <w:lang w:val="pt-BR"/>
        </w:rPr>
        <w:t>. Prestar todo esclarecimento ou informação solicitada pelo Contratante, garantindo-lhes o acesso, a qualquer tempo, ao local dos trabalhos, bem como aos documentos relativos à execução do empreendimento.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10.19</w:t>
      </w:r>
      <w:r>
        <w:rPr>
          <w:rFonts w:cs="Calibri Light" w:ascii="Arial" w:hAnsi="Arial" w:cstheme="majorHAnsi"/>
          <w:sz w:val="24"/>
          <w:szCs w:val="24"/>
          <w:lang w:val="pt-BR"/>
        </w:rPr>
        <w:t>. Paralisar, por determinação do Contratante, qualquer atividade que não esteja sendo executada de acordo com a boa técnica ou que ponha em risco a segurança de pessoas ou bens de terceiros.</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10.20</w:t>
      </w:r>
      <w:r>
        <w:rPr>
          <w:rFonts w:cs="Calibri Light" w:ascii="Arial" w:hAnsi="Arial" w:cstheme="majorHAnsi"/>
          <w:sz w:val="24"/>
          <w:szCs w:val="24"/>
          <w:lang w:val="pt-BR"/>
        </w:rPr>
        <w:t>. Promover a guarda, manutenção e vigilância de materiais, ferramentas, e tudo o que for necessário à execução do objeto, durante a vigência do contrato.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10.21</w:t>
      </w:r>
      <w:r>
        <w:rPr>
          <w:rFonts w:cs="Calibri Light" w:ascii="Arial" w:hAnsi="Arial" w:cstheme="majorHAnsi"/>
          <w:sz w:val="24"/>
          <w:szCs w:val="24"/>
          <w:lang w:val="pt-BR"/>
        </w:rPr>
        <w:t>. Conduzir os trabalhos com estrita observância às normas da legislação pertinente, cumprindo as determinações dos Poderes Públicos, mantendo sempre limpo o local dos serviços e nas melhores condições de segurança, higiene e disciplina.</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10.22</w:t>
      </w:r>
      <w:r>
        <w:rPr>
          <w:rFonts w:cs="Calibri Light" w:ascii="Arial" w:hAnsi="Arial" w:cstheme="majorHAnsi"/>
          <w:sz w:val="24"/>
          <w:szCs w:val="24"/>
          <w:lang w:val="pt-BR"/>
        </w:rPr>
        <w:t>. Adotar as providências e precauções necessárias, inclusive consulta nos respectivos órgãos, se necessário for, a fim de que não venham a ser danificadas as redes hidrossanitárias, elétricas e de comunicação.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11. DA GARANTIA DE EXECUÇÃO</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11.1</w:t>
      </w:r>
      <w:r>
        <w:rPr>
          <w:rFonts w:cs="Calibri Light" w:ascii="Arial" w:hAnsi="Arial" w:cstheme="majorHAnsi"/>
          <w:sz w:val="24"/>
          <w:szCs w:val="24"/>
          <w:lang w:val="pt-BR"/>
        </w:rPr>
        <w:t>. Não haverá exigência de garantia de execução.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12. DA GARANTIA CONTRATUAL</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12.1</w:t>
      </w:r>
      <w:r>
        <w:rPr>
          <w:rFonts w:cs="Calibri Light" w:ascii="Arial" w:hAnsi="Arial" w:cstheme="majorHAnsi"/>
          <w:sz w:val="24"/>
          <w:szCs w:val="24"/>
          <w:lang w:val="pt-BR"/>
        </w:rPr>
        <w:t>. Não haverá exigência de obrigações futuras.</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13. DAS INFRAÇÕES E SANÇÕES ADMINISTRATIVAS</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bookmarkStart w:id="0" w:name="_Hlk127374985"/>
      <w:r>
        <w:rPr>
          <w:rFonts w:cs="Calibri Light" w:ascii="Arial" w:hAnsi="Arial" w:cstheme="majorHAnsi"/>
          <w:b/>
          <w:bCs/>
          <w:sz w:val="24"/>
          <w:szCs w:val="24"/>
          <w:lang w:val="pt-BR"/>
        </w:rPr>
        <w:t>13.1</w:t>
      </w:r>
      <w:r>
        <w:rPr>
          <w:rFonts w:cs="Calibri Light" w:ascii="Arial" w:hAnsi="Arial" w:cstheme="majorHAnsi"/>
          <w:sz w:val="24"/>
          <w:szCs w:val="24"/>
          <w:lang w:val="pt-BR"/>
        </w:rPr>
        <w:t>. O Licitante e o Contratado que incorram nas infrações descritas, no art. 155 da Lei 14.133/2021, sujeitam-se às sanções administrativas previstas no art. 156, sem prejuízo de eventuais implicações penais nos termos do que prevê o Capítulo II-B do Título XI do Código Penal.</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13.2</w:t>
      </w:r>
      <w:r>
        <w:rPr>
          <w:rFonts w:cs="Calibri Light" w:ascii="Arial" w:hAnsi="Arial" w:cstheme="majorHAnsi"/>
          <w:sz w:val="24"/>
          <w:szCs w:val="24"/>
          <w:lang w:val="pt-BR"/>
        </w:rPr>
        <w:t>. Pelo descumprimento total ou parcial, aplicar-se-á as sanções administrativas de:</w:t>
      </w:r>
    </w:p>
    <w:p>
      <w:pPr>
        <w:pStyle w:val="Normal"/>
        <w:jc w:val="both"/>
        <w:rPr>
          <w:rFonts w:ascii="Arial" w:hAnsi="Arial"/>
          <w:sz w:val="24"/>
          <w:szCs w:val="24"/>
        </w:rPr>
      </w:pPr>
      <w:r>
        <w:rPr>
          <w:rFonts w:cs="Calibri Light" w:ascii="Arial" w:hAnsi="Arial" w:cstheme="majorHAnsi"/>
          <w:b/>
          <w:bCs/>
          <w:sz w:val="24"/>
          <w:szCs w:val="24"/>
          <w:lang w:val="pt-BR"/>
        </w:rPr>
        <w:t>I</w:t>
      </w:r>
      <w:r>
        <w:rPr>
          <w:rFonts w:cs="Calibri Light" w:ascii="Arial" w:hAnsi="Arial" w:cstheme="majorHAnsi"/>
          <w:sz w:val="24"/>
          <w:szCs w:val="24"/>
          <w:lang w:val="pt-BR"/>
        </w:rPr>
        <w:t xml:space="preserve"> - advertência;</w:t>
      </w:r>
    </w:p>
    <w:p>
      <w:pPr>
        <w:pStyle w:val="Normal"/>
        <w:jc w:val="both"/>
        <w:rPr>
          <w:rFonts w:ascii="Arial" w:hAnsi="Arial"/>
          <w:sz w:val="24"/>
          <w:szCs w:val="24"/>
        </w:rPr>
      </w:pPr>
      <w:r>
        <w:rPr>
          <w:rFonts w:cs="Calibri Light" w:ascii="Arial" w:hAnsi="Arial" w:cstheme="majorHAnsi"/>
          <w:b/>
          <w:bCs/>
          <w:sz w:val="24"/>
          <w:szCs w:val="24"/>
          <w:lang w:val="pt-BR"/>
        </w:rPr>
        <w:t>II</w:t>
      </w:r>
      <w:r>
        <w:rPr>
          <w:rFonts w:cs="Calibri Light" w:ascii="Arial" w:hAnsi="Arial" w:cstheme="majorHAnsi"/>
          <w:sz w:val="24"/>
          <w:szCs w:val="24"/>
          <w:lang w:val="pt-BR"/>
        </w:rPr>
        <w:t xml:space="preserve"> - multa;</w:t>
      </w:r>
    </w:p>
    <w:p>
      <w:pPr>
        <w:pStyle w:val="Normal"/>
        <w:jc w:val="both"/>
        <w:rPr>
          <w:rFonts w:ascii="Arial" w:hAnsi="Arial"/>
          <w:sz w:val="24"/>
          <w:szCs w:val="24"/>
        </w:rPr>
      </w:pPr>
      <w:r>
        <w:rPr>
          <w:rFonts w:cs="Calibri Light" w:ascii="Arial" w:hAnsi="Arial" w:cstheme="majorHAnsi"/>
          <w:b/>
          <w:bCs/>
          <w:sz w:val="24"/>
          <w:szCs w:val="24"/>
          <w:lang w:val="pt-BR"/>
        </w:rPr>
        <w:t>III</w:t>
      </w:r>
      <w:r>
        <w:rPr>
          <w:rFonts w:cs="Calibri Light" w:ascii="Arial" w:hAnsi="Arial" w:cstheme="majorHAnsi"/>
          <w:sz w:val="24"/>
          <w:szCs w:val="24"/>
          <w:lang w:val="pt-BR"/>
        </w:rPr>
        <w:t xml:space="preserve"> - impedimento de licitar e contratar;</w:t>
      </w:r>
    </w:p>
    <w:p>
      <w:pPr>
        <w:pStyle w:val="Normal"/>
        <w:jc w:val="both"/>
        <w:rPr>
          <w:rFonts w:ascii="Arial" w:hAnsi="Arial"/>
          <w:sz w:val="24"/>
          <w:szCs w:val="24"/>
        </w:rPr>
      </w:pPr>
      <w:r>
        <w:rPr>
          <w:rFonts w:cs="Calibri Light" w:ascii="Arial" w:hAnsi="Arial" w:cstheme="majorHAnsi"/>
          <w:b/>
          <w:bCs/>
          <w:sz w:val="24"/>
          <w:szCs w:val="24"/>
          <w:lang w:val="pt-BR"/>
        </w:rPr>
        <w:t>IV</w:t>
      </w:r>
      <w:r>
        <w:rPr>
          <w:rFonts w:cs="Calibri Light" w:ascii="Arial" w:hAnsi="Arial" w:cstheme="majorHAnsi"/>
          <w:sz w:val="24"/>
          <w:szCs w:val="24"/>
          <w:lang w:val="pt-BR"/>
        </w:rPr>
        <w:t xml:space="preserve"> - declaração de inidoneidade para licitar ou contratar.</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13.3</w:t>
      </w:r>
      <w:r>
        <w:rPr>
          <w:rFonts w:cs="Calibri Light" w:ascii="Arial" w:hAnsi="Arial" w:cstheme="majorHAnsi"/>
          <w:sz w:val="24"/>
          <w:szCs w:val="24"/>
          <w:lang w:val="pt-BR"/>
        </w:rPr>
        <w:t>. A aplicação das sanções realizar-se-á em processo administrativo que assegure o contraditório e a ampla defesa ao Contratado, de acordo com o Decreto Municipal 19.707, de 19/01/2023, observando-se o procedimento previsto no caput e parágrafos do art. 158 da Lei 14.133/2021, para as penalidades de impedimento de licitar e contratar e de declaração de inidoneidade para licitar ou contratar.</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13.4</w:t>
      </w:r>
      <w:r>
        <w:rPr>
          <w:rFonts w:cs="Calibri Light" w:ascii="Arial" w:hAnsi="Arial" w:cstheme="majorHAnsi"/>
          <w:sz w:val="24"/>
          <w:szCs w:val="24"/>
          <w:lang w:val="pt-BR"/>
        </w:rPr>
        <w:t>. Todas as sanções previstas neste Contrato poderão ser aplicadas cumulativamente com a multa.</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13.5</w:t>
      </w:r>
      <w:r>
        <w:rPr>
          <w:rFonts w:cs="Calibri Light" w:ascii="Arial" w:hAnsi="Arial" w:cstheme="majorHAnsi"/>
          <w:sz w:val="24"/>
          <w:szCs w:val="24"/>
          <w:lang w:val="pt-BR"/>
        </w:rPr>
        <w:t>. A penalidade de advertência será aplicada às infrações de pequena relevância, entendidas como o descumprimento de obrigações ou deveres instrumentais ou formais que não impactam objetivamente na execução do contrato, bem como aquelas que não causem prejuízos à Administração Municipal.</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13.6</w:t>
      </w:r>
      <w:r>
        <w:rPr>
          <w:rFonts w:cs="Calibri Light" w:ascii="Arial" w:hAnsi="Arial" w:cstheme="majorHAnsi"/>
          <w:sz w:val="24"/>
          <w:szCs w:val="24"/>
          <w:lang w:val="pt-BR"/>
        </w:rPr>
        <w:t>. A Contratada estará sujeita às multas:</w:t>
      </w:r>
    </w:p>
    <w:p>
      <w:pPr>
        <w:pStyle w:val="Normal"/>
        <w:jc w:val="both"/>
        <w:rPr>
          <w:rFonts w:ascii="Arial" w:hAnsi="Arial"/>
          <w:sz w:val="24"/>
          <w:szCs w:val="24"/>
        </w:rPr>
      </w:pPr>
      <w:r>
        <w:rPr>
          <w:rFonts w:cs="Calibri Light" w:ascii="Arial" w:hAnsi="Arial" w:cstheme="majorHAnsi"/>
          <w:b/>
          <w:bCs/>
          <w:sz w:val="24"/>
          <w:szCs w:val="24"/>
          <w:lang w:val="pt-BR"/>
        </w:rPr>
        <w:t xml:space="preserve">I </w:t>
      </w:r>
      <w:r>
        <w:rPr>
          <w:rFonts w:cs="Calibri Light" w:ascii="Arial" w:hAnsi="Arial" w:cstheme="majorHAnsi"/>
          <w:sz w:val="24"/>
          <w:szCs w:val="24"/>
          <w:lang w:val="pt-BR"/>
        </w:rPr>
        <w:t>- as moratórias são as previstas no Termo de Referência;</w:t>
      </w:r>
    </w:p>
    <w:p>
      <w:pPr>
        <w:pStyle w:val="Normal"/>
        <w:jc w:val="both"/>
        <w:rPr>
          <w:rFonts w:ascii="Arial" w:hAnsi="Arial"/>
          <w:sz w:val="24"/>
          <w:szCs w:val="24"/>
        </w:rPr>
      </w:pPr>
      <w:r>
        <w:rPr>
          <w:rFonts w:cs="Calibri Light" w:ascii="Arial" w:hAnsi="Arial" w:cstheme="majorHAnsi"/>
          <w:b/>
          <w:bCs/>
          <w:sz w:val="24"/>
          <w:szCs w:val="24"/>
          <w:lang w:val="pt-BR"/>
        </w:rPr>
        <w:t>II</w:t>
      </w:r>
      <w:r>
        <w:rPr>
          <w:rFonts w:cs="Calibri Light" w:ascii="Arial" w:hAnsi="Arial" w:cstheme="majorHAnsi"/>
          <w:sz w:val="24"/>
          <w:szCs w:val="24"/>
          <w:lang w:val="pt-BR"/>
        </w:rPr>
        <w:t xml:space="preserve"> - 20% (vinte por cento), sobre o valor total do contrato, no caso de inexecução parcial. </w:t>
      </w:r>
    </w:p>
    <w:p>
      <w:pPr>
        <w:pStyle w:val="Normal"/>
        <w:jc w:val="both"/>
        <w:rPr>
          <w:rFonts w:ascii="Arial" w:hAnsi="Arial"/>
          <w:sz w:val="24"/>
          <w:szCs w:val="24"/>
        </w:rPr>
      </w:pPr>
      <w:r>
        <w:rPr>
          <w:rFonts w:cs="Calibri Light" w:ascii="Arial" w:hAnsi="Arial" w:cstheme="majorHAnsi"/>
          <w:b/>
          <w:bCs/>
          <w:sz w:val="24"/>
          <w:szCs w:val="24"/>
          <w:lang w:val="pt-BR"/>
        </w:rPr>
        <w:t>III</w:t>
      </w:r>
      <w:r>
        <w:rPr>
          <w:rFonts w:cs="Calibri Light" w:ascii="Arial" w:hAnsi="Arial" w:cstheme="majorHAnsi"/>
          <w:sz w:val="24"/>
          <w:szCs w:val="24"/>
          <w:lang w:val="pt-BR"/>
        </w:rPr>
        <w:t xml:space="preserve"> - 30% (trinta por cento), sobre o valor total do contrato, no caso de inexecução total.</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13.7</w:t>
      </w:r>
      <w:r>
        <w:rPr>
          <w:rFonts w:cs="Calibri Light" w:ascii="Arial" w:hAnsi="Arial" w:cstheme="majorHAnsi"/>
          <w:sz w:val="24"/>
          <w:szCs w:val="24"/>
          <w:lang w:val="pt-BR"/>
        </w:rPr>
        <w:t>. O atraso superior a 30 (trinta) dias autoriza a Administração a promover a rescisão do contrato por descumprimento ou cumprimento irregular de suas cláusulas, conforme art. 137, inc. I da Lei 14.133/2021.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13.8</w:t>
      </w:r>
      <w:r>
        <w:rPr>
          <w:rFonts w:cs="Calibri Light" w:ascii="Arial" w:hAnsi="Arial" w:cstheme="majorHAnsi"/>
          <w:sz w:val="24"/>
          <w:szCs w:val="24"/>
          <w:lang w:val="pt-BR"/>
        </w:rPr>
        <w:t>. Antes da aplicação da multa será facultada a defesa do interessado no prazo de 15 (quinze) dias úteis, contado da data de sua intimação.</w:t>
      </w:r>
    </w:p>
    <w:p>
      <w:pPr>
        <w:pStyle w:val="Normal"/>
        <w:jc w:val="both"/>
        <w:rPr>
          <w:rFonts w:ascii="Arial" w:hAnsi="Arial"/>
          <w:sz w:val="24"/>
          <w:szCs w:val="24"/>
        </w:rPr>
      </w:pPr>
      <w:r>
        <w:rPr>
          <w:rFonts w:cs="Calibri Light" w:ascii="Arial" w:hAnsi="Arial" w:cstheme="majorHAnsi"/>
          <w:b/>
          <w:bCs/>
          <w:sz w:val="24"/>
          <w:szCs w:val="24"/>
          <w:lang w:val="pt-BR"/>
        </w:rPr>
        <w:t>13.8.1</w:t>
      </w:r>
      <w:r>
        <w:rPr>
          <w:rFonts w:cs="Calibri Light" w:ascii="Arial" w:hAnsi="Arial" w:cstheme="majorHAnsi"/>
          <w:sz w:val="24"/>
          <w:szCs w:val="24"/>
          <w:lang w:val="pt-BR"/>
        </w:rPr>
        <w:t>. Findo o regular processo administrativo e caso não convertidos em multa compensatória, a Contratada procederá com a devolução do valor glosado.</w:t>
      </w:r>
    </w:p>
    <w:p>
      <w:pPr>
        <w:pStyle w:val="Normal"/>
        <w:jc w:val="both"/>
        <w:rPr>
          <w:rFonts w:ascii="Arial" w:hAnsi="Arial"/>
          <w:sz w:val="24"/>
          <w:szCs w:val="24"/>
        </w:rPr>
      </w:pPr>
      <w:r>
        <w:rPr>
          <w:rFonts w:cs="Calibri Light" w:ascii="Arial" w:hAnsi="Arial" w:cstheme="majorHAnsi"/>
          <w:b/>
          <w:bCs/>
          <w:sz w:val="24"/>
          <w:szCs w:val="24"/>
          <w:lang w:val="pt-BR"/>
        </w:rPr>
        <w:t>13.8.2</w:t>
      </w:r>
      <w:r>
        <w:rPr>
          <w:rFonts w:cs="Calibri Light" w:ascii="Arial" w:hAnsi="Arial" w:cstheme="majorHAnsi"/>
          <w:sz w:val="24"/>
          <w:szCs w:val="24"/>
          <w:lang w:val="pt-BR"/>
        </w:rPr>
        <w:t>. Convertida em multa compensatória os valores relativos à multa serão pagos mediante notificação de cobrança à Contratada, que deverá fazer o recolhimento aos cofres municipais até o 5º (quinto) dia útil a partir de seu recebimento, sob pena de cobrança judicial, observando que:</w:t>
      </w:r>
    </w:p>
    <w:p>
      <w:pPr>
        <w:pStyle w:val="Normal"/>
        <w:jc w:val="both"/>
        <w:rPr>
          <w:rFonts w:ascii="Arial" w:hAnsi="Arial"/>
          <w:sz w:val="24"/>
          <w:szCs w:val="24"/>
        </w:rPr>
      </w:pPr>
      <w:r>
        <w:rPr>
          <w:rFonts w:cs="Calibri Light" w:ascii="Arial" w:hAnsi="Arial" w:cstheme="majorHAnsi"/>
          <w:b/>
          <w:bCs/>
          <w:sz w:val="24"/>
          <w:szCs w:val="24"/>
          <w:lang w:val="pt-BR"/>
        </w:rPr>
        <w:t>I</w:t>
      </w:r>
      <w:r>
        <w:rPr>
          <w:rFonts w:cs="Calibri Light" w:ascii="Arial" w:hAnsi="Arial" w:cstheme="majorHAnsi"/>
          <w:sz w:val="24"/>
          <w:szCs w:val="24"/>
          <w:lang w:val="pt-BR"/>
        </w:rPr>
        <w:t xml:space="preserve"> - as multas previstas neste contrato são cumulativas, ou seja, umas sobre as outras, sendo os limites incidentes sobre cada uma delas;</w:t>
      </w:r>
    </w:p>
    <w:p>
      <w:pPr>
        <w:pStyle w:val="Normal"/>
        <w:jc w:val="both"/>
        <w:rPr>
          <w:rFonts w:ascii="Arial" w:hAnsi="Arial"/>
          <w:sz w:val="24"/>
          <w:szCs w:val="24"/>
        </w:rPr>
      </w:pPr>
      <w:r>
        <w:rPr>
          <w:rFonts w:cs="Calibri Light" w:ascii="Arial" w:hAnsi="Arial" w:cstheme="majorHAnsi"/>
          <w:b/>
          <w:bCs/>
          <w:sz w:val="24"/>
          <w:szCs w:val="24"/>
          <w:lang w:val="pt-BR"/>
        </w:rPr>
        <w:t>II</w:t>
      </w:r>
      <w:r>
        <w:rPr>
          <w:rFonts w:cs="Calibri Light" w:ascii="Arial" w:hAnsi="Arial" w:cstheme="majorHAnsi"/>
          <w:sz w:val="24"/>
          <w:szCs w:val="24"/>
          <w:lang w:val="pt-BR"/>
        </w:rPr>
        <w:t xml:space="preserve"> - na hipótese de a Contratada não efetuar o recolhimento da notificação de cobrança, ao Município caberá:</w:t>
      </w:r>
    </w:p>
    <w:p>
      <w:pPr>
        <w:pStyle w:val="Normal"/>
        <w:jc w:val="both"/>
        <w:rPr>
          <w:rFonts w:ascii="Arial" w:hAnsi="Arial"/>
          <w:sz w:val="24"/>
          <w:szCs w:val="24"/>
        </w:rPr>
      </w:pPr>
      <w:r>
        <w:rPr>
          <w:rFonts w:cs="Calibri Light" w:ascii="Arial" w:hAnsi="Arial" w:cstheme="majorHAnsi"/>
          <w:b/>
          <w:bCs/>
          <w:sz w:val="24"/>
          <w:szCs w:val="24"/>
          <w:lang w:val="pt-BR"/>
        </w:rPr>
        <w:t>a</w:t>
      </w:r>
      <w:r>
        <w:rPr>
          <w:rFonts w:cs="Calibri Light" w:ascii="Arial" w:hAnsi="Arial" w:cstheme="majorHAnsi"/>
          <w:sz w:val="24"/>
          <w:szCs w:val="24"/>
          <w:lang w:val="pt-BR"/>
        </w:rPr>
        <w:t>) glosar o valor na próxima Nota Fiscal/Fatura, se houver;</w:t>
      </w:r>
    </w:p>
    <w:p>
      <w:pPr>
        <w:pStyle w:val="Normal"/>
        <w:jc w:val="both"/>
        <w:rPr>
          <w:rFonts w:ascii="Arial" w:hAnsi="Arial"/>
          <w:sz w:val="24"/>
          <w:szCs w:val="24"/>
        </w:rPr>
      </w:pPr>
      <w:r>
        <w:rPr>
          <w:rFonts w:cs="Calibri Light" w:ascii="Arial" w:hAnsi="Arial" w:cstheme="majorHAnsi"/>
          <w:b/>
          <w:bCs/>
          <w:sz w:val="24"/>
          <w:szCs w:val="24"/>
          <w:lang w:val="pt-BR"/>
        </w:rPr>
        <w:t>b</w:t>
      </w:r>
      <w:r>
        <w:rPr>
          <w:rFonts w:cs="Calibri Light" w:ascii="Arial" w:hAnsi="Arial" w:cstheme="majorHAnsi"/>
          <w:sz w:val="24"/>
          <w:szCs w:val="24"/>
          <w:lang w:val="pt-BR"/>
        </w:rPr>
        <w:t>) deduzir ou complementar o valor utilizando outros contratos firmados entre as partes, se houver;</w:t>
      </w:r>
    </w:p>
    <w:p>
      <w:pPr>
        <w:pStyle w:val="Normal"/>
        <w:jc w:val="both"/>
        <w:rPr>
          <w:rFonts w:ascii="Arial" w:hAnsi="Arial"/>
          <w:sz w:val="24"/>
          <w:szCs w:val="24"/>
        </w:rPr>
      </w:pPr>
      <w:r>
        <w:rPr>
          <w:rFonts w:cs="Calibri Light" w:ascii="Arial" w:hAnsi="Arial" w:cstheme="majorHAnsi"/>
          <w:b/>
          <w:bCs/>
          <w:sz w:val="24"/>
          <w:szCs w:val="24"/>
          <w:lang w:val="pt-BR"/>
        </w:rPr>
        <w:t>c</w:t>
      </w:r>
      <w:r>
        <w:rPr>
          <w:rFonts w:cs="Calibri Light" w:ascii="Arial" w:hAnsi="Arial" w:cstheme="majorHAnsi"/>
          <w:sz w:val="24"/>
          <w:szCs w:val="24"/>
          <w:lang w:val="pt-BR"/>
        </w:rPr>
        <w:t>) inscrever o Contratante em dívida ativa, em caso de inadimplemento.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13.9</w:t>
      </w:r>
      <w:r>
        <w:rPr>
          <w:rFonts w:cs="Calibri Light" w:ascii="Arial" w:hAnsi="Arial" w:cstheme="majorHAnsi"/>
          <w:sz w:val="24"/>
          <w:szCs w:val="24"/>
          <w:lang w:val="pt-BR"/>
        </w:rPr>
        <w:t>. Se a multa aplicada e as indenizações cabíveis forem superiores ao valor do pagamento eventualmente devido pelo Contratante ao Contratado, além da perda desse valor, a diferença será descontada da garantia prestada se houver ou será cobrada judicialmente.</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13.10</w:t>
      </w:r>
      <w:r>
        <w:rPr>
          <w:rFonts w:cs="Calibri Light" w:ascii="Arial" w:hAnsi="Arial" w:cstheme="majorHAnsi"/>
          <w:sz w:val="24"/>
          <w:szCs w:val="24"/>
          <w:lang w:val="pt-BR"/>
        </w:rPr>
        <w:t>. A penalidade de impedimento de licitar e contratar com o Município do Rio Grande/RS será aplicada, pelo prazo máximo de 03 (três) anos, sem prejuízo das multas e indenizações previstas, nos seguintes casos:</w:t>
      </w:r>
    </w:p>
    <w:p>
      <w:pPr>
        <w:pStyle w:val="Normal"/>
        <w:jc w:val="both"/>
        <w:rPr>
          <w:rFonts w:ascii="Arial" w:hAnsi="Arial"/>
          <w:sz w:val="24"/>
          <w:szCs w:val="24"/>
        </w:rPr>
      </w:pPr>
      <w:r>
        <w:rPr>
          <w:rFonts w:cs="Calibri Light" w:ascii="Arial" w:hAnsi="Arial" w:cstheme="majorHAnsi"/>
          <w:b/>
          <w:bCs/>
          <w:sz w:val="24"/>
          <w:szCs w:val="24"/>
          <w:lang w:val="pt-BR"/>
        </w:rPr>
        <w:t>I</w:t>
      </w:r>
      <w:r>
        <w:rPr>
          <w:rFonts w:cs="Calibri Light" w:ascii="Arial" w:hAnsi="Arial" w:cstheme="majorHAnsi"/>
          <w:sz w:val="24"/>
          <w:szCs w:val="24"/>
          <w:lang w:val="pt-BR"/>
        </w:rPr>
        <w:t xml:space="preserve"> - dar causa à inexecução parcial do contrato que cause grave dano à Administração, ao funcionamento dos serviços públicos ou ao interesse coletivo;</w:t>
      </w:r>
    </w:p>
    <w:p>
      <w:pPr>
        <w:pStyle w:val="Normal"/>
        <w:jc w:val="both"/>
        <w:rPr>
          <w:rFonts w:ascii="Arial" w:hAnsi="Arial"/>
          <w:sz w:val="24"/>
          <w:szCs w:val="24"/>
        </w:rPr>
      </w:pPr>
      <w:r>
        <w:rPr>
          <w:rFonts w:cs="Calibri Light" w:ascii="Arial" w:hAnsi="Arial" w:cstheme="majorHAnsi"/>
          <w:b/>
          <w:bCs/>
          <w:sz w:val="24"/>
          <w:szCs w:val="24"/>
          <w:lang w:val="pt-BR"/>
        </w:rPr>
        <w:t>II</w:t>
      </w:r>
      <w:r>
        <w:rPr>
          <w:rFonts w:cs="Calibri Light" w:ascii="Arial" w:hAnsi="Arial" w:cstheme="majorHAnsi"/>
          <w:sz w:val="24"/>
          <w:szCs w:val="24"/>
          <w:lang w:val="pt-BR"/>
        </w:rPr>
        <w:t xml:space="preserve"> - dar causa à inexecução total do contrato;</w:t>
      </w:r>
    </w:p>
    <w:p>
      <w:pPr>
        <w:pStyle w:val="Normal"/>
        <w:jc w:val="both"/>
        <w:rPr>
          <w:rFonts w:ascii="Arial" w:hAnsi="Arial"/>
          <w:sz w:val="24"/>
          <w:szCs w:val="24"/>
        </w:rPr>
      </w:pPr>
      <w:r>
        <w:rPr>
          <w:rFonts w:cs="Calibri Light" w:ascii="Arial" w:hAnsi="Arial" w:cstheme="majorHAnsi"/>
          <w:b/>
          <w:bCs/>
          <w:sz w:val="24"/>
          <w:szCs w:val="24"/>
          <w:lang w:val="pt-BR"/>
        </w:rPr>
        <w:t>III</w:t>
      </w:r>
      <w:r>
        <w:rPr>
          <w:rFonts w:cs="Calibri Light" w:ascii="Arial" w:hAnsi="Arial" w:cstheme="majorHAnsi"/>
          <w:sz w:val="24"/>
          <w:szCs w:val="24"/>
          <w:lang w:val="pt-BR"/>
        </w:rPr>
        <w:t xml:space="preserve"> - não celebrar o contrato ou não entregar a documentação exigida para a contratação, quando convocado;</w:t>
      </w:r>
    </w:p>
    <w:p>
      <w:pPr>
        <w:pStyle w:val="Normal"/>
        <w:jc w:val="both"/>
        <w:rPr>
          <w:rFonts w:ascii="Arial" w:hAnsi="Arial"/>
          <w:sz w:val="24"/>
          <w:szCs w:val="24"/>
        </w:rPr>
      </w:pPr>
      <w:r>
        <w:rPr>
          <w:rFonts w:cs="Calibri Light" w:ascii="Arial" w:hAnsi="Arial" w:cstheme="majorHAnsi"/>
          <w:b/>
          <w:bCs/>
          <w:sz w:val="24"/>
          <w:szCs w:val="24"/>
          <w:lang w:val="pt-BR"/>
        </w:rPr>
        <w:t>IV</w:t>
      </w:r>
      <w:r>
        <w:rPr>
          <w:rFonts w:cs="Calibri Light" w:ascii="Arial" w:hAnsi="Arial" w:cstheme="majorHAnsi"/>
          <w:sz w:val="24"/>
          <w:szCs w:val="24"/>
          <w:lang w:val="pt-BR"/>
        </w:rPr>
        <w:t xml:space="preserve"> - ensejar o retardamento da entrega do objeto sem motivo justificado;</w:t>
      </w:r>
    </w:p>
    <w:p>
      <w:pPr>
        <w:pStyle w:val="Normal"/>
        <w:jc w:val="both"/>
        <w:rPr>
          <w:rFonts w:ascii="Arial" w:hAnsi="Arial"/>
          <w:sz w:val="24"/>
          <w:szCs w:val="24"/>
        </w:rPr>
      </w:pPr>
      <w:r>
        <w:rPr>
          <w:rFonts w:cs="Calibri Light" w:ascii="Arial" w:hAnsi="Arial" w:cstheme="majorHAnsi"/>
          <w:b/>
          <w:bCs/>
          <w:sz w:val="24"/>
          <w:szCs w:val="24"/>
          <w:lang w:val="pt-BR"/>
        </w:rPr>
        <w:t>V</w:t>
      </w:r>
      <w:r>
        <w:rPr>
          <w:rFonts w:cs="Calibri Light" w:ascii="Arial" w:hAnsi="Arial" w:cstheme="majorHAnsi"/>
          <w:sz w:val="24"/>
          <w:szCs w:val="24"/>
          <w:lang w:val="pt-BR"/>
        </w:rPr>
        <w:t xml:space="preserve"> - não substituir no prazo estipulado a entrega do objeto, conforme estipulado;</w:t>
      </w:r>
    </w:p>
    <w:p>
      <w:pPr>
        <w:pStyle w:val="Normal"/>
        <w:jc w:val="both"/>
        <w:rPr>
          <w:rFonts w:ascii="Arial" w:hAnsi="Arial"/>
          <w:sz w:val="24"/>
          <w:szCs w:val="24"/>
        </w:rPr>
      </w:pPr>
      <w:r>
        <w:rPr>
          <w:rFonts w:cs="Calibri Light" w:ascii="Arial" w:hAnsi="Arial" w:cstheme="majorHAnsi"/>
          <w:b/>
          <w:bCs/>
          <w:sz w:val="24"/>
          <w:szCs w:val="24"/>
          <w:lang w:val="pt-BR"/>
        </w:rPr>
        <w:t>VI</w:t>
      </w:r>
      <w:r>
        <w:rPr>
          <w:rFonts w:cs="Calibri Light" w:ascii="Arial" w:hAnsi="Arial" w:cstheme="majorHAnsi"/>
          <w:sz w:val="24"/>
          <w:szCs w:val="24"/>
          <w:lang w:val="pt-BR"/>
        </w:rPr>
        <w:t xml:space="preserve"> - descumprir os prazos e condições previstas neste contrato.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13.11</w:t>
      </w:r>
      <w:r>
        <w:rPr>
          <w:rFonts w:cs="Calibri Light" w:ascii="Arial" w:hAnsi="Arial" w:cstheme="majorHAnsi"/>
          <w:sz w:val="24"/>
          <w:szCs w:val="24"/>
          <w:lang w:val="pt-BR"/>
        </w:rPr>
        <w:t>. A penalidade de declaração de inidoneidade para licitar ou contratar com a Administração Pública será aplicada, pelo prazo mínimo de 03 (três) anos e máximo de 06 (seis) anos, nos termos do art. 156, inc. IV da Lei 14.133/2021, nos seguintes casos:</w:t>
      </w:r>
    </w:p>
    <w:p>
      <w:pPr>
        <w:pStyle w:val="Normal"/>
        <w:jc w:val="both"/>
        <w:rPr>
          <w:rFonts w:ascii="Arial" w:hAnsi="Arial"/>
          <w:sz w:val="24"/>
          <w:szCs w:val="24"/>
        </w:rPr>
      </w:pPr>
      <w:r>
        <w:rPr>
          <w:rFonts w:cs="Calibri Light" w:ascii="Arial" w:hAnsi="Arial" w:cstheme="majorHAnsi"/>
          <w:b/>
          <w:bCs/>
          <w:sz w:val="24"/>
          <w:szCs w:val="24"/>
          <w:lang w:val="pt-BR"/>
        </w:rPr>
        <w:t xml:space="preserve">I </w:t>
      </w:r>
      <w:r>
        <w:rPr>
          <w:rFonts w:cs="Calibri Light" w:ascii="Arial" w:hAnsi="Arial" w:cstheme="majorHAnsi"/>
          <w:sz w:val="24"/>
          <w:szCs w:val="24"/>
          <w:lang w:val="pt-BR"/>
        </w:rPr>
        <w:t>- apresentar declaração ou documentação falsa exigida para o certame ou prestar declaração falsa durante a licitação ou a execução do contrato;</w:t>
      </w:r>
    </w:p>
    <w:p>
      <w:pPr>
        <w:pStyle w:val="Normal"/>
        <w:jc w:val="both"/>
        <w:rPr>
          <w:rFonts w:cs="Calibri Light"/>
          <w:lang w:val="pt-BR"/>
        </w:rPr>
      </w:pPr>
      <w:r>
        <w:rPr>
          <w:rFonts w:cs="Calibri Light" w:ascii="Arial" w:hAnsi="Arial" w:cstheme="majorHAnsi"/>
          <w:sz w:val="24"/>
          <w:szCs w:val="24"/>
          <w:lang w:val="pt-BR"/>
        </w:rPr>
        <w:t>II - fraudar a licitação ou praticar ato fraudulento na execução do contrato;</w:t>
      </w:r>
    </w:p>
    <w:p>
      <w:pPr>
        <w:pStyle w:val="Normal"/>
        <w:jc w:val="both"/>
        <w:rPr>
          <w:rFonts w:ascii="Arial" w:hAnsi="Arial"/>
          <w:sz w:val="24"/>
          <w:szCs w:val="24"/>
        </w:rPr>
      </w:pPr>
      <w:r>
        <w:rPr>
          <w:rFonts w:cs="Calibri Light" w:ascii="Arial" w:hAnsi="Arial" w:cstheme="majorHAnsi"/>
          <w:b/>
          <w:bCs/>
          <w:sz w:val="24"/>
          <w:szCs w:val="24"/>
          <w:lang w:val="pt-BR"/>
        </w:rPr>
        <w:t>III</w:t>
      </w:r>
      <w:r>
        <w:rPr>
          <w:rFonts w:cs="Calibri Light" w:ascii="Arial" w:hAnsi="Arial" w:cstheme="majorHAnsi"/>
          <w:sz w:val="24"/>
          <w:szCs w:val="24"/>
          <w:lang w:val="pt-BR"/>
        </w:rPr>
        <w:t xml:space="preserve"> - comportar-se de modo inidôneo ou cometer fraude de qualquer natureza;</w:t>
      </w:r>
    </w:p>
    <w:p>
      <w:pPr>
        <w:pStyle w:val="Normal"/>
        <w:jc w:val="both"/>
        <w:rPr>
          <w:rFonts w:ascii="Arial" w:hAnsi="Arial"/>
          <w:sz w:val="24"/>
          <w:szCs w:val="24"/>
        </w:rPr>
      </w:pPr>
      <w:r>
        <w:rPr>
          <w:rFonts w:cs="Calibri Light" w:ascii="Arial" w:hAnsi="Arial" w:cstheme="majorHAnsi"/>
          <w:b/>
          <w:bCs/>
          <w:sz w:val="24"/>
          <w:szCs w:val="24"/>
          <w:lang w:val="pt-BR"/>
        </w:rPr>
        <w:t>IV</w:t>
      </w:r>
      <w:r>
        <w:rPr>
          <w:rFonts w:cs="Calibri Light" w:ascii="Arial" w:hAnsi="Arial" w:cstheme="majorHAnsi"/>
          <w:sz w:val="24"/>
          <w:szCs w:val="24"/>
          <w:lang w:val="pt-BR"/>
        </w:rPr>
        <w:t xml:space="preserve"> - praticar atos ilícitos com vistas a frustrar os objetivos da licitação;</w:t>
      </w:r>
    </w:p>
    <w:p>
      <w:pPr>
        <w:pStyle w:val="Normal"/>
        <w:jc w:val="both"/>
        <w:rPr>
          <w:rFonts w:ascii="Arial" w:hAnsi="Arial"/>
          <w:sz w:val="24"/>
          <w:szCs w:val="24"/>
        </w:rPr>
      </w:pPr>
      <w:r>
        <w:rPr>
          <w:rFonts w:cs="Calibri Light" w:ascii="Arial" w:hAnsi="Arial" w:cstheme="majorHAnsi"/>
          <w:b/>
          <w:bCs/>
          <w:sz w:val="24"/>
          <w:szCs w:val="24"/>
          <w:lang w:val="pt-BR"/>
        </w:rPr>
        <w:t>V</w:t>
      </w:r>
      <w:r>
        <w:rPr>
          <w:rFonts w:cs="Calibri Light" w:ascii="Arial" w:hAnsi="Arial" w:cstheme="majorHAnsi"/>
          <w:sz w:val="24"/>
          <w:szCs w:val="24"/>
          <w:lang w:val="pt-BR"/>
        </w:rPr>
        <w:t xml:space="preserve"> - praticar ato lesivo previsto no art. 5º da Lei 12.846/2013 e Decreto Municipal 16.365, de 09/07/2019.</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13.12</w:t>
      </w:r>
      <w:r>
        <w:rPr>
          <w:rFonts w:cs="Calibri Light" w:ascii="Arial" w:hAnsi="Arial" w:cstheme="majorHAnsi"/>
          <w:sz w:val="24"/>
          <w:szCs w:val="24"/>
          <w:lang w:val="pt-BR"/>
        </w:rPr>
        <w:t>. As sanções de impedimento de licitar e contratar e declaração de inidoneidade para licitar ou contratar são passíveis de reabilitação na forma do art. 163 da Lei 14.133/2021.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13.13</w:t>
      </w:r>
      <w:r>
        <w:rPr>
          <w:rFonts w:cs="Calibri Light" w:ascii="Arial" w:hAnsi="Arial" w:cstheme="majorHAnsi"/>
          <w:sz w:val="24"/>
          <w:szCs w:val="24"/>
          <w:lang w:val="pt-BR"/>
        </w:rPr>
        <w:t>. Ocorrendo caso fortuito ou força maior, regularmente comprovado e aceito pelo Contratante, a Contratada ficará isenta das penalidades.</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13.14</w:t>
      </w:r>
      <w:r>
        <w:rPr>
          <w:rFonts w:cs="Calibri Light" w:ascii="Arial" w:hAnsi="Arial" w:cstheme="majorHAnsi"/>
          <w:sz w:val="24"/>
          <w:szCs w:val="24"/>
          <w:lang w:val="pt-BR"/>
        </w:rPr>
        <w:t>. A aplicação das sanções previstas neste Contrato não exclui, em hipótese alguma, a obrigação de reparação integral do dano causado ao Contratante.</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13.15</w:t>
      </w:r>
      <w:r>
        <w:rPr>
          <w:rFonts w:cs="Calibri Light" w:ascii="Arial" w:hAnsi="Arial" w:cstheme="majorHAnsi"/>
          <w:sz w:val="24"/>
          <w:szCs w:val="24"/>
          <w:lang w:val="pt-BR"/>
        </w:rPr>
        <w:t>. Os atos previstos como infrações administrativas na Lei 14.133/2021, ou em outras leis de licitações e contratos da Administração Pública que também sejam tipificados como atos lesivos na Lei 12.846/2013 e Decreto Municipal 16.365/2019, serão apurados e julgados conjuntamente, nos mesmos autos, observados o rito procedimental e autoridade competente definidos no Decreto Municipal 19.707, de 19/01/2023.</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13.16</w:t>
      </w:r>
      <w:r>
        <w:rPr>
          <w:rFonts w:cs="Calibri Light" w:ascii="Arial" w:hAnsi="Arial" w:cstheme="majorHAnsi"/>
          <w:sz w:val="24"/>
          <w:szCs w:val="24"/>
          <w:lang w:val="pt-BR"/>
        </w:rPr>
        <w:t>. A personalidade jurídica do Contratado poderá ser desconsiderada, de acordo com o art. 160 da Lei 14.133/2021.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13.17</w:t>
      </w:r>
      <w:r>
        <w:rPr>
          <w:rFonts w:cs="Calibri Light" w:ascii="Arial" w:hAnsi="Arial" w:cstheme="majorHAnsi"/>
          <w:sz w:val="24"/>
          <w:szCs w:val="24"/>
          <w:lang w:val="pt-BR"/>
        </w:rPr>
        <w:t>.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bookmarkEnd w:id="0"/>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14. DA INEXECUÇÃO E EXTINÇÃO DO CONTRATO</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14.1</w:t>
      </w:r>
      <w:r>
        <w:rPr>
          <w:rFonts w:cs="Calibri Light" w:ascii="Arial" w:hAnsi="Arial" w:cstheme="majorHAnsi"/>
          <w:sz w:val="24"/>
          <w:szCs w:val="24"/>
          <w:lang w:val="pt-BR"/>
        </w:rPr>
        <w:t>. O contrato se extingue quando cumpridas as obrigações de ambas as partes, ainda que isso ocorra antes do prazo estipulado para tanto.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14.2</w:t>
      </w:r>
      <w:r>
        <w:rPr>
          <w:rFonts w:cs="Calibri Light" w:ascii="Arial" w:hAnsi="Arial"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jc w:val="both"/>
        <w:rPr>
          <w:rFonts w:ascii="Arial" w:hAnsi="Arial"/>
          <w:sz w:val="24"/>
          <w:szCs w:val="24"/>
        </w:rPr>
      </w:pPr>
      <w:r>
        <w:rPr>
          <w:rFonts w:cs="Calibri Light" w:ascii="Arial" w:hAnsi="Arial" w:cstheme="majorHAnsi"/>
          <w:b/>
          <w:bCs/>
          <w:sz w:val="24"/>
          <w:szCs w:val="24"/>
          <w:lang w:val="pt-BR"/>
        </w:rPr>
        <w:t>14.2.1</w:t>
      </w:r>
      <w:r>
        <w:rPr>
          <w:rFonts w:cs="Calibri Light" w:ascii="Arial" w:hAnsi="Arial" w:cstheme="majorHAnsi"/>
          <w:sz w:val="24"/>
          <w:szCs w:val="24"/>
          <w:lang w:val="pt-BR"/>
        </w:rPr>
        <w:t>. Quando a não conclusão do contrato referida no item anterior decorrer de culpa do contratado:</w:t>
      </w:r>
    </w:p>
    <w:p>
      <w:pPr>
        <w:pStyle w:val="Normal"/>
        <w:jc w:val="both"/>
        <w:rPr>
          <w:rFonts w:ascii="Arial" w:hAnsi="Arial"/>
          <w:sz w:val="24"/>
          <w:szCs w:val="24"/>
        </w:rPr>
      </w:pPr>
      <w:r>
        <w:rPr>
          <w:rFonts w:cs="Calibri Light" w:ascii="Arial" w:hAnsi="Arial" w:cstheme="majorHAnsi"/>
          <w:b/>
          <w:bCs/>
          <w:sz w:val="24"/>
          <w:szCs w:val="24"/>
          <w:lang w:val="pt-BR"/>
        </w:rPr>
        <w:t>a</w:t>
      </w:r>
      <w:r>
        <w:rPr>
          <w:rFonts w:cs="Calibri Light" w:ascii="Arial" w:hAnsi="Arial" w:cstheme="majorHAnsi"/>
          <w:sz w:val="24"/>
          <w:szCs w:val="24"/>
          <w:lang w:val="pt-BR"/>
        </w:rPr>
        <w:t xml:space="preserve">) ficará ele constituído em mora, sendo-lhe aplicáveis as respectivas sanções administrativas; </w:t>
      </w:r>
    </w:p>
    <w:p>
      <w:pPr>
        <w:pStyle w:val="Normal"/>
        <w:jc w:val="both"/>
        <w:rPr>
          <w:rFonts w:ascii="Arial" w:hAnsi="Arial"/>
          <w:sz w:val="24"/>
          <w:szCs w:val="24"/>
        </w:rPr>
      </w:pPr>
      <w:r>
        <w:rPr>
          <w:rFonts w:cs="Calibri Light" w:ascii="Arial" w:hAnsi="Arial" w:cstheme="majorHAnsi"/>
          <w:b/>
          <w:bCs/>
          <w:sz w:val="24"/>
          <w:szCs w:val="24"/>
          <w:lang w:val="pt-BR"/>
        </w:rPr>
        <w:t>b</w:t>
      </w:r>
      <w:r>
        <w:rPr>
          <w:rFonts w:cs="Calibri Light" w:ascii="Arial" w:hAnsi="Arial"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15. DOS CASOS OMISSOS</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15.1</w:t>
      </w:r>
      <w:r>
        <w:rPr>
          <w:rFonts w:cs="Calibri Light" w:ascii="Arial" w:hAnsi="Arial" w:cstheme="majorHAnsi"/>
          <w:sz w:val="24"/>
          <w:szCs w:val="24"/>
          <w:lang w:val="pt-BR"/>
        </w:rPr>
        <w:t>. Os casos omissos serão decididos pela Contratante, segundo as disposições contidas na Lei 14.133/2021, e demais normas aplicáveis e, subsidiariamente, segundo as disposições contidas na Lei 8.078/1990 (Código de Defesa do Consumidor) e normas e princípios gerais dos contratos.</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16. DAS ALTERAÇÕES</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16.1</w:t>
      </w:r>
      <w:r>
        <w:rPr>
          <w:rFonts w:cs="Calibri Light" w:ascii="Arial" w:hAnsi="Arial" w:cstheme="majorHAnsi"/>
          <w:sz w:val="24"/>
          <w:szCs w:val="24"/>
          <w:lang w:val="pt-BR"/>
        </w:rPr>
        <w:t>. Eventuais alterações contratuais reger-se-ão pela disciplina dos arts. 124 e seguintes da Lei 14.133/2021.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16.2</w:t>
      </w:r>
      <w:r>
        <w:rPr>
          <w:rFonts w:cs="Calibri Light" w:ascii="Arial" w:hAnsi="Arial"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16.3</w:t>
      </w:r>
      <w:r>
        <w:rPr>
          <w:rFonts w:cs="Calibri Light" w:ascii="Arial" w:hAnsi="Arial"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17. DA PUBLICAÇÃO</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17.1</w:t>
      </w:r>
      <w:r>
        <w:rPr>
          <w:rFonts w:cs="Calibri Light" w:ascii="Arial" w:hAnsi="Arial" w:cstheme="majorHAnsi"/>
          <w:sz w:val="24"/>
          <w:szCs w:val="24"/>
          <w:lang w:val="pt-BR"/>
        </w:rPr>
        <w:t>. Incumbirá ao Contratante providenciar a publicação deste instrumento nos termos e condições previstas na Lei 14.133/2021.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rial" w:hAnsi="Arial"/>
                <w:kern w:val="0"/>
                <w:sz w:val="24"/>
                <w:szCs w:val="24"/>
                <w:lang w:bidi="ar-SA"/>
              </w:rPr>
            </w:pPr>
            <w:r>
              <w:rPr>
                <w:rFonts w:cs="Calibri Light" w:ascii="Arial" w:hAnsi="Arial" w:cstheme="majorHAnsi"/>
                <w:b/>
                <w:bCs/>
                <w:kern w:val="0"/>
                <w:sz w:val="24"/>
                <w:szCs w:val="24"/>
                <w:lang w:val="pt-BR" w:bidi="ar-SA"/>
              </w:rPr>
              <w:t>18. DO FORO</w:t>
            </w:r>
            <w:r>
              <w:rPr>
                <w:rFonts w:cs="Calibri Light" w:ascii="Arial" w:hAnsi="Arial" w:cstheme="majorHAnsi"/>
                <w:kern w:val="0"/>
                <w:sz w:val="24"/>
                <w:szCs w:val="24"/>
                <w:lang w:val="pt-BR" w:bidi="ar-SA"/>
              </w:rPr>
              <w:t>:</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18.1</w:t>
      </w:r>
      <w:r>
        <w:rPr>
          <w:rFonts w:cs="Calibri Light" w:ascii="Arial" w:hAnsi="Arial"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center"/>
        <w:rPr>
          <w:highlight w:val="none"/>
          <w:shd w:fill="FFFF00" w:val="clear"/>
        </w:rPr>
      </w:pPr>
      <w:r>
        <w:rPr>
          <w:rFonts w:cs="Calibri Light" w:cstheme="majorHAnsi" w:ascii="Arial" w:hAnsi="Arial"/>
          <w:sz w:val="24"/>
          <w:szCs w:val="24"/>
          <w:shd w:fill="FFFF00" w:val="clear"/>
          <w:lang w:val="pt-BR"/>
        </w:rPr>
        <w:t>[</w:t>
      </w:r>
      <w:r>
        <w:rPr>
          <w:rFonts w:cs="Calibri Light" w:cstheme="majorHAnsi" w:ascii="Arial" w:hAnsi="Arial"/>
          <w:b/>
          <w:bCs/>
          <w:sz w:val="24"/>
          <w:szCs w:val="24"/>
          <w:shd w:fill="FFFF00" w:val="clear"/>
          <w:lang w:val="pt-BR"/>
        </w:rPr>
        <w:t>Local/Data</w:t>
      </w:r>
      <w:r>
        <w:rPr>
          <w:rFonts w:cs="Calibri Light" w:cstheme="majorHAnsi" w:ascii="Arial" w:hAnsi="Arial"/>
          <w:sz w:val="24"/>
          <w:szCs w:val="24"/>
          <w:shd w:fill="FFFF00" w:val="clear"/>
          <w:lang w:val="pt-BR"/>
        </w:rPr>
        <w:t>]</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center"/>
        <w:rPr>
          <w:rFonts w:cs="Calibri Light"/>
          <w:b/>
          <w:b/>
          <w:bCs/>
          <w:lang w:val="pt-BR"/>
        </w:rPr>
      </w:pPr>
      <w:r>
        <w:rPr>
          <w:rFonts w:cs="Calibri Light" w:ascii="Arial" w:hAnsi="Arial" w:cstheme="majorHAnsi"/>
          <w:b/>
          <w:bCs/>
          <w:sz w:val="24"/>
          <w:szCs w:val="24"/>
          <w:lang w:val="pt-BR"/>
        </w:rPr>
        <w:t>Deivid Moraes Mendes</w:t>
      </w:r>
    </w:p>
    <w:p>
      <w:pPr>
        <w:pStyle w:val="Normal"/>
        <w:jc w:val="center"/>
        <w:rPr>
          <w:rFonts w:cs="Arial"/>
          <w:b/>
          <w:b/>
          <w:bCs/>
          <w:lang w:val="pt-BR"/>
        </w:rPr>
      </w:pPr>
      <w:bookmarkStart w:id="1" w:name="_Hlk126604625"/>
      <w:r>
        <w:rPr>
          <w:rFonts w:cs="Arial" w:ascii="Arial" w:hAnsi="Arial"/>
          <w:b/>
          <w:bCs/>
          <w:sz w:val="24"/>
          <w:szCs w:val="24"/>
          <w:lang w:val="pt-BR"/>
        </w:rPr>
        <w:t>Secretário de Município de Gestão Administrativa e Licitações</w:t>
      </w:r>
      <w:bookmarkEnd w:id="1"/>
    </w:p>
    <w:p>
      <w:pPr>
        <w:pStyle w:val="Normal"/>
        <w:jc w:val="both"/>
        <w:rPr>
          <w:rFonts w:ascii="Arial" w:hAnsi="Arial"/>
          <w:sz w:val="24"/>
          <w:szCs w:val="24"/>
        </w:rPr>
      </w:pPr>
      <w:r>
        <w:rPr/>
      </w:r>
    </w:p>
    <w:sectPr>
      <w:headerReference w:type="default" r:id="rId2"/>
      <w:footerReference w:type="default" r:id="rId3"/>
      <w:type w:val="nextPage"/>
      <w:pgSz w:w="11906" w:h="16838"/>
      <w:pgMar w:left="1134" w:right="1134" w:gutter="0" w:header="425" w:top="1445" w:footer="936" w:bottom="1162"/>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StarSymbol">
    <w:altName w:val="Arial Unicode MS"/>
    <w:charset w:val="00"/>
    <w:family w:val="roman"/>
    <w:pitch w:val="variable"/>
  </w:font>
  <w:font w:name="Verdana">
    <w:charset w:val="00"/>
    <w:family w:val="roman"/>
    <w:pitch w:val="variable"/>
  </w:font>
  <w:font w:name="Segoe UI">
    <w:charset w:val="00"/>
    <w:family w:val="roman"/>
    <w:pitch w:val="variable"/>
  </w:font>
  <w:font w:name="Ecofont Vera Sans">
    <w:charset w:val="00"/>
    <w:family w:val="roman"/>
    <w:pitch w:val="variable"/>
  </w:font>
  <w:font w:name="Arial">
    <w:charset w:val="00"/>
    <w:family w:val="roman"/>
    <w:pitch w:val="variable"/>
  </w:font>
  <w:font w:name="Liberation Sans">
    <w:altName w:val="Arial"/>
    <w:charset w:val="00"/>
    <w:family w:val="roman"/>
    <w:pitch w:val="variable"/>
  </w:font>
  <w:font w:name="Albany">
    <w:altName w:val="Arial"/>
    <w:charset w:val="00"/>
    <w:family w:val="roman"/>
    <w:pitch w:val="variable"/>
  </w:font>
  <w:font w:name="Helvetica">
    <w:altName w:val="Arial"/>
    <w:charset w:val="00"/>
    <w:family w:val="roman"/>
    <w:pitch w:val="variable"/>
  </w:font>
  <w:font w:name="DejaVu Sans">
    <w:charset w:val="00"/>
    <w:family w:val="roman"/>
    <w:pitch w:val="variable"/>
  </w:font>
  <w:font w:name="Arial Narrow">
    <w:charset w:val="00"/>
    <w:family w:val="roman"/>
    <w:pitch w:val="variable"/>
  </w:font>
  <w:font w:name="Albertus Medium">
    <w:charset w:val="00"/>
    <w:family w:val="roman"/>
    <w:pitch w:val="variable"/>
  </w:font>
  <w:font w:name="Bookman Old Style">
    <w:charset w:val="00"/>
    <w:family w:val="roman"/>
    <w:pitch w:val="variable"/>
  </w:font>
  <w:font w:name="Arial Nova Light">
    <w:charset w:val="00"/>
    <w:family w:val="roman"/>
    <w:pitch w:val="variable"/>
  </w:font>
  <w:font w:name="Arial Unicode MS">
    <w:charset w:val="00"/>
    <w:family w:val="roman"/>
    <w:pitch w:val="variable"/>
  </w:font>
  <w:font w:name="Calibri Ligh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both"/>
      <w:rPr>
        <w:rFonts w:ascii="Calibri Light" w:hAnsi="Calibri Light" w:cs="Calibri Light"/>
        <w:b/>
        <w:b/>
        <w:bCs/>
        <w:smallCaps/>
        <w:szCs w:val="20"/>
        <w:u w:val="single"/>
      </w:rPr>
    </w:pPr>
    <w:r>
      <w:rPr>
        <w:rFonts w:cs="Calibri Light" w:ascii="Calibri Light" w:hAnsi="Calibri Light"/>
        <w:b/>
        <w:bCs/>
        <w:smallCaps/>
        <w:szCs w:val="20"/>
        <w:u w:val="single"/>
      </w:rPr>
    </w:r>
  </w:p>
  <w:p>
    <w:pPr>
      <w:pStyle w:val="Rodap"/>
      <w:jc w:val="right"/>
      <w:rPr>
        <w:rFonts w:ascii="Calibri Light" w:hAnsi="Calibri Light" w:cs="Calibri Light"/>
        <w:szCs w:val="20"/>
      </w:rPr>
    </w:pPr>
    <w:r>
      <w:rPr>
        <w:rFonts w:cs="Calibri Light" w:ascii="Calibri Light" w:hAnsi="Calibri Light"/>
        <w:szCs w:val="20"/>
        <w:lang w:val="pt-BR"/>
      </w:rPr>
      <w:t xml:space="preserve">Página </w:t>
    </w:r>
    <w:r>
      <w:rPr>
        <w:rFonts w:cs="Calibri Light" w:ascii="Calibri Light" w:hAnsi="Calibri Light"/>
        <w:szCs w:val="20"/>
      </w:rPr>
      <w:fldChar w:fldCharType="begin"/>
    </w:r>
    <w:r>
      <w:rPr>
        <w:szCs w:val="20"/>
        <w:rFonts w:cs="Calibri Light" w:ascii="Calibri Light" w:hAnsi="Calibri Light"/>
      </w:rPr>
      <w:instrText xml:space="preserve"> PAGE </w:instrText>
    </w:r>
    <w:r>
      <w:rPr>
        <w:szCs w:val="20"/>
        <w:rFonts w:cs="Calibri Light" w:ascii="Calibri Light" w:hAnsi="Calibri Light"/>
      </w:rPr>
      <w:fldChar w:fldCharType="separate"/>
    </w:r>
    <w:r>
      <w:rPr>
        <w:szCs w:val="20"/>
        <w:rFonts w:cs="Calibri Light" w:ascii="Calibri Light" w:hAnsi="Calibri Light"/>
      </w:rPr>
      <w:t>9</w:t>
    </w:r>
    <w:r>
      <w:rPr>
        <w:szCs w:val="20"/>
        <w:rFonts w:cs="Calibri Light" w:ascii="Calibri Light" w:hAnsi="Calibri Light"/>
      </w:rPr>
      <w:fldChar w:fldCharType="end"/>
    </w:r>
    <w:r>
      <w:rPr>
        <w:rFonts w:cs="Calibri Light" w:ascii="Calibri Light" w:hAnsi="Calibri Light"/>
        <w:szCs w:val="20"/>
        <w:lang w:val="pt-BR"/>
      </w:rPr>
      <w:t xml:space="preserve"> de </w:t>
    </w:r>
    <w:r>
      <w:rPr>
        <w:rFonts w:cs="Calibri Light" w:ascii="Calibri Light" w:hAnsi="Calibri Light"/>
        <w:szCs w:val="20"/>
      </w:rPr>
      <w:fldChar w:fldCharType="begin"/>
    </w:r>
    <w:r>
      <w:rPr>
        <w:szCs w:val="20"/>
        <w:rFonts w:cs="Calibri Light" w:ascii="Calibri Light" w:hAnsi="Calibri Light"/>
      </w:rPr>
      <w:instrText xml:space="preserve"> NUMPAGES </w:instrText>
    </w:r>
    <w:r>
      <w:rPr>
        <w:szCs w:val="20"/>
        <w:rFonts w:cs="Calibri Light" w:ascii="Calibri Light" w:hAnsi="Calibri Light"/>
      </w:rPr>
      <w:fldChar w:fldCharType="separate"/>
    </w:r>
    <w:r>
      <w:rPr>
        <w:szCs w:val="20"/>
        <w:rFonts w:cs="Calibri Light" w:ascii="Calibri Light" w:hAnsi="Calibri Light"/>
      </w:rPr>
      <w:t>10</w:t>
    </w:r>
    <w:r>
      <w:rPr>
        <w:szCs w:val="20"/>
        <w:rFonts w:cs="Calibri Light" w:ascii="Calibri Light" w:hAnsi="Calibri Light"/>
      </w:rPr>
      <w:fldChar w:fldCharType="end"/>
    </w:r>
  </w:p>
  <w:p>
    <w:pPr>
      <w:pStyle w:val="Rodap"/>
      <w:ind w:right="-1418" w:hanging="0"/>
      <w:jc w:val="center"/>
      <w:rPr>
        <w:rFonts w:cs="Arial Unicode MS"/>
        <w:b/>
        <w:b/>
        <w:i/>
        <w:i/>
      </w:rPr>
    </w:pPr>
    <w:r>
      <w:rPr>
        <w:rFonts w:cs="Arial Unicode MS"/>
        <w:b/>
        <w:i/>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jc w:val="center"/>
      <w:rPr>
        <w:rFonts w:ascii="Arial Unicode MS" w:hAnsi="Arial Unicode MS" w:eastAsia="Arial Unicode MS" w:cs="Arial Unicode MS"/>
        <w:b/>
        <w:b/>
        <w:sz w:val="24"/>
      </w:rPr>
    </w:pPr>
    <w:r>
      <w:drawing>
        <wp:anchor behindDoc="1" distT="0" distB="0" distL="0" distR="0" simplePos="0" locked="0" layoutInCell="0" allowOverlap="1" relativeHeight="11">
          <wp:simplePos x="0" y="0"/>
          <wp:positionH relativeFrom="column">
            <wp:posOffset>-72390</wp:posOffset>
          </wp:positionH>
          <wp:positionV relativeFrom="paragraph">
            <wp:posOffset>-154305</wp:posOffset>
          </wp:positionV>
          <wp:extent cx="669290" cy="692150"/>
          <wp:effectExtent l="0" t="0" r="0" b="0"/>
          <wp:wrapNone/>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rcRect l="-75" t="-63" r="-75" b="-63"/>
                  <a:stretch>
                    <a:fillRect/>
                  </a:stretch>
                </pic:blipFill>
                <pic:spPr bwMode="auto">
                  <a:xfrm>
                    <a:off x="0" y="0"/>
                    <a:ext cx="669290" cy="692150"/>
                  </a:xfrm>
                  <a:prstGeom prst="rect">
                    <a:avLst/>
                  </a:prstGeom>
                </pic:spPr>
              </pic:pic>
            </a:graphicData>
          </a:graphic>
        </wp:anchor>
      </w:drawing>
    </w:r>
    <w:r>
      <w:rPr>
        <w:rFonts w:eastAsia="Arial Unicode MS" w:cs="Arial Unicode MS" w:ascii="Arial Unicode MS" w:hAnsi="Arial Unicode MS"/>
        <w:b/>
        <w:sz w:val="24"/>
      </w:rPr>
      <w:t>Estado do Rio Grande do Sul</w:t>
    </w:r>
  </w:p>
  <w:p>
    <w:pPr>
      <w:pStyle w:val="Normal"/>
      <w:spacing w:lineRule="auto" w:line="276"/>
      <w:ind w:hanging="0"/>
      <w:jc w:val="center"/>
      <w:rPr>
        <w:rFonts w:ascii="Arial Unicode MS" w:hAnsi="Arial Unicode MS" w:eastAsia="Arial Unicode MS" w:cs="Arial Unicode MS"/>
        <w:b/>
        <w:b/>
        <w:sz w:val="24"/>
      </w:rPr>
    </w:pPr>
    <w:r>
      <w:rPr>
        <w:rFonts w:eastAsia="Arial Unicode MS" w:cs="Arial Unicode MS" w:ascii="Arial Unicode MS" w:hAnsi="Arial Unicode MS"/>
        <w:b/>
        <w:sz w:val="24"/>
      </w:rPr>
      <w:t>Prefeitura Municipal do Rio Grande</w:t>
    </w:r>
  </w:p>
  <w:p>
    <w:pPr>
      <w:pStyle w:val="Normal"/>
      <w:spacing w:lineRule="auto" w:line="276"/>
      <w:jc w:val="center"/>
      <w:rPr/>
    </w:pPr>
    <w:r>
      <w:rPr>
        <w:rFonts w:eastAsia="Arial" w:cs="Arial" w:ascii="Arial" w:hAnsi="Arial"/>
        <w:b/>
        <w:sz w:val="24"/>
      </w:rPr>
      <w:t xml:space="preserve">   </w:t>
    </w:r>
    <w:r>
      <w:rPr>
        <w:rFonts w:eastAsia="Arial Unicode MS" w:cs="Arial" w:ascii="Arial" w:hAnsi="Arial"/>
        <w:b/>
        <w:sz w:val="24"/>
      </w:rPr>
      <w:t xml:space="preserve">Superintendência de Compras Licitações e Contratos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isplayBackgroundShape/>
  <w:embedSystemFonts/>
  <w:defaultTabStop w:val="708"/>
  <w:autoHyphenation w:val="true"/>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qFormat="1"/>
    <w:lsdException w:name="heading 5" w:uiPriority="9" w:semiHidden="1" w:unhideWhenUsed="1" w:qFormat="1"/>
    <w:lsdException w:name="heading 6" w:uiPriority="9" w:qFormat="1"/>
    <w:lsdException w:name="heading 7" w:uiPriority="9"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HG Mincho Light J" w:cs="Times New Roman"/>
      <w:color w:val="000000"/>
      <w:kern w:val="0"/>
      <w:sz w:val="20"/>
      <w:szCs w:val="24"/>
      <w:lang w:val="pt-PT" w:eastAsia="zh-CN" w:bidi="ar-SA"/>
    </w:rPr>
  </w:style>
  <w:style w:type="paragraph" w:styleId="Ttulo1">
    <w:name w:val="Heading 1"/>
    <w:basedOn w:val="Normal"/>
    <w:next w:val="Normal"/>
    <w:qFormat/>
    <w:pPr>
      <w:keepNext w:val="true"/>
      <w:numPr>
        <w:ilvl w:val="0"/>
        <w:numId w:val="1"/>
      </w:numPr>
      <w:outlineLvl w:val="0"/>
    </w:pPr>
    <w:rPr>
      <w:sz w:val="24"/>
    </w:rPr>
  </w:style>
  <w:style w:type="paragraph" w:styleId="Ttulo2">
    <w:name w:val="Heading 2"/>
    <w:basedOn w:val="WWTtulo"/>
    <w:next w:val="Corpodotexto"/>
    <w:qFormat/>
    <w:pPr>
      <w:outlineLvl w:val="1"/>
    </w:pPr>
    <w:rPr>
      <w:b/>
      <w:i/>
    </w:rPr>
  </w:style>
  <w:style w:type="paragraph" w:styleId="Ttulo4">
    <w:name w:val="Heading 4"/>
    <w:basedOn w:val="Normal"/>
    <w:next w:val="Normal"/>
    <w:qFormat/>
    <w:pPr>
      <w:keepNext w:val="true"/>
      <w:numPr>
        <w:ilvl w:val="3"/>
        <w:numId w:val="1"/>
      </w:numPr>
      <w:pBdr>
        <w:top w:val="single" w:sz="4" w:space="1" w:color="000000"/>
        <w:left w:val="single" w:sz="4" w:space="1" w:color="000000"/>
        <w:bottom w:val="single" w:sz="4" w:space="1" w:color="000000"/>
        <w:right w:val="single" w:sz="4" w:space="1" w:color="000000"/>
      </w:pBdr>
      <w:spacing w:lineRule="auto" w:line="480" w:before="0" w:after="120"/>
      <w:ind w:left="3841" w:hanging="0"/>
      <w:outlineLvl w:val="3"/>
    </w:pPr>
    <w:rPr>
      <w:i/>
      <w:sz w:val="24"/>
    </w:rPr>
  </w:style>
  <w:style w:type="paragraph" w:styleId="Ttulo6">
    <w:name w:val="Heading 6"/>
    <w:basedOn w:val="Normal"/>
    <w:next w:val="Normal"/>
    <w:qFormat/>
    <w:pPr>
      <w:keepNext w:val="true"/>
      <w:numPr>
        <w:ilvl w:val="5"/>
        <w:numId w:val="1"/>
      </w:numPr>
      <w:pBdr>
        <w:top w:val="single" w:sz="4" w:space="1" w:color="000000"/>
        <w:left w:val="single" w:sz="4" w:space="1" w:color="000000"/>
        <w:bottom w:val="single" w:sz="4" w:space="1" w:color="000000"/>
        <w:right w:val="single" w:sz="4" w:space="1" w:color="000000"/>
      </w:pBdr>
      <w:jc w:val="center"/>
      <w:outlineLvl w:val="5"/>
    </w:pPr>
    <w:rPr>
      <w:b/>
      <w:bCs/>
      <w:sz w:val="28"/>
    </w:rPr>
  </w:style>
  <w:style w:type="paragraph" w:styleId="Ttulo7">
    <w:name w:val="Heading 7"/>
    <w:basedOn w:val="Normal"/>
    <w:next w:val="Normal"/>
    <w:qFormat/>
    <w:pPr>
      <w:keepNext w:val="true"/>
      <w:numPr>
        <w:ilvl w:val="6"/>
        <w:numId w:val="1"/>
      </w:numPr>
      <w:pBdr>
        <w:top w:val="single" w:sz="4" w:space="1" w:color="000000"/>
        <w:left w:val="single" w:sz="4" w:space="1" w:color="000000"/>
        <w:bottom w:val="single" w:sz="4" w:space="1" w:color="000000"/>
        <w:right w:val="single" w:sz="4" w:space="1" w:color="000000"/>
      </w:pBdr>
      <w:outlineLvl w:val="6"/>
    </w:pPr>
    <w:rPr>
      <w:sz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ontepargpadro3" w:customStyle="1">
    <w:name w:val="Fonte parág. padrão3"/>
    <w:qFormat/>
    <w:rPr/>
  </w:style>
  <w:style w:type="character" w:styleId="WW8Num2z0" w:customStyle="1">
    <w:name w:val="WW8Num2z0"/>
    <w:qFormat/>
    <w:rPr>
      <w:rFonts w:ascii="Symbol" w:hAnsi="Symbol" w:cs="Symbol"/>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3z0" w:customStyle="1">
    <w:name w:val="WW8Num3z0"/>
    <w:qFormat/>
    <w:rPr/>
  </w:style>
  <w:style w:type="character" w:styleId="WW8Num4z0" w:customStyle="1">
    <w:name w:val="WW8Num4z0"/>
    <w:qFormat/>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Fontepargpadro2" w:customStyle="1">
    <w:name w:val="Fonte parág. padrão2"/>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8Num6z0" w:customStyle="1">
    <w:name w:val="WW8Num6z0"/>
    <w:qFormat/>
    <w:rPr>
      <w:rFonts w:ascii="Symbol" w:hAnsi="Symbol" w:cs="Symbol"/>
      <w:sz w:val="18"/>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8Num7z0" w:customStyle="1">
    <w:name w:val="WW8Num7z0"/>
    <w:qFormat/>
    <w:rPr>
      <w:rFonts w:ascii="Wingdings" w:hAnsi="Wingdings" w:cs="Wingdings"/>
    </w:rPr>
  </w:style>
  <w:style w:type="character" w:styleId="WW8Num8z0" w:customStyle="1">
    <w:name w:val="WW8Num8z0"/>
    <w:qFormat/>
    <w:rPr>
      <w:rFonts w:ascii="Wingdings" w:hAnsi="Wingdings" w:cs="Wingdings"/>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WWAbsatzStandardschriftart111111111111111111111111111111111111111111111111111111111111" w:customStyle="1">
    <w:name w:val="WW-Absatz-Standardschriftart111111111111111111111111111111111111111111111111111111111111"/>
    <w:qFormat/>
    <w:rPr/>
  </w:style>
  <w:style w:type="character" w:styleId="WWAbsatzStandardschriftart1111111111111111111111111111111111111111111111111111111111111" w:customStyle="1">
    <w:name w:val="WW-Absatz-Standardschriftart1111111111111111111111111111111111111111111111111111111111111"/>
    <w:qFormat/>
    <w:rPr/>
  </w:style>
  <w:style w:type="character" w:styleId="WWAbsatzStandardschriftart11111111111111111111111111111111111111111111111111111111111111" w:customStyle="1">
    <w:name w:val="WW-Absatz-Standardschriftart11111111111111111111111111111111111111111111111111111111111111"/>
    <w:qFormat/>
    <w:rPr/>
  </w:style>
  <w:style w:type="character" w:styleId="WWAbsatzStandardschriftart111111111111111111111111111111111111111111111111111111111111111" w:customStyle="1">
    <w:name w:val="WW-Absatz-Standardschriftart111111111111111111111111111111111111111111111111111111111111111"/>
    <w:qFormat/>
    <w:rPr/>
  </w:style>
  <w:style w:type="character" w:styleId="WWAbsatzStandardschriftart1111111111111111111111111111111111111111111111111111111111111111" w:customStyle="1">
    <w:name w:val="WW-Absatz-Standardschriftart1111111111111111111111111111111111111111111111111111111111111111"/>
    <w:qFormat/>
    <w:rPr/>
  </w:style>
  <w:style w:type="character" w:styleId="WWAbsatzStandardschriftart11111111111111111111111111111111111111111111111111111111111111111" w:customStyle="1">
    <w:name w:val="WW-Absatz-Standardschriftart11111111111111111111111111111111111111111111111111111111111111111"/>
    <w:qFormat/>
    <w:rPr/>
  </w:style>
  <w:style w:type="character" w:styleId="WWAbsatzStandardschriftart111111111111111111111111111111111111111111111111111111111111111111" w:customStyle="1">
    <w:name w:val="WW-Absatz-Standardschriftart111111111111111111111111111111111111111111111111111111111111111111"/>
    <w:qFormat/>
    <w:rPr/>
  </w:style>
  <w:style w:type="character" w:styleId="WWAbsatzStandardschriftart1111111111111111111111111111111111111111111111111111111111111111111" w:customStyle="1">
    <w:name w:val="WW-Absatz-Standardschriftart1111111111111111111111111111111111111111111111111111111111111111111"/>
    <w:qFormat/>
    <w:rPr/>
  </w:style>
  <w:style w:type="character" w:styleId="WWAbsatzStandardschriftart11111111111111111111111111111111111111111111111111111111111111111111" w:customStyle="1">
    <w:name w:val="WW-Absatz-Standardschriftart11111111111111111111111111111111111111111111111111111111111111111111"/>
    <w:qFormat/>
    <w:rPr/>
  </w:style>
  <w:style w:type="character" w:styleId="WWAbsatzStandardschriftart111111111111111111111111111111111111111111111111111111111111111111111" w:customStyle="1">
    <w:name w:val="WW-Absatz-Standardschriftart111111111111111111111111111111111111111111111111111111111111111111111"/>
    <w:qFormat/>
    <w:rPr/>
  </w:style>
  <w:style w:type="character" w:styleId="WWAbsatzStandardschriftart1111111111111111111111111111111111111111111111111111111111111111111111" w:customStyle="1">
    <w:name w:val="WW-Absatz-Standardschriftart1111111111111111111111111111111111111111111111111111111111111111111111"/>
    <w:qFormat/>
    <w:rPr/>
  </w:style>
  <w:style w:type="character" w:styleId="WWAbsatzStandardschriftart11111111111111111111111111111111111111111111111111111111111111111111111" w:customStyle="1">
    <w:name w:val="WW-Absatz-Standardschriftart11111111111111111111111111111111111111111111111111111111111111111111111"/>
    <w:qFormat/>
    <w:rPr/>
  </w:style>
  <w:style w:type="character" w:styleId="WWAbsatzStandardschriftart111111111111111111111111111111111111111111111111111111111111111111111111" w:customStyle="1">
    <w:name w:val="WW-Absatz-Standardschriftart111111111111111111111111111111111111111111111111111111111111111111111111"/>
    <w:qFormat/>
    <w:rPr/>
  </w:style>
  <w:style w:type="character" w:styleId="WWAbsatzStandardschriftart1111111111111111111111111111111111111111111111111111111111111111111111111" w:customStyle="1">
    <w:name w:val="WW-Absatz-Standardschriftart1111111111111111111111111111111111111111111111111111111111111111111111111"/>
    <w:qFormat/>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Pr/>
  </w:style>
  <w:style w:type="character" w:styleId="Caracteresdenotaderodap">
    <w:name w:val="Caracteres de nota de rodapé"/>
    <w:uiPriority w:val="99"/>
    <w:semiHidden/>
    <w:unhideWhenUsed/>
    <w:qFormat/>
    <w:rsid w:val="003e35fc"/>
    <w:rPr>
      <w:vertAlign w:val="superscript"/>
    </w:rPr>
  </w:style>
  <w:style w:type="character" w:styleId="Smbolosdenumerao" w:customStyle="1">
    <w:name w:val="Símbolos de numeração"/>
    <w:qFormat/>
    <w:rPr/>
  </w:style>
  <w:style w:type="character" w:styleId="Marcas" w:customStyle="1">
    <w:name w:val="Marcas"/>
    <w:qFormat/>
    <w:rPr>
      <w:rFonts w:ascii="StarSymbol" w:hAnsi="StarSymbol" w:cs="StarSymbol"/>
      <w:sz w:val="18"/>
    </w:rPr>
  </w:style>
  <w:style w:type="character" w:styleId="LinkdaInternet">
    <w:name w:val="Hyperlink"/>
    <w:rPr>
      <w:color w:val="000080"/>
      <w:u w:val="single"/>
    </w:rPr>
  </w:style>
  <w:style w:type="character" w:styleId="Caracteresdenotadefim" w:customStyle="1">
    <w:name w:val="Caracteres de nota de fim"/>
    <w:qFormat/>
    <w:rPr/>
  </w:style>
  <w:style w:type="character" w:styleId="Nfase">
    <w:name w:val="Emphasis"/>
    <w:qFormat/>
    <w:rPr>
      <w:i/>
      <w:iCs/>
    </w:rPr>
  </w:style>
  <w:style w:type="character" w:styleId="Strong">
    <w:name w:val="Strong"/>
    <w:qFormat/>
    <w:rPr>
      <w:b/>
      <w:bCs/>
    </w:rPr>
  </w:style>
  <w:style w:type="character" w:styleId="WWFontepargpadro" w:customStyle="1">
    <w:name w:val="WW-Fonte parág. padrão"/>
    <w:qFormat/>
    <w:rPr/>
  </w:style>
  <w:style w:type="character" w:styleId="Fontepargpadro1" w:customStyle="1">
    <w:name w:val="Fonte parág. padrão1"/>
    <w:qFormat/>
    <w:rPr/>
  </w:style>
  <w:style w:type="character" w:styleId="Style101" w:customStyle="1">
    <w:name w:val="style101"/>
    <w:basedOn w:val="Fontepargpadro1"/>
    <w:qFormat/>
    <w:rPr/>
  </w:style>
  <w:style w:type="character" w:styleId="Titulo1" w:customStyle="1">
    <w:name w:val="titulo1"/>
    <w:qFormat/>
    <w:rPr>
      <w:rFonts w:ascii="Verdana" w:hAnsi="Verdana" w:cs="Verdana"/>
      <w:b/>
      <w:bCs/>
      <w:sz w:val="20"/>
      <w:szCs w:val="20"/>
    </w:rPr>
  </w:style>
  <w:style w:type="character" w:styleId="Marcadores" w:customStyle="1">
    <w:name w:val="Marcadores"/>
    <w:qFormat/>
    <w:rPr>
      <w:rFonts w:ascii="StarSymbol" w:hAnsi="StarSymbol" w:eastAsia="StarSymbol" w:cs="StarSymbol"/>
      <w:sz w:val="18"/>
      <w:szCs w:val="18"/>
    </w:rPr>
  </w:style>
  <w:style w:type="character" w:styleId="TextodebaloChar" w:customStyle="1">
    <w:name w:val="Texto de balão Char"/>
    <w:qFormat/>
    <w:rPr>
      <w:rFonts w:ascii="Segoe UI" w:hAnsi="Segoe UI" w:eastAsia="HG Mincho Light J" w:cs="Segoe UI"/>
      <w:color w:val="000000"/>
      <w:sz w:val="18"/>
      <w:szCs w:val="18"/>
      <w:lang w:val="pt-PT"/>
    </w:rPr>
  </w:style>
  <w:style w:type="character" w:styleId="Object" w:customStyle="1">
    <w:name w:val="object"/>
    <w:qFormat/>
    <w:rPr/>
  </w:style>
  <w:style w:type="character" w:styleId="RodapChar" w:customStyle="1">
    <w:name w:val="Rodapé Char"/>
    <w:uiPriority w:val="99"/>
    <w:qFormat/>
    <w:rPr>
      <w:rFonts w:eastAsia="HG Mincho Light J"/>
      <w:color w:val="000000"/>
      <w:szCs w:val="24"/>
      <w:lang w:val="pt-PT"/>
    </w:rPr>
  </w:style>
  <w:style w:type="character" w:styleId="PargrafoNormalChar" w:customStyle="1">
    <w:name w:val="Parágrafo Normal Char"/>
    <w:qFormat/>
    <w:rPr>
      <w:rFonts w:ascii="Ecofont Vera Sans" w:hAnsi="Ecofont Vera Sans" w:cs="Arial"/>
      <w:sz w:val="22"/>
      <w:szCs w:val="24"/>
    </w:rPr>
  </w:style>
  <w:style w:type="character" w:styleId="TextodenotaderodapChar" w:customStyle="1">
    <w:name w:val="Texto de nota de rodapé Char"/>
    <w:qFormat/>
    <w:rPr>
      <w:rFonts w:ascii="Arial" w:hAnsi="Arial" w:cs="Arial"/>
    </w:rPr>
  </w:style>
  <w:style w:type="character" w:styleId="TextodenotaderodapChar1" w:customStyle="1">
    <w:name w:val="Texto de nota de rodapé Char1"/>
    <w:qFormat/>
    <w:rPr>
      <w:rFonts w:eastAsia="HG Mincho Light J"/>
      <w:color w:val="000000"/>
      <w:lang w:val="pt-PT"/>
    </w:rPr>
  </w:style>
  <w:style w:type="character" w:styleId="Refdenotaderodap1" w:customStyle="1">
    <w:name w:val="Ref. de nota de rodapé1"/>
    <w:qFormat/>
    <w:rPr>
      <w:vertAlign w:val="superscript"/>
    </w:rPr>
  </w:style>
  <w:style w:type="character" w:styleId="Recuodecorpodetexto2Char" w:customStyle="1">
    <w:name w:val="Recuo de corpo de texto 2 Char"/>
    <w:qFormat/>
    <w:rPr>
      <w:rFonts w:eastAsia="HG Mincho Light J"/>
      <w:color w:val="000000"/>
      <w:szCs w:val="24"/>
      <w:lang w:val="pt-PT"/>
    </w:rPr>
  </w:style>
  <w:style w:type="character" w:styleId="Ncoradanotaderodap">
    <w:name w:val="Footnote Reference"/>
    <w:rPr>
      <w:vertAlign w:val="superscrip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before="0" w:after="120"/>
    </w:pPr>
    <w:rPr/>
  </w:style>
  <w:style w:type="paragraph" w:styleId="Lista">
    <w:name w:val="List"/>
    <w:basedOn w:val="Corpodotexto"/>
    <w:pPr/>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style>
  <w:style w:type="paragraph" w:styleId="Ttulo3" w:customStyle="1">
    <w:name w:val="Título3"/>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rPr>
  </w:style>
  <w:style w:type="paragraph" w:styleId="WWTtulo" w:customStyle="1">
    <w:name w:val="WW-Título"/>
    <w:basedOn w:val="Normal"/>
    <w:next w:val="Corpodotexto"/>
    <w:qFormat/>
    <w:pPr>
      <w:keepNext w:val="true"/>
      <w:spacing w:before="240" w:after="120"/>
    </w:pPr>
    <w:rPr>
      <w:rFonts w:ascii="Albany" w:hAnsi="Albany" w:cs="Albany"/>
      <w:sz w:val="28"/>
    </w:rPr>
  </w:style>
  <w:style w:type="paragraph" w:styleId="Ttulo21" w:customStyle="1">
    <w:name w:val="Título2"/>
    <w:basedOn w:val="Normal"/>
    <w:next w:val="Corpodotexto"/>
    <w:qFormat/>
    <w:pPr>
      <w:keepNext w:val="true"/>
      <w:spacing w:before="240" w:after="120"/>
    </w:pPr>
    <w:rPr>
      <w:rFonts w:ascii="Helvetica" w:hAnsi="Helvetica" w:cs="Tahoma"/>
      <w:sz w:val="28"/>
      <w:szCs w:val="28"/>
    </w:rPr>
  </w:style>
  <w:style w:type="paragraph" w:styleId="Ttulo11" w:customStyle="1">
    <w:name w:val="Título1"/>
    <w:basedOn w:val="Normal"/>
    <w:next w:val="Corpodotexto"/>
    <w:qFormat/>
    <w:pPr>
      <w:keepNext w:val="true"/>
      <w:spacing w:before="240" w:after="120"/>
    </w:pPr>
    <w:rPr>
      <w:rFonts w:ascii="Liberation Sans" w:hAnsi="Liberation Sans" w:eastAsia="WenQuanYi Zen Hei" w:cs="Lohit Devanagari"/>
      <w:sz w:val="28"/>
      <w:szCs w:val="28"/>
    </w:rPr>
  </w:style>
  <w:style w:type="paragraph" w:styleId="Legenda1" w:customStyle="1">
    <w:name w:val="Legenda1"/>
    <w:basedOn w:val="Normal"/>
    <w:qFormat/>
    <w:pPr>
      <w:suppressLineNumbers/>
      <w:spacing w:before="120" w:after="120"/>
    </w:pPr>
    <w:rPr>
      <w:i/>
      <w:iCs/>
      <w:szCs w:val="20"/>
    </w:rPr>
  </w:style>
  <w:style w:type="paragraph" w:styleId="Captulo" w:customStyle="1">
    <w:name w:val="Capítulo"/>
    <w:basedOn w:val="Normal"/>
    <w:next w:val="Corpodotexto"/>
    <w:qFormat/>
    <w:pPr>
      <w:keepNext w:val="true"/>
      <w:spacing w:before="240" w:after="120"/>
    </w:pPr>
    <w:rPr>
      <w:rFonts w:ascii="DejaVu Sans" w:hAnsi="DejaVu Sans" w:eastAsia="DejaVu Sans" w:cs="DejaVu Sans"/>
      <w:sz w:val="28"/>
      <w:szCs w:val="28"/>
    </w:rPr>
  </w:style>
  <w:style w:type="paragraph" w:styleId="Suspensodorecuo" w:customStyle="1">
    <w:name w:val="Suspensão do recuo"/>
    <w:basedOn w:val="Normal"/>
    <w:qFormat/>
    <w:pPr>
      <w:spacing w:lineRule="auto" w:line="360" w:before="240" w:after="0"/>
      <w:ind w:firstLine="1134"/>
    </w:pPr>
    <w:rPr/>
  </w:style>
  <w:style w:type="paragraph" w:styleId="Corpodotextorecuado">
    <w:name w:val="Body Text Indent"/>
    <w:basedOn w:val="Normal"/>
    <w:pPr>
      <w:ind w:firstLine="1800"/>
      <w:jc w:val="center"/>
    </w:pPr>
    <w:rPr>
      <w:b/>
      <w:bCs/>
      <w:sz w:val="32"/>
    </w:rPr>
  </w:style>
  <w:style w:type="paragraph" w:styleId="CabealhoeRodap">
    <w:name w:val="Cabeçalho e Rodapé"/>
    <w:basedOn w:val="Normal"/>
    <w:qFormat/>
    <w:pPr/>
    <w:rPr/>
  </w:style>
  <w:style w:type="paragraph" w:styleId="Cabealho">
    <w:name w:val="Header"/>
    <w:basedOn w:val="Normal"/>
    <w:pPr>
      <w:tabs>
        <w:tab w:val="clear" w:pos="708"/>
        <w:tab w:val="center" w:pos="4419" w:leader="none"/>
        <w:tab w:val="right" w:pos="8838" w:leader="none"/>
      </w:tabs>
    </w:pPr>
    <w:rPr/>
  </w:style>
  <w:style w:type="paragraph" w:styleId="Rodap">
    <w:name w:val="Footer"/>
    <w:basedOn w:val="Normal"/>
    <w:uiPriority w:val="99"/>
    <w:pPr>
      <w:tabs>
        <w:tab w:val="clear" w:pos="708"/>
        <w:tab w:val="center" w:pos="4419" w:leader="none"/>
        <w:tab w:val="right" w:pos="8838" w:leader="none"/>
      </w:tabs>
    </w:pPr>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i/>
      <w:iCs/>
    </w:rPr>
  </w:style>
  <w:style w:type="paragraph" w:styleId="Subttulo">
    <w:name w:val="Subtitle"/>
    <w:basedOn w:val="Ttulo21"/>
    <w:next w:val="Corpodotexto"/>
    <w:qFormat/>
    <w:pPr>
      <w:jc w:val="center"/>
    </w:pPr>
    <w:rPr>
      <w:i/>
      <w:iCs/>
    </w:rPr>
  </w:style>
  <w:style w:type="paragraph" w:styleId="Citaes" w:customStyle="1">
    <w:name w:val="Citações"/>
    <w:basedOn w:val="Normal"/>
    <w:qFormat/>
    <w:pPr>
      <w:spacing w:before="0" w:after="283"/>
      <w:ind w:left="567" w:right="567" w:hanging="0"/>
    </w:pPr>
    <w:rPr/>
  </w:style>
  <w:style w:type="paragraph" w:styleId="Corpodetexto21" w:customStyle="1">
    <w:name w:val="Corpo de texto 21"/>
    <w:basedOn w:val="Normal"/>
    <w:qFormat/>
    <w:pPr>
      <w:widowControl w:val="false"/>
      <w:spacing w:lineRule="auto" w:line="360"/>
      <w:jc w:val="both"/>
    </w:pPr>
    <w:rPr>
      <w:rFonts w:ascii="Arial" w:hAnsi="Arial" w:eastAsia="Bitstream Vera Sans" w:cs="Arial"/>
    </w:rPr>
  </w:style>
  <w:style w:type="paragraph" w:styleId="Western" w:customStyle="1">
    <w:name w:val="western"/>
    <w:basedOn w:val="Normal"/>
    <w:qFormat/>
    <w:pPr>
      <w:spacing w:before="280" w:after="119"/>
    </w:pPr>
    <w:rPr/>
  </w:style>
  <w:style w:type="paragraph" w:styleId="Corpodetexto31" w:customStyle="1">
    <w:name w:val="Corpo de texto 31"/>
    <w:basedOn w:val="Normal"/>
    <w:qFormat/>
    <w:pPr>
      <w:spacing w:before="0" w:after="120"/>
    </w:pPr>
    <w:rPr>
      <w:sz w:val="16"/>
      <w:szCs w:val="16"/>
    </w:rPr>
  </w:style>
  <w:style w:type="paragraph" w:styleId="Contedodoquadro" w:customStyle="1">
    <w:name w:val="Conteúdo do quadro"/>
    <w:basedOn w:val="Corpodotexto"/>
    <w:qFormat/>
    <w:pPr/>
    <w:rPr/>
  </w:style>
  <w:style w:type="paragraph" w:styleId="Textocomum" w:customStyle="1">
    <w:name w:val="Texto comum"/>
    <w:basedOn w:val="Normal"/>
    <w:qFormat/>
    <w:pPr>
      <w:suppressAutoHyphens w:val="false"/>
      <w:spacing w:lineRule="auto" w:line="360"/>
      <w:ind w:left="567" w:firstLine="720"/>
      <w:jc w:val="both"/>
    </w:pPr>
    <w:rPr>
      <w:sz w:val="24"/>
    </w:rPr>
  </w:style>
  <w:style w:type="paragraph" w:styleId="Corpodetexto32" w:customStyle="1">
    <w:name w:val="Corpo de texto 32"/>
    <w:basedOn w:val="Normal"/>
    <w:qFormat/>
    <w:pPr>
      <w:spacing w:lineRule="auto" w:line="360"/>
    </w:pPr>
    <w:rPr>
      <w:b/>
      <w:bCs/>
    </w:rPr>
  </w:style>
  <w:style w:type="paragraph" w:styleId="Corpodetexto22" w:customStyle="1">
    <w:name w:val="Corpo de texto 22"/>
    <w:basedOn w:val="Normal"/>
    <w:qFormat/>
    <w:pPr>
      <w:widowControl w:val="false"/>
      <w:suppressAutoHyphens w:val="false"/>
      <w:spacing w:lineRule="auto" w:line="360"/>
      <w:jc w:val="both"/>
    </w:pPr>
    <w:rPr>
      <w:spacing w:val="20"/>
      <w:sz w:val="24"/>
    </w:rPr>
  </w:style>
  <w:style w:type="paragraph" w:styleId="EditalNvel1" w:customStyle="1">
    <w:name w:val="Edital - Nível 1"/>
    <w:basedOn w:val="Normal"/>
    <w:qFormat/>
    <w:pPr>
      <w:suppressAutoHyphens w:val="false"/>
      <w:jc w:val="both"/>
    </w:pPr>
    <w:rPr>
      <w:rFonts w:ascii="Arial Narrow" w:hAnsi="Arial Narrow" w:cs="Arial Narrow"/>
      <w:b/>
      <w:caps/>
      <w:sz w:val="22"/>
      <w:szCs w:val="22"/>
    </w:rPr>
  </w:style>
  <w:style w:type="paragraph" w:styleId="EditalNvel2" w:customStyle="1">
    <w:name w:val="Edital - Nível 2"/>
    <w:basedOn w:val="Normal"/>
    <w:qFormat/>
    <w:pPr>
      <w:suppressAutoHyphens w:val="false"/>
      <w:jc w:val="both"/>
    </w:pPr>
    <w:rPr>
      <w:rFonts w:ascii="Arial Narrow" w:hAnsi="Arial Narrow" w:cs="Arial Narrow"/>
      <w:sz w:val="22"/>
    </w:rPr>
  </w:style>
  <w:style w:type="paragraph" w:styleId="EditalNvel3" w:customStyle="1">
    <w:name w:val="Edital - Nível 3"/>
    <w:basedOn w:val="EditalNvel2"/>
    <w:qFormat/>
    <w:pPr/>
    <w:rPr/>
  </w:style>
  <w:style w:type="paragraph" w:styleId="StyleHeading411pt" w:customStyle="1">
    <w:name w:val="Style Heading 4 + 11 pt"/>
    <w:basedOn w:val="Ttulo4"/>
    <w:next w:val="Normal"/>
    <w:qFormat/>
    <w:pPr>
      <w:numPr>
        <w:ilvl w:val="0"/>
        <w:numId w:val="0"/>
      </w:numPr>
      <w:tabs>
        <w:tab w:val="clear" w:pos="708"/>
        <w:tab w:val="left" w:pos="360" w:leader="none"/>
      </w:tabs>
      <w:suppressAutoHyphens w:val="false"/>
      <w:ind w:left="3841" w:hanging="0"/>
      <w:jc w:val="both"/>
    </w:pPr>
    <w:rPr>
      <w:rFonts w:ascii="Arial" w:hAnsi="Arial" w:cs="Arial"/>
      <w:bCs/>
      <w:iCs/>
      <w:sz w:val="22"/>
    </w:rPr>
  </w:style>
  <w:style w:type="paragraph" w:styleId="Normal1" w:customStyle="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WWTextoembloco" w:customStyle="1">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left="4536" w:right="4" w:firstLine="1134"/>
      <w:jc w:val="both"/>
    </w:pPr>
    <w:rPr>
      <w:rFonts w:ascii="Albertus Medium" w:hAnsi="Albertus Medium" w:cs="Albertus Medium"/>
      <w:b/>
    </w:rPr>
  </w:style>
  <w:style w:type="paragraph" w:styleId="Recuodaprimeiralinha" w:customStyle="1">
    <w:name w:val="Recuo da primeira linha"/>
    <w:basedOn w:val="Corpodotexto"/>
    <w:qFormat/>
    <w:pPr>
      <w:ind w:firstLine="283"/>
    </w:pPr>
    <w:rPr/>
  </w:style>
  <w:style w:type="paragraph" w:styleId="BalloonText">
    <w:name w:val="Balloon Text"/>
    <w:basedOn w:val="Normal"/>
    <w:qFormat/>
    <w:pPr/>
    <w:rPr>
      <w:rFonts w:ascii="Segoe UI" w:hAnsi="Segoe UI" w:cs="Segoe UI"/>
      <w:sz w:val="18"/>
      <w:szCs w:val="18"/>
    </w:rPr>
  </w:style>
  <w:style w:type="paragraph" w:styleId="EmentaTtulo" w:customStyle="1">
    <w:name w:val="Ementa - Título"/>
    <w:basedOn w:val="Normal"/>
    <w:qFormat/>
    <w:pPr>
      <w:suppressAutoHyphens w:val="false"/>
      <w:ind w:left="2835" w:hanging="0"/>
      <w:jc w:val="both"/>
    </w:pPr>
    <w:rPr>
      <w:rFonts w:ascii="Arial" w:hAnsi="Arial" w:cs="Arial"/>
      <w:b/>
      <w:bCs/>
      <w:caps/>
      <w:kern w:val="2"/>
      <w:sz w:val="22"/>
      <w:szCs w:val="22"/>
    </w:rPr>
  </w:style>
  <w:style w:type="paragraph" w:styleId="EmentaCorpo" w:customStyle="1">
    <w:name w:val="Ementa - Corpo"/>
    <w:basedOn w:val="Normal"/>
    <w:qFormat/>
    <w:pPr>
      <w:suppressAutoHyphens w:val="false"/>
      <w:ind w:left="2835" w:hanging="0"/>
      <w:jc w:val="both"/>
    </w:pPr>
    <w:rPr>
      <w:rFonts w:ascii="Arial" w:hAnsi="Arial" w:cs="Arial"/>
      <w:b/>
      <w:bCs/>
      <w:kern w:val="2"/>
      <w:sz w:val="22"/>
      <w:szCs w:val="22"/>
    </w:rPr>
  </w:style>
  <w:style w:type="paragraph" w:styleId="PargrafoNormal" w:customStyle="1">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auto"/>
      <w:sz w:val="22"/>
      <w:lang w:val="x-none"/>
    </w:rPr>
  </w:style>
  <w:style w:type="paragraph" w:styleId="Notaderodap">
    <w:name w:val="Footnote Text"/>
    <w:basedOn w:val="Normal"/>
    <w:pPr>
      <w:suppressAutoHyphens w:val="false"/>
      <w:jc w:val="both"/>
    </w:pPr>
    <w:rPr>
      <w:rFonts w:ascii="Arial" w:hAnsi="Arial" w:eastAsia="Times New Roman" w:cs="Arial"/>
      <w:color w:val="auto"/>
      <w:szCs w:val="20"/>
      <w:lang w:val="x-none"/>
    </w:rPr>
  </w:style>
  <w:style w:type="paragraph" w:styleId="WWCorpodetexto2" w:customStyle="1">
    <w:name w:val="WW-Corpo de texto 2"/>
    <w:basedOn w:val="Normal"/>
    <w:qFormat/>
    <w:pPr>
      <w:jc w:val="both"/>
    </w:pPr>
    <w:rPr>
      <w:rFonts w:ascii="Bookman Old Style" w:hAnsi="Bookman Old Style" w:cs="Bookman Old Style"/>
      <w:i/>
      <w:kern w:val="2"/>
    </w:rPr>
  </w:style>
  <w:style w:type="paragraph" w:styleId="Standard" w:customStyle="1">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Textbody" w:customStyle="1">
    <w:name w:val="Text body"/>
    <w:basedOn w:val="Standard"/>
    <w:qFormat/>
    <w:pPr>
      <w:spacing w:before="0" w:after="120"/>
    </w:pPr>
    <w:rPr/>
  </w:style>
  <w:style w:type="paragraph" w:styleId="NormalWeb">
    <w:name w:val="Normal (Web)"/>
    <w:basedOn w:val="Normal"/>
    <w:qFormat/>
    <w:pPr>
      <w:suppressAutoHyphens w:val="false"/>
      <w:spacing w:before="100" w:after="100"/>
    </w:pPr>
    <w:rPr>
      <w:rFonts w:eastAsia="Times New Roman"/>
      <w:color w:val="auto"/>
      <w:sz w:val="24"/>
      <w:lang w:val="pt-BR"/>
    </w:rPr>
  </w:style>
  <w:style w:type="paragraph" w:styleId="Recuodecorpodetexto21" w:customStyle="1">
    <w:name w:val="Recuo de corpo de texto 21"/>
    <w:basedOn w:val="Normal"/>
    <w:qFormat/>
    <w:pPr>
      <w:spacing w:lineRule="auto" w:line="480" w:before="0" w:after="120"/>
      <w:ind w:left="283" w:hanging="0"/>
    </w:pPr>
    <w:rPr/>
  </w:style>
  <w:style w:type="paragraph" w:styleId="Texto2" w:customStyle="1">
    <w:name w:val="texto2"/>
    <w:basedOn w:val="Normal"/>
    <w:qFormat/>
    <w:pPr>
      <w:suppressAutoHyphens w:val="false"/>
      <w:spacing w:before="100" w:after="100"/>
    </w:pPr>
    <w:rPr>
      <w:rFonts w:eastAsia="Times New Roman"/>
      <w:color w:val="auto"/>
      <w:sz w:val="24"/>
      <w:lang w:val="pt-BR"/>
    </w:rPr>
  </w:style>
  <w:style w:type="paragraph" w:styleId="Artart" w:customStyle="1">
    <w:name w:val="artart"/>
    <w:basedOn w:val="Normal"/>
    <w:qFormat/>
    <w:pPr>
      <w:suppressAutoHyphens w:val="false"/>
      <w:spacing w:before="100" w:after="100"/>
    </w:pPr>
    <w:rPr>
      <w:rFonts w:eastAsia="Times New Roman"/>
      <w:color w:val="auto"/>
      <w:sz w:val="24"/>
      <w:lang w:val="pt-BR"/>
    </w:rPr>
  </w:style>
  <w:style w:type="paragraph" w:styleId="ListParagraph">
    <w:name w:val="List Paragraph"/>
    <w:basedOn w:val="Normal"/>
    <w:uiPriority w:val="34"/>
    <w:qFormat/>
    <w:rsid w:val="001d033d"/>
    <w:pPr>
      <w:spacing w:before="0" w:after="0"/>
      <w:ind w:left="720" w:hanging="0"/>
      <w:contextualSpacing/>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5e1d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PGM.dotx</Template>
  <TotalTime>148</TotalTime>
  <Application>LibreOffice/7.4.5.1$Windows_X86_64 LibreOffice_project/9c0871452b3918c1019dde9bfac75448afc4b57f</Application>
  <AppVersion>15.0000</AppVersion>
  <Pages>10</Pages>
  <Words>3641</Words>
  <Characters>20702</Characters>
  <CharactersWithSpaces>24188</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2023-02-06T23:21:00Z</dcterms:created>
  <dc:creator>Maria Teresa F Corrêa</dc:creator>
  <dc:description/>
  <dc:language>pt-BR</dc:language>
  <cp:lastModifiedBy/>
  <cp:lastPrinted>2021-07-16T13:58:00Z</cp:lastPrinted>
  <dcterms:modified xsi:type="dcterms:W3CDTF">2023-12-27T12:43:59Z</dcterms:modified>
  <cp:revision>18</cp:revision>
  <dc:subject/>
  <dc:title>Parecer Juridico</dc:title>
</cp:coreProperties>
</file>

<file path=docProps/custom.xml><?xml version="1.0" encoding="utf-8"?>
<Properties xmlns="http://schemas.openxmlformats.org/officeDocument/2006/custom-properties" xmlns:vt="http://schemas.openxmlformats.org/officeDocument/2006/docPropsVTypes"/>
</file>