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Calibri" w:hAnsi="Calibri"/>
          <w:sz w:val="24"/>
          <w:szCs w:val="24"/>
        </w:rPr>
      </w:pPr>
      <w:r>
        <w:rPr>
          <w:sz w:val="24"/>
          <w:szCs w:val="24"/>
        </w:rPr>
      </w:r>
    </w:p>
    <w:p>
      <w:pPr>
        <w:pStyle w:val="Normal"/>
        <w:ind w:hanging="0" w:left="5103"/>
        <w:jc w:val="both"/>
        <w:rPr>
          <w:rFonts w:ascii="Calibri" w:hAnsi="Calibri"/>
          <w:sz w:val="24"/>
          <w:szCs w:val="24"/>
        </w:rPr>
      </w:pPr>
      <w:r>
        <w:rPr>
          <w:b/>
          <w:bCs/>
          <w:sz w:val="24"/>
          <w:szCs w:val="24"/>
        </w:rPr>
        <w:t xml:space="preserve">CONTRATO ADMINISTRATIVO </w:t>
      </w:r>
      <w:r>
        <w:rPr>
          <w:b/>
          <w:bCs/>
          <w:sz w:val="24"/>
          <w:szCs w:val="24"/>
          <w:highlight w:val="yellow"/>
        </w:rPr>
        <w:t>000/2024</w:t>
      </w:r>
      <w:r>
        <w:rPr>
          <w:b/>
          <w:bCs/>
          <w:sz w:val="24"/>
          <w:szCs w:val="24"/>
        </w:rPr>
        <w:t>, FIRMADO ENTRE O MUNICÍPIO DO RIO GRANDE/RS, POR INTERMÉDIO DA SECRETARIA DE MUNICÍPIO DE GESTÃO ADMINISTRATIVA E LICITAÇÕES E [</w:t>
      </w:r>
      <w:r>
        <w:rPr>
          <w:b/>
          <w:bCs/>
          <w:sz w:val="24"/>
          <w:szCs w:val="24"/>
          <w:highlight w:val="yellow"/>
        </w:rPr>
        <w:t>NOME DO CONTRATADO</w:t>
      </w:r>
      <w:r>
        <w:rPr>
          <w:b/>
          <w:bCs/>
          <w:sz w:val="24"/>
          <w:szCs w:val="24"/>
        </w:rPr>
        <w:t xml:space="preserve">], DE ACORDO COM A </w:t>
      </w:r>
      <w:r>
        <w:rPr>
          <w:rFonts w:cs="" w:cstheme="minorBidi"/>
          <w:b/>
          <w:bCs/>
          <w:sz w:val="24"/>
          <w:szCs w:val="24"/>
          <w:shd w:fill="auto" w:val="clear"/>
        </w:rPr>
        <w:t>CONCORRÊNCIA 00</w:t>
      </w:r>
      <w:r>
        <w:rPr>
          <w:rFonts w:cs="" w:cstheme="minorBidi"/>
          <w:b/>
          <w:bCs/>
          <w:sz w:val="24"/>
          <w:szCs w:val="24"/>
          <w:shd w:fill="auto" w:val="clear"/>
        </w:rPr>
        <w:t>2</w:t>
      </w:r>
      <w:r>
        <w:rPr>
          <w:rFonts w:cs="" w:cstheme="minorBidi"/>
          <w:b/>
          <w:bCs/>
          <w:sz w:val="24"/>
          <w:szCs w:val="24"/>
          <w:shd w:fill="auto" w:val="clear"/>
        </w:rPr>
        <w:t xml:space="preserve">/2024, SOB A FORMA ELETRÔNICA, </w:t>
      </w:r>
      <w:r>
        <w:rPr>
          <w:b/>
          <w:bCs/>
          <w:sz w:val="24"/>
          <w:szCs w:val="24"/>
        </w:rPr>
        <w:t>PARA EXECUÇÃO DE OBRA DE ENGENHARIA PARA CONSTRUÇÃO DE COMPLEXO POLIESPORTIVO NA AVENIDA ATLÂNTICA – CASSINO – SMZC.</w:t>
      </w:r>
      <w:r>
        <w:rPr>
          <w:b/>
          <w:bCs/>
          <w:sz w:val="24"/>
          <w:szCs w:val="24"/>
          <w:lang w:val="pt-BR"/>
        </w:rPr>
        <w:t xml:space="preserve"> </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b/>
          <w:bCs/>
          <w:sz w:val="24"/>
          <w:szCs w:val="24"/>
        </w:rPr>
        <w:t>CONTRATANTE</w:t>
      </w:r>
      <w:r>
        <w:rPr>
          <w:sz w:val="24"/>
          <w:szCs w:val="24"/>
        </w:rPr>
        <w:t>: MUNICÍPIO DO RIO GRANDE, com sede administrativa, sito Largo Eng. João Fernandes Moreira, s/n, inscrito no CNPJ nº 88.566.872/0001-62, neste ato representado, conforme declaração de competência pelo Secretário de Município de Gestão Administrativa e Licitações – SMGAL, Sr. Deivid Moraes Mendes, inscrito no CPF 989.438.470-68.</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b/>
          <w:bCs/>
          <w:sz w:val="24"/>
          <w:szCs w:val="24"/>
        </w:rPr>
        <w:t>CONTRATADO(A)</w:t>
      </w:r>
      <w:r>
        <w:rPr>
          <w:sz w:val="24"/>
          <w:szCs w:val="24"/>
        </w:rPr>
        <w:t>: ............................., CNPJ/CPF ................., estabelecida no Município de ................, Rua ..............., nº ............., .............,  CEP: ........... neste ato representada pelo Sr(a). ............, na qualidade de ............, portador(a) do CPF ...............</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t xml:space="preserve">Tendo em vista o que consta no Processo Administrativo Digital 15048/2024 e em observância às disposições da Lei 14.133, de 1º de abril de 2021, dos Decretos  Municipais 19.706, 19.707, ambos de 19/01/2023 e 19.710, de 24/01/2023; resolvem celebrar o presente, decorrente da </w:t>
      </w:r>
      <w:r>
        <w:rPr>
          <w:rFonts w:cs="" w:cstheme="minorBidi"/>
          <w:sz w:val="24"/>
          <w:szCs w:val="24"/>
          <w:shd w:fill="auto" w:val="clear"/>
        </w:rPr>
        <w:t>Concorrênci</w:t>
      </w:r>
      <w:r>
        <w:rPr>
          <w:rFonts w:cs="" w:cstheme="minorBidi"/>
          <w:sz w:val="24"/>
          <w:szCs w:val="24"/>
          <w:shd w:fill="auto" w:val="clear"/>
        </w:rPr>
        <w:t>a 002/2024</w:t>
      </w:r>
      <w:r>
        <w:rPr>
          <w:sz w:val="24"/>
          <w:szCs w:val="24"/>
        </w:rPr>
        <w:t>, sob a forma eletrônica, mediante as cláusulas e condições seguintes:</w:t>
      </w:r>
    </w:p>
    <w:p>
      <w:pPr>
        <w:pStyle w:val="Normal"/>
        <w:jc w:val="both"/>
        <w:rPr>
          <w:rFonts w:ascii="Calibri" w:hAnsi="Calibri"/>
          <w:sz w:val="24"/>
          <w:szCs w:val="24"/>
        </w:rPr>
      </w:pPr>
      <w:r>
        <w:rPr>
          <w:sz w:val="24"/>
          <w:szCs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PRIMEIRA - DO OBJETO:</w:t>
            </w:r>
          </w:p>
        </w:tc>
      </w:tr>
    </w:tbl>
    <w:p>
      <w:pPr>
        <w:pStyle w:val="Normal"/>
        <w:jc w:val="both"/>
        <w:rPr>
          <w:rFonts w:ascii="Calibri" w:hAnsi="Calibri"/>
          <w:sz w:val="24"/>
          <w:szCs w:val="24"/>
        </w:rPr>
      </w:pPr>
      <w:r>
        <w:rPr>
          <w:b/>
          <w:bCs/>
          <w:sz w:val="24"/>
          <w:szCs w:val="24"/>
        </w:rPr>
        <w:t>1.1</w:t>
      </w:r>
      <w:r>
        <w:rPr>
          <w:sz w:val="24"/>
          <w:szCs w:val="24"/>
        </w:rPr>
        <w:t>. Constitui objeto deste instrumento a contratação de empresa especializado na execução de obra de engenharia par</w:t>
      </w:r>
      <w:r>
        <w:rPr>
          <w:sz w:val="24"/>
          <w:szCs w:val="24"/>
          <w:lang w:val="pt-BR"/>
        </w:rPr>
        <w:t xml:space="preserve">a </w:t>
      </w:r>
      <w:r>
        <w:rPr>
          <w:rFonts w:eastAsia="HG Mincho Light J" w:cs="Times New Roman"/>
          <w:color w:val="000000"/>
          <w:kern w:val="2"/>
          <w:sz w:val="24"/>
          <w:szCs w:val="24"/>
          <w:lang w:val="pt-BR" w:eastAsia="zh-CN" w:bidi="ar-SA"/>
        </w:rPr>
        <w:t>Construção de Complexo Poliesportivo na Avenida Atlântica – Cassino - SMZC</w:t>
      </w:r>
      <w:r>
        <w:rPr>
          <w:sz w:val="24"/>
          <w:szCs w:val="24"/>
        </w:rPr>
        <w:t>, nas condições estabelecidas no Termo de Referência (Anexo I), na forma abaixo descrita:</w:t>
      </w:r>
    </w:p>
    <w:p>
      <w:pPr>
        <w:pStyle w:val="Normal"/>
        <w:jc w:val="both"/>
        <w:rPr>
          <w:rFonts w:ascii="Calibri" w:hAnsi="Calibri"/>
          <w:sz w:val="24"/>
          <w:szCs w:val="24"/>
        </w:rPr>
      </w:pPr>
      <w:r>
        <w:rPr>
          <w:sz w:val="24"/>
          <w:szCs w:val="24"/>
        </w:rPr>
      </w:r>
    </w:p>
    <w:tbl>
      <w:tblPr>
        <w:tblStyle w:val="Tabelacomgrade"/>
        <w:tblW w:w="8509"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95"/>
        <w:gridCol w:w="3231"/>
        <w:gridCol w:w="1296"/>
        <w:gridCol w:w="861"/>
        <w:gridCol w:w="1239"/>
        <w:gridCol w:w="1186"/>
      </w:tblGrid>
      <w:tr>
        <w:trPr/>
        <w:tc>
          <w:tcPr>
            <w:tcW w:w="695"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Item</w:t>
            </w:r>
          </w:p>
        </w:tc>
        <w:tc>
          <w:tcPr>
            <w:tcW w:w="3231"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Descrição</w:t>
            </w:r>
          </w:p>
        </w:tc>
        <w:tc>
          <w:tcPr>
            <w:tcW w:w="1296"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Unidade de medida</w:t>
            </w:r>
          </w:p>
        </w:tc>
        <w:tc>
          <w:tcPr>
            <w:tcW w:w="861"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Qtde.</w:t>
            </w:r>
          </w:p>
        </w:tc>
        <w:tc>
          <w:tcPr>
            <w:tcW w:w="1239"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Valor Unit.</w:t>
            </w:r>
          </w:p>
        </w:tc>
        <w:tc>
          <w:tcPr>
            <w:tcW w:w="1186"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Valor Total</w:t>
            </w:r>
          </w:p>
        </w:tc>
      </w:tr>
      <w:tr>
        <w:trPr/>
        <w:tc>
          <w:tcPr>
            <w:tcW w:w="695" w:type="dxa"/>
            <w:tcBorders/>
            <w:vAlign w:val="center"/>
          </w:tcPr>
          <w:p>
            <w:pPr>
              <w:pStyle w:val="Normal"/>
              <w:widowControl w:val="false"/>
              <w:spacing w:before="0" w:after="0"/>
              <w:jc w:val="center"/>
              <w:rPr>
                <w:rFonts w:ascii="Calibri" w:hAnsi="Calibri" w:cs="Calibri Light"/>
                <w:b w:val="false"/>
                <w:bCs w:val="false"/>
                <w:sz w:val="24"/>
                <w:szCs w:val="24"/>
                <w:lang w:val="pt-BR"/>
              </w:rPr>
            </w:pPr>
            <w:r>
              <w:rPr>
                <w:rFonts w:cs="Calibri Light"/>
                <w:b w:val="false"/>
                <w:bCs w:val="false"/>
                <w:sz w:val="24"/>
                <w:szCs w:val="24"/>
                <w:lang w:val="pt-BR"/>
              </w:rPr>
              <w:t>01</w:t>
            </w:r>
          </w:p>
        </w:tc>
        <w:tc>
          <w:tcPr>
            <w:tcW w:w="3231" w:type="dxa"/>
            <w:tcBorders/>
            <w:vAlign w:val="center"/>
          </w:tcPr>
          <w:p>
            <w:pPr>
              <w:pStyle w:val="Standard"/>
              <w:jc w:val="center"/>
              <w:rPr>
                <w:b/>
                <w:bCs/>
              </w:rPr>
            </w:pPr>
            <w:r>
              <w:rPr>
                <w:rFonts w:ascii="Calibri" w:hAnsi="Calibri"/>
                <w:b/>
                <w:bCs/>
              </w:rPr>
              <w:t>Execução de ob</w:t>
            </w:r>
            <w:r>
              <w:rPr>
                <w:rFonts w:eastAsia="HG Mincho Light J" w:cs="Times New Roman" w:ascii="Calibri" w:hAnsi="Calibri"/>
                <w:b/>
                <w:bCs/>
                <w:color w:val="000000"/>
                <w:kern w:val="2"/>
                <w:lang w:eastAsia="zh-CN" w:bidi="ar-SA"/>
              </w:rPr>
              <w:t>ra de engenharia para Construção de Complexo Poliesportivo na Avenida Atlântica – Cassino – SMZC.</w:t>
            </w:r>
          </w:p>
        </w:tc>
        <w:tc>
          <w:tcPr>
            <w:tcW w:w="1296" w:type="dxa"/>
            <w:tcBorders/>
            <w:vAlign w:val="center"/>
          </w:tcPr>
          <w:p>
            <w:pPr>
              <w:pStyle w:val="Normal"/>
              <w:widowControl w:val="false"/>
              <w:spacing w:before="0" w:after="0"/>
              <w:jc w:val="center"/>
              <w:rPr>
                <w:rFonts w:ascii="Calibri" w:hAnsi="Calibri" w:cs="Calibri Light"/>
                <w:b w:val="false"/>
                <w:bCs w:val="false"/>
                <w:sz w:val="24"/>
                <w:szCs w:val="24"/>
                <w:lang w:val="pt-BR"/>
              </w:rPr>
            </w:pPr>
            <w:r>
              <w:rPr>
                <w:rFonts w:cs="Calibri Light"/>
                <w:b w:val="false"/>
                <w:bCs w:val="false"/>
                <w:sz w:val="24"/>
                <w:szCs w:val="24"/>
                <w:lang w:val="pt-BR"/>
              </w:rPr>
              <w:t>UN.</w:t>
            </w:r>
          </w:p>
        </w:tc>
        <w:tc>
          <w:tcPr>
            <w:tcW w:w="861" w:type="dxa"/>
            <w:tcBorders/>
            <w:vAlign w:val="center"/>
          </w:tcPr>
          <w:p>
            <w:pPr>
              <w:pStyle w:val="Normal"/>
              <w:widowControl w:val="false"/>
              <w:spacing w:before="0" w:after="0"/>
              <w:jc w:val="center"/>
              <w:rPr>
                <w:rFonts w:ascii="Calibri" w:hAnsi="Calibri" w:cs="Calibri Light"/>
                <w:b w:val="false"/>
                <w:bCs w:val="false"/>
                <w:sz w:val="24"/>
                <w:szCs w:val="24"/>
                <w:lang w:val="pt-BR"/>
              </w:rPr>
            </w:pPr>
            <w:r>
              <w:rPr>
                <w:rFonts w:cs="Calibri Light"/>
                <w:b w:val="false"/>
                <w:bCs w:val="false"/>
                <w:sz w:val="24"/>
                <w:szCs w:val="24"/>
                <w:lang w:val="pt-BR"/>
              </w:rPr>
              <w:t>01</w:t>
            </w:r>
          </w:p>
        </w:tc>
        <w:tc>
          <w:tcPr>
            <w:tcW w:w="1239" w:type="dxa"/>
            <w:tcBorders/>
          </w:tcPr>
          <w:p>
            <w:pPr>
              <w:pStyle w:val="Normal"/>
              <w:widowControl w:val="false"/>
              <w:spacing w:before="0" w:after="0"/>
              <w:jc w:val="both"/>
              <w:rPr>
                <w:rFonts w:ascii="Calibri" w:hAnsi="Calibri" w:cs="Calibri Light"/>
                <w:sz w:val="24"/>
                <w:szCs w:val="24"/>
                <w:lang w:val="pt-BR"/>
              </w:rPr>
            </w:pPr>
            <w:r>
              <w:rPr>
                <w:rFonts w:cs="Calibri Light"/>
                <w:sz w:val="24"/>
                <w:szCs w:val="24"/>
                <w:lang w:val="pt-BR"/>
              </w:rPr>
            </w:r>
          </w:p>
        </w:tc>
        <w:tc>
          <w:tcPr>
            <w:tcW w:w="1186" w:type="dxa"/>
            <w:tcBorders/>
          </w:tcPr>
          <w:p>
            <w:pPr>
              <w:pStyle w:val="Normal"/>
              <w:widowControl w:val="false"/>
              <w:spacing w:before="0" w:after="0"/>
              <w:jc w:val="both"/>
              <w:rPr>
                <w:rFonts w:ascii="Calibri" w:hAnsi="Calibri" w:cs="Calibri Light"/>
                <w:sz w:val="24"/>
                <w:szCs w:val="24"/>
                <w:lang w:val="pt-BR"/>
              </w:rPr>
            </w:pPr>
            <w:r>
              <w:rPr>
                <w:rFonts w:cs="Calibri Light"/>
                <w:sz w:val="24"/>
                <w:szCs w:val="24"/>
                <w:lang w:val="pt-BR"/>
              </w:rPr>
            </w:r>
          </w:p>
        </w:tc>
      </w:tr>
    </w:tbl>
    <w:p>
      <w:pPr>
        <w:pStyle w:val="Normal"/>
        <w:jc w:val="both"/>
        <w:rPr>
          <w:rFonts w:ascii="Calibri" w:hAnsi="Calibri"/>
          <w:sz w:val="24"/>
          <w:szCs w:val="24"/>
        </w:rPr>
      </w:pPr>
      <w:r>
        <w:rPr>
          <w:sz w:val="24"/>
          <w:szCs w:val="24"/>
        </w:rPr>
        <w:tab/>
        <w:tab/>
        <w:tab/>
        <w:tab/>
        <w:tab/>
      </w:r>
    </w:p>
    <w:p>
      <w:pPr>
        <w:pStyle w:val="Normal"/>
        <w:jc w:val="both"/>
        <w:rPr>
          <w:rFonts w:ascii="Calibri" w:hAnsi="Calibri"/>
          <w:sz w:val="24"/>
          <w:szCs w:val="24"/>
        </w:rPr>
      </w:pPr>
      <w:r>
        <w:rPr>
          <w:b/>
          <w:bCs/>
          <w:sz w:val="24"/>
          <w:szCs w:val="24"/>
        </w:rPr>
        <w:t>1.2</w:t>
      </w:r>
      <w:r>
        <w:rPr>
          <w:sz w:val="24"/>
          <w:szCs w:val="24"/>
        </w:rPr>
        <w:t>. São anexos a este instrumento e vinculam esta contratação, independentemente de transcrição:</w:t>
      </w:r>
    </w:p>
    <w:p>
      <w:pPr>
        <w:pStyle w:val="Normal"/>
        <w:ind w:hanging="0" w:left="284"/>
        <w:jc w:val="both"/>
        <w:rPr>
          <w:rFonts w:ascii="Calibri" w:hAnsi="Calibri"/>
          <w:sz w:val="24"/>
          <w:szCs w:val="24"/>
        </w:rPr>
      </w:pPr>
      <w:r>
        <w:rPr>
          <w:b/>
          <w:bCs/>
          <w:sz w:val="24"/>
          <w:szCs w:val="24"/>
        </w:rPr>
        <w:t>1.2.1</w:t>
      </w:r>
      <w:r>
        <w:rPr>
          <w:sz w:val="24"/>
          <w:szCs w:val="24"/>
        </w:rPr>
        <w:t>. O Termo de Referência que embasou a contratação.</w:t>
      </w:r>
    </w:p>
    <w:p>
      <w:pPr>
        <w:pStyle w:val="Normal"/>
        <w:ind w:hanging="0" w:left="284"/>
        <w:jc w:val="both"/>
        <w:rPr>
          <w:rFonts w:ascii="Calibri" w:hAnsi="Calibri"/>
          <w:sz w:val="24"/>
          <w:szCs w:val="24"/>
        </w:rPr>
      </w:pPr>
      <w:r>
        <w:rPr>
          <w:b/>
          <w:bCs/>
          <w:sz w:val="24"/>
          <w:szCs w:val="24"/>
        </w:rPr>
        <w:t>1.2.2</w:t>
      </w:r>
      <w:r>
        <w:rPr>
          <w:sz w:val="24"/>
          <w:szCs w:val="24"/>
        </w:rPr>
        <w:t>. O Edital da Licitação.</w:t>
      </w:r>
    </w:p>
    <w:p>
      <w:pPr>
        <w:pStyle w:val="Normal"/>
        <w:ind w:hanging="0" w:left="284"/>
        <w:jc w:val="both"/>
        <w:rPr>
          <w:rFonts w:ascii="Calibri" w:hAnsi="Calibri"/>
          <w:sz w:val="24"/>
          <w:szCs w:val="24"/>
        </w:rPr>
      </w:pPr>
      <w:r>
        <w:rPr>
          <w:b/>
          <w:bCs/>
          <w:sz w:val="24"/>
          <w:szCs w:val="24"/>
        </w:rPr>
        <w:t>1.2.3</w:t>
      </w:r>
      <w:r>
        <w:rPr>
          <w:sz w:val="24"/>
          <w:szCs w:val="24"/>
        </w:rPr>
        <w:t>. A Proposta do Contratado.</w:t>
      </w:r>
    </w:p>
    <w:p>
      <w:pPr>
        <w:pStyle w:val="Normal"/>
        <w:ind w:hanging="0" w:left="284"/>
        <w:jc w:val="both"/>
        <w:rPr>
          <w:rFonts w:ascii="Calibri" w:hAnsi="Calibri"/>
          <w:sz w:val="24"/>
          <w:szCs w:val="24"/>
        </w:rPr>
      </w:pPr>
      <w:r>
        <w:rPr>
          <w:b/>
          <w:bCs/>
          <w:sz w:val="24"/>
          <w:szCs w:val="24"/>
        </w:rPr>
        <w:t>1.2.4</w:t>
      </w:r>
      <w:r>
        <w:rPr>
          <w:sz w:val="24"/>
          <w:szCs w:val="24"/>
        </w:rPr>
        <w:t>. Eventuais anexos dos documentos supracitados.</w:t>
      </w:r>
    </w:p>
    <w:p>
      <w:pPr>
        <w:pStyle w:val="Normal"/>
        <w:jc w:val="both"/>
        <w:rPr>
          <w:rFonts w:ascii="Calibri" w:hAnsi="Calibri"/>
          <w:sz w:val="24"/>
          <w:szCs w:val="24"/>
        </w:rPr>
      </w:pPr>
      <w:r>
        <w:rPr>
          <w:b/>
          <w:bCs/>
          <w:sz w:val="24"/>
          <w:szCs w:val="24"/>
        </w:rPr>
        <w:t>1.3</w:t>
      </w:r>
      <w:r>
        <w:rPr>
          <w:sz w:val="24"/>
          <w:szCs w:val="24"/>
        </w:rPr>
        <w:t xml:space="preserve">. O regime de execução contratual será o de </w:t>
      </w:r>
      <w:r>
        <w:rPr>
          <w:rFonts w:cs="" w:cstheme="minorBidi"/>
          <w:sz w:val="24"/>
          <w:szCs w:val="24"/>
          <w:shd w:fill="auto" w:val="clear"/>
        </w:rPr>
        <w:t>empreitada por preço global</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SEGUNDA - DA VIGÊNCIA E PRORROGAÇÃO:</w:t>
            </w:r>
          </w:p>
        </w:tc>
      </w:tr>
    </w:tbl>
    <w:p>
      <w:pPr>
        <w:pStyle w:val="Normal"/>
        <w:jc w:val="both"/>
        <w:rPr>
          <w:rFonts w:ascii="Calibri" w:hAnsi="Calibri"/>
        </w:rPr>
      </w:pPr>
      <w:r>
        <w:rPr>
          <w:b/>
          <w:bCs/>
          <w:sz w:val="24"/>
        </w:rPr>
        <w:t>2.1</w:t>
      </w:r>
      <w:r>
        <w:rPr>
          <w:sz w:val="24"/>
        </w:rPr>
        <w:t xml:space="preserve">. O prazo de vigência da contratação é de </w:t>
      </w:r>
      <w:r>
        <w:rPr>
          <w:sz w:val="24"/>
          <w:highlight w:val="yellow"/>
        </w:rPr>
        <w:t>03(três)</w:t>
      </w:r>
      <w:r>
        <w:rPr>
          <w:sz w:val="24"/>
        </w:rPr>
        <w:t xml:space="preserve"> </w:t>
      </w:r>
      <w:r>
        <w:rPr>
          <w:sz w:val="24"/>
          <w:highlight w:val="yellow"/>
        </w:rPr>
        <w:t>meses</w:t>
      </w:r>
      <w:r>
        <w:rPr>
          <w:sz w:val="24"/>
        </w:rPr>
        <w:t xml:space="preserve">, contados de </w:t>
      </w:r>
      <w:r>
        <w:rPr>
          <w:sz w:val="24"/>
          <w:highlight w:val="yellow"/>
        </w:rPr>
        <w:t>00/00/00</w:t>
      </w:r>
      <w:r>
        <w:rPr>
          <w:sz w:val="24"/>
        </w:rPr>
        <w:t xml:space="preserve"> a </w:t>
      </w:r>
      <w:r>
        <w:rPr>
          <w:sz w:val="24"/>
          <w:highlight w:val="yellow"/>
        </w:rPr>
        <w:t>00/00/00</w:t>
      </w:r>
      <w:r>
        <w:rPr>
          <w:sz w:val="24"/>
        </w:rPr>
        <w:t>, na forma do art. 105 da Lei 14.133/2021.</w:t>
      </w:r>
    </w:p>
    <w:p>
      <w:pPr>
        <w:pStyle w:val="Normal"/>
        <w:jc w:val="both"/>
        <w:rPr>
          <w:rFonts w:ascii="Calibri" w:hAnsi="Calibri"/>
        </w:rPr>
      </w:pPr>
      <w:r>
        <w:rPr>
          <w:b/>
          <w:bCs/>
          <w:sz w:val="24"/>
          <w:szCs w:val="24"/>
        </w:rPr>
        <w:t>2.2</w:t>
      </w:r>
      <w:r>
        <w:rPr>
          <w:sz w:val="24"/>
          <w:szCs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TERCEIRA - DO PREÇO:</w:t>
            </w:r>
          </w:p>
        </w:tc>
      </w:tr>
    </w:tbl>
    <w:p>
      <w:pPr>
        <w:pStyle w:val="Normal"/>
        <w:jc w:val="both"/>
        <w:rPr>
          <w:rFonts w:ascii="Calibri" w:hAnsi="Calibri"/>
          <w:sz w:val="24"/>
          <w:szCs w:val="24"/>
        </w:rPr>
      </w:pPr>
      <w:r>
        <w:rPr>
          <w:b/>
          <w:bCs/>
          <w:sz w:val="24"/>
          <w:szCs w:val="24"/>
        </w:rPr>
        <w:t>3.1</w:t>
      </w:r>
      <w:r>
        <w:rPr>
          <w:sz w:val="24"/>
          <w:szCs w:val="24"/>
        </w:rPr>
        <w:t xml:space="preserve">. O valor total da contratação é de R$ </w:t>
      </w:r>
      <w:r>
        <w:rPr>
          <w:sz w:val="24"/>
          <w:szCs w:val="24"/>
          <w:highlight w:val="yellow"/>
        </w:rPr>
        <w:t>0000,00</w:t>
      </w:r>
      <w:r>
        <w:rPr>
          <w:sz w:val="24"/>
          <w:szCs w:val="24"/>
        </w:rPr>
        <w:t xml:space="preserve"> (</w:t>
      </w:r>
      <w:r>
        <w:rPr>
          <w:sz w:val="24"/>
          <w:szCs w:val="24"/>
          <w:highlight w:val="yellow"/>
        </w:rPr>
        <w:t>valor por extenso</w:t>
      </w:r>
      <w:r>
        <w:rPr>
          <w:sz w:val="24"/>
          <w:szCs w:val="24"/>
        </w:rPr>
        <w:t>).</w:t>
      </w:r>
    </w:p>
    <w:p>
      <w:pPr>
        <w:pStyle w:val="Normal"/>
        <w:jc w:val="both"/>
        <w:rPr>
          <w:rFonts w:ascii="Calibri" w:hAnsi="Calibri"/>
          <w:sz w:val="24"/>
          <w:szCs w:val="24"/>
        </w:rPr>
      </w:pPr>
      <w:r>
        <w:rPr>
          <w:b/>
          <w:bCs/>
          <w:sz w:val="24"/>
          <w:szCs w:val="24"/>
        </w:rPr>
        <w:t>3.2</w:t>
      </w:r>
      <w:r>
        <w:rPr>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sz w:val="24"/>
          <w:szCs w:val="24"/>
        </w:rPr>
      </w:pPr>
      <w:r>
        <w:rPr>
          <w:b/>
          <w:bCs/>
          <w:sz w:val="24"/>
          <w:szCs w:val="24"/>
        </w:rPr>
        <w:t>3.3</w:t>
      </w:r>
      <w:r>
        <w:rPr>
          <w:sz w:val="24"/>
          <w:szCs w:val="24"/>
        </w:rPr>
        <w:t xml:space="preserve">. O valor acima é meramente estimativo, de forma que os pagamentos devidos ao contratado dependerão dos quantitativos efetivamente fornecidos/prestados. </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QUARTA - DA FORMA DE PAGAMENTO:</w:t>
            </w:r>
          </w:p>
        </w:tc>
      </w:tr>
    </w:tbl>
    <w:p>
      <w:pPr>
        <w:pStyle w:val="Normal"/>
        <w:jc w:val="both"/>
        <w:rPr>
          <w:rFonts w:ascii="Calibri" w:hAnsi="Calibri"/>
          <w:sz w:val="24"/>
          <w:szCs w:val="24"/>
        </w:rPr>
      </w:pPr>
      <w:r>
        <w:rPr>
          <w:b/>
          <w:bCs/>
          <w:sz w:val="24"/>
          <w:szCs w:val="24"/>
        </w:rPr>
        <w:t>4.1</w:t>
      </w:r>
      <w:r>
        <w:rPr>
          <w:sz w:val="24"/>
          <w:szCs w:val="24"/>
        </w:rPr>
        <w:t>. O pagamento será realizado através de ordem bancária, para crédito em banco, agência e conta correntes indicadas pelo contratado.</w:t>
      </w:r>
    </w:p>
    <w:p>
      <w:pPr>
        <w:pStyle w:val="Normal"/>
        <w:jc w:val="both"/>
        <w:rPr>
          <w:rFonts w:ascii="Calibri" w:hAnsi="Calibri"/>
          <w:sz w:val="24"/>
          <w:szCs w:val="24"/>
        </w:rPr>
      </w:pPr>
      <w:r>
        <w:rPr>
          <w:b/>
          <w:bCs/>
          <w:sz w:val="24"/>
          <w:szCs w:val="24"/>
        </w:rPr>
        <w:t>4.2</w:t>
      </w:r>
      <w:r>
        <w:rPr>
          <w:sz w:val="24"/>
          <w:szCs w:val="24"/>
        </w:rPr>
        <w:t>. Será considerada data do pagamento o dia em que constar como emitida a ordem bancária para pagamento.</w:t>
      </w:r>
    </w:p>
    <w:p>
      <w:pPr>
        <w:pStyle w:val="Normal"/>
        <w:jc w:val="both"/>
        <w:rPr>
          <w:rFonts w:ascii="Calibri" w:hAnsi="Calibri"/>
          <w:sz w:val="24"/>
          <w:szCs w:val="24"/>
        </w:rPr>
      </w:pPr>
      <w:r>
        <w:rPr>
          <w:b/>
          <w:bCs/>
          <w:sz w:val="24"/>
          <w:szCs w:val="24"/>
        </w:rPr>
        <w:t>4.3</w:t>
      </w:r>
      <w:r>
        <w:rPr>
          <w:sz w:val="24"/>
          <w:szCs w:val="24"/>
        </w:rPr>
        <w:t>. O pagamento será efetuado no prazo máximo de até 60 (sessenta) dias, contados do recebimento da Nota Fiscal/Fatura.</w:t>
      </w:r>
    </w:p>
    <w:p>
      <w:pPr>
        <w:pStyle w:val="Normal"/>
        <w:jc w:val="both"/>
        <w:rPr>
          <w:rFonts w:ascii="Calibri" w:hAnsi="Calibri"/>
          <w:sz w:val="24"/>
          <w:szCs w:val="24"/>
        </w:rPr>
      </w:pPr>
      <w:r>
        <w:rPr>
          <w:b/>
          <w:bCs/>
          <w:sz w:val="24"/>
          <w:szCs w:val="24"/>
        </w:rPr>
        <w:t>4.4</w:t>
      </w:r>
      <w:r>
        <w:rPr>
          <w:sz w:val="24"/>
          <w:szCs w:val="24"/>
        </w:rPr>
        <w:t>. Considera-se ocorrido o recebimento da nota fiscal ou fatura quando o órgão Contratante atestar a execução do objeto do contrato.</w:t>
      </w:r>
    </w:p>
    <w:p>
      <w:pPr>
        <w:pStyle w:val="Normal"/>
        <w:jc w:val="both"/>
        <w:rPr>
          <w:rFonts w:ascii="Calibri" w:hAnsi="Calibri"/>
          <w:sz w:val="24"/>
          <w:szCs w:val="24"/>
        </w:rPr>
      </w:pPr>
      <w:r>
        <w:rPr>
          <w:b/>
          <w:bCs/>
          <w:sz w:val="24"/>
          <w:szCs w:val="24"/>
        </w:rPr>
        <w:t>4.5</w:t>
      </w:r>
      <w:r>
        <w:rPr>
          <w:sz w:val="24"/>
          <w:szCs w:val="24"/>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b/>
          <w:bCs/>
          <w:sz w:val="24"/>
          <w:szCs w:val="24"/>
        </w:rPr>
        <w:t>4.6</w:t>
      </w:r>
      <w:r>
        <w:rPr>
          <w:sz w:val="24"/>
          <w:szCs w:val="24"/>
        </w:rPr>
        <w:t>. A emissão da Nota Fiscal/Fatura será precedida do recebimento do objeto da contratação, conforme disposto no Termo de Referência.</w:t>
      </w:r>
    </w:p>
    <w:p>
      <w:pPr>
        <w:pStyle w:val="Normal"/>
        <w:jc w:val="both"/>
        <w:rPr>
          <w:rFonts w:ascii="Calibri" w:hAnsi="Calibri"/>
          <w:sz w:val="24"/>
          <w:szCs w:val="24"/>
        </w:rPr>
      </w:pPr>
      <w:r>
        <w:rPr>
          <w:b/>
          <w:bCs/>
          <w:sz w:val="24"/>
          <w:szCs w:val="24"/>
        </w:rPr>
        <w:t>4.7</w:t>
      </w:r>
      <w:r>
        <w:rPr>
          <w:sz w:val="24"/>
          <w:szCs w:val="24"/>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b/>
          <w:bCs/>
          <w:sz w:val="24"/>
          <w:szCs w:val="24"/>
        </w:rPr>
        <w:t>4.8</w:t>
      </w:r>
      <w:r>
        <w:rPr>
          <w:sz w:val="24"/>
          <w:szCs w:val="24"/>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b/>
          <w:bCs/>
          <w:sz w:val="24"/>
          <w:szCs w:val="24"/>
        </w:rPr>
        <w:t>4.9</w:t>
      </w:r>
      <w:r>
        <w:rPr>
          <w:sz w:val="24"/>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b/>
          <w:bCs/>
          <w:sz w:val="24"/>
          <w:szCs w:val="24"/>
        </w:rPr>
        <w:t>4.9.1</w:t>
      </w:r>
      <w:r>
        <w:rPr>
          <w:sz w:val="24"/>
          <w:szCs w:val="24"/>
        </w:rPr>
        <w:t xml:space="preserve">. Previamente à emissão de nota de empenho e a cada pagamento, a Administração deverá realizar consulta ao SICAF para: </w:t>
      </w:r>
    </w:p>
    <w:p>
      <w:pPr>
        <w:pStyle w:val="Normal"/>
        <w:ind w:hanging="0" w:left="567"/>
        <w:jc w:val="both"/>
        <w:rPr>
          <w:rFonts w:ascii="Calibri" w:hAnsi="Calibri"/>
          <w:sz w:val="24"/>
          <w:szCs w:val="24"/>
        </w:rPr>
      </w:pPr>
      <w:r>
        <w:rPr>
          <w:b/>
          <w:bCs/>
          <w:sz w:val="24"/>
          <w:szCs w:val="24"/>
        </w:rPr>
        <w:t>a</w:t>
      </w:r>
      <w:r>
        <w:rPr>
          <w:sz w:val="24"/>
          <w:szCs w:val="24"/>
        </w:rPr>
        <w:t xml:space="preserve">) verificar a manutenção das condições de habilitação exigidas; </w:t>
      </w:r>
    </w:p>
    <w:p>
      <w:pPr>
        <w:pStyle w:val="Normal"/>
        <w:ind w:hanging="0" w:left="567"/>
        <w:jc w:val="both"/>
        <w:rPr>
          <w:rFonts w:ascii="Calibri" w:hAnsi="Calibri"/>
          <w:sz w:val="24"/>
          <w:szCs w:val="24"/>
        </w:rPr>
      </w:pPr>
      <w:r>
        <w:rPr>
          <w:b/>
          <w:bCs/>
          <w:sz w:val="24"/>
          <w:szCs w:val="24"/>
        </w:rPr>
        <w:t>b</w:t>
      </w:r>
      <w:r>
        <w:rPr>
          <w:sz w:val="24"/>
          <w:szCs w:val="24"/>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b/>
          <w:bCs/>
          <w:sz w:val="24"/>
          <w:szCs w:val="24"/>
        </w:rPr>
        <w:t>4.9.2</w:t>
      </w:r>
      <w:r>
        <w:rPr>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b/>
          <w:bCs/>
          <w:sz w:val="24"/>
          <w:szCs w:val="24"/>
        </w:rPr>
        <w:t>4.9.2.1</w:t>
      </w:r>
      <w:r>
        <w:rPr>
          <w:sz w:val="24"/>
          <w:szCs w:val="24"/>
        </w:rPr>
        <w:t xml:space="preserve">. Não havendo regularização ou sendo a defesa considerada improcedente, a Contratante deverá comunicar aos órgãos responsáveis pela fiscalização da regularidade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b/>
          <w:bCs/>
          <w:sz w:val="24"/>
          <w:szCs w:val="24"/>
        </w:rPr>
        <w:t>4.9.2.2</w:t>
      </w:r>
      <w:r>
        <w:rPr>
          <w:sz w:val="24"/>
          <w:szCs w:val="24"/>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b/>
          <w:bCs/>
          <w:sz w:val="24"/>
          <w:szCs w:val="24"/>
        </w:rPr>
        <w:t>4.9.2.3</w:t>
      </w:r>
      <w:r>
        <w:rPr>
          <w:sz w:val="24"/>
          <w:szCs w:val="24"/>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b/>
          <w:bCs/>
          <w:sz w:val="24"/>
          <w:szCs w:val="24"/>
        </w:rPr>
        <w:t>4.9.3</w:t>
      </w:r>
      <w:r>
        <w:rPr>
          <w:sz w:val="24"/>
          <w:szCs w:val="24"/>
        </w:rPr>
        <w:t>. Quando do pagamento, será efetuada a retenção tributária prevista na legislação aplicável.</w:t>
      </w:r>
    </w:p>
    <w:p>
      <w:pPr>
        <w:pStyle w:val="Normal"/>
        <w:ind w:hanging="0" w:left="567"/>
        <w:jc w:val="both"/>
        <w:rPr>
          <w:rFonts w:ascii="Calibri" w:hAnsi="Calibri"/>
          <w:sz w:val="24"/>
          <w:szCs w:val="24"/>
        </w:rPr>
      </w:pPr>
      <w:r>
        <w:rPr>
          <w:b/>
          <w:bCs/>
          <w:sz w:val="24"/>
          <w:szCs w:val="24"/>
        </w:rPr>
        <w:t>4.9.3.1</w:t>
      </w:r>
      <w:r>
        <w:rPr>
          <w:sz w:val="24"/>
          <w:szCs w:val="24"/>
        </w:rPr>
        <w:t xml:space="preserve">. Independentemente do percentual de tributo inserido na planilha, no pagamento serão retidos na fonte os percentuais estabelecidos </w:t>
      </w:r>
      <w:r>
        <w:rPr>
          <w:strike w:val="false"/>
          <w:dstrike w:val="false"/>
          <w:sz w:val="24"/>
          <w:szCs w:val="24"/>
        </w:rPr>
        <w:t xml:space="preserve">nos Decretos Municipais nº 20.006/2023 e 20.008/2023. </w:t>
      </w:r>
    </w:p>
    <w:p>
      <w:pPr>
        <w:pStyle w:val="Normal"/>
        <w:ind w:hanging="0" w:left="567"/>
        <w:jc w:val="both"/>
        <w:rPr>
          <w:rFonts w:ascii="Calibri" w:hAnsi="Calibri"/>
          <w:sz w:val="24"/>
          <w:szCs w:val="24"/>
        </w:rPr>
      </w:pPr>
      <w:r>
        <w:rPr>
          <w:b/>
          <w:bCs/>
          <w:sz w:val="24"/>
          <w:szCs w:val="24"/>
        </w:rPr>
        <w:t>4.9.3.2</w:t>
      </w:r>
      <w:r>
        <w:rPr>
          <w:sz w:val="24"/>
          <w:szCs w:val="24"/>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sz w:val="24"/>
          <w:szCs w:val="24"/>
        </w:rPr>
      </w:pPr>
      <w:r>
        <w:rPr>
          <w:sz w:val="24"/>
          <w:szCs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QUINTA – DO REAJUSTE:</w:t>
            </w:r>
          </w:p>
        </w:tc>
      </w:tr>
    </w:tbl>
    <w:p>
      <w:pPr>
        <w:pStyle w:val="Normal"/>
        <w:jc w:val="both"/>
        <w:rPr>
          <w:rFonts w:ascii="Calibri" w:hAnsi="Calibri"/>
          <w:sz w:val="24"/>
          <w:szCs w:val="24"/>
        </w:rPr>
      </w:pPr>
      <w:r>
        <w:rPr>
          <w:b/>
          <w:bCs/>
          <w:sz w:val="24"/>
          <w:szCs w:val="24"/>
        </w:rPr>
        <w:t>5.1</w:t>
      </w:r>
      <w:r>
        <w:rPr>
          <w:sz w:val="24"/>
          <w:szCs w:val="24"/>
        </w:rPr>
        <w:t>. Os preços inicialmente contratados são fixos e irreajustáveis no prazo de um ano contado da ata do orçamento estimado.</w:t>
      </w:r>
    </w:p>
    <w:p>
      <w:pPr>
        <w:pStyle w:val="Normal"/>
        <w:ind w:hanging="0" w:left="284"/>
        <w:jc w:val="both"/>
        <w:rPr>
          <w:rFonts w:ascii="Calibri" w:hAnsi="Calibri"/>
          <w:sz w:val="24"/>
          <w:szCs w:val="24"/>
        </w:rPr>
      </w:pPr>
      <w:r>
        <w:rPr>
          <w:b/>
          <w:bCs/>
          <w:sz w:val="24"/>
          <w:szCs w:val="24"/>
        </w:rPr>
        <w:t>5.1.1</w:t>
      </w:r>
      <w:r>
        <w:rPr>
          <w:sz w:val="24"/>
          <w:szCs w:val="24"/>
        </w:rPr>
        <w:t>. O orçamento estimado pela Administração baseou-se nas planilhas referenciais, elaboradas com o SINAPI do mês</w:t>
      </w:r>
      <w:r>
        <w:rPr>
          <w:rFonts w:cs="" w:cstheme="minorBidi"/>
          <w:sz w:val="24"/>
          <w:szCs w:val="24"/>
          <w:shd w:fill="auto" w:val="clear"/>
        </w:rPr>
        <w:t xml:space="preserve"> de março</w:t>
      </w:r>
      <w:r>
        <w:rPr>
          <w:sz w:val="24"/>
          <w:szCs w:val="24"/>
        </w:rPr>
        <w:t>, do ano de 2024.</w:t>
      </w:r>
    </w:p>
    <w:p>
      <w:pPr>
        <w:pStyle w:val="Normal"/>
        <w:jc w:val="both"/>
        <w:rPr>
          <w:rFonts w:ascii="Calibri" w:hAnsi="Calibri"/>
          <w:sz w:val="24"/>
          <w:szCs w:val="24"/>
        </w:rPr>
      </w:pPr>
      <w:r>
        <w:rPr>
          <w:b/>
          <w:bCs/>
          <w:sz w:val="24"/>
          <w:szCs w:val="24"/>
        </w:rPr>
        <w:t>5.2</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5.4.1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5.5</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5.6</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5.7</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rFonts w:cs="Calibri Light" w:cstheme="majorHAnsi"/>
          <w:b/>
          <w:bCs/>
          <w:lang w:val="pt-BR"/>
        </w:rPr>
        <w:t>5.8</w:t>
      </w:r>
      <w:r>
        <w:rPr>
          <w:rFonts w:cs="Calibri Light" w:cstheme="majorHAnsi"/>
          <w:lang w:val="pt-BR"/>
        </w:rPr>
        <w:t xml:space="preserve">. </w:t>
      </w:r>
      <w:r>
        <w:rPr/>
        <w:t>O reajuste será concedido mediante simples apostila, conforme dispõe o art. 136 da Lei 14.133/2021</w:t>
      </w:r>
      <w:r>
        <w:rPr>
          <w:rFonts w:cs="Calibri Light" w:cstheme="majorHAnsi"/>
          <w:lang w:val="pt-BR"/>
        </w:rPr>
        <w:t>.</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rHeight w:val="218" w:hRule="atLeast"/>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SEXTA - DA FONTE DE RECURSOS:</w:t>
            </w:r>
          </w:p>
        </w:tc>
      </w:tr>
    </w:tbl>
    <w:p>
      <w:pPr>
        <w:pStyle w:val="Normal"/>
        <w:jc w:val="both"/>
        <w:rPr>
          <w:rFonts w:ascii="Calibri" w:hAnsi="Calibri"/>
          <w:sz w:val="24"/>
          <w:szCs w:val="24"/>
        </w:rPr>
      </w:pPr>
      <w:r>
        <w:rPr>
          <w:b/>
          <w:bCs/>
          <w:sz w:val="24"/>
          <w:szCs w:val="24"/>
        </w:rPr>
        <w:t>6.1</w:t>
      </w:r>
      <w:r>
        <w:rPr>
          <w:sz w:val="24"/>
          <w:szCs w:val="24"/>
        </w:rPr>
        <w:t>. A despesa correrá por conta da seguinte dotação orçamentária:</w:t>
      </w:r>
    </w:p>
    <w:p>
      <w:pPr>
        <w:pStyle w:val="BodyText"/>
        <w:spacing w:lineRule="auto" w:line="240"/>
        <w:rPr>
          <w:highlight w:val="none"/>
          <w:shd w:fill="auto" w:val="clear"/>
        </w:rPr>
      </w:pPr>
      <w:r>
        <w:rPr>
          <w:rFonts w:cs="Arial"/>
          <w:shd w:fill="auto" w:val="clear"/>
          <w:lang w:val="pt-BR"/>
        </w:rPr>
        <w:t>0</w:t>
      </w:r>
      <w:r>
        <w:rPr>
          <w:shd w:fill="auto" w:val="clear"/>
          <w:lang w:val="pt-BR"/>
        </w:rPr>
        <w:t xml:space="preserve">5 – SECRETARIA DE MUNICÍPIO DE ZELADORIA DA CIDADE </w:t>
        <w:br/>
      </w:r>
      <w:r>
        <w:rPr>
          <w:shd w:fill="auto" w:val="clear"/>
        </w:rPr>
        <w:t xml:space="preserve">05.004 – COMPLEXO DE MANUTENÇÃO URBANA </w:t>
        <w:br/>
        <w:t xml:space="preserve">05.004.0015.0452.0011.1153 – MANUT E SERVIÇOS DE INFRAESTRUTURA URBANA E RURAL </w:t>
        <w:br/>
        <w:t xml:space="preserve">ELEMENTO DE DESPESA: 4.4.90.51 – Obras e Instalações </w:t>
        <w:br/>
        <w:t>REC</w:t>
      </w:r>
      <w:r>
        <w:rPr>
          <w:rFonts w:eastAsia="Calibri" w:cs="" w:cstheme="minorBidi" w:eastAsiaTheme="minorHAnsi"/>
          <w:shd w:fill="auto" w:val="clear"/>
        </w:rPr>
        <w:t>URSO: 07541895 – FINISA Terceira Etapa – CÓD REDUZIDO 2727</w:t>
      </w:r>
    </w:p>
    <w:p>
      <w:pPr>
        <w:pStyle w:val="Normal"/>
        <w:jc w:val="both"/>
        <w:rPr>
          <w:rFonts w:ascii="Calibri" w:hAnsi="Calibri"/>
          <w:sz w:val="24"/>
          <w:szCs w:val="24"/>
        </w:rPr>
      </w:pPr>
      <w:r>
        <w:rPr>
          <w:b/>
          <w:bCs/>
          <w:sz w:val="24"/>
          <w:szCs w:val="24"/>
        </w:rPr>
        <w:t>6.2</w:t>
      </w:r>
      <w:r>
        <w:rPr>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SÉTIMA - DO MODELO DE EXECUÇÃO E GESTÃO CONTRATUAIS:</w:t>
            </w:r>
          </w:p>
        </w:tc>
      </w:tr>
    </w:tbl>
    <w:p>
      <w:pPr>
        <w:pStyle w:val="Normal"/>
        <w:jc w:val="both"/>
        <w:rPr>
          <w:rFonts w:ascii="Calibri" w:hAnsi="Calibri"/>
          <w:sz w:val="24"/>
          <w:szCs w:val="24"/>
        </w:rPr>
      </w:pPr>
      <w:r>
        <w:rPr>
          <w:b/>
          <w:bCs/>
          <w:sz w:val="24"/>
          <w:szCs w:val="24"/>
        </w:rPr>
        <w:t>7.1</w:t>
      </w:r>
      <w:r>
        <w:rPr>
          <w:sz w:val="24"/>
          <w:szCs w:val="24"/>
        </w:rPr>
        <w:t>. O modelo de gestão, assim como os prazos e condições de conclusão, entrega, observação e recebimento constam no Termo de Referência/Projeto Básico.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rHeight w:val="273" w:hRule="atLeast"/>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OITAVA - DA SUBCONTRATAÇÃO:</w:t>
            </w:r>
          </w:p>
        </w:tc>
      </w:tr>
    </w:tbl>
    <w:p>
      <w:pPr>
        <w:pStyle w:val="Normal"/>
        <w:jc w:val="both"/>
        <w:rPr>
          <w:rFonts w:ascii="Calibri" w:hAnsi="Calibri"/>
          <w:sz w:val="24"/>
          <w:szCs w:val="24"/>
        </w:rPr>
      </w:pPr>
      <w:r>
        <w:rPr>
          <w:b/>
          <w:bCs/>
          <w:sz w:val="24"/>
          <w:szCs w:val="24"/>
        </w:rPr>
        <w:t>8.1</w:t>
      </w:r>
      <w:r>
        <w:rPr>
          <w:sz w:val="24"/>
          <w:szCs w:val="24"/>
        </w:rPr>
        <w:t>. Conforme previsto no Termo de Referência/Projeto Básico.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NONA - DAS OBRIGAÇÕES DA CONTRATANTE:</w:t>
            </w:r>
          </w:p>
        </w:tc>
      </w:tr>
    </w:tbl>
    <w:p>
      <w:pPr>
        <w:pStyle w:val="Normal"/>
        <w:jc w:val="both"/>
        <w:rPr>
          <w:rFonts w:ascii="Calibri" w:hAnsi="Calibri"/>
          <w:sz w:val="24"/>
          <w:szCs w:val="24"/>
        </w:rPr>
      </w:pPr>
      <w:r>
        <w:rPr>
          <w:b/>
          <w:bCs/>
          <w:sz w:val="24"/>
          <w:szCs w:val="24"/>
        </w:rPr>
        <w:t>9.1</w:t>
      </w:r>
      <w:r>
        <w:rPr>
          <w:sz w:val="24"/>
          <w:szCs w:val="24"/>
        </w:rPr>
        <w:t>. Exigir o cumprimento de todas as obrigações assumidas pelo Contratado, de acordo com o contrato e seus anexos.</w:t>
      </w:r>
    </w:p>
    <w:p>
      <w:pPr>
        <w:pStyle w:val="Normal"/>
        <w:jc w:val="both"/>
        <w:rPr>
          <w:rFonts w:ascii="Calibri" w:hAnsi="Calibri"/>
          <w:sz w:val="24"/>
          <w:szCs w:val="24"/>
        </w:rPr>
      </w:pPr>
      <w:r>
        <w:rPr>
          <w:b/>
          <w:bCs/>
          <w:sz w:val="24"/>
          <w:szCs w:val="24"/>
        </w:rPr>
        <w:t>9.2</w:t>
      </w:r>
      <w:r>
        <w:rPr>
          <w:sz w:val="24"/>
          <w:szCs w:val="24"/>
        </w:rPr>
        <w:t>. Receber o objeto no prazo e condições estabelecidas no Termo de Referência ou Projeto Básico.</w:t>
      </w:r>
    </w:p>
    <w:p>
      <w:pPr>
        <w:pStyle w:val="Normal"/>
        <w:jc w:val="both"/>
        <w:rPr>
          <w:rFonts w:ascii="Calibri" w:hAnsi="Calibri"/>
          <w:sz w:val="24"/>
          <w:szCs w:val="24"/>
        </w:rPr>
      </w:pPr>
      <w:r>
        <w:rPr>
          <w:b/>
          <w:bCs/>
          <w:sz w:val="24"/>
          <w:szCs w:val="24"/>
        </w:rPr>
        <w:t>9.3</w:t>
      </w:r>
      <w:r>
        <w:rPr>
          <w:sz w:val="24"/>
          <w:szCs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sz w:val="24"/>
          <w:szCs w:val="24"/>
        </w:rPr>
      </w:pPr>
      <w:r>
        <w:rPr>
          <w:b/>
          <w:bCs/>
          <w:sz w:val="24"/>
          <w:szCs w:val="24"/>
        </w:rPr>
        <w:t>9.4</w:t>
      </w:r>
      <w:r>
        <w:rPr>
          <w:sz w:val="24"/>
          <w:szCs w:val="24"/>
        </w:rPr>
        <w:t>. Acompanhar e fiscalizar a execução do contrato e o cumprimento das obrigações pelo Contratado.</w:t>
      </w:r>
    </w:p>
    <w:p>
      <w:pPr>
        <w:pStyle w:val="Normal"/>
        <w:jc w:val="both"/>
        <w:rPr>
          <w:rFonts w:ascii="Calibri" w:hAnsi="Calibri"/>
          <w:sz w:val="24"/>
          <w:szCs w:val="24"/>
        </w:rPr>
      </w:pPr>
      <w:r>
        <w:rPr>
          <w:b/>
          <w:bCs/>
          <w:sz w:val="24"/>
          <w:szCs w:val="24"/>
        </w:rPr>
        <w:t>9.5</w:t>
      </w:r>
      <w:r>
        <w:rPr>
          <w:sz w:val="24"/>
          <w:szCs w:val="24"/>
        </w:rPr>
        <w:t>. Efetuar o pagamento ao Contratado do valor correspondente ao fornecimento do objeto, no prazo, forma e condições estabelecidos no presente Contrato.</w:t>
      </w:r>
    </w:p>
    <w:p>
      <w:pPr>
        <w:pStyle w:val="Normal"/>
        <w:jc w:val="both"/>
        <w:rPr>
          <w:rFonts w:ascii="Calibri" w:hAnsi="Calibri"/>
          <w:sz w:val="24"/>
          <w:szCs w:val="24"/>
        </w:rPr>
      </w:pPr>
      <w:r>
        <w:rPr>
          <w:b/>
          <w:bCs/>
          <w:sz w:val="24"/>
          <w:szCs w:val="24"/>
        </w:rPr>
        <w:t>9.6</w:t>
      </w:r>
      <w:r>
        <w:rPr>
          <w:sz w:val="24"/>
          <w:szCs w:val="24"/>
        </w:rPr>
        <w:t>. Aplicar ao Contratado sanções previstas na Lei e neste Contrato.</w:t>
      </w:r>
    </w:p>
    <w:p>
      <w:pPr>
        <w:pStyle w:val="Normal"/>
        <w:jc w:val="both"/>
        <w:rPr>
          <w:rFonts w:ascii="Calibri" w:hAnsi="Calibri"/>
          <w:sz w:val="24"/>
          <w:szCs w:val="24"/>
        </w:rPr>
      </w:pPr>
      <w:r>
        <w:rPr>
          <w:b/>
          <w:bCs/>
          <w:sz w:val="24"/>
          <w:szCs w:val="24"/>
        </w:rPr>
        <w:t>9.7</w:t>
      </w:r>
      <w:r>
        <w:rPr>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Calibri" w:hAnsi="Calibri"/>
          <w:sz w:val="24"/>
          <w:szCs w:val="24"/>
        </w:rPr>
      </w:pPr>
      <w:r>
        <w:rPr>
          <w:b/>
          <w:bCs/>
          <w:sz w:val="24"/>
          <w:szCs w:val="24"/>
        </w:rPr>
        <w:t>9.7.1</w:t>
      </w:r>
      <w:r>
        <w:rPr>
          <w:sz w:val="24"/>
          <w:szCs w:val="24"/>
        </w:rPr>
        <w:t>. Concluída a instrução do requerimento, a Administração terá o prazo de 30 (trinta) dias para decidir, admitida a prorrogação motivada por igual período.</w:t>
      </w:r>
    </w:p>
    <w:p>
      <w:pPr>
        <w:pStyle w:val="Normal"/>
        <w:jc w:val="both"/>
        <w:rPr>
          <w:rFonts w:ascii="Calibri" w:hAnsi="Calibri"/>
          <w:sz w:val="24"/>
          <w:szCs w:val="24"/>
        </w:rPr>
      </w:pPr>
      <w:r>
        <w:rPr>
          <w:b/>
          <w:bCs/>
          <w:sz w:val="24"/>
          <w:szCs w:val="24"/>
        </w:rPr>
        <w:t>9.8</w:t>
      </w:r>
      <w:r>
        <w:rPr>
          <w:sz w:val="24"/>
          <w:szCs w:val="24"/>
        </w:rPr>
        <w:t>. Responder eventuais pedidos de reestabelecimento do equilíbrio econômico-financeiro feitos pelo Contratado no prazo máximo de 30 (trinta) dias.</w:t>
      </w:r>
    </w:p>
    <w:p>
      <w:pPr>
        <w:pStyle w:val="Normal"/>
        <w:jc w:val="both"/>
        <w:rPr>
          <w:rFonts w:ascii="Calibri" w:hAnsi="Calibri"/>
          <w:sz w:val="24"/>
          <w:szCs w:val="24"/>
        </w:rPr>
      </w:pPr>
      <w:r>
        <w:rPr>
          <w:b/>
          <w:bCs/>
          <w:sz w:val="24"/>
          <w:szCs w:val="24"/>
        </w:rPr>
        <w:t>9.9</w:t>
      </w:r>
      <w:r>
        <w:rPr>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sz w:val="24"/>
          <w:szCs w:val="24"/>
        </w:rPr>
      </w:pPr>
      <w:r>
        <w:rPr>
          <w:b/>
          <w:bCs/>
          <w:sz w:val="24"/>
          <w:szCs w:val="24"/>
        </w:rPr>
        <w:t>9.10</w:t>
      </w:r>
      <w:r>
        <w:rPr>
          <w:sz w:val="24"/>
          <w:szCs w:val="24"/>
        </w:rPr>
        <w:t>. Notificar os emitentes das garantias contratuais quanto ao início de processo administrativo para apuração de descumprimento de cláusulas contratuais.</w:t>
      </w:r>
    </w:p>
    <w:p>
      <w:pPr>
        <w:pStyle w:val="Normal"/>
        <w:jc w:val="both"/>
        <w:rPr>
          <w:rFonts w:ascii="Calibri" w:hAnsi="Calibri"/>
          <w:sz w:val="24"/>
          <w:szCs w:val="24"/>
        </w:rPr>
      </w:pPr>
      <w:r>
        <w:rPr>
          <w:b/>
          <w:bCs/>
          <w:sz w:val="24"/>
          <w:szCs w:val="24"/>
        </w:rPr>
        <w:t>9.11</w:t>
      </w:r>
      <w:r>
        <w:rPr>
          <w:sz w:val="24"/>
          <w:szCs w:val="24"/>
        </w:rPr>
        <w:t>. Não praticar atos de ingerência na administração do Contratado, tais como:</w:t>
      </w:r>
    </w:p>
    <w:p>
      <w:pPr>
        <w:pStyle w:val="Normal"/>
        <w:ind w:hanging="0" w:left="284"/>
        <w:jc w:val="both"/>
        <w:rPr>
          <w:rFonts w:ascii="Calibri" w:hAnsi="Calibri"/>
          <w:sz w:val="24"/>
          <w:szCs w:val="24"/>
        </w:rPr>
      </w:pPr>
      <w:r>
        <w:rPr>
          <w:b/>
          <w:bCs/>
          <w:sz w:val="24"/>
          <w:szCs w:val="24"/>
        </w:rPr>
        <w:t>9.11.1</w:t>
      </w:r>
      <w:r>
        <w:rPr>
          <w:sz w:val="24"/>
          <w:szCs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hanging="0" w:left="284"/>
        <w:jc w:val="both"/>
        <w:rPr>
          <w:rFonts w:ascii="Calibri" w:hAnsi="Calibri"/>
          <w:sz w:val="24"/>
          <w:szCs w:val="24"/>
        </w:rPr>
      </w:pPr>
      <w:r>
        <w:rPr>
          <w:b/>
          <w:bCs/>
          <w:sz w:val="24"/>
          <w:szCs w:val="24"/>
        </w:rPr>
        <w:t>9.11.2</w:t>
      </w:r>
      <w:r>
        <w:rPr>
          <w:sz w:val="24"/>
          <w:szCs w:val="24"/>
        </w:rPr>
        <w:t>. Direcionar a contratação de pessoas para trabalhar no Contratado.</w:t>
      </w:r>
    </w:p>
    <w:p>
      <w:pPr>
        <w:pStyle w:val="Normal"/>
        <w:ind w:hanging="0" w:left="284"/>
        <w:jc w:val="both"/>
        <w:rPr>
          <w:rFonts w:ascii="Calibri" w:hAnsi="Calibri"/>
          <w:sz w:val="24"/>
          <w:szCs w:val="24"/>
        </w:rPr>
      </w:pPr>
      <w:r>
        <w:rPr>
          <w:b/>
          <w:bCs/>
          <w:sz w:val="24"/>
          <w:szCs w:val="24"/>
        </w:rPr>
        <w:t>9.11.3</w:t>
      </w:r>
      <w:r>
        <w:rPr>
          <w:sz w:val="24"/>
          <w:szCs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Calibri" w:hAnsi="Calibri"/>
          <w:sz w:val="24"/>
          <w:szCs w:val="24"/>
        </w:rPr>
      </w:pPr>
      <w:r>
        <w:rPr>
          <w:b/>
          <w:bCs/>
          <w:sz w:val="24"/>
          <w:szCs w:val="24"/>
        </w:rPr>
        <w:t>9.12</w:t>
      </w:r>
      <w:r>
        <w:rPr>
          <w:sz w:val="24"/>
          <w:szCs w:val="24"/>
        </w:rPr>
        <w:t>. Fornecer por escrito as informações necessárias para o desenvolvimento dos serviços objeto do contrato.</w:t>
      </w:r>
    </w:p>
    <w:p>
      <w:pPr>
        <w:pStyle w:val="Normal"/>
        <w:jc w:val="both"/>
        <w:rPr>
          <w:rFonts w:ascii="Calibri" w:hAnsi="Calibri"/>
          <w:sz w:val="24"/>
          <w:szCs w:val="24"/>
        </w:rPr>
      </w:pPr>
      <w:r>
        <w:rPr>
          <w:b/>
          <w:bCs/>
          <w:sz w:val="24"/>
          <w:szCs w:val="24"/>
        </w:rPr>
        <w:t>9.13</w:t>
      </w:r>
      <w:r>
        <w:rPr>
          <w:sz w:val="24"/>
          <w:szCs w:val="24"/>
        </w:rPr>
        <w:t>. Realizar avaliações periódicas da qualidade dos serviços, após seu recebimento.</w:t>
      </w:r>
    </w:p>
    <w:p>
      <w:pPr>
        <w:pStyle w:val="Normal"/>
        <w:jc w:val="both"/>
        <w:rPr>
          <w:rFonts w:ascii="Calibri" w:hAnsi="Calibri"/>
          <w:sz w:val="24"/>
          <w:szCs w:val="24"/>
        </w:rPr>
      </w:pPr>
      <w:r>
        <w:rPr>
          <w:b/>
          <w:bCs/>
          <w:sz w:val="24"/>
          <w:szCs w:val="24"/>
        </w:rPr>
        <w:t>9.14</w:t>
      </w:r>
      <w:r>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Calibri" w:hAnsi="Calibri"/>
          <w:sz w:val="24"/>
          <w:szCs w:val="24"/>
        </w:rPr>
      </w:pPr>
      <w:r>
        <w:rPr>
          <w:b/>
          <w:bCs/>
          <w:sz w:val="24"/>
          <w:szCs w:val="24"/>
        </w:rPr>
        <w:t>9.15</w:t>
      </w:r>
      <w:r>
        <w:rPr>
          <w:sz w:val="24"/>
          <w:szCs w:val="24"/>
        </w:rPr>
        <w:t>. Previamente à expedição da ordem de serviço, verificar pendências, liberar áreas e/ou adotar providências cabíveis para a regularidade do início da sua execução.</w:t>
      </w:r>
    </w:p>
    <w:p>
      <w:pPr>
        <w:pStyle w:val="Normal"/>
        <w:jc w:val="both"/>
        <w:rPr>
          <w:rFonts w:ascii="Calibri" w:hAnsi="Calibri"/>
          <w:sz w:val="24"/>
          <w:szCs w:val="24"/>
        </w:rPr>
      </w:pPr>
      <w:r>
        <w:rPr>
          <w:b/>
          <w:bCs/>
          <w:sz w:val="24"/>
          <w:szCs w:val="24"/>
        </w:rPr>
        <w:t>9.16</w:t>
      </w:r>
      <w:r>
        <w:rPr>
          <w:sz w:val="24"/>
          <w:szCs w:val="24"/>
        </w:rPr>
        <w:t>. Exigir do Contratado que providencie a seguinte documentação como condição indispensável para o recebimento definitivo de objeto, quando for o caso:</w:t>
      </w:r>
    </w:p>
    <w:p>
      <w:pPr>
        <w:pStyle w:val="Normal"/>
        <w:ind w:hanging="0" w:left="284"/>
        <w:jc w:val="both"/>
        <w:rPr>
          <w:rFonts w:ascii="Calibri" w:hAnsi="Calibri"/>
          <w:sz w:val="24"/>
          <w:szCs w:val="24"/>
        </w:rPr>
      </w:pPr>
      <w:r>
        <w:rPr>
          <w:b/>
          <w:bCs/>
          <w:sz w:val="24"/>
          <w:szCs w:val="24"/>
        </w:rPr>
        <w:t>9.16.1</w:t>
      </w:r>
      <w:r>
        <w:rPr>
          <w:sz w:val="24"/>
          <w:szCs w:val="24"/>
        </w:rPr>
        <w:t>. "as built", elaborado pelo responsável por sua execução;</w:t>
      </w:r>
    </w:p>
    <w:p>
      <w:pPr>
        <w:pStyle w:val="Normal"/>
        <w:ind w:hanging="0" w:left="284"/>
        <w:jc w:val="both"/>
        <w:rPr>
          <w:rFonts w:ascii="Calibri" w:hAnsi="Calibri"/>
          <w:sz w:val="24"/>
          <w:szCs w:val="24"/>
        </w:rPr>
      </w:pPr>
      <w:r>
        <w:rPr>
          <w:b/>
          <w:bCs/>
          <w:sz w:val="24"/>
          <w:szCs w:val="24"/>
        </w:rPr>
        <w:t>9.16.2</w:t>
      </w:r>
      <w:r>
        <w:rPr>
          <w:sz w:val="24"/>
          <w:szCs w:val="24"/>
        </w:rPr>
        <w:t>. comprovação das ligações definitivas de energia, água, telefone e gás;</w:t>
      </w:r>
    </w:p>
    <w:p>
      <w:pPr>
        <w:pStyle w:val="Normal"/>
        <w:ind w:hanging="0" w:left="284"/>
        <w:jc w:val="both"/>
        <w:rPr>
          <w:rFonts w:ascii="Calibri" w:hAnsi="Calibri"/>
          <w:sz w:val="24"/>
          <w:szCs w:val="24"/>
        </w:rPr>
      </w:pPr>
      <w:r>
        <w:rPr>
          <w:b/>
          <w:bCs/>
          <w:sz w:val="24"/>
          <w:szCs w:val="24"/>
        </w:rPr>
        <w:t>9.16.3</w:t>
      </w:r>
      <w:r>
        <w:rPr>
          <w:sz w:val="24"/>
          <w:szCs w:val="24"/>
        </w:rPr>
        <w:t>. laudo de vistoria do corpo de bombeiros aprovando o serviço;</w:t>
      </w:r>
    </w:p>
    <w:p>
      <w:pPr>
        <w:pStyle w:val="Normal"/>
        <w:ind w:hanging="0" w:left="284"/>
        <w:jc w:val="both"/>
        <w:rPr>
          <w:rFonts w:ascii="Calibri" w:hAnsi="Calibri"/>
          <w:sz w:val="24"/>
          <w:szCs w:val="24"/>
        </w:rPr>
      </w:pPr>
      <w:r>
        <w:rPr>
          <w:b/>
          <w:bCs/>
          <w:sz w:val="24"/>
          <w:szCs w:val="24"/>
        </w:rPr>
        <w:t>9.16.4</w:t>
      </w:r>
      <w:r>
        <w:rPr>
          <w:sz w:val="24"/>
          <w:szCs w:val="24"/>
        </w:rPr>
        <w:t>. carta "habite-se", emitida pela prefeitura; e</w:t>
      </w:r>
    </w:p>
    <w:p>
      <w:pPr>
        <w:pStyle w:val="Normal"/>
        <w:ind w:hanging="0" w:left="284"/>
        <w:jc w:val="both"/>
        <w:rPr>
          <w:rFonts w:ascii="Calibri" w:hAnsi="Calibri"/>
          <w:sz w:val="24"/>
          <w:szCs w:val="24"/>
        </w:rPr>
      </w:pPr>
      <w:r>
        <w:rPr>
          <w:b/>
          <w:bCs/>
          <w:sz w:val="24"/>
          <w:szCs w:val="24"/>
        </w:rPr>
        <w:t>9.16.5</w:t>
      </w:r>
      <w:r>
        <w:rPr>
          <w:sz w:val="24"/>
          <w:szCs w:val="24"/>
        </w:rPr>
        <w:t>. certidão negativa de débitos previdenciários específica para o registro da obra junto ao Cartório de Registro de Imóveis.</w:t>
      </w:r>
    </w:p>
    <w:p>
      <w:pPr>
        <w:pStyle w:val="Normal"/>
        <w:jc w:val="both"/>
        <w:rPr>
          <w:rFonts w:ascii="Calibri" w:hAnsi="Calibri"/>
          <w:sz w:val="24"/>
          <w:szCs w:val="24"/>
        </w:rPr>
      </w:pPr>
      <w:r>
        <w:rPr>
          <w:b/>
          <w:bCs/>
          <w:sz w:val="24"/>
          <w:szCs w:val="24"/>
        </w:rPr>
        <w:t>9.17</w:t>
      </w:r>
      <w:r>
        <w:rPr>
          <w:sz w:val="24"/>
          <w:szCs w:val="24"/>
        </w:rPr>
        <w:t>. Arquivar, entre outros documentos, de projetos, "as built", especificações técnicas, orçamentos, termos de recebimento, contratos e aditamentos, relatórios de inspeções técnicas após o recebimento do serviço e notificações expedidas.</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 DAS OBRIGAÇÕES DO CONTRATADO:</w:t>
            </w:r>
          </w:p>
        </w:tc>
      </w:tr>
    </w:tbl>
    <w:p>
      <w:pPr>
        <w:pStyle w:val="Normal"/>
        <w:jc w:val="both"/>
        <w:rPr>
          <w:rFonts w:ascii="Calibri" w:hAnsi="Calibri"/>
          <w:sz w:val="24"/>
          <w:szCs w:val="24"/>
        </w:rPr>
      </w:pPr>
      <w:r>
        <w:rPr>
          <w:b/>
          <w:bCs/>
          <w:sz w:val="24"/>
          <w:szCs w:val="24"/>
        </w:rPr>
        <w:t>10.1</w:t>
      </w:r>
      <w:r>
        <w:rPr>
          <w:sz w:val="24"/>
          <w:szCs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Calibri" w:hAnsi="Calibri"/>
          <w:sz w:val="24"/>
          <w:szCs w:val="24"/>
        </w:rPr>
      </w:pPr>
      <w:r>
        <w:rPr>
          <w:b/>
          <w:bCs/>
          <w:sz w:val="24"/>
          <w:szCs w:val="24"/>
        </w:rPr>
        <w:t>10.2</w:t>
      </w:r>
      <w:r>
        <w:rPr>
          <w:sz w:val="24"/>
          <w:szCs w:val="24"/>
        </w:rPr>
        <w:t>. Atender às determinações regulares emitidas pelo fiscal do contrato ou autoridade superior.</w:t>
      </w:r>
    </w:p>
    <w:p>
      <w:pPr>
        <w:pStyle w:val="Normal"/>
        <w:jc w:val="both"/>
        <w:rPr>
          <w:rFonts w:ascii="Calibri" w:hAnsi="Calibri"/>
          <w:sz w:val="24"/>
          <w:szCs w:val="24"/>
        </w:rPr>
      </w:pPr>
      <w:r>
        <w:rPr>
          <w:b/>
          <w:bCs/>
          <w:sz w:val="24"/>
          <w:szCs w:val="24"/>
        </w:rPr>
        <w:t>10.3</w:t>
      </w:r>
      <w:r>
        <w:rPr>
          <w:sz w:val="24"/>
          <w:szCs w:val="24"/>
        </w:rPr>
        <w:t>. Manter preposto aceito pela Administração no local da obra ou do serviço para representá-lo na execução do contrato.</w:t>
      </w:r>
    </w:p>
    <w:p>
      <w:pPr>
        <w:pStyle w:val="Normal"/>
        <w:ind w:hanging="0" w:left="284"/>
        <w:jc w:val="both"/>
        <w:rPr>
          <w:rFonts w:ascii="Calibri" w:hAnsi="Calibri"/>
          <w:sz w:val="24"/>
          <w:szCs w:val="24"/>
        </w:rPr>
      </w:pPr>
      <w:r>
        <w:rPr>
          <w:b/>
          <w:bCs/>
          <w:sz w:val="24"/>
          <w:szCs w:val="24"/>
        </w:rPr>
        <w:t>10.3.1</w:t>
      </w:r>
      <w:r>
        <w:rPr>
          <w:sz w:val="24"/>
          <w:szCs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Calibri" w:hAnsi="Calibri"/>
          <w:sz w:val="24"/>
          <w:szCs w:val="24"/>
        </w:rPr>
      </w:pPr>
      <w:r>
        <w:rPr>
          <w:b/>
          <w:bCs/>
          <w:sz w:val="24"/>
          <w:szCs w:val="24"/>
        </w:rPr>
        <w:t>10.4</w:t>
      </w:r>
      <w:r>
        <w:rPr>
          <w:sz w:val="24"/>
          <w:szCs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Calibri" w:hAnsi="Calibri"/>
          <w:sz w:val="24"/>
          <w:szCs w:val="24"/>
        </w:rPr>
      </w:pPr>
      <w:r>
        <w:rPr>
          <w:b/>
          <w:bCs/>
          <w:sz w:val="24"/>
          <w:szCs w:val="24"/>
        </w:rPr>
        <w:t>10.5</w:t>
      </w:r>
      <w:r>
        <w:rPr>
          <w:sz w:val="24"/>
          <w:szCs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Calibri" w:hAnsi="Calibri"/>
          <w:sz w:val="24"/>
          <w:szCs w:val="24"/>
        </w:rPr>
      </w:pPr>
      <w:r>
        <w:rPr>
          <w:b/>
          <w:bCs/>
          <w:sz w:val="24"/>
          <w:szCs w:val="24"/>
        </w:rPr>
        <w:t>10.6</w:t>
      </w:r>
      <w:r>
        <w:rPr>
          <w:sz w:val="24"/>
          <w:szCs w:val="24"/>
        </w:rPr>
        <w:t>. Não utilizar</w:t>
      </w:r>
      <w:r>
        <w:rPr>
          <w:rFonts w:cs="Calibri Light" w:cstheme="majorHAnsi"/>
          <w:sz w:val="24"/>
          <w:szCs w:val="24"/>
          <w:lang w:val="pt-BR"/>
        </w:rPr>
        <w:t>, sob nenhuma hipótese, veículo de tração animal para a execução do objeto contratual.</w:t>
      </w:r>
    </w:p>
    <w:p>
      <w:pPr>
        <w:pStyle w:val="Normal"/>
        <w:jc w:val="both"/>
        <w:rPr>
          <w:rFonts w:ascii="Calibri" w:hAnsi="Calibri"/>
          <w:sz w:val="24"/>
          <w:szCs w:val="24"/>
        </w:rPr>
      </w:pPr>
      <w:r>
        <w:rPr>
          <w:b/>
          <w:bCs/>
          <w:sz w:val="24"/>
          <w:szCs w:val="24"/>
        </w:rPr>
        <w:t>10.7</w:t>
      </w:r>
      <w:r>
        <w:rPr>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sz w:val="24"/>
          <w:szCs w:val="24"/>
        </w:rPr>
      </w:pPr>
      <w:r>
        <w:rPr>
          <w:b/>
          <w:bCs/>
          <w:sz w:val="24"/>
          <w:szCs w:val="24"/>
        </w:rPr>
        <w:t>10.8</w:t>
      </w:r>
      <w:r>
        <w:rPr>
          <w:sz w:val="24"/>
          <w:szCs w:val="24"/>
        </w:rPr>
        <w:t>. Efetuar comunicação ao Contratante, assim que tiver ciência da impossibilidade de realização ou finalização do serviço no prazo estabelecido, para adoção de ações de contingência cabíveis.</w:t>
      </w:r>
    </w:p>
    <w:p>
      <w:pPr>
        <w:pStyle w:val="Normal"/>
        <w:jc w:val="both"/>
        <w:rPr>
          <w:rFonts w:ascii="Calibri" w:hAnsi="Calibri"/>
          <w:sz w:val="24"/>
          <w:szCs w:val="24"/>
        </w:rPr>
      </w:pPr>
      <w:r>
        <w:rPr>
          <w:b/>
          <w:bCs/>
          <w:sz w:val="24"/>
          <w:szCs w:val="24"/>
        </w:rPr>
        <w:t>10.9</w:t>
      </w:r>
      <w:r>
        <w:rPr>
          <w:sz w:val="24"/>
          <w:szCs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Calibri" w:hAnsi="Calibri"/>
          <w:sz w:val="24"/>
          <w:szCs w:val="24"/>
        </w:rPr>
      </w:pPr>
      <w:r>
        <w:rPr>
          <w:b/>
          <w:bCs/>
          <w:sz w:val="24"/>
          <w:szCs w:val="24"/>
        </w:rPr>
        <w:t>10.10</w:t>
      </w:r>
      <w:r>
        <w:rPr>
          <w:sz w:val="24"/>
          <w:szCs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hanging="0" w:left="284"/>
        <w:jc w:val="both"/>
        <w:rPr>
          <w:rFonts w:ascii="Calibri" w:hAnsi="Calibri"/>
          <w:sz w:val="24"/>
          <w:szCs w:val="24"/>
        </w:rPr>
      </w:pPr>
      <w:r>
        <w:rPr>
          <w:b/>
          <w:bCs/>
          <w:sz w:val="24"/>
          <w:szCs w:val="24"/>
        </w:rPr>
        <w:t>1</w:t>
      </w:r>
      <w:r>
        <w:rPr>
          <w:sz w:val="24"/>
          <w:szCs w:val="24"/>
        </w:rPr>
        <w:t>) prova de regularidade relativa à Seguridade Social;</w:t>
      </w:r>
    </w:p>
    <w:p>
      <w:pPr>
        <w:pStyle w:val="Normal"/>
        <w:ind w:hanging="0" w:left="284"/>
        <w:jc w:val="both"/>
        <w:rPr>
          <w:rFonts w:ascii="Calibri" w:hAnsi="Calibri"/>
          <w:sz w:val="24"/>
          <w:szCs w:val="24"/>
        </w:rPr>
      </w:pPr>
      <w:r>
        <w:rPr>
          <w:b/>
          <w:bCs/>
          <w:sz w:val="24"/>
          <w:szCs w:val="24"/>
        </w:rPr>
        <w:t>2</w:t>
      </w:r>
      <w:r>
        <w:rPr>
          <w:sz w:val="24"/>
          <w:szCs w:val="24"/>
        </w:rPr>
        <w:t xml:space="preserve">) certidão conjunta relativa aos tributos federais e à Dívida Ativa da União; </w:t>
      </w:r>
    </w:p>
    <w:p>
      <w:pPr>
        <w:pStyle w:val="Normal"/>
        <w:ind w:hanging="0" w:left="284"/>
        <w:jc w:val="both"/>
        <w:rPr>
          <w:rFonts w:ascii="Calibri" w:hAnsi="Calibri"/>
          <w:sz w:val="24"/>
          <w:szCs w:val="24"/>
        </w:rPr>
      </w:pPr>
      <w:r>
        <w:rPr>
          <w:b/>
          <w:bCs/>
          <w:sz w:val="24"/>
          <w:szCs w:val="24"/>
        </w:rPr>
        <w:t>3</w:t>
      </w:r>
      <w:r>
        <w:rPr>
          <w:sz w:val="24"/>
          <w:szCs w:val="24"/>
        </w:rPr>
        <w:t xml:space="preserve">) certidões que comprovem a regularidade perante a Fazenda Estadual e Municipal do domicílio ou sede do contratado; </w:t>
      </w:r>
    </w:p>
    <w:p>
      <w:pPr>
        <w:pStyle w:val="Normal"/>
        <w:ind w:hanging="0" w:left="284"/>
        <w:jc w:val="both"/>
        <w:rPr>
          <w:rFonts w:ascii="Calibri" w:hAnsi="Calibri"/>
          <w:sz w:val="24"/>
          <w:szCs w:val="24"/>
        </w:rPr>
      </w:pPr>
      <w:r>
        <w:rPr>
          <w:b/>
          <w:bCs/>
          <w:sz w:val="24"/>
          <w:szCs w:val="24"/>
        </w:rPr>
        <w:t>4</w:t>
      </w:r>
      <w:r>
        <w:rPr>
          <w:sz w:val="24"/>
          <w:szCs w:val="24"/>
        </w:rPr>
        <w:t xml:space="preserve">) Certidão de Regularidade do FGTS-CRF; e </w:t>
      </w:r>
    </w:p>
    <w:p>
      <w:pPr>
        <w:pStyle w:val="Normal"/>
        <w:ind w:hanging="0" w:left="284"/>
        <w:jc w:val="both"/>
        <w:rPr>
          <w:rFonts w:ascii="Calibri" w:hAnsi="Calibri"/>
          <w:sz w:val="24"/>
          <w:szCs w:val="24"/>
        </w:rPr>
      </w:pPr>
      <w:r>
        <w:rPr>
          <w:b/>
          <w:bCs/>
          <w:sz w:val="24"/>
          <w:szCs w:val="24"/>
        </w:rPr>
        <w:t>5</w:t>
      </w:r>
      <w:r>
        <w:rPr>
          <w:sz w:val="24"/>
          <w:szCs w:val="24"/>
        </w:rPr>
        <w:t>) Certidão Negativa de Débitos Trabalhistas (CNDT).</w:t>
      </w:r>
    </w:p>
    <w:p>
      <w:pPr>
        <w:pStyle w:val="Normal"/>
        <w:jc w:val="both"/>
        <w:rPr>
          <w:rFonts w:ascii="Calibri" w:hAnsi="Calibri"/>
          <w:sz w:val="24"/>
          <w:szCs w:val="24"/>
        </w:rPr>
      </w:pPr>
      <w:r>
        <w:rPr>
          <w:b/>
          <w:bCs/>
          <w:sz w:val="24"/>
          <w:szCs w:val="24"/>
        </w:rPr>
        <w:t>10.11</w:t>
      </w:r>
      <w:r>
        <w:rPr>
          <w:sz w:val="24"/>
          <w:szCs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Calibri" w:hAnsi="Calibri"/>
          <w:sz w:val="24"/>
          <w:szCs w:val="24"/>
        </w:rPr>
      </w:pPr>
      <w:r>
        <w:rPr>
          <w:b/>
          <w:bCs/>
          <w:sz w:val="24"/>
          <w:szCs w:val="24"/>
        </w:rPr>
        <w:t>10.12</w:t>
      </w:r>
      <w:r>
        <w:rPr>
          <w:sz w:val="24"/>
          <w:szCs w:val="24"/>
        </w:rPr>
        <w:t>. Comunicar ao Fiscal do contrato, no prazo de 24 (vinte e quatro) horas, qualquer ocorrência anormal ou acidente que se verifique no local dos serviços.</w:t>
      </w:r>
    </w:p>
    <w:p>
      <w:pPr>
        <w:pStyle w:val="Normal"/>
        <w:jc w:val="both"/>
        <w:rPr>
          <w:rFonts w:ascii="Calibri" w:hAnsi="Calibri"/>
          <w:sz w:val="24"/>
          <w:szCs w:val="24"/>
        </w:rPr>
      </w:pPr>
      <w:r>
        <w:rPr>
          <w:b/>
          <w:bCs/>
          <w:sz w:val="24"/>
          <w:szCs w:val="24"/>
        </w:rPr>
        <w:t>10.13</w:t>
      </w:r>
      <w:r>
        <w:rPr>
          <w:sz w:val="24"/>
          <w:szCs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Calibri" w:hAnsi="Calibri"/>
          <w:sz w:val="24"/>
          <w:szCs w:val="24"/>
        </w:rPr>
      </w:pPr>
      <w:r>
        <w:rPr>
          <w:b/>
          <w:bCs/>
          <w:sz w:val="24"/>
          <w:szCs w:val="24"/>
        </w:rPr>
        <w:t>10.14</w:t>
      </w:r>
      <w:r>
        <w:rPr>
          <w:sz w:val="24"/>
          <w:szCs w:val="24"/>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sz w:val="24"/>
          <w:szCs w:val="24"/>
        </w:rPr>
      </w:pPr>
      <w:r>
        <w:rPr>
          <w:b/>
          <w:bCs/>
          <w:sz w:val="24"/>
          <w:szCs w:val="24"/>
        </w:rPr>
        <w:t>10.15</w:t>
      </w:r>
      <w:r>
        <w:rPr>
          <w:sz w:val="24"/>
          <w:szCs w:val="24"/>
        </w:rPr>
        <w:t>. Promover a guarda, manutenção e vigilância de materiais, ferramentas, e tudo o que for necessário à execução do objeto, durante a vigência do contrato.</w:t>
      </w:r>
    </w:p>
    <w:p>
      <w:pPr>
        <w:pStyle w:val="Normal"/>
        <w:jc w:val="both"/>
        <w:rPr>
          <w:rFonts w:ascii="Calibri" w:hAnsi="Calibri"/>
          <w:sz w:val="24"/>
          <w:szCs w:val="24"/>
        </w:rPr>
      </w:pPr>
      <w:r>
        <w:rPr>
          <w:b/>
          <w:bCs/>
          <w:sz w:val="24"/>
          <w:szCs w:val="24"/>
        </w:rPr>
        <w:t>10.16</w:t>
      </w:r>
      <w:r>
        <w:rPr>
          <w:sz w:val="24"/>
          <w:szCs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Calibri" w:hAnsi="Calibri"/>
          <w:sz w:val="24"/>
          <w:szCs w:val="24"/>
        </w:rPr>
      </w:pPr>
      <w:r>
        <w:rPr>
          <w:b/>
          <w:bCs/>
          <w:sz w:val="24"/>
          <w:szCs w:val="24"/>
        </w:rPr>
        <w:t>10.17</w:t>
      </w:r>
      <w:r>
        <w:rPr>
          <w:sz w:val="24"/>
          <w:szCs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Calibri" w:hAnsi="Calibri"/>
          <w:sz w:val="24"/>
          <w:szCs w:val="24"/>
        </w:rPr>
      </w:pPr>
      <w:r>
        <w:rPr>
          <w:b/>
          <w:bCs/>
          <w:sz w:val="24"/>
          <w:szCs w:val="24"/>
        </w:rPr>
        <w:t>10.18</w:t>
      </w:r>
      <w:r>
        <w:rPr>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Calibri" w:hAnsi="Calibri"/>
          <w:sz w:val="24"/>
          <w:szCs w:val="24"/>
        </w:rPr>
      </w:pPr>
      <w:r>
        <w:rPr>
          <w:b/>
          <w:bCs/>
          <w:sz w:val="24"/>
          <w:szCs w:val="24"/>
        </w:rPr>
        <w:t>10.19</w:t>
      </w:r>
      <w:r>
        <w:rPr>
          <w:sz w:val="24"/>
          <w:szCs w:val="24"/>
        </w:rPr>
        <w:t>. Manter durante toda a vigência do contrato, em compatibilidade com as obrigações assumidas, todas as condições exigidas para habilitação ou para qualificação, na contratação direta.</w:t>
      </w:r>
    </w:p>
    <w:p>
      <w:pPr>
        <w:pStyle w:val="Normal"/>
        <w:jc w:val="both"/>
        <w:rPr>
          <w:rFonts w:ascii="Calibri" w:hAnsi="Calibri"/>
          <w:sz w:val="24"/>
          <w:szCs w:val="24"/>
        </w:rPr>
      </w:pPr>
      <w:r>
        <w:rPr>
          <w:b/>
          <w:bCs/>
          <w:sz w:val="24"/>
          <w:szCs w:val="24"/>
        </w:rPr>
        <w:t>10.20</w:t>
      </w:r>
      <w:r>
        <w:rPr>
          <w:sz w:val="24"/>
          <w:szCs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hanging="0" w:left="284"/>
        <w:jc w:val="both"/>
        <w:rPr>
          <w:rFonts w:ascii="Calibri" w:hAnsi="Calibri"/>
          <w:sz w:val="24"/>
          <w:szCs w:val="24"/>
        </w:rPr>
      </w:pPr>
      <w:r>
        <w:rPr>
          <w:b/>
          <w:bCs/>
          <w:sz w:val="24"/>
          <w:szCs w:val="24"/>
        </w:rPr>
        <w:t>10.20.1</w:t>
      </w:r>
      <w:r>
        <w:rPr>
          <w:sz w:val="24"/>
          <w:szCs w:val="24"/>
        </w:rPr>
        <w:t>. Comprovar a reserva de cargos a que se refere a cláusula acima, no prazo fixado pelo fiscal do contrato, com a indicação dos empregados que preencheram as referidas vagas.</w:t>
      </w:r>
    </w:p>
    <w:p>
      <w:pPr>
        <w:pStyle w:val="Normal"/>
        <w:jc w:val="both"/>
        <w:rPr>
          <w:rFonts w:ascii="Calibri" w:hAnsi="Calibri"/>
          <w:sz w:val="24"/>
          <w:szCs w:val="24"/>
        </w:rPr>
      </w:pPr>
      <w:r>
        <w:rPr>
          <w:b/>
          <w:bCs/>
          <w:sz w:val="24"/>
          <w:szCs w:val="24"/>
        </w:rPr>
        <w:t>10.21</w:t>
      </w:r>
      <w:r>
        <w:rPr>
          <w:sz w:val="24"/>
          <w:szCs w:val="24"/>
        </w:rPr>
        <w:t>. Guardar sigilo sobre todas as informações obtidas em decorrência do cumprimento do contrato.</w:t>
      </w:r>
    </w:p>
    <w:p>
      <w:pPr>
        <w:pStyle w:val="Normal"/>
        <w:jc w:val="both"/>
        <w:rPr>
          <w:rFonts w:ascii="Calibri" w:hAnsi="Calibri"/>
          <w:sz w:val="24"/>
          <w:szCs w:val="24"/>
        </w:rPr>
      </w:pPr>
      <w:r>
        <w:rPr>
          <w:b/>
          <w:bCs/>
          <w:sz w:val="24"/>
          <w:szCs w:val="24"/>
        </w:rPr>
        <w:t>10.22</w:t>
      </w:r>
      <w:r>
        <w:rPr>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Calibri" w:hAnsi="Calibri"/>
          <w:sz w:val="24"/>
          <w:szCs w:val="24"/>
        </w:rPr>
      </w:pPr>
      <w:r>
        <w:rPr>
          <w:b/>
          <w:bCs/>
          <w:sz w:val="24"/>
          <w:szCs w:val="24"/>
        </w:rPr>
        <w:t>10.23</w:t>
      </w:r>
      <w:r>
        <w:rPr>
          <w:sz w:val="24"/>
          <w:szCs w:val="24"/>
        </w:rPr>
        <w:t>. Cumprir, além dos postulados legais vigentes de âmbito federal, estadual ou municipal, as normas de segurança do Contratante.</w:t>
      </w:r>
    </w:p>
    <w:p>
      <w:pPr>
        <w:pStyle w:val="Normal"/>
        <w:jc w:val="both"/>
        <w:rPr>
          <w:rFonts w:ascii="Calibri" w:hAnsi="Calibri"/>
          <w:sz w:val="24"/>
          <w:szCs w:val="24"/>
        </w:rPr>
      </w:pPr>
      <w:r>
        <w:rPr>
          <w:b/>
          <w:bCs/>
          <w:sz w:val="24"/>
          <w:szCs w:val="24"/>
        </w:rPr>
        <w:t>10.24</w:t>
      </w:r>
      <w:r>
        <w:rPr>
          <w:sz w:val="24"/>
          <w:szCs w:val="24"/>
        </w:rPr>
        <w:t>. Assegurar aos seus trabalhadores ambiente de trabalho, inclusive equipamentos e instalações, em condições adequadas ao cumprimento das normas de saúde, segurança e bem-estar no trabalho.</w:t>
      </w:r>
    </w:p>
    <w:p>
      <w:pPr>
        <w:pStyle w:val="Normal"/>
        <w:jc w:val="both"/>
        <w:rPr>
          <w:rFonts w:ascii="Calibri" w:hAnsi="Calibri"/>
          <w:sz w:val="24"/>
          <w:szCs w:val="24"/>
        </w:rPr>
      </w:pPr>
      <w:r>
        <w:rPr>
          <w:b/>
          <w:bCs/>
          <w:sz w:val="24"/>
          <w:szCs w:val="24"/>
        </w:rPr>
        <w:t>10.25</w:t>
      </w:r>
      <w:r>
        <w:rPr>
          <w:sz w:val="24"/>
          <w:szCs w:val="24"/>
        </w:rPr>
        <w:t>. Garantir o acesso, a qualquer tempo, ao local dos trabalhos, bem como aos documentos relativos à execução do empreendimento.</w:t>
      </w:r>
    </w:p>
    <w:p>
      <w:pPr>
        <w:pStyle w:val="Normal"/>
        <w:jc w:val="both"/>
        <w:rPr>
          <w:rFonts w:ascii="Calibri" w:hAnsi="Calibri"/>
          <w:sz w:val="24"/>
          <w:szCs w:val="24"/>
        </w:rPr>
      </w:pPr>
      <w:r>
        <w:rPr>
          <w:b/>
          <w:bCs/>
          <w:sz w:val="24"/>
          <w:szCs w:val="24"/>
        </w:rPr>
        <w:t>10.26</w:t>
      </w:r>
      <w:r>
        <w:rPr>
          <w:sz w:val="24"/>
          <w:szCs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Calibri" w:hAnsi="Calibri"/>
          <w:sz w:val="24"/>
          <w:szCs w:val="24"/>
        </w:rPr>
      </w:pPr>
      <w:r>
        <w:rPr>
          <w:b/>
          <w:bCs/>
          <w:sz w:val="24"/>
          <w:szCs w:val="24"/>
        </w:rPr>
        <w:t>10.27</w:t>
      </w:r>
      <w:r>
        <w:rPr>
          <w:sz w:val="24"/>
          <w:szCs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Calibri" w:hAnsi="Calibri"/>
          <w:sz w:val="24"/>
          <w:szCs w:val="24"/>
        </w:rPr>
      </w:pPr>
      <w:r>
        <w:rPr>
          <w:b/>
          <w:bCs/>
          <w:sz w:val="24"/>
          <w:szCs w:val="24"/>
        </w:rPr>
        <w:t>10.28</w:t>
      </w:r>
      <w:r>
        <w:rPr>
          <w:sz w:val="24"/>
          <w:szCs w:val="24"/>
        </w:rPr>
        <w:t>. Manter os empregados nos horários predeterminados pelo Contratante.</w:t>
      </w:r>
    </w:p>
    <w:p>
      <w:pPr>
        <w:pStyle w:val="Normal"/>
        <w:jc w:val="both"/>
        <w:rPr>
          <w:rFonts w:ascii="Calibri" w:hAnsi="Calibri"/>
          <w:sz w:val="24"/>
          <w:szCs w:val="24"/>
        </w:rPr>
      </w:pPr>
      <w:r>
        <w:rPr>
          <w:b/>
          <w:bCs/>
          <w:sz w:val="24"/>
          <w:szCs w:val="24"/>
        </w:rPr>
        <w:t>10.29</w:t>
      </w:r>
      <w:r>
        <w:rPr>
          <w:sz w:val="24"/>
          <w:szCs w:val="24"/>
        </w:rPr>
        <w:t>. Apresentar os empregados devidamente identificados por meio de crachá.</w:t>
      </w:r>
    </w:p>
    <w:p>
      <w:pPr>
        <w:pStyle w:val="Normal"/>
        <w:jc w:val="both"/>
        <w:rPr>
          <w:rFonts w:ascii="Calibri" w:hAnsi="Calibri"/>
          <w:sz w:val="24"/>
          <w:szCs w:val="24"/>
        </w:rPr>
      </w:pPr>
      <w:r>
        <w:rPr>
          <w:b/>
          <w:bCs/>
          <w:sz w:val="24"/>
          <w:szCs w:val="24"/>
        </w:rPr>
        <w:t>10.30</w:t>
      </w:r>
      <w:r>
        <w:rPr>
          <w:sz w:val="24"/>
          <w:szCs w:val="24"/>
        </w:rPr>
        <w:t>. Apresentar ao Contratante, quando for o caso, a relação nominal dos empregados que adentrarão no órgão para a execução do serviço.</w:t>
      </w:r>
    </w:p>
    <w:p>
      <w:pPr>
        <w:pStyle w:val="Normal"/>
        <w:jc w:val="both"/>
        <w:rPr>
          <w:rFonts w:ascii="Calibri" w:hAnsi="Calibri"/>
          <w:sz w:val="24"/>
          <w:szCs w:val="24"/>
        </w:rPr>
      </w:pPr>
      <w:r>
        <w:rPr>
          <w:b/>
          <w:bCs/>
          <w:sz w:val="24"/>
          <w:szCs w:val="24"/>
        </w:rPr>
        <w:t>10.31</w:t>
      </w:r>
      <w:r>
        <w:rPr>
          <w:sz w:val="24"/>
          <w:szCs w:val="24"/>
        </w:rPr>
        <w:t>. Observar os preceitos da legislação sobre a jornada de trabalho, conforme a categoria profissional.</w:t>
      </w:r>
    </w:p>
    <w:p>
      <w:pPr>
        <w:pStyle w:val="Normal"/>
        <w:jc w:val="both"/>
        <w:rPr>
          <w:rFonts w:ascii="Calibri" w:hAnsi="Calibri"/>
          <w:sz w:val="24"/>
          <w:szCs w:val="24"/>
        </w:rPr>
      </w:pPr>
      <w:r>
        <w:rPr>
          <w:b/>
          <w:bCs/>
          <w:sz w:val="24"/>
          <w:szCs w:val="24"/>
        </w:rPr>
        <w:t>10.32</w:t>
      </w:r>
      <w:r>
        <w:rPr>
          <w:sz w:val="24"/>
          <w:szCs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Calibri" w:hAnsi="Calibri"/>
          <w:sz w:val="24"/>
          <w:szCs w:val="24"/>
        </w:rPr>
      </w:pPr>
      <w:r>
        <w:rPr>
          <w:b/>
          <w:bCs/>
          <w:sz w:val="24"/>
          <w:szCs w:val="24"/>
        </w:rPr>
        <w:t>10.33</w:t>
      </w:r>
      <w:r>
        <w:rPr>
          <w:sz w:val="24"/>
          <w:szCs w:val="24"/>
        </w:rPr>
        <w:t>. Instruir seus empregados quanto à necessidade de acatar as Normas Internas do Contratante.</w:t>
      </w:r>
    </w:p>
    <w:p>
      <w:pPr>
        <w:pStyle w:val="Normal"/>
        <w:jc w:val="both"/>
        <w:rPr>
          <w:rFonts w:ascii="Calibri" w:hAnsi="Calibri"/>
          <w:sz w:val="24"/>
          <w:szCs w:val="24"/>
        </w:rPr>
      </w:pPr>
      <w:r>
        <w:rPr>
          <w:b/>
          <w:bCs/>
          <w:sz w:val="24"/>
          <w:szCs w:val="24"/>
        </w:rPr>
        <w:t>10.34</w:t>
      </w:r>
      <w:r>
        <w:rPr>
          <w:sz w:val="24"/>
          <w:szCs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Calibri" w:hAnsi="Calibri"/>
          <w:sz w:val="24"/>
          <w:szCs w:val="24"/>
        </w:rPr>
      </w:pPr>
      <w:r>
        <w:rPr>
          <w:b/>
          <w:bCs/>
          <w:sz w:val="24"/>
          <w:szCs w:val="24"/>
        </w:rPr>
        <w:t>10.35</w:t>
      </w:r>
      <w:r>
        <w:rPr>
          <w:sz w:val="24"/>
          <w:szCs w:val="24"/>
        </w:rPr>
        <w:t>. Instruir os seus empregados, quanto à prevenção de incêndios nas áreas do Contratante.</w:t>
      </w:r>
    </w:p>
    <w:p>
      <w:pPr>
        <w:pStyle w:val="Normal"/>
        <w:jc w:val="both"/>
        <w:rPr>
          <w:rFonts w:ascii="Calibri" w:hAnsi="Calibri"/>
          <w:sz w:val="24"/>
          <w:szCs w:val="24"/>
        </w:rPr>
      </w:pPr>
      <w:r>
        <w:rPr>
          <w:b/>
          <w:bCs/>
          <w:sz w:val="24"/>
          <w:szCs w:val="24"/>
        </w:rPr>
        <w:t>10.36</w:t>
      </w:r>
      <w:r>
        <w:rPr>
          <w:sz w:val="24"/>
          <w:szCs w:val="24"/>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Calibri" w:hAnsi="Calibri"/>
          <w:sz w:val="24"/>
          <w:szCs w:val="24"/>
        </w:rPr>
      </w:pPr>
      <w:r>
        <w:rPr>
          <w:b/>
          <w:bCs/>
          <w:sz w:val="24"/>
          <w:szCs w:val="24"/>
        </w:rPr>
        <w:t>10.37</w:t>
      </w:r>
      <w:r>
        <w:rPr>
          <w:sz w:val="24"/>
          <w:szCs w:val="24"/>
        </w:rPr>
        <w:t>. Estar registrada ou inscrita no Conselho Profissional competente, conforme as áreas de atuação previstas no Termo de Referência, em plena validade.</w:t>
      </w:r>
    </w:p>
    <w:p>
      <w:pPr>
        <w:pStyle w:val="Normal"/>
        <w:jc w:val="both"/>
        <w:rPr>
          <w:rFonts w:ascii="Calibri" w:hAnsi="Calibri"/>
          <w:sz w:val="24"/>
          <w:szCs w:val="24"/>
        </w:rPr>
      </w:pPr>
      <w:r>
        <w:rPr>
          <w:b/>
          <w:bCs/>
          <w:sz w:val="24"/>
          <w:szCs w:val="24"/>
        </w:rPr>
        <w:t>10.38</w:t>
      </w:r>
      <w:r>
        <w:rPr>
          <w:sz w:val="24"/>
          <w:szCs w:val="24"/>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Calibri" w:hAnsi="Calibri"/>
          <w:sz w:val="24"/>
          <w:szCs w:val="24"/>
        </w:rPr>
      </w:pPr>
      <w:r>
        <w:rPr>
          <w:b/>
          <w:bCs/>
          <w:sz w:val="24"/>
          <w:szCs w:val="24"/>
        </w:rPr>
        <w:t>10.39</w:t>
      </w:r>
      <w:r>
        <w:rPr>
          <w:sz w:val="24"/>
          <w:szCs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Calibri" w:hAnsi="Calibri"/>
          <w:sz w:val="24"/>
          <w:szCs w:val="24"/>
        </w:rPr>
      </w:pPr>
      <w:r>
        <w:rPr>
          <w:b/>
          <w:bCs/>
          <w:sz w:val="24"/>
          <w:szCs w:val="24"/>
        </w:rPr>
        <w:t>10.40</w:t>
      </w:r>
      <w:r>
        <w:rPr>
          <w:sz w:val="24"/>
          <w:szCs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Calibri" w:hAnsi="Calibri"/>
          <w:sz w:val="24"/>
          <w:szCs w:val="24"/>
        </w:rPr>
      </w:pPr>
      <w:r>
        <w:rPr>
          <w:b/>
          <w:bCs/>
          <w:sz w:val="24"/>
          <w:szCs w:val="24"/>
        </w:rPr>
        <w:t>10.41</w:t>
      </w:r>
      <w:r>
        <w:rPr>
          <w:sz w:val="24"/>
          <w:szCs w:val="24"/>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Calibri" w:hAnsi="Calibri"/>
          <w:sz w:val="24"/>
          <w:szCs w:val="24"/>
        </w:rPr>
      </w:pPr>
      <w:r>
        <w:rPr>
          <w:b/>
          <w:bCs/>
          <w:sz w:val="24"/>
          <w:szCs w:val="24"/>
        </w:rPr>
        <w:t>10.42</w:t>
      </w:r>
      <w:r>
        <w:rPr>
          <w:sz w:val="24"/>
          <w:szCs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Calibri" w:hAnsi="Calibri"/>
          <w:sz w:val="24"/>
          <w:szCs w:val="24"/>
        </w:rPr>
      </w:pPr>
      <w:r>
        <w:rPr>
          <w:b/>
          <w:bCs/>
          <w:sz w:val="24"/>
          <w:szCs w:val="24"/>
        </w:rPr>
        <w:t>10.43</w:t>
      </w:r>
      <w:r>
        <w:rPr>
          <w:sz w:val="24"/>
          <w:szCs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Calibri" w:hAnsi="Calibri"/>
          <w:sz w:val="24"/>
          <w:szCs w:val="24"/>
        </w:rPr>
      </w:pPr>
      <w:r>
        <w:rPr>
          <w:sz w:val="24"/>
          <w:szCs w:val="24"/>
        </w:rPr>
        <w:t xml:space="preserve"> </w:t>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PRIMEIRA - DA GARANTIA DE EXECUÇÃO CONTRATUAL:</w:t>
            </w:r>
          </w:p>
        </w:tc>
      </w:tr>
    </w:tbl>
    <w:p>
      <w:pPr>
        <w:pStyle w:val="Normal"/>
        <w:jc w:val="both"/>
        <w:rPr>
          <w:rFonts w:ascii="Calibri" w:hAnsi="Calibri"/>
          <w:sz w:val="24"/>
          <w:szCs w:val="24"/>
        </w:rPr>
      </w:pPr>
      <w:bookmarkStart w:id="0" w:name="_Hlk153545902"/>
      <w:bookmarkEnd w:id="0"/>
      <w:r>
        <w:rPr>
          <w:b/>
          <w:bCs/>
          <w:sz w:val="24"/>
          <w:szCs w:val="24"/>
        </w:rPr>
        <w:t>11.1</w:t>
      </w:r>
      <w:r>
        <w:rPr>
          <w:sz w:val="24"/>
          <w:szCs w:val="24"/>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hanging="0" w:left="284"/>
        <w:jc w:val="both"/>
        <w:rPr>
          <w:rFonts w:ascii="Calibri" w:hAnsi="Calibri"/>
          <w:sz w:val="24"/>
          <w:szCs w:val="24"/>
        </w:rPr>
      </w:pPr>
      <w:r>
        <w:rPr>
          <w:b/>
          <w:bCs/>
          <w:sz w:val="24"/>
          <w:szCs w:val="24"/>
        </w:rPr>
        <w:t>11.1.1</w:t>
      </w:r>
      <w:r>
        <w:rPr>
          <w:sz w:val="24"/>
          <w:szCs w:val="24"/>
        </w:rPr>
        <w:t>. Em se tratando de contratação de serviços contínuos, com vigência superior a 01 (um) ano, será considerado para fins de garantia o valor anual do contrato, para aplicação do percentual.</w:t>
      </w:r>
    </w:p>
    <w:p>
      <w:pPr>
        <w:pStyle w:val="Normal"/>
        <w:jc w:val="both"/>
        <w:rPr>
          <w:rFonts w:ascii="Calibri" w:hAnsi="Calibri"/>
          <w:sz w:val="24"/>
          <w:szCs w:val="24"/>
        </w:rPr>
      </w:pPr>
      <w:r>
        <w:rPr>
          <w:b/>
          <w:bCs/>
          <w:sz w:val="24"/>
          <w:szCs w:val="24"/>
        </w:rPr>
        <w:t>11.2</w:t>
      </w:r>
      <w:r>
        <w:rPr>
          <w:sz w:val="24"/>
          <w:szCs w:val="24"/>
        </w:rPr>
        <w:t>. No caso de seguro-garantia, a garantia deverá ser apresentada no máximo até a data de assinatura do contrato.</w:t>
      </w:r>
    </w:p>
    <w:p>
      <w:pPr>
        <w:pStyle w:val="Normal"/>
        <w:jc w:val="both"/>
        <w:rPr>
          <w:rFonts w:ascii="Calibri" w:hAnsi="Calibri"/>
          <w:sz w:val="24"/>
          <w:szCs w:val="24"/>
        </w:rPr>
      </w:pPr>
      <w:r>
        <w:rPr>
          <w:b/>
          <w:bCs/>
          <w:sz w:val="24"/>
          <w:szCs w:val="24"/>
        </w:rPr>
        <w:t>11.3</w:t>
      </w:r>
      <w:r>
        <w:rPr>
          <w:sz w:val="24"/>
          <w:szCs w:val="24"/>
        </w:rPr>
        <w:t>. As demais modalidades deverão ser prestadas em até 15 (quinze) dias úteis, após a assinatura do contrato, sob pena de incidir em infração administrativa.</w:t>
      </w:r>
    </w:p>
    <w:p>
      <w:pPr>
        <w:pStyle w:val="Normal"/>
        <w:jc w:val="both"/>
        <w:rPr>
          <w:rFonts w:ascii="Calibri" w:hAnsi="Calibri"/>
          <w:sz w:val="24"/>
          <w:szCs w:val="24"/>
        </w:rPr>
      </w:pPr>
      <w:r>
        <w:rPr>
          <w:b/>
          <w:bCs/>
          <w:sz w:val="24"/>
          <w:szCs w:val="24"/>
        </w:rPr>
        <w:t>11.4</w:t>
      </w:r>
      <w:r>
        <w:rPr>
          <w:sz w:val="24"/>
          <w:szCs w:val="24"/>
        </w:rPr>
        <w:t xml:space="preserve">. Deverão ser observados os seguintes procedimentos: </w:t>
      </w:r>
    </w:p>
    <w:p>
      <w:pPr>
        <w:pStyle w:val="Normal"/>
        <w:ind w:hanging="0" w:left="284"/>
        <w:jc w:val="both"/>
        <w:rPr>
          <w:rFonts w:ascii="Calibri" w:hAnsi="Calibri"/>
          <w:sz w:val="24"/>
          <w:szCs w:val="24"/>
        </w:rPr>
      </w:pPr>
      <w:r>
        <w:rPr>
          <w:b/>
          <w:bCs/>
          <w:sz w:val="24"/>
          <w:szCs w:val="24"/>
        </w:rPr>
        <w:t xml:space="preserve">I </w:t>
      </w:r>
      <w:r>
        <w:rPr>
          <w:sz w:val="24"/>
          <w:szCs w:val="24"/>
        </w:rPr>
        <w:t>- a garantia deverá ter o valor indicado no item 11.1;</w:t>
      </w:r>
    </w:p>
    <w:p>
      <w:pPr>
        <w:pStyle w:val="Normal"/>
        <w:ind w:hanging="0" w:left="284"/>
        <w:jc w:val="both"/>
        <w:rPr>
          <w:rFonts w:ascii="Calibri" w:hAnsi="Calibri"/>
          <w:sz w:val="24"/>
          <w:szCs w:val="24"/>
        </w:rPr>
      </w:pPr>
      <w:r>
        <w:rPr>
          <w:b/>
          <w:bCs/>
          <w:sz w:val="24"/>
          <w:szCs w:val="24"/>
        </w:rPr>
        <w:t>II</w:t>
      </w:r>
      <w:r>
        <w:rPr>
          <w:sz w:val="24"/>
          <w:szCs w:val="24"/>
        </w:rPr>
        <w:t xml:space="preserve"> - a Contratada deverá entregar à SCLC/SMGAL, no endereço eletrônico </w:t>
      </w:r>
      <w:hyperlink r:id="rId2">
        <w:r>
          <w:rPr>
            <w:rStyle w:val="Hyperlink"/>
            <w:sz w:val="24"/>
            <w:szCs w:val="24"/>
          </w:rPr>
          <w:t>contratos.riogrande@gmail.com</w:t>
        </w:r>
      </w:hyperlink>
      <w:r>
        <w:rPr>
          <w:sz w:val="24"/>
          <w:szCs w:val="24"/>
        </w:rPr>
        <w:t xml:space="preserve"> , o documento comprobatório da garantia prestada;</w:t>
      </w:r>
    </w:p>
    <w:p>
      <w:pPr>
        <w:pStyle w:val="Normal"/>
        <w:ind w:hanging="0" w:left="284"/>
        <w:jc w:val="both"/>
        <w:rPr>
          <w:rFonts w:ascii="Calibri" w:hAnsi="Calibri"/>
          <w:sz w:val="24"/>
          <w:szCs w:val="24"/>
        </w:rPr>
      </w:pPr>
      <w:r>
        <w:rPr>
          <w:b/>
          <w:bCs/>
          <w:sz w:val="24"/>
          <w:szCs w:val="24"/>
        </w:rPr>
        <w:t>III</w:t>
      </w:r>
      <w:r>
        <w:rPr>
          <w:sz w:val="24"/>
          <w:szCs w:val="24"/>
        </w:rPr>
        <w:t xml:space="preserve"> - a aceitação de títulos da dívida pública ficará condicionada à verificação com o Banco Central do Brasil ou órgão emissor sobre sua exequibilidade e validade;</w:t>
      </w:r>
    </w:p>
    <w:p>
      <w:pPr>
        <w:pStyle w:val="Normal"/>
        <w:ind w:hanging="0" w:left="284"/>
        <w:jc w:val="both"/>
        <w:rPr>
          <w:rFonts w:ascii="Calibri" w:hAnsi="Calibri"/>
          <w:sz w:val="24"/>
          <w:szCs w:val="24"/>
        </w:rPr>
      </w:pPr>
      <w:r>
        <w:rPr>
          <w:b/>
          <w:bCs/>
          <w:sz w:val="24"/>
          <w:szCs w:val="24"/>
        </w:rPr>
        <w:t>IV</w:t>
      </w:r>
      <w:r>
        <w:rPr>
          <w:sz w:val="24"/>
          <w:szCs w:val="24"/>
        </w:rPr>
        <w:t xml:space="preserve"> - o título de capitalização custeado por pagamento único, com resgate pelo valor total, deverá ter como titular o Município do Rio Grande/RS;</w:t>
      </w:r>
    </w:p>
    <w:p>
      <w:pPr>
        <w:pStyle w:val="Normal"/>
        <w:ind w:hanging="0" w:left="284"/>
        <w:jc w:val="both"/>
        <w:rPr>
          <w:rFonts w:ascii="Calibri" w:hAnsi="Calibri"/>
          <w:sz w:val="24"/>
          <w:szCs w:val="24"/>
        </w:rPr>
      </w:pPr>
      <w:r>
        <w:rPr>
          <w:b/>
          <w:bCs/>
          <w:sz w:val="24"/>
          <w:szCs w:val="24"/>
        </w:rPr>
        <w:t>V</w:t>
      </w:r>
      <w:r>
        <w:rPr>
          <w:sz w:val="24"/>
          <w:szCs w:val="24"/>
        </w:rPr>
        <w:t xml:space="preserve"> - sendo caução em dinheiro, deverá efetuar o depósito em caderneta de poupança, com conta vinculada, na Caixa Econômica Federal, em nome do Município do Rio Grande/RS;</w:t>
      </w:r>
    </w:p>
    <w:p>
      <w:pPr>
        <w:pStyle w:val="Normal"/>
        <w:ind w:hanging="0" w:left="284"/>
        <w:jc w:val="both"/>
        <w:rPr>
          <w:rFonts w:ascii="Calibri" w:hAnsi="Calibri"/>
          <w:sz w:val="24"/>
          <w:szCs w:val="24"/>
        </w:rPr>
      </w:pPr>
      <w:r>
        <w:rPr>
          <w:b/>
          <w:bCs/>
          <w:sz w:val="24"/>
          <w:szCs w:val="24"/>
        </w:rPr>
        <w:t>VI</w:t>
      </w:r>
      <w:r>
        <w:rPr>
          <w:sz w:val="24"/>
          <w:szCs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Calibri" w:hAnsi="Calibri"/>
          <w:sz w:val="24"/>
          <w:szCs w:val="24"/>
        </w:rPr>
      </w:pPr>
      <w:r>
        <w:rPr>
          <w:b/>
          <w:bCs/>
          <w:sz w:val="24"/>
          <w:szCs w:val="24"/>
        </w:rPr>
        <w:t>11.5</w:t>
      </w:r>
      <w:r>
        <w:rPr>
          <w:sz w:val="24"/>
          <w:szCs w:val="24"/>
        </w:rPr>
        <w:t>. A garantia, qualquer que seja a modalidade escolhida, assegurará o pagamento de:</w:t>
      </w:r>
    </w:p>
    <w:p>
      <w:pPr>
        <w:pStyle w:val="Normal"/>
        <w:ind w:hanging="0" w:left="284"/>
        <w:jc w:val="both"/>
        <w:rPr>
          <w:rFonts w:ascii="Calibri" w:hAnsi="Calibri"/>
          <w:sz w:val="24"/>
          <w:szCs w:val="24"/>
        </w:rPr>
      </w:pPr>
      <w:r>
        <w:rPr>
          <w:b/>
          <w:bCs/>
          <w:sz w:val="24"/>
          <w:szCs w:val="24"/>
        </w:rPr>
        <w:t xml:space="preserve">I </w:t>
      </w:r>
      <w:r>
        <w:rPr>
          <w:sz w:val="24"/>
          <w:szCs w:val="24"/>
        </w:rPr>
        <w:t>- prejuízos advindos do não cumprimento do objeto do contrato;</w:t>
      </w:r>
    </w:p>
    <w:p>
      <w:pPr>
        <w:pStyle w:val="Normal"/>
        <w:ind w:hanging="0" w:left="284"/>
        <w:jc w:val="both"/>
        <w:rPr>
          <w:rFonts w:ascii="Calibri" w:hAnsi="Calibri"/>
          <w:sz w:val="24"/>
          <w:szCs w:val="24"/>
        </w:rPr>
      </w:pPr>
      <w:r>
        <w:rPr>
          <w:b/>
          <w:bCs/>
          <w:sz w:val="24"/>
          <w:szCs w:val="24"/>
        </w:rPr>
        <w:t>II</w:t>
      </w:r>
      <w:r>
        <w:rPr>
          <w:sz w:val="24"/>
          <w:szCs w:val="24"/>
        </w:rPr>
        <w:t xml:space="preserve"> - prejuízos diretos causados ao Contratante decorrentes de culpa ou dolo durante a execução do contrato;</w:t>
      </w:r>
    </w:p>
    <w:p>
      <w:pPr>
        <w:pStyle w:val="Normal"/>
        <w:ind w:hanging="0" w:left="284"/>
        <w:jc w:val="both"/>
        <w:rPr>
          <w:rFonts w:ascii="Calibri" w:hAnsi="Calibri"/>
          <w:sz w:val="24"/>
          <w:szCs w:val="24"/>
        </w:rPr>
      </w:pPr>
      <w:r>
        <w:rPr>
          <w:b/>
          <w:bCs/>
          <w:sz w:val="24"/>
          <w:szCs w:val="24"/>
        </w:rPr>
        <w:t>III</w:t>
      </w:r>
      <w:r>
        <w:rPr>
          <w:sz w:val="24"/>
          <w:szCs w:val="24"/>
        </w:rPr>
        <w:t xml:space="preserve"> - multas moratórias e compensatórias aplicadas pelo Contratante à Contratada;</w:t>
      </w:r>
    </w:p>
    <w:p>
      <w:pPr>
        <w:pStyle w:val="Normal"/>
        <w:ind w:hanging="0" w:left="284"/>
        <w:jc w:val="both"/>
        <w:rPr>
          <w:rFonts w:ascii="Calibri" w:hAnsi="Calibri"/>
          <w:sz w:val="24"/>
          <w:szCs w:val="24"/>
        </w:rPr>
      </w:pPr>
      <w:r>
        <w:rPr>
          <w:b/>
          <w:bCs/>
          <w:sz w:val="24"/>
          <w:szCs w:val="24"/>
        </w:rPr>
        <w:t>IV</w:t>
      </w:r>
      <w:r>
        <w:rPr>
          <w:sz w:val="24"/>
          <w:szCs w:val="24"/>
        </w:rPr>
        <w:t xml:space="preserve"> - obrigações trabalhistas e previdenciárias de qualquer natureza não adimplidas pela Contratada.</w:t>
      </w:r>
    </w:p>
    <w:p>
      <w:pPr>
        <w:pStyle w:val="Normal"/>
        <w:jc w:val="both"/>
        <w:rPr>
          <w:rFonts w:ascii="Calibri" w:hAnsi="Calibri"/>
          <w:sz w:val="24"/>
          <w:szCs w:val="24"/>
        </w:rPr>
      </w:pPr>
      <w:r>
        <w:rPr>
          <w:b/>
          <w:bCs/>
          <w:sz w:val="24"/>
          <w:szCs w:val="24"/>
        </w:rPr>
        <w:t>11.6</w:t>
      </w:r>
      <w:r>
        <w:rPr>
          <w:sz w:val="24"/>
          <w:szCs w:val="24"/>
        </w:rPr>
        <w:t>. A garantia será considerada extinta nos seguintes casos:</w:t>
      </w:r>
    </w:p>
    <w:p>
      <w:pPr>
        <w:pStyle w:val="Normal"/>
        <w:ind w:hanging="0" w:left="284"/>
        <w:jc w:val="both"/>
        <w:rPr>
          <w:rFonts w:ascii="Calibri" w:hAnsi="Calibri"/>
          <w:sz w:val="24"/>
          <w:szCs w:val="24"/>
        </w:rPr>
      </w:pPr>
      <w:r>
        <w:rPr>
          <w:b/>
          <w:bCs/>
          <w:sz w:val="24"/>
          <w:szCs w:val="24"/>
        </w:rPr>
        <w:t>I</w:t>
      </w:r>
      <w:r>
        <w:rPr>
          <w:sz w:val="24"/>
          <w:szCs w:val="24"/>
        </w:rPr>
        <w:t xml:space="preserve"> - com a devolução, acompanhada de declaração do Contratante, mediante termo circunstanciado, de que a Contratada cumpriu todas as cláusulas do contrato;</w:t>
      </w:r>
    </w:p>
    <w:p>
      <w:pPr>
        <w:pStyle w:val="Normal"/>
        <w:ind w:hanging="0" w:left="284"/>
        <w:jc w:val="both"/>
        <w:rPr>
          <w:rFonts w:ascii="Calibri" w:hAnsi="Calibri"/>
          <w:sz w:val="24"/>
          <w:szCs w:val="24"/>
        </w:rPr>
      </w:pPr>
      <w:r>
        <w:rPr>
          <w:b/>
          <w:bCs/>
          <w:sz w:val="24"/>
          <w:szCs w:val="24"/>
        </w:rPr>
        <w:t>II</w:t>
      </w:r>
      <w:r>
        <w:rPr>
          <w:sz w:val="24"/>
          <w:szCs w:val="24"/>
        </w:rPr>
        <w:t xml:space="preserve"> - após o término da vigência do contrato.</w:t>
      </w:r>
    </w:p>
    <w:p>
      <w:pPr>
        <w:pStyle w:val="Normal"/>
        <w:jc w:val="both"/>
        <w:rPr>
          <w:rFonts w:ascii="Calibri" w:hAnsi="Calibri"/>
          <w:sz w:val="24"/>
          <w:szCs w:val="24"/>
        </w:rPr>
      </w:pPr>
      <w:r>
        <w:rPr>
          <w:b/>
          <w:bCs/>
          <w:sz w:val="24"/>
          <w:szCs w:val="24"/>
        </w:rPr>
        <w:t>11.7</w:t>
      </w:r>
      <w:r>
        <w:rPr>
          <w:sz w:val="24"/>
          <w:szCs w:val="24"/>
        </w:rPr>
        <w:t xml:space="preserve">. A modalidade de garantia apresentada pela Contratada será a de </w:t>
      </w:r>
      <w:r>
        <w:rPr>
          <w:b/>
          <w:bCs/>
          <w:sz w:val="24"/>
          <w:szCs w:val="24"/>
          <w:shd w:fill="FFFF00" w:val="clear"/>
        </w:rPr>
        <w:t xml:space="preserve">XXXXXXXXX. </w:t>
      </w:r>
      <w:r>
        <w:rPr>
          <w:b w:val="false"/>
          <w:bCs w:val="false"/>
          <w:sz w:val="24"/>
          <w:szCs w:val="24"/>
          <w:shd w:fill="auto" w:val="clear"/>
        </w:rPr>
        <w:t>C</w:t>
      </w:r>
      <w:r>
        <w:rPr>
          <w:sz w:val="24"/>
          <w:szCs w:val="24"/>
        </w:rPr>
        <w:t xml:space="preserve">aso haja alteração da modalidade de garantia durante a vigência contratual, sua formalização será realizada por meio de apostila. </w:t>
      </w:r>
    </w:p>
    <w:p>
      <w:pPr>
        <w:pStyle w:val="Normal"/>
        <w:jc w:val="both"/>
        <w:rPr>
          <w:rFonts w:ascii="Calibri" w:hAnsi="Calibri"/>
          <w:sz w:val="24"/>
          <w:szCs w:val="24"/>
        </w:rPr>
      </w:pPr>
      <w:r>
        <w:rPr>
          <w:b/>
          <w:bCs/>
          <w:sz w:val="24"/>
          <w:szCs w:val="24"/>
        </w:rPr>
        <w:t>11.8</w:t>
      </w:r>
      <w:r>
        <w:rPr>
          <w:sz w:val="24"/>
          <w:szCs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Calibri" w:hAnsi="Calibri"/>
          <w:sz w:val="24"/>
          <w:szCs w:val="24"/>
        </w:rPr>
      </w:pPr>
      <w:r>
        <w:rPr>
          <w:b/>
          <w:bCs/>
          <w:sz w:val="24"/>
          <w:szCs w:val="24"/>
        </w:rPr>
        <w:t>11.9</w:t>
      </w:r>
      <w:r>
        <w:rPr>
          <w:sz w:val="24"/>
          <w:szCs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Calibri" w:hAnsi="Calibri"/>
          <w:sz w:val="24"/>
          <w:szCs w:val="24"/>
        </w:rPr>
      </w:pPr>
      <w:r>
        <w:rPr>
          <w:b/>
          <w:bCs/>
          <w:sz w:val="24"/>
          <w:szCs w:val="24"/>
        </w:rPr>
        <w:t>11.10</w:t>
      </w:r>
      <w:r>
        <w:rPr>
          <w:sz w:val="24"/>
          <w:szCs w:val="24"/>
        </w:rPr>
        <w:t>. A garantia será liberada ou restituída pelo Contratante após a fiel execução do contrato ou após a sua extinção por culpa exclusiva da Administração.</w:t>
      </w:r>
    </w:p>
    <w:p>
      <w:pPr>
        <w:pStyle w:val="Normal"/>
        <w:jc w:val="both"/>
        <w:rPr>
          <w:rFonts w:ascii="Calibri" w:hAnsi="Calibri"/>
          <w:sz w:val="24"/>
          <w:szCs w:val="24"/>
        </w:rPr>
      </w:pPr>
      <w:r>
        <w:rPr>
          <w:b/>
          <w:bCs/>
          <w:sz w:val="24"/>
          <w:szCs w:val="24"/>
        </w:rPr>
        <w:t>11.11</w:t>
      </w:r>
      <w:r>
        <w:rPr>
          <w:sz w:val="24"/>
          <w:szCs w:val="24"/>
        </w:rPr>
        <w:t>. O garantidor não é parte para figurar em processo administrativo instaurado pelo Contratante com o objetivo de apurar prejuízos e/ou aplicar sanções à Contratado.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SEGUNDA - DAS INFRAÇÕES E SANÇÕES ADMINISTRATIVAS:</w:t>
            </w:r>
          </w:p>
        </w:tc>
      </w:tr>
    </w:tbl>
    <w:p>
      <w:pPr>
        <w:pStyle w:val="Normal"/>
        <w:jc w:val="both"/>
        <w:rPr>
          <w:rFonts w:ascii="Calibri" w:hAnsi="Calibri"/>
          <w:sz w:val="24"/>
          <w:szCs w:val="24"/>
        </w:rPr>
      </w:pPr>
      <w:r>
        <w:rPr>
          <w:b/>
          <w:bCs/>
          <w:sz w:val="24"/>
          <w:szCs w:val="24"/>
        </w:rPr>
        <w:t>12.1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12.2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12.2.1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12.2.2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12.2.3</w:t>
      </w:r>
      <w:r>
        <w:rPr>
          <w:sz w:val="24"/>
          <w:szCs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12.2.4</w:t>
      </w:r>
      <w:r>
        <w:rPr>
          <w:sz w:val="24"/>
          <w:szCs w:val="24"/>
        </w:rPr>
        <w:t>. Multa:</w:t>
      </w:r>
    </w:p>
    <w:p>
      <w:pPr>
        <w:pStyle w:val="Normal"/>
        <w:ind w:hanging="0" w:left="567"/>
        <w:jc w:val="both"/>
        <w:rPr>
          <w:rFonts w:ascii="Calibri" w:hAnsi="Calibri"/>
          <w:sz w:val="24"/>
          <w:szCs w:val="24"/>
        </w:rPr>
      </w:pPr>
      <w:r>
        <w:rPr>
          <w:b/>
          <w:bCs/>
          <w:sz w:val="24"/>
          <w:szCs w:val="24"/>
        </w:rPr>
        <w:t>12.2.4.1</w:t>
      </w:r>
      <w:r>
        <w:rPr>
          <w:sz w:val="24"/>
          <w:szCs w:val="24"/>
        </w:rPr>
        <w:t>. Moratória de 1% (um por cento) por dia até o limite de 30 (trinta) dias, sobre o valor total do(s) produto(s),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12.2.4.2</w:t>
      </w:r>
      <w:r>
        <w:rPr>
          <w:sz w:val="24"/>
          <w:szCs w:val="24"/>
        </w:rPr>
        <w:t>. Compensatória, para as infrações descritas nas alíneas “e” a “h” do item 12.1, de 15 % (quinze por cento) do valor do Contrato.</w:t>
      </w:r>
    </w:p>
    <w:p>
      <w:pPr>
        <w:pStyle w:val="Normal"/>
        <w:ind w:hanging="0" w:left="567"/>
        <w:jc w:val="both"/>
        <w:rPr>
          <w:rFonts w:ascii="Calibri" w:hAnsi="Calibri"/>
          <w:sz w:val="24"/>
          <w:szCs w:val="24"/>
        </w:rPr>
      </w:pPr>
      <w:r>
        <w:rPr>
          <w:b/>
          <w:bCs/>
          <w:sz w:val="24"/>
          <w:szCs w:val="24"/>
        </w:rPr>
        <w:t>12.2.4.3</w:t>
      </w:r>
      <w:r>
        <w:rPr>
          <w:sz w:val="24"/>
          <w:szCs w:val="24"/>
        </w:rPr>
        <w:t xml:space="preserve">. Compensatória, para as infrações previstas nas alíneas “b”, “c” e “d” do item 12.1, de 20% (vinte por cento) do valor do Contrato. </w:t>
      </w:r>
    </w:p>
    <w:p>
      <w:pPr>
        <w:pStyle w:val="Normal"/>
        <w:ind w:hanging="0" w:left="567"/>
        <w:jc w:val="both"/>
        <w:rPr>
          <w:rFonts w:ascii="Calibri" w:hAnsi="Calibri"/>
          <w:sz w:val="24"/>
          <w:szCs w:val="24"/>
        </w:rPr>
      </w:pPr>
      <w:r>
        <w:rPr>
          <w:b/>
          <w:bCs/>
          <w:sz w:val="24"/>
          <w:szCs w:val="24"/>
        </w:rPr>
        <w:t>12.2.4.4</w:t>
      </w:r>
      <w:r>
        <w:rPr>
          <w:sz w:val="24"/>
          <w:szCs w:val="24"/>
        </w:rPr>
        <w:t>. Compensatória para infração descrita na alínea “a” do item 12.1, a multa será de 10% (dez por cento)  do valor do Contrato.</w:t>
      </w:r>
    </w:p>
    <w:p>
      <w:pPr>
        <w:pStyle w:val="Normal"/>
        <w:jc w:val="both"/>
        <w:rPr>
          <w:rFonts w:ascii="Calibri" w:hAnsi="Calibri"/>
          <w:sz w:val="24"/>
          <w:szCs w:val="24"/>
        </w:rPr>
      </w:pPr>
      <w:r>
        <w:rPr>
          <w:b/>
          <w:bCs/>
          <w:sz w:val="24"/>
          <w:szCs w:val="24"/>
        </w:rPr>
        <w:t>12.3</w:t>
      </w:r>
      <w:r>
        <w:rPr>
          <w:sz w:val="24"/>
          <w:szCs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12.3.1</w:t>
      </w:r>
      <w:r>
        <w:rPr>
          <w:sz w:val="24"/>
          <w:szCs w:val="24"/>
        </w:rPr>
        <w:t>. Todas as sanções previstas neste Contrato poderão ser aplicadas cumulativamente com a multa (art. 156, § 7º, da Lei 14.133/2021).</w:t>
      </w:r>
    </w:p>
    <w:p>
      <w:pPr>
        <w:pStyle w:val="Normal"/>
        <w:ind w:hanging="0" w:left="284"/>
        <w:jc w:val="both"/>
        <w:rPr>
          <w:rFonts w:ascii="Calibri" w:hAnsi="Calibri"/>
          <w:sz w:val="24"/>
          <w:szCs w:val="24"/>
        </w:rPr>
      </w:pPr>
      <w:r>
        <w:rPr>
          <w:b/>
          <w:bCs/>
          <w:sz w:val="24"/>
          <w:szCs w:val="24"/>
        </w:rPr>
        <w:t>12.3.2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12.3.3</w:t>
      </w:r>
      <w:r>
        <w:rPr>
          <w:sz w:val="24"/>
          <w:szCs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hanging="0" w:left="284"/>
        <w:jc w:val="both"/>
        <w:rPr>
          <w:rFonts w:ascii="Calibri" w:hAnsi="Calibri"/>
          <w:sz w:val="24"/>
          <w:szCs w:val="24"/>
        </w:rPr>
      </w:pPr>
      <w:r>
        <w:rPr>
          <w:b/>
          <w:bCs/>
          <w:sz w:val="24"/>
          <w:szCs w:val="24"/>
        </w:rPr>
        <w:t>12.3.4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12.4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12.5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12.6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12.7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12.8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12.9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12.10</w:t>
      </w:r>
      <w:r>
        <w:rPr>
          <w:sz w:val="24"/>
          <w:szCs w:val="24"/>
        </w:rPr>
        <w:t>.</w:t>
      </w:r>
      <w:bookmarkStart w:id="1"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1"/>
      <w:r>
        <w:rPr>
          <w:sz w:val="24"/>
          <w:szCs w:val="24"/>
        </w:rPr>
        <w:t>.</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TERCEIRA - DA EXTINÇÃO DO CONTRATO:</w:t>
            </w:r>
          </w:p>
        </w:tc>
      </w:tr>
    </w:tbl>
    <w:p>
      <w:pPr>
        <w:pStyle w:val="Normal"/>
        <w:jc w:val="both"/>
        <w:rPr>
          <w:rFonts w:ascii="Calibri" w:hAnsi="Calibri"/>
          <w:sz w:val="24"/>
          <w:szCs w:val="24"/>
        </w:rPr>
      </w:pPr>
      <w:r>
        <w:rPr>
          <w:b/>
          <w:bCs/>
          <w:sz w:val="24"/>
          <w:szCs w:val="24"/>
        </w:rPr>
        <w:t>13.1</w:t>
      </w:r>
      <w:r>
        <w:rPr>
          <w:sz w:val="24"/>
          <w:szCs w:val="24"/>
        </w:rPr>
        <w:t>. O contrato será extinto quando cumpridas as obrigações de ambas as partes, ainda que isso ocorra antes do prazo estipulado para tanto.</w:t>
      </w:r>
    </w:p>
    <w:p>
      <w:pPr>
        <w:pStyle w:val="Normal"/>
        <w:jc w:val="both"/>
        <w:rPr>
          <w:rFonts w:ascii="Calibri" w:hAnsi="Calibri"/>
          <w:sz w:val="24"/>
          <w:szCs w:val="24"/>
        </w:rPr>
      </w:pPr>
      <w:r>
        <w:rPr>
          <w:b/>
          <w:bCs/>
          <w:sz w:val="24"/>
          <w:szCs w:val="24"/>
        </w:rPr>
        <w:t>13.2</w:t>
      </w:r>
      <w:r>
        <w:rPr>
          <w:sz w:val="24"/>
          <w:szCs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Calibri" w:hAnsi="Calibri"/>
          <w:sz w:val="24"/>
          <w:szCs w:val="24"/>
        </w:rPr>
      </w:pPr>
      <w:r>
        <w:rPr>
          <w:b/>
          <w:bCs/>
          <w:sz w:val="24"/>
          <w:szCs w:val="24"/>
        </w:rPr>
        <w:t>13.3</w:t>
      </w:r>
      <w:r>
        <w:rPr>
          <w:sz w:val="24"/>
          <w:szCs w:val="24"/>
        </w:rPr>
        <w:t>. Quando a não conclusão do contrato referida no item anterior decorrer de culpa do contratado:</w:t>
      </w:r>
    </w:p>
    <w:p>
      <w:pPr>
        <w:pStyle w:val="Normal"/>
        <w:ind w:hanging="0" w:left="284"/>
        <w:jc w:val="both"/>
        <w:rPr>
          <w:rFonts w:ascii="Calibri" w:hAnsi="Calibri"/>
          <w:sz w:val="24"/>
          <w:szCs w:val="24"/>
        </w:rPr>
      </w:pPr>
      <w:r>
        <w:rPr>
          <w:b/>
          <w:bCs/>
          <w:sz w:val="24"/>
          <w:szCs w:val="24"/>
        </w:rPr>
        <w:t>a</w:t>
      </w:r>
      <w:r>
        <w:rPr>
          <w:sz w:val="24"/>
          <w:szCs w:val="24"/>
        </w:rPr>
        <w:t>) ficará ele constituído em mora, sendo-lhe aplicáveis as respectivas sanções administrativas; e</w:t>
      </w:r>
    </w:p>
    <w:p>
      <w:pPr>
        <w:pStyle w:val="Normal"/>
        <w:ind w:hanging="0" w:left="284"/>
        <w:jc w:val="both"/>
        <w:rPr>
          <w:rFonts w:ascii="Calibri" w:hAnsi="Calibri"/>
          <w:sz w:val="24"/>
          <w:szCs w:val="24"/>
        </w:rPr>
      </w:pPr>
      <w:r>
        <w:rPr>
          <w:b/>
          <w:bCs/>
          <w:sz w:val="24"/>
          <w:szCs w:val="24"/>
        </w:rPr>
        <w:t>b</w:t>
      </w:r>
      <w:r>
        <w:rPr>
          <w:sz w:val="24"/>
          <w:szCs w:val="24"/>
        </w:rPr>
        <w:t>) poderá a Administração optar pela extinção do contrato e, nesse caso, adotará as medidas admitidas em lei para a continuidade da execução contratual.</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QUARTA - DOS CASOS OMISSOS:</w:t>
            </w:r>
          </w:p>
        </w:tc>
      </w:tr>
    </w:tbl>
    <w:p>
      <w:pPr>
        <w:pStyle w:val="Normal"/>
        <w:jc w:val="both"/>
        <w:rPr>
          <w:rFonts w:ascii="Calibri" w:hAnsi="Calibri"/>
          <w:sz w:val="24"/>
          <w:szCs w:val="24"/>
        </w:rPr>
      </w:pPr>
      <w:r>
        <w:rPr>
          <w:b/>
          <w:bCs/>
          <w:sz w:val="24"/>
          <w:szCs w:val="24"/>
        </w:rPr>
        <w:t>14.1</w:t>
      </w:r>
      <w:r>
        <w:rPr>
          <w:sz w:val="24"/>
          <w:szCs w:val="24"/>
        </w:rPr>
        <w:t>. Os casos omissos serão decididos pela Contratante, segundo as disposições contidas na Lei 14.133/2021, demais normas aplicáveis e normas e princípios gerais dos contratos.</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QUINTA - DAS ALTERAÇÕES:</w:t>
            </w:r>
          </w:p>
        </w:tc>
      </w:tr>
    </w:tbl>
    <w:p>
      <w:pPr>
        <w:pStyle w:val="Normal"/>
        <w:jc w:val="both"/>
        <w:rPr>
          <w:rFonts w:ascii="Calibri" w:hAnsi="Calibri"/>
          <w:sz w:val="24"/>
          <w:szCs w:val="24"/>
        </w:rPr>
      </w:pPr>
      <w:r>
        <w:rPr>
          <w:b/>
          <w:bCs/>
          <w:sz w:val="24"/>
          <w:szCs w:val="24"/>
        </w:rPr>
        <w:t>15.1</w:t>
      </w:r>
      <w:r>
        <w:rPr>
          <w:sz w:val="24"/>
          <w:szCs w:val="24"/>
        </w:rPr>
        <w:t>. Eventuais alterações contratuais reger-se-ão pela disciplina dos arts. 124 e seguintes da Lei 14.133/2021.</w:t>
      </w:r>
    </w:p>
    <w:p>
      <w:pPr>
        <w:pStyle w:val="Normal"/>
        <w:jc w:val="both"/>
        <w:rPr>
          <w:rFonts w:ascii="Calibri" w:hAnsi="Calibri"/>
          <w:sz w:val="24"/>
          <w:szCs w:val="24"/>
        </w:rPr>
      </w:pPr>
      <w:r>
        <w:rPr>
          <w:b/>
          <w:bCs/>
          <w:sz w:val="24"/>
          <w:szCs w:val="24"/>
        </w:rPr>
        <w:t>15.2</w:t>
      </w:r>
      <w:r>
        <w:rPr>
          <w:sz w:val="24"/>
          <w:szCs w:val="24"/>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b/>
          <w:bCs/>
          <w:sz w:val="24"/>
          <w:szCs w:val="24"/>
        </w:rPr>
        <w:t>15.3</w:t>
      </w:r>
      <w:r>
        <w:rPr>
          <w:sz w:val="24"/>
          <w:szCs w:val="24"/>
        </w:rPr>
        <w:t>. Registros que não caracterizam alteração do contrato podem ser realizados por simples apostila, dispensada a celebração de termo aditivo, na forma do art. 136 da Lei 14.133/2021.</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SEXTA - DA PUBLICAÇÃO:</w:t>
            </w:r>
          </w:p>
        </w:tc>
      </w:tr>
    </w:tbl>
    <w:p>
      <w:pPr>
        <w:pStyle w:val="Normal"/>
        <w:jc w:val="both"/>
        <w:rPr>
          <w:rFonts w:ascii="Calibri" w:hAnsi="Calibri"/>
          <w:sz w:val="24"/>
          <w:szCs w:val="24"/>
        </w:rPr>
      </w:pPr>
      <w:r>
        <w:rPr>
          <w:b/>
          <w:bCs/>
          <w:sz w:val="24"/>
          <w:szCs w:val="24"/>
        </w:rPr>
        <w:t>16.1</w:t>
      </w:r>
      <w:r>
        <w:rPr>
          <w:sz w:val="24"/>
          <w:szCs w:val="24"/>
        </w:rPr>
        <w:t>. Incumbirá ao Contratante providenciar a publicação deste instrumento nos termos e condições previstas na Lei 14.133/2021.</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SÉTIMA - DO FORO:</w:t>
            </w:r>
          </w:p>
        </w:tc>
      </w:tr>
    </w:tbl>
    <w:p>
      <w:pPr>
        <w:pStyle w:val="Normal"/>
        <w:jc w:val="both"/>
        <w:rPr>
          <w:rFonts w:ascii="Calibri" w:hAnsi="Calibri"/>
          <w:sz w:val="24"/>
          <w:szCs w:val="24"/>
        </w:rPr>
      </w:pPr>
      <w:r>
        <w:rPr>
          <w:b/>
          <w:bCs/>
          <w:sz w:val="24"/>
          <w:szCs w:val="24"/>
        </w:rPr>
        <w:t>17.1</w:t>
      </w:r>
      <w:r>
        <w:rPr>
          <w:sz w:val="24"/>
          <w:szCs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sz w:val="24"/>
          <w:szCs w:val="24"/>
        </w:rPr>
      </w:pPr>
      <w:r>
        <w:rPr>
          <w:sz w:val="24"/>
          <w:szCs w:val="24"/>
        </w:rPr>
      </w:r>
    </w:p>
    <w:p>
      <w:pPr>
        <w:pStyle w:val="Normal"/>
        <w:jc w:val="right"/>
        <w:rPr>
          <w:rFonts w:ascii="Calibri" w:hAnsi="Calibri"/>
          <w:sz w:val="24"/>
          <w:szCs w:val="24"/>
        </w:rPr>
      </w:pPr>
      <w:r>
        <w:rPr>
          <w:sz w:val="24"/>
          <w:szCs w:val="24"/>
        </w:rPr>
        <w:t>Rio Grande, xx de maio de 2024.</w:t>
      </w:r>
    </w:p>
    <w:p>
      <w:pPr>
        <w:pStyle w:val="Normal"/>
        <w:jc w:val="both"/>
        <w:rPr>
          <w:rFonts w:ascii="Calibri" w:hAnsi="Calibri"/>
          <w:sz w:val="24"/>
          <w:szCs w:val="24"/>
        </w:rPr>
      </w:pPr>
      <w:r>
        <w:rPr>
          <w:sz w:val="24"/>
          <w:szCs w:val="24"/>
        </w:rPr>
      </w:r>
    </w:p>
    <w:p>
      <w:pPr>
        <w:pStyle w:val="Normal"/>
        <w:jc w:val="center"/>
        <w:rPr>
          <w:rFonts w:ascii="Calibri" w:hAnsi="Calibri"/>
          <w:b/>
          <w:bCs/>
          <w:sz w:val="24"/>
          <w:szCs w:val="24"/>
        </w:rPr>
      </w:pPr>
      <w:r>
        <w:rPr>
          <w:b/>
          <w:bCs/>
          <w:sz w:val="24"/>
          <w:szCs w:val="24"/>
        </w:rPr>
        <w:t>Deivid Moraes Mendes</w:t>
      </w:r>
    </w:p>
    <w:p>
      <w:pPr>
        <w:pStyle w:val="Normal"/>
        <w:jc w:val="center"/>
        <w:rPr>
          <w:rFonts w:ascii="Calibri" w:hAnsi="Calibri"/>
          <w:sz w:val="24"/>
          <w:szCs w:val="24"/>
        </w:rPr>
      </w:pPr>
      <w:r>
        <w:rPr>
          <w:sz w:val="24"/>
          <w:szCs w:val="24"/>
        </w:rPr>
        <w:t>Secretário de Município de Gestão Administrativa e Licitações</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spacing w:lineRule="auto" w:line="360"/>
        <w:jc w:val="center"/>
        <w:rPr>
          <w:rFonts w:ascii="Calibri" w:hAnsi="Calibri"/>
          <w:sz w:val="24"/>
          <w:szCs w:val="24"/>
        </w:rPr>
      </w:pPr>
      <w:r>
        <w:rPr>
          <w:rFonts w:eastAsia="HG Mincho Light J" w:cs="Times New Roman"/>
          <w:b/>
          <w:bCs/>
          <w:color w:val="000000"/>
          <w:kern w:val="0"/>
          <w:sz w:val="24"/>
          <w:szCs w:val="24"/>
          <w:lang w:val="pt-PT" w:eastAsia="zh-CN" w:bidi="ar-SA"/>
        </w:rPr>
        <w:t>FISCALIZAÇÃO DO CONTRATO Nº xxx/2024</w:t>
      </w:r>
    </w:p>
    <w:p>
      <w:pPr>
        <w:pStyle w:val="Normal"/>
        <w:spacing w:lineRule="auto" w:line="360"/>
        <w:ind w:hanging="0" w:left="1416" w:right="0"/>
        <w:jc w:val="center"/>
        <w:rPr>
          <w:rFonts w:ascii="Calibri" w:hAnsi="Calibri" w:eastAsia="HG Mincho Light J" w:cs="Times New Roman"/>
          <w:b/>
          <w:bCs/>
          <w:color w:val="000000"/>
          <w:kern w:val="0"/>
          <w:sz w:val="24"/>
          <w:szCs w:val="24"/>
          <w:lang w:val="pt-PT" w:eastAsia="zh-CN" w:bidi="ar-SA"/>
        </w:rPr>
      </w:pPr>
      <w:r>
        <w:rPr>
          <w:rFonts w:eastAsia="HG Mincho Light J" w:cs="Times New Roman"/>
          <w:b/>
          <w:bCs/>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ciente:</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_________________________________________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Fiscal do Serviço</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center"/>
        <w:rPr>
          <w:rFonts w:ascii="Calibri" w:hAnsi="Calibri"/>
          <w:sz w:val="24"/>
          <w:szCs w:val="24"/>
        </w:rPr>
      </w:pPr>
      <w:r>
        <w:rPr>
          <w:rFonts w:eastAsia="HG Mincho Light J" w:cs="Times New Roman"/>
          <w:b/>
          <w:bCs/>
          <w:color w:val="000000"/>
          <w:kern w:val="0"/>
          <w:sz w:val="24"/>
          <w:szCs w:val="24"/>
          <w:lang w:val="pt-PT" w:eastAsia="zh-CN" w:bidi="ar-SA"/>
        </w:rPr>
        <w:t>Vinícius Moraes da Silva</w:t>
      </w:r>
    </w:p>
    <w:p>
      <w:pPr>
        <w:pStyle w:val="Normal"/>
        <w:jc w:val="center"/>
        <w:rPr/>
      </w:pPr>
      <w:r>
        <w:rPr>
          <w:rStyle w:val="Fontepargpadro2"/>
          <w:rFonts w:eastAsia="HG Mincho Light J" w:cs="Times New Roman"/>
          <w:b/>
          <w:bCs/>
          <w:color w:val="000000"/>
          <w:kern w:val="0"/>
          <w:sz w:val="24"/>
          <w:szCs w:val="24"/>
          <w:lang w:val="pt-PT" w:eastAsia="zh-CN" w:bidi="ar-SA"/>
        </w:rPr>
        <w:t>Secretário de Município de Zeladoria da Cidade</w:t>
      </w:r>
    </w:p>
    <w:p>
      <w:pPr>
        <w:pStyle w:val="WW-Padro"/>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sz w:val="24"/>
          <w:szCs w:val="24"/>
        </w:rPr>
      </w:pPr>
      <w:r>
        <w:rPr>
          <w:rFonts w:eastAsia="HG Mincho Light J" w:cs="Times New Roman"/>
          <w:color w:val="000000"/>
          <w:kern w:val="0"/>
          <w:sz w:val="24"/>
          <w:szCs w:val="24"/>
          <w:lang w:val="pt-PT" w:eastAsia="zh-CN" w:bidi="ar-SA"/>
        </w:rPr>
        <w:t>Rio Grande, xx de xxxxx de 2024.</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ind w:hanging="0" w:left="0" w:right="0"/>
        <w:jc w:val="center"/>
        <w:rPr>
          <w:rFonts w:ascii="Calibri" w:hAnsi="Calibri"/>
          <w:sz w:val="24"/>
          <w:szCs w:val="24"/>
        </w:rPr>
      </w:pPr>
      <w:r>
        <w:rPr>
          <w:rFonts w:eastAsia="HG Mincho Light J" w:cs="Times New Roman"/>
          <w:b/>
          <w:bCs/>
          <w:i w:val="false"/>
          <w:iCs w:val="false"/>
          <w:color w:val="000000"/>
          <w:kern w:val="0"/>
          <w:sz w:val="24"/>
          <w:szCs w:val="24"/>
          <w:lang w:val="pt-PT" w:eastAsia="zh-CN" w:bidi="ar-SA"/>
        </w:rPr>
        <w:t>ORDEM DE INÍCIO DOS SERVIÇOS</w:t>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i w:val="false"/>
          <w:iCs w:val="false"/>
          <w:color w:val="000000"/>
          <w:kern w:val="0"/>
          <w:sz w:val="24"/>
          <w:szCs w:val="24"/>
          <w:lang w:val="pt-PT" w:eastAsia="zh-CN" w:bidi="ar-SA"/>
        </w:rPr>
        <w:tab/>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WW-Padro"/>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EMPRESA:  xxxxxxx</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CONTRATO: xxxx/202x</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EDITAL:  xxxxxx nº xxxx/202x</w:t>
      </w:r>
    </w:p>
    <w:p>
      <w:pPr>
        <w:pStyle w:val="Normal"/>
        <w:ind w:hanging="0" w:left="1416" w:right="0"/>
        <w:jc w:val="both"/>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jc w:val="both"/>
        <w:rPr>
          <w:rFonts w:ascii="Calibri" w:hAnsi="Calibri"/>
          <w:sz w:val="24"/>
          <w:szCs w:val="24"/>
        </w:rPr>
      </w:pPr>
      <w:r>
        <w:rPr>
          <w:rFonts w:eastAsia="HG Mincho Light J" w:cs="Times New Roman"/>
          <w:b/>
          <w:bCs/>
          <w:i w:val="false"/>
          <w:iCs w:val="false"/>
          <w:color w:val="000000"/>
          <w:kern w:val="0"/>
          <w:sz w:val="24"/>
          <w:szCs w:val="24"/>
          <w:lang w:val="pt-PT" w:eastAsia="zh-CN" w:bidi="ar-SA"/>
        </w:rPr>
        <w:t xml:space="preserve">OBJETO: </w:t>
      </w:r>
      <w:r>
        <w:rPr>
          <w:rFonts w:eastAsia="HG Mincho Light J" w:cs="Times New Roman"/>
          <w:b/>
          <w:bCs/>
          <w:i w:val="false"/>
          <w:iCs w:val="false"/>
          <w:color w:val="000000"/>
          <w:spacing w:val="-3"/>
          <w:kern w:val="0"/>
          <w:sz w:val="24"/>
          <w:szCs w:val="24"/>
          <w:lang w:val="pt-PT" w:eastAsia="zh-CN" w:bidi="ar-SA"/>
        </w:rPr>
        <w:t>EXECUÇÃO DE OBRA DE ENGENHARIA PARA CONSTRUÇÃO DE COMPLEXO POLIESPORTIVO NA AVENIDA ATLÂNTICA – CASSINO – SMZC.</w:t>
      </w:r>
      <w:r>
        <w:rPr>
          <w:rFonts w:eastAsia="HG Mincho Light J" w:cs="Times New Roman"/>
          <w:b/>
          <w:bCs/>
          <w:i w:val="false"/>
          <w:iCs w:val="false"/>
          <w:color w:val="000000"/>
          <w:spacing w:val="-3"/>
          <w:kern w:val="0"/>
          <w:sz w:val="24"/>
          <w:szCs w:val="24"/>
          <w:lang w:val="pt-BR" w:eastAsia="zh-CN" w:bidi="ar-SA"/>
        </w:rPr>
        <w:t xml:space="preserve"> </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DATA DO INÍCIO: __ / __ / ___.</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ab/>
        <w:tab/>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WW-Padro"/>
        <w:ind w:hanging="0" w:left="0" w:right="0"/>
        <w:jc w:val="center"/>
        <w:rPr/>
      </w:pPr>
      <w:r>
        <w:rPr>
          <w:rStyle w:val="Fontepargpadro2"/>
          <w:rFonts w:eastAsia="HG Mincho Light J" w:cs="Times New Roman" w:ascii="Calibri" w:hAnsi="Calibri"/>
          <w:b/>
          <w:bCs/>
          <w:i w:val="false"/>
          <w:iCs w:val="false"/>
          <w:color w:val="000000"/>
          <w:kern w:val="0"/>
          <w:sz w:val="24"/>
          <w:szCs w:val="24"/>
          <w:lang w:val="pt-PT" w:eastAsia="zh-CN" w:bidi="ar-SA"/>
        </w:rPr>
        <w:t>xxxxxxxxxxx</w:t>
      </w:r>
    </w:p>
    <w:p>
      <w:pPr>
        <w:pStyle w:val="Normal"/>
        <w:jc w:val="center"/>
        <w:rPr>
          <w:rFonts w:ascii="Calibri" w:hAnsi="Calibri"/>
          <w:sz w:val="24"/>
          <w:szCs w:val="24"/>
        </w:rPr>
      </w:pPr>
      <w:r>
        <w:rPr>
          <w:rFonts w:eastAsia="HG Mincho Light J" w:cs="Times New Roman"/>
          <w:i w:val="false"/>
          <w:iCs w:val="false"/>
          <w:color w:val="000000"/>
          <w:kern w:val="0"/>
          <w:sz w:val="24"/>
          <w:szCs w:val="24"/>
          <w:lang w:val="pt-PT" w:eastAsia="zh-CN" w:bidi="ar-SA"/>
        </w:rPr>
        <w:t xml:space="preserve">Contratada </w:t>
      </w:r>
    </w:p>
    <w:p>
      <w:pPr>
        <w:pStyle w:val="WW-Padro"/>
        <w:ind w:hanging="0" w:left="0" w:right="0"/>
        <w:jc w:val="center"/>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WW-Padro"/>
        <w:ind w:hanging="0" w:left="1416" w:right="0"/>
        <w:jc w:val="center"/>
        <w:rPr>
          <w:rFonts w:ascii="Calibri" w:hAnsi="Calibri" w:eastAsia="HG Mincho Light J" w:cs="Times New Roman"/>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1416" w:right="0"/>
        <w:jc w:val="center"/>
        <w:rPr>
          <w:rFonts w:ascii="Calibri" w:hAnsi="Calibri" w:eastAsia="HG Mincho Light J" w:cs="Times New Roman"/>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sz w:val="24"/>
          <w:szCs w:val="24"/>
        </w:rPr>
      </w:pPr>
      <w:r>
        <w:rPr>
          <w:rFonts w:eastAsia="HG Mincho Light J" w:cs="Times New Roman" w:ascii="Calibri" w:hAnsi="Calibri"/>
          <w:b/>
          <w:i w:val="false"/>
          <w:iCs w:val="false"/>
          <w:color w:val="000000"/>
          <w:kern w:val="0"/>
          <w:sz w:val="24"/>
          <w:szCs w:val="24"/>
          <w:lang w:val="pt-PT" w:eastAsia="zh-CN" w:bidi="ar-SA"/>
        </w:rPr>
        <w:t>Vinícius Moraes da Silva</w:t>
      </w:r>
    </w:p>
    <w:p>
      <w:pPr>
        <w:pStyle w:val="WW-Padro"/>
        <w:ind w:hanging="0" w:left="0" w:right="0"/>
        <w:jc w:val="center"/>
        <w:rPr/>
      </w:pPr>
      <w:r>
        <w:rPr>
          <w:rStyle w:val="Fontepargpadro2"/>
          <w:rFonts w:eastAsia="HG Mincho Light J" w:cs="Times New Roman" w:ascii="Calibri" w:hAnsi="Calibri"/>
          <w:i w:val="false"/>
          <w:iCs w:val="false"/>
          <w:color w:val="000000"/>
          <w:kern w:val="0"/>
          <w:sz w:val="24"/>
          <w:szCs w:val="24"/>
          <w:lang w:val="pt-PT" w:eastAsia="zh-CN" w:bidi="ar-SA"/>
        </w:rPr>
        <w:t>Secretário de Município de Zeladoria da Cidade</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both"/>
        <w:rPr>
          <w:rFonts w:ascii="Calibri" w:hAnsi="Calibri"/>
          <w:b w:val="false"/>
          <w:i w:val="false"/>
          <w:i w:val="false"/>
          <w:caps w:val="false"/>
          <w:smallCaps w:val="false"/>
          <w:strike w:val="false"/>
          <w:dstrike w:val="false"/>
          <w:color w:val="000000"/>
          <w:sz w:val="24"/>
          <w:szCs w:val="24"/>
          <w:u w:val="none"/>
          <w:effect w:val="none"/>
          <w:shd w:fill="auto" w:val="clear"/>
        </w:rPr>
      </w:pPr>
      <w:r>
        <w:rPr>
          <w:b w:val="false"/>
          <w:i w:val="false"/>
          <w:caps w:val="false"/>
          <w:smallCaps w:val="false"/>
          <w:strike w:val="false"/>
          <w:dstrike w:val="false"/>
          <w:color w:val="000000"/>
          <w:sz w:val="24"/>
          <w:szCs w:val="24"/>
          <w:u w:val="none"/>
          <w:effect w:val="none"/>
          <w:shd w:fill="auto" w:val="clear"/>
        </w:rPr>
      </w:r>
    </w:p>
    <w:sectPr>
      <w:headerReference w:type="default" r:id="rId3"/>
      <w:footerReference w:type="default" r:id="rId4"/>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69" wp14:anchorId="69ADF8BA">
              <wp:simplePos x="0" y="0"/>
              <wp:positionH relativeFrom="column">
                <wp:posOffset>5828030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9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7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Footer"/>
      <w:ind w:hanging="0" w:right="360"/>
      <w:rPr>
        <w:b/>
        <w:bCs/>
        <w:color w:val="767171"/>
      </w:rPr>
    </w:pPr>
    <w:r>
      <w:drawing>
        <wp:anchor behindDoc="1" distT="0" distB="0" distL="0" distR="0" simplePos="0" locked="0" layoutInCell="1" allowOverlap="1" relativeHeight="188">
          <wp:simplePos x="0" y="0"/>
          <wp:positionH relativeFrom="column">
            <wp:posOffset>-177800</wp:posOffset>
          </wp:positionH>
          <wp:positionV relativeFrom="paragraph">
            <wp:posOffset>220980</wp:posOffset>
          </wp:positionV>
          <wp:extent cx="127000" cy="136525"/>
          <wp:effectExtent l="0" t="0" r="0" b="0"/>
          <wp:wrapNone/>
          <wp:docPr id="6"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5" descr=""/>
                  <pic:cNvPicPr>
                    <a:picLocks noChangeAspect="1" noChangeArrowheads="1"/>
                  </pic:cNvPicPr>
                </pic:nvPicPr>
                <pic:blipFill>
                  <a:blip r:embed="rId2"/>
                  <a:stretch>
                    <a:fillRect/>
                  </a:stretch>
                </pic:blipFill>
                <pic:spPr bwMode="auto">
                  <a:xfrm>
                    <a:off x="0" y="0"/>
                    <a:ext cx="127000" cy="13652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RUA GENERAL OSÓRIO, Nº 467, CENTRO</w:t>
    </w:r>
  </w:p>
  <w:p>
    <w:pPr>
      <w:pStyle w:val="Footer"/>
      <w:rPr>
        <w:b/>
        <w:bCs/>
        <w:color w:val="767171"/>
      </w:rPr>
    </w:pPr>
    <w:r>
      <w:drawing>
        <wp:anchor behindDoc="1" distT="0" distB="0" distL="0" distR="0" simplePos="0" locked="0" layoutInCell="1" allowOverlap="1" relativeHeight="120">
          <wp:simplePos x="0" y="0"/>
          <wp:positionH relativeFrom="column">
            <wp:posOffset>-187960</wp:posOffset>
          </wp:positionH>
          <wp:positionV relativeFrom="paragraph">
            <wp:posOffset>217170</wp:posOffset>
          </wp:positionV>
          <wp:extent cx="129540" cy="129540"/>
          <wp:effectExtent l="0" t="0" r="0" b="0"/>
          <wp:wrapNone/>
          <wp:docPr id="7"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descr=""/>
                  <pic:cNvPicPr>
                    <a:picLocks noChangeAspect="1" noChangeArrowheads="1"/>
                  </pic:cNvPicPr>
                </pic:nvPicPr>
                <pic:blipFill>
                  <a:blip r:embed="rId3"/>
                  <a:stretch>
                    <a:fillRect/>
                  </a:stretch>
                </pic:blipFill>
                <pic:spPr bwMode="auto">
                  <a:xfrm>
                    <a:off x="0" y="0"/>
                    <a:ext cx="129540" cy="1295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154">
          <wp:simplePos x="0" y="0"/>
          <wp:positionH relativeFrom="column">
            <wp:posOffset>-189865</wp:posOffset>
          </wp:positionH>
          <wp:positionV relativeFrom="paragraph">
            <wp:posOffset>215900</wp:posOffset>
          </wp:positionV>
          <wp:extent cx="130175" cy="130175"/>
          <wp:effectExtent l="0" t="0" r="0" b="0"/>
          <wp:wrapNone/>
          <wp:docPr id="8"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 descr=""/>
                  <pic:cNvPicPr>
                    <a:picLocks noChangeAspect="1" noChangeArrowheads="1"/>
                  </pic:cNvPicPr>
                </pic:nvPicPr>
                <pic:blipFill>
                  <a:blip r:embed="rId4"/>
                  <a:stretch>
                    <a:fillRect/>
                  </a:stretch>
                </pic:blipFill>
                <pic:spPr bwMode="auto">
                  <a:xfrm>
                    <a:off x="0" y="0"/>
                    <a:ext cx="130175" cy="13017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37">
          <wp:simplePos x="0" y="0"/>
          <wp:positionH relativeFrom="column">
            <wp:posOffset>-191770</wp:posOffset>
          </wp:positionH>
          <wp:positionV relativeFrom="paragraph">
            <wp:posOffset>224155</wp:posOffset>
          </wp:positionV>
          <wp:extent cx="133350" cy="116840"/>
          <wp:effectExtent l="0" t="0" r="0" b="0"/>
          <wp:wrapNone/>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5"/>
                  <a:stretch>
                    <a:fillRect/>
                  </a:stretch>
                </pic:blipFill>
                <pic:spPr bwMode="auto">
                  <a:xfrm>
                    <a:off x="0" y="0"/>
                    <a:ext cx="133350" cy="1168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18" wp14:anchorId="154B6775">
              <wp:simplePos x="0" y="0"/>
              <wp:positionH relativeFrom="column">
                <wp:posOffset>-6107430</wp:posOffset>
              </wp:positionH>
              <wp:positionV relativeFrom="paragraph">
                <wp:posOffset>2882265</wp:posOffset>
              </wp:positionV>
              <wp:extent cx="9029065" cy="1235710"/>
              <wp:effectExtent l="0" t="635" r="0" b="0"/>
              <wp:wrapNone/>
              <wp:docPr id="10"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0.9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02" wp14:anchorId="76B9F30E">
              <wp:simplePos x="0" y="0"/>
              <wp:positionH relativeFrom="column">
                <wp:posOffset>3575685</wp:posOffset>
              </wp:positionH>
              <wp:positionV relativeFrom="paragraph">
                <wp:posOffset>412750</wp:posOffset>
              </wp:positionV>
              <wp:extent cx="3412490" cy="1088390"/>
              <wp:effectExtent l="79375" t="377190" r="79375" b="377825"/>
              <wp:wrapNone/>
              <wp:docPr id="11"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4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35">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1" allowOverlap="1" relativeHeight="52" wp14:anchorId="3F7DB15E">
              <wp:simplePos x="0" y="0"/>
              <wp:positionH relativeFrom="column">
                <wp:posOffset>-4059555</wp:posOffset>
              </wp:positionH>
              <wp:positionV relativeFrom="paragraph">
                <wp:posOffset>-2075180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4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Gestão Administrativa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205"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Fontepargpadro2">
    <w:name w:val="Fonte parág. padrão2"/>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ratos.riogrande@gmail.com"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909</TotalTime>
  <Application>LibreOffice/7.6.0.3$Windows_X86_64 LibreOffice_project/69edd8b8ebc41d00b4de3915dc82f8f0fc3b6265</Application>
  <AppVersion>15.0000</AppVersion>
  <Pages>17</Pages>
  <Words>5439</Words>
  <Characters>31594</Characters>
  <CharactersWithSpaces>36849</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2024-04-18T17:10:56Z</dcterms:modified>
  <cp:revision>101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