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Calibri" w:hAnsi="Calibri" w:cs="Calibri Light"/>
        </w:rPr>
      </w:pPr>
      <w:r>
        <w:rPr>
          <w:rFonts w:cs="Calibri Light"/>
        </w:rPr>
      </w:r>
    </w:p>
    <w:p>
      <w:pPr>
        <w:pStyle w:val="Normal"/>
        <w:ind w:left="5103"/>
        <w:jc w:val="both"/>
        <w:rPr>
          <w:rFonts w:ascii="Calibri" w:hAnsi="Calibri"/>
        </w:rPr>
      </w:pPr>
      <w:bookmarkStart w:id="0" w:name="_Hlk126598129"/>
      <w:r>
        <w:rPr>
          <w:rFonts w:cs="Calibri Light" w:cstheme="majorHAnsi"/>
          <w:b/>
          <w:bCs/>
        </w:rPr>
        <w:t xml:space="preserve">CONTRATO ADMINISTRATIVO </w:t>
      </w:r>
      <w:r>
        <w:rPr>
          <w:rFonts w:cs="Calibri Light" w:cstheme="majorHAnsi"/>
          <w:b/>
          <w:bCs/>
          <w:highlight w:val="yellow"/>
        </w:rPr>
        <w:t>000/2024</w:t>
      </w:r>
      <w:r>
        <w:rPr>
          <w:rFonts w:cs="Calibri Light" w:cstheme="majorHAnsi"/>
          <w:b/>
          <w:bCs/>
        </w:rPr>
        <w:t>, FIRMADO ENTRE O MUNICÍPIO DO RIO GRANDE/RS, POR INTERMÉDIO DA SECRETARIA DE MUNICÍPIO DE GESTÃO ADMINISTRATIVA E LICITAÇÕES E [</w:t>
      </w:r>
      <w:r>
        <w:rPr>
          <w:rFonts w:cs="Calibri Light" w:cstheme="majorHAnsi"/>
          <w:b/>
          <w:bCs/>
          <w:highlight w:val="yellow"/>
        </w:rPr>
        <w:t>NOME DO CONTRATADO</w:t>
      </w:r>
      <w:r>
        <w:rPr>
          <w:rFonts w:cs="Calibri Light" w:cstheme="majorHAnsi"/>
          <w:b/>
          <w:bCs/>
        </w:rPr>
        <w:t xml:space="preserve">], DE ACORDO COM O AVISO DE DISPENSA ELETRÔNICA </w:t>
      </w:r>
      <w:r>
        <w:rPr>
          <w:rFonts w:cs="Calibri Light" w:cstheme="majorHAnsi"/>
          <w:b/>
          <w:bCs/>
        </w:rPr>
        <w:t>035</w:t>
      </w:r>
      <w:r>
        <w:rPr>
          <w:rFonts w:cs="Calibri Light" w:cstheme="majorHAnsi"/>
          <w:b/>
          <w:bCs/>
        </w:rPr>
        <w:t>/2024</w:t>
      </w:r>
      <w:r>
        <w:rPr>
          <w:b/>
          <w:bCs/>
        </w:rPr>
        <w:t xml:space="preserve"> PARA </w:t>
      </w:r>
      <w:bookmarkEnd w:id="0"/>
      <w:r>
        <w:rPr>
          <w:b/>
          <w:bCs/>
        </w:rPr>
        <w:t xml:space="preserve">EXECUÇÃO DOS SERVIÇOS DE COLETA MANUAL E MECANIZADA, BEM COMO DE TRANSPORTE DE RESÍDUOS SÓLIDOS URBANOS PÚBLICOS E DOMICILIARES – SMZC. </w:t>
      </w:r>
    </w:p>
    <w:p>
      <w:pPr>
        <w:pStyle w:val="Normal"/>
        <w:ind w:left="5103"/>
        <w:jc w:val="both"/>
        <w:rPr>
          <w:rFonts w:ascii="Calibri" w:hAnsi="Calibri" w:cs="Calibri Light"/>
          <w:b/>
          <w:bCs/>
        </w:rPr>
      </w:pPr>
      <w:r>
        <w:rPr>
          <w:rFonts w:cs="Calibri Light"/>
          <w:b/>
          <w:bCs/>
        </w:rPr>
      </w:r>
    </w:p>
    <w:p>
      <w:pPr>
        <w:pStyle w:val="Normal"/>
        <w:jc w:val="both"/>
        <w:rPr>
          <w:rFonts w:ascii="Calibri" w:hAnsi="Calibri" w:cs="Calibri Light"/>
        </w:rPr>
      </w:pPr>
      <w:r>
        <w:rPr>
          <w:rFonts w:cs="Calibri Light"/>
        </w:rPr>
      </w:r>
    </w:p>
    <w:p>
      <w:pPr>
        <w:pStyle w:val="Normal"/>
        <w:jc w:val="both"/>
        <w:rPr>
          <w:rFonts w:ascii="Calibri" w:hAnsi="Calibri" w:cs="Calibri Light"/>
        </w:rPr>
      </w:pPr>
      <w:r>
        <w:rPr>
          <w:rFonts w:cs="Calibri Light"/>
        </w:rPr>
      </w:r>
    </w:p>
    <w:p>
      <w:pPr>
        <w:pStyle w:val="Normal"/>
        <w:jc w:val="both"/>
        <w:rPr>
          <w:rFonts w:ascii="Calibri" w:hAnsi="Calibri"/>
        </w:rPr>
      </w:pPr>
      <w:r>
        <w:rPr>
          <w:rFonts w:cs="Calibri Light" w:cstheme="majorHAnsi"/>
          <w:b/>
          <w:bCs/>
        </w:rPr>
        <w:t>CONTRATANTE</w:t>
      </w:r>
      <w:r>
        <w:rPr>
          <w:rFonts w:cs="Calibri Light" w:cstheme="majorHAnsi"/>
        </w:rPr>
        <w:t xml:space="preserve">: </w:t>
      </w:r>
      <w:r>
        <w:rPr>
          <w:rFonts w:cs="Calibri Light" w:cstheme="majorHAnsi"/>
          <w:b/>
          <w:bCs/>
        </w:rPr>
        <w:t>MUNICÍPIO DO RIO GRANDE</w:t>
      </w:r>
      <w:r>
        <w:rPr>
          <w:rFonts w:cs="Calibri Light" w:cstheme="majorHAnsi"/>
        </w:rPr>
        <w:t>, com sede administrativa, sito Largo Eng. João Fernandes Moreira, s/n, inscrito no CNPJ nº 88.566.872/0001-62, neste ato representado, conforme declaração de competência pelo Secretário de Município de Gestão Administrativa e Licitações – SMGAL, Sr. Deivid Moraes Mendes, inscrito no CPF 989.438.470-68.</w:t>
      </w:r>
    </w:p>
    <w:p>
      <w:pPr>
        <w:pStyle w:val="Normal"/>
        <w:jc w:val="both"/>
        <w:rPr>
          <w:rFonts w:ascii="Calibri" w:hAnsi="Calibri" w:cs="Calibri Light"/>
        </w:rPr>
      </w:pPr>
      <w:r>
        <w:rPr>
          <w:rFonts w:cs="Calibri Light"/>
        </w:rPr>
      </w:r>
    </w:p>
    <w:p>
      <w:pPr>
        <w:pStyle w:val="Normal"/>
        <w:jc w:val="both"/>
        <w:rPr>
          <w:rFonts w:ascii="Calibri" w:hAnsi="Calibri"/>
        </w:rPr>
      </w:pPr>
      <w:r>
        <w:rPr>
          <w:rFonts w:cs="Calibri Light" w:cstheme="majorHAnsi"/>
          <w:b/>
          <w:bCs/>
        </w:rPr>
        <w:t>CONTRATADO(A)</w:t>
      </w:r>
      <w:r>
        <w:rPr>
          <w:rFonts w:cs="Calibri Light" w:cstheme="majorHAnsi"/>
        </w:rPr>
        <w:t>: ............................., CNPJ/CPF ................., estabelecida no Município de ................, Rua ..............., nº ............., ............., CEP: ........... neste ato representada pelo Sr(a). ............, na qualidade de ............, portador(a) do CPF ...............</w:t>
      </w:r>
    </w:p>
    <w:p>
      <w:pPr>
        <w:pStyle w:val="Normal"/>
        <w:jc w:val="both"/>
        <w:rPr>
          <w:rFonts w:ascii="Calibri" w:hAnsi="Calibri" w:cs="Calibri Light"/>
        </w:rPr>
      </w:pPr>
      <w:r>
        <w:rPr>
          <w:rFonts w:cs="Calibri Light"/>
        </w:rPr>
      </w:r>
    </w:p>
    <w:p>
      <w:pPr>
        <w:pStyle w:val="Normal"/>
        <w:jc w:val="both"/>
        <w:rPr>
          <w:rFonts w:ascii="Calibri" w:hAnsi="Calibri"/>
        </w:rPr>
      </w:pPr>
      <w:bookmarkStart w:id="1" w:name="_Hlk126598165"/>
      <w:r>
        <w:rPr>
          <w:rFonts w:cs="Calibri Light" w:cstheme="majorHAnsi"/>
        </w:rPr>
        <w:t xml:space="preserve">Tendo em vista o que consta no Processo Administrativo Digital 17732/2024 e em observância às disposições da Lei 14.133, de 1º de abril de 2021, dos Decretos Municipais 19.706, 19.707, ambos de 19/01/2023 e 19.710, de 24/01/2023; resolvem celebrar o presente, decorrente do Aviso de Dispensa Eletrônica </w:t>
      </w:r>
      <w:r>
        <w:rPr>
          <w:rFonts w:cs="Calibri Light" w:cstheme="majorHAnsi"/>
        </w:rPr>
        <w:t>035</w:t>
      </w:r>
      <w:r>
        <w:rPr>
          <w:rFonts w:cs="Calibri Light" w:cstheme="majorHAnsi"/>
        </w:rPr>
        <w:t>/2024, mediante as cláusulas e condições seguintes:</w:t>
      </w:r>
      <w:bookmarkEnd w:id="1"/>
    </w:p>
    <w:p>
      <w:pPr>
        <w:pStyle w:val="Normal"/>
        <w:jc w:val="both"/>
        <w:rPr>
          <w:rFonts w:ascii="Calibri" w:hAnsi="Calibri" w:cs="Calibri Light"/>
        </w:rPr>
      </w:pPr>
      <w:r>
        <w:rPr>
          <w:rFonts w:cs="Calibri Light"/>
        </w:rPr>
      </w:r>
    </w:p>
    <w:p>
      <w:pPr>
        <w:pStyle w:val="Normal"/>
        <w:jc w:val="both"/>
        <w:rPr>
          <w:rFonts w:ascii="Calibri" w:hAnsi="Calibri" w:cs="Calibri Light"/>
        </w:rPr>
      </w:pPr>
      <w:r>
        <w:rPr>
          <w:rFonts w:cs="Calibri Light"/>
        </w:rPr>
      </w:r>
    </w:p>
    <w:tbl>
      <w:tblPr>
        <w:tblW w:w="845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450"/>
      </w:tblGrid>
      <w:tr>
        <w:trPr/>
        <w:tc>
          <w:tcPr>
            <w:tcW w:w="8450" w:type="dxa"/>
            <w:tcBorders/>
            <w:shd w:color="auto" w:fill="D9D9D9" w:themeFill="background1" w:themeFillShade="d9" w:val="clear"/>
          </w:tcPr>
          <w:p>
            <w:pPr>
              <w:pStyle w:val="Normal"/>
              <w:jc w:val="both"/>
              <w:rPr>
                <w:rFonts w:ascii="Calibri" w:hAnsi="Calibri"/>
              </w:rPr>
            </w:pPr>
            <w:r>
              <w:rPr>
                <w:rFonts w:cs="Calibri Light" w:cstheme="majorHAnsi"/>
                <w:b/>
                <w:bCs/>
              </w:rPr>
              <w:t>CLÁUSULA PRIMEIRA - DO OBJETO</w:t>
            </w:r>
            <w:r>
              <w:rPr>
                <w:rFonts w:cs="Calibri Light" w:cstheme="majorHAnsi"/>
              </w:rPr>
              <w:t>:</w:t>
            </w:r>
          </w:p>
        </w:tc>
      </w:tr>
    </w:tbl>
    <w:p>
      <w:pPr>
        <w:pStyle w:val="Normal"/>
        <w:jc w:val="both"/>
        <w:rPr>
          <w:rFonts w:cs="Calibri Light" w:cstheme="majorHAnsi"/>
          <w:b/>
          <w:bCs/>
        </w:rPr>
      </w:pPr>
      <w:r>
        <w:rPr>
          <w:rFonts w:cs="Calibri Light" w:cstheme="majorHAnsi"/>
          <w:b/>
          <w:bCs/>
        </w:rPr>
      </w:r>
    </w:p>
    <w:p>
      <w:pPr>
        <w:pStyle w:val="Normal"/>
        <w:jc w:val="both"/>
        <w:rPr>
          <w:rFonts w:ascii="Calibri" w:hAnsi="Calibri"/>
        </w:rPr>
      </w:pPr>
      <w:r>
        <w:rPr>
          <w:rFonts w:cs="Calibri Light" w:cstheme="majorHAnsi"/>
          <w:b/>
          <w:bCs/>
        </w:rPr>
        <w:t>1.1</w:t>
      </w:r>
      <w:r>
        <w:rPr>
          <w:rFonts w:cs="Calibri Light" w:cstheme="majorHAnsi"/>
        </w:rPr>
        <w:t xml:space="preserve">. Constitui objeto deste instrumento a contratação de serviços comuns de engenharia de </w:t>
      </w:r>
      <w:r>
        <w:rPr>
          <w:rFonts w:cs="Calibri Light" w:cstheme="majorHAnsi"/>
          <w:b/>
          <w:bCs/>
        </w:rPr>
        <w:t>Coleta manual e mecanizada, bem como de transporte de resíduos sólidos urbanos públicos e domiciliares</w:t>
      </w:r>
      <w:r>
        <w:rPr>
          <w:rFonts w:cs="Calibri Light" w:cstheme="majorHAnsi"/>
        </w:rPr>
        <w:t>, nas condições estabelecidas no Termo de Referência (Anexo I), na forma abaixo descrita:</w:t>
      </w:r>
    </w:p>
    <w:p>
      <w:pPr>
        <w:pStyle w:val="Normal"/>
        <w:jc w:val="both"/>
        <w:rPr>
          <w:rFonts w:ascii="Calibri" w:hAnsi="Calibri" w:cs="Calibri Light"/>
        </w:rPr>
      </w:pPr>
      <w:r>
        <w:rPr>
          <w:rFonts w:cs="Calibri Light"/>
        </w:rPr>
      </w:r>
    </w:p>
    <w:tbl>
      <w:tblPr>
        <w:tblW w:w="8475" w:type="dxa"/>
        <w:jc w:val="left"/>
        <w:tblInd w:w="0" w:type="dxa"/>
        <w:tblLayout w:type="fixed"/>
        <w:tblCellMar>
          <w:top w:w="0" w:type="dxa"/>
          <w:left w:w="30" w:type="dxa"/>
          <w:bottom w:w="0" w:type="dxa"/>
          <w:right w:w="30" w:type="dxa"/>
        </w:tblCellMar>
        <w:tblLook w:firstRow="1" w:noVBand="1" w:lastRow="0" w:firstColumn="1" w:lastColumn="0" w:noHBand="0" w:val="04a0"/>
      </w:tblPr>
      <w:tblGrid>
        <w:gridCol w:w="539"/>
        <w:gridCol w:w="2373"/>
        <w:gridCol w:w="963"/>
        <w:gridCol w:w="1826"/>
        <w:gridCol w:w="1585"/>
        <w:gridCol w:w="1188"/>
      </w:tblGrid>
      <w:tr>
        <w:trPr>
          <w:trHeight w:val="611" w:hRule="atLeast"/>
        </w:trPr>
        <w:tc>
          <w:tcPr>
            <w:tcW w:w="539" w:type="dxa"/>
            <w:tcBorders/>
            <w:vAlign w:val="center"/>
          </w:tcPr>
          <w:p>
            <w:pPr>
              <w:pStyle w:val="Normal"/>
              <w:jc w:val="center"/>
              <w:rPr>
                <w:sz w:val="20"/>
                <w:szCs w:val="20"/>
              </w:rPr>
            </w:pPr>
            <w:r>
              <w:rPr>
                <w:sz w:val="20"/>
                <w:szCs w:val="20"/>
              </w:rPr>
              <w:t>ITEM</w:t>
            </w:r>
          </w:p>
        </w:tc>
        <w:tc>
          <w:tcPr>
            <w:tcW w:w="2373" w:type="dxa"/>
            <w:tcBorders/>
            <w:vAlign w:val="center"/>
          </w:tcPr>
          <w:p>
            <w:pPr>
              <w:pStyle w:val="Normal"/>
              <w:jc w:val="center"/>
              <w:rPr>
                <w:sz w:val="20"/>
                <w:szCs w:val="20"/>
              </w:rPr>
            </w:pPr>
            <w:r>
              <w:rPr>
                <w:sz w:val="20"/>
                <w:szCs w:val="20"/>
              </w:rPr>
              <w:t>DESCRIÇÃO</w:t>
            </w:r>
          </w:p>
        </w:tc>
        <w:tc>
          <w:tcPr>
            <w:tcW w:w="963" w:type="dxa"/>
            <w:tcBorders/>
            <w:vAlign w:val="center"/>
          </w:tcPr>
          <w:p>
            <w:pPr>
              <w:pStyle w:val="Normal"/>
              <w:jc w:val="center"/>
              <w:rPr>
                <w:sz w:val="20"/>
                <w:szCs w:val="20"/>
              </w:rPr>
            </w:pPr>
            <w:r>
              <w:rPr>
                <w:sz w:val="20"/>
                <w:szCs w:val="20"/>
              </w:rPr>
              <w:t>Unidade de Medida</w:t>
            </w:r>
          </w:p>
        </w:tc>
        <w:tc>
          <w:tcPr>
            <w:tcW w:w="1826" w:type="dxa"/>
            <w:tcBorders/>
            <w:vAlign w:val="center"/>
          </w:tcPr>
          <w:p>
            <w:pPr>
              <w:pStyle w:val="Normal"/>
              <w:jc w:val="center"/>
              <w:rPr>
                <w:sz w:val="20"/>
                <w:szCs w:val="20"/>
              </w:rPr>
            </w:pPr>
            <w:r>
              <w:rPr>
                <w:sz w:val="20"/>
                <w:szCs w:val="20"/>
              </w:rPr>
              <w:t>QUANTIDADE</w:t>
            </w:r>
          </w:p>
        </w:tc>
        <w:tc>
          <w:tcPr>
            <w:tcW w:w="1585" w:type="dxa"/>
            <w:tcBorders/>
            <w:vAlign w:val="center"/>
          </w:tcPr>
          <w:p>
            <w:pPr>
              <w:pStyle w:val="Normal"/>
              <w:jc w:val="center"/>
              <w:rPr>
                <w:sz w:val="20"/>
                <w:szCs w:val="20"/>
              </w:rPr>
            </w:pPr>
            <w:r>
              <w:rPr>
                <w:sz w:val="20"/>
                <w:szCs w:val="20"/>
              </w:rPr>
              <w:t>Valor Unitário</w:t>
            </w:r>
          </w:p>
        </w:tc>
        <w:tc>
          <w:tcPr>
            <w:tcW w:w="1188" w:type="dxa"/>
            <w:tcBorders/>
            <w:vAlign w:val="center"/>
          </w:tcPr>
          <w:p>
            <w:pPr>
              <w:pStyle w:val="Normal"/>
              <w:jc w:val="center"/>
              <w:rPr>
                <w:sz w:val="20"/>
                <w:szCs w:val="20"/>
              </w:rPr>
            </w:pPr>
            <w:r>
              <w:rPr>
                <w:sz w:val="20"/>
                <w:szCs w:val="20"/>
              </w:rPr>
              <w:t>Valor Total</w:t>
            </w:r>
          </w:p>
        </w:tc>
      </w:tr>
      <w:tr>
        <w:trPr>
          <w:trHeight w:val="276" w:hRule="atLeast"/>
        </w:trPr>
        <w:tc>
          <w:tcPr>
            <w:tcW w:w="539" w:type="dxa"/>
            <w:tcBorders/>
            <w:vAlign w:val="center"/>
          </w:tcPr>
          <w:p>
            <w:pPr>
              <w:pStyle w:val="Normal"/>
              <w:jc w:val="center"/>
              <w:rPr>
                <w:sz w:val="20"/>
                <w:szCs w:val="20"/>
              </w:rPr>
            </w:pPr>
            <w:r>
              <w:rPr>
                <w:sz w:val="20"/>
                <w:szCs w:val="20"/>
              </w:rPr>
              <w:t>1</w:t>
            </w:r>
          </w:p>
        </w:tc>
        <w:tc>
          <w:tcPr>
            <w:tcW w:w="2373" w:type="dxa"/>
            <w:tcBorders/>
            <w:vAlign w:val="center"/>
          </w:tcPr>
          <w:p>
            <w:pPr>
              <w:pStyle w:val="Normal"/>
              <w:jc w:val="both"/>
              <w:rPr/>
            </w:pPr>
            <w:r>
              <w:rPr>
                <w:sz w:val="20"/>
                <w:szCs w:val="20"/>
              </w:rPr>
              <w:t>Coleta manual e mecanizada, bem como de transporte de resíduos sólidos urbanos públicos e domiciliares.</w:t>
            </w:r>
          </w:p>
        </w:tc>
        <w:tc>
          <w:tcPr>
            <w:tcW w:w="963" w:type="dxa"/>
            <w:tcBorders/>
            <w:vAlign w:val="center"/>
          </w:tcPr>
          <w:p>
            <w:pPr>
              <w:pStyle w:val="Normal"/>
              <w:jc w:val="center"/>
              <w:rPr>
                <w:sz w:val="20"/>
                <w:szCs w:val="20"/>
              </w:rPr>
            </w:pPr>
            <w:r>
              <w:rPr>
                <w:sz w:val="20"/>
                <w:szCs w:val="20"/>
              </w:rPr>
              <w:t>Tonelada</w:t>
            </w:r>
          </w:p>
        </w:tc>
        <w:tc>
          <w:tcPr>
            <w:tcW w:w="1826" w:type="dxa"/>
            <w:tcBorders/>
            <w:vAlign w:val="center"/>
          </w:tcPr>
          <w:p>
            <w:pPr>
              <w:pStyle w:val="Normal"/>
              <w:jc w:val="center"/>
              <w:rPr>
                <w:sz w:val="20"/>
                <w:szCs w:val="20"/>
              </w:rPr>
            </w:pPr>
            <w:r>
              <w:rPr>
                <w:sz w:val="20"/>
                <w:szCs w:val="20"/>
              </w:rPr>
              <w:t>12750</w:t>
            </w:r>
          </w:p>
        </w:tc>
        <w:tc>
          <w:tcPr>
            <w:tcW w:w="1585" w:type="dxa"/>
            <w:tcBorders/>
            <w:vAlign w:val="center"/>
          </w:tcPr>
          <w:p>
            <w:pPr>
              <w:pStyle w:val="Normal"/>
              <w:jc w:val="center"/>
              <w:rPr>
                <w:sz w:val="20"/>
                <w:szCs w:val="20"/>
              </w:rPr>
            </w:pPr>
            <w:r>
              <w:rPr>
                <w:sz w:val="20"/>
                <w:szCs w:val="20"/>
              </w:rPr>
            </w:r>
          </w:p>
        </w:tc>
        <w:tc>
          <w:tcPr>
            <w:tcW w:w="1188" w:type="dxa"/>
            <w:tcBorders/>
            <w:vAlign w:val="center"/>
          </w:tcPr>
          <w:p>
            <w:pPr>
              <w:pStyle w:val="Normal"/>
              <w:jc w:val="center"/>
              <w:rPr>
                <w:sz w:val="20"/>
                <w:szCs w:val="20"/>
              </w:rPr>
            </w:pPr>
            <w:r>
              <w:rPr>
                <w:sz w:val="20"/>
                <w:szCs w:val="20"/>
              </w:rPr>
            </w:r>
          </w:p>
        </w:tc>
      </w:tr>
    </w:tbl>
    <w:p>
      <w:pPr>
        <w:pStyle w:val="Normal"/>
        <w:jc w:val="both"/>
        <w:rPr>
          <w:rFonts w:ascii="Calibri" w:hAnsi="Calibri"/>
        </w:rPr>
      </w:pPr>
      <w:r>
        <w:rPr>
          <w:rFonts w:cs="Calibri Light" w:cstheme="majorHAnsi"/>
          <w:b/>
          <w:bCs/>
        </w:rPr>
        <w:t>1.2</w:t>
      </w:r>
      <w:r>
        <w:rPr>
          <w:rFonts w:cs="Calibri Light" w:cstheme="majorHAnsi"/>
        </w:rPr>
        <w:t>. São anexos a este instrumento e vinculam esta contratação, independentemente de transcrição:</w:t>
      </w:r>
    </w:p>
    <w:p>
      <w:pPr>
        <w:pStyle w:val="Normal"/>
        <w:ind w:left="284"/>
        <w:jc w:val="both"/>
        <w:rPr>
          <w:rFonts w:ascii="Calibri" w:hAnsi="Calibri"/>
        </w:rPr>
      </w:pPr>
      <w:r>
        <w:rPr>
          <w:rFonts w:cs="Calibri Light" w:cstheme="majorHAnsi"/>
          <w:b/>
          <w:bCs/>
        </w:rPr>
        <w:t>1.2.1</w:t>
      </w:r>
      <w:r>
        <w:rPr>
          <w:rFonts w:cs="Calibri Light" w:cstheme="majorHAnsi"/>
        </w:rPr>
        <w:t>. O Termo de Referência que embasou a contratação.</w:t>
      </w:r>
    </w:p>
    <w:p>
      <w:pPr>
        <w:pStyle w:val="Normal"/>
        <w:ind w:left="284"/>
        <w:jc w:val="both"/>
        <w:rPr>
          <w:rFonts w:ascii="Calibri" w:hAnsi="Calibri"/>
        </w:rPr>
      </w:pPr>
      <w:r>
        <w:rPr>
          <w:rFonts w:cs="Calibri Light" w:cstheme="majorHAnsi"/>
          <w:b/>
          <w:bCs/>
        </w:rPr>
        <w:t>1.2.2</w:t>
      </w:r>
      <w:r>
        <w:rPr>
          <w:rFonts w:cs="Calibri Light" w:cstheme="majorHAnsi"/>
        </w:rPr>
        <w:t>. O Aviso de Dispensa Eletrônica.</w:t>
      </w:r>
    </w:p>
    <w:p>
      <w:pPr>
        <w:pStyle w:val="Normal"/>
        <w:ind w:left="284"/>
        <w:jc w:val="both"/>
        <w:rPr>
          <w:rFonts w:ascii="Calibri" w:hAnsi="Calibri"/>
        </w:rPr>
      </w:pPr>
      <w:r>
        <w:rPr>
          <w:rFonts w:cs="Calibri Light" w:cstheme="majorHAnsi"/>
          <w:b/>
          <w:bCs/>
        </w:rPr>
        <w:t>1.2.3</w:t>
      </w:r>
      <w:r>
        <w:rPr>
          <w:rFonts w:cs="Calibri Light" w:cstheme="majorHAnsi"/>
        </w:rPr>
        <w:t>. A Proposta do Contratado.</w:t>
      </w:r>
    </w:p>
    <w:p>
      <w:pPr>
        <w:pStyle w:val="Normal"/>
        <w:ind w:left="284"/>
        <w:jc w:val="both"/>
        <w:rPr>
          <w:rFonts w:ascii="Calibri" w:hAnsi="Calibri"/>
        </w:rPr>
      </w:pPr>
      <w:r>
        <w:rPr>
          <w:rFonts w:cs="Calibri Light" w:cstheme="majorHAnsi"/>
          <w:b/>
          <w:bCs/>
        </w:rPr>
        <w:t>1.2.4</w:t>
      </w:r>
      <w:r>
        <w:rPr>
          <w:rFonts w:cs="Calibri Light" w:cstheme="majorHAnsi"/>
        </w:rPr>
        <w:t>. Eventuais anexos dos documentos supracitados.</w:t>
      </w:r>
    </w:p>
    <w:p>
      <w:pPr>
        <w:pStyle w:val="Normal"/>
        <w:jc w:val="both"/>
        <w:rPr>
          <w:rFonts w:ascii="Calibri" w:hAnsi="Calibri"/>
        </w:rPr>
      </w:pPr>
      <w:r>
        <w:rPr>
          <w:rFonts w:cs="Calibri Light" w:cstheme="majorHAnsi"/>
          <w:b/>
          <w:bCs/>
        </w:rPr>
        <w:t>1.3</w:t>
      </w:r>
      <w:r>
        <w:rPr>
          <w:rFonts w:cs="Calibri Light" w:cstheme="majorHAnsi"/>
        </w:rPr>
        <w:t>. O regime de execução contratual será o de empreitada por preço global.</w:t>
      </w:r>
    </w:p>
    <w:p>
      <w:pPr>
        <w:pStyle w:val="Normal"/>
        <w:jc w:val="both"/>
        <w:rPr>
          <w:rFonts w:ascii="Calibri" w:hAnsi="Calibri" w:cs="Calibri Light"/>
        </w:rPr>
      </w:pPr>
      <w:r>
        <w:rPr>
          <w:rFonts w:cs="Calibri Light"/>
        </w:rPr>
      </w:r>
    </w:p>
    <w:tbl>
      <w:tblPr>
        <w:tblW w:w="845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450"/>
      </w:tblGrid>
      <w:tr>
        <w:trPr/>
        <w:tc>
          <w:tcPr>
            <w:tcW w:w="8450" w:type="dxa"/>
            <w:tcBorders/>
            <w:shd w:color="auto" w:fill="D9D9D9" w:themeFill="background1" w:themeFillShade="d9" w:val="clear"/>
          </w:tcPr>
          <w:p>
            <w:pPr>
              <w:pStyle w:val="Normal"/>
              <w:jc w:val="both"/>
              <w:rPr>
                <w:rFonts w:ascii="Calibri" w:hAnsi="Calibri"/>
              </w:rPr>
            </w:pPr>
            <w:r>
              <w:rPr>
                <w:rFonts w:cs="Calibri Light" w:cstheme="majorHAnsi"/>
                <w:b/>
                <w:bCs/>
              </w:rPr>
              <w:t>CLÁUSULA SEGUNDA - DA VIGÊNCIA E PRORROGAÇÃO</w:t>
            </w:r>
            <w:r>
              <w:rPr>
                <w:rFonts w:cs="Calibri Light" w:cstheme="majorHAnsi"/>
              </w:rPr>
              <w:t>:</w:t>
            </w:r>
          </w:p>
        </w:tc>
      </w:tr>
    </w:tbl>
    <w:p>
      <w:pPr>
        <w:pStyle w:val="Normal"/>
        <w:jc w:val="both"/>
        <w:rPr>
          <w:rFonts w:cs="Calibri Light" w:cstheme="majorHAnsi"/>
        </w:rPr>
      </w:pPr>
      <w:r>
        <w:rPr>
          <w:rFonts w:cs="Calibri Light" w:cstheme="majorHAnsi"/>
        </w:rPr>
      </w:r>
    </w:p>
    <w:p>
      <w:pPr>
        <w:pStyle w:val="Normal"/>
        <w:jc w:val="both"/>
        <w:rPr>
          <w:rFonts w:cs="Calibri Light" w:cstheme="majorHAnsi"/>
        </w:rPr>
      </w:pPr>
      <w:r>
        <w:rPr>
          <w:rFonts w:cs="Calibri Light" w:cstheme="majorHAnsi"/>
          <w:b/>
          <w:bCs/>
        </w:rPr>
        <w:t>2.1</w:t>
      </w:r>
      <w:r>
        <w:rPr>
          <w:rFonts w:cs="Calibri Light" w:cstheme="majorHAnsi"/>
        </w:rPr>
        <w:t xml:space="preserve">. O Contrato terá vigência de </w:t>
      </w:r>
      <w:r>
        <w:rPr>
          <w:rFonts w:cs="Calibri Light" w:cstheme="majorHAnsi"/>
          <w:shd w:fill="auto" w:val="clear"/>
        </w:rPr>
        <w:t xml:space="preserve">03(três) </w:t>
      </w:r>
      <w:r>
        <w:rPr>
          <w:rFonts w:cs="Calibri Light" w:cstheme="majorHAnsi"/>
        </w:rPr>
        <w:t xml:space="preserve">meses, contados de </w:t>
      </w:r>
      <w:r>
        <w:rPr>
          <w:rFonts w:cs="Calibri Light" w:cstheme="majorHAnsi"/>
          <w:highlight w:val="yellow"/>
        </w:rPr>
        <w:t>00/00/00</w:t>
      </w:r>
      <w:r>
        <w:rPr>
          <w:rFonts w:cs="Calibri Light" w:cstheme="majorHAnsi"/>
        </w:rPr>
        <w:t xml:space="preserve"> a </w:t>
      </w:r>
      <w:r>
        <w:rPr>
          <w:rFonts w:cs="Calibri Light" w:cstheme="majorHAnsi"/>
          <w:highlight w:val="yellow"/>
        </w:rPr>
        <w:t>00/00/00</w:t>
      </w:r>
      <w:r>
        <w:rPr>
          <w:rFonts w:cs="Calibri Light" w:cstheme="majorHAnsi"/>
        </w:rPr>
        <w:t>, na forma do art. 75, VIII da Lei n° 14.133/2021.</w:t>
      </w:r>
    </w:p>
    <w:p>
      <w:pPr>
        <w:pStyle w:val="Normal"/>
        <w:jc w:val="both"/>
        <w:rPr>
          <w:rFonts w:cs="Calibri Light" w:cstheme="majorHAnsi"/>
        </w:rPr>
      </w:pPr>
      <w:r>
        <w:rPr>
          <w:rFonts w:cs="Calibri Light" w:cstheme="majorHAnsi"/>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Calibri Light" w:cstheme="majorHAnsi"/>
                <w:b/>
                <w:bCs/>
              </w:rPr>
              <w:t>CLÁUSULA TERCEIRA - DO PREÇO</w:t>
            </w:r>
            <w:r>
              <w:rPr>
                <w:rFonts w:cs="Calibri Light" w:cstheme="majorHAnsi"/>
              </w:rPr>
              <w:t>:</w:t>
            </w:r>
          </w:p>
        </w:tc>
      </w:tr>
    </w:tbl>
    <w:p>
      <w:pPr>
        <w:pStyle w:val="Normal"/>
        <w:jc w:val="both"/>
        <w:rPr>
          <w:rFonts w:cs="Calibri Light" w:cstheme="majorHAnsi"/>
          <w:b/>
          <w:bCs/>
        </w:rPr>
      </w:pPr>
      <w:r>
        <w:rPr>
          <w:rFonts w:cs="Calibri Light" w:cstheme="majorHAnsi"/>
          <w:b/>
          <w:bCs/>
        </w:rPr>
      </w:r>
    </w:p>
    <w:p>
      <w:pPr>
        <w:pStyle w:val="Normal"/>
        <w:jc w:val="both"/>
        <w:rPr>
          <w:rFonts w:ascii="Calibri" w:hAnsi="Calibri"/>
        </w:rPr>
      </w:pPr>
      <w:r>
        <w:rPr>
          <w:rFonts w:cs="Calibri Light" w:cstheme="majorHAnsi"/>
          <w:b/>
          <w:bCs/>
        </w:rPr>
        <w:t>3.1</w:t>
      </w:r>
      <w:r>
        <w:rPr>
          <w:rFonts w:cs="Calibri Light" w:cstheme="majorHAnsi"/>
        </w:rPr>
        <w:t xml:space="preserve">. O valor unitário da contratação é de R$ </w:t>
      </w:r>
      <w:r>
        <w:rPr>
          <w:rFonts w:cs="Calibri Light" w:cstheme="majorHAnsi"/>
          <w:highlight w:val="yellow"/>
        </w:rPr>
        <w:t>0000,00</w:t>
      </w:r>
      <w:r>
        <w:rPr>
          <w:rFonts w:cs="Calibri Light" w:cstheme="majorHAnsi"/>
        </w:rPr>
        <w:t xml:space="preserve"> (</w:t>
      </w:r>
      <w:r>
        <w:rPr>
          <w:rFonts w:cs="Calibri Light" w:cstheme="majorHAnsi"/>
          <w:highlight w:val="yellow"/>
        </w:rPr>
        <w:t>valor por extenso</w:t>
      </w:r>
      <w:r>
        <w:rPr>
          <w:rFonts w:cs="Calibri Light" w:cstheme="majorHAnsi"/>
        </w:rPr>
        <w:t xml:space="preserve">), perfazendo o valor total de R$ </w:t>
      </w:r>
      <w:r>
        <w:rPr>
          <w:rFonts w:cs="Calibri Light" w:cstheme="majorHAnsi"/>
          <w:highlight w:val="yellow"/>
        </w:rPr>
        <w:t>0000,00</w:t>
      </w:r>
      <w:r>
        <w:rPr>
          <w:rFonts w:cs="Calibri Light" w:cstheme="majorHAnsi"/>
        </w:rPr>
        <w:t xml:space="preserve"> (</w:t>
      </w:r>
      <w:r>
        <w:rPr>
          <w:rFonts w:cs="Calibri Light" w:cstheme="majorHAnsi"/>
          <w:highlight w:val="yellow"/>
        </w:rPr>
        <w:t>valor por extenso</w:t>
      </w:r>
      <w:r>
        <w:rPr>
          <w:rFonts w:cs="Calibri Light" w:cstheme="majorHAnsi"/>
        </w:rPr>
        <w:t>), para o período inicial contratado.</w:t>
      </w:r>
    </w:p>
    <w:p>
      <w:pPr>
        <w:pStyle w:val="Normal"/>
        <w:jc w:val="both"/>
        <w:rPr>
          <w:rFonts w:ascii="Calibri" w:hAnsi="Calibri"/>
        </w:rPr>
      </w:pPr>
      <w:r>
        <w:rPr>
          <w:rFonts w:cs="Calibri Light" w:cstheme="majorHAnsi"/>
          <w:b/>
          <w:bCs/>
        </w:rPr>
        <w:t>3.2</w:t>
      </w:r>
      <w:r>
        <w:rPr>
          <w:rFonts w:cs="Calibri Light" w:cstheme="majorHAnsi"/>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rPr>
      </w:pPr>
      <w:r>
        <w:rPr>
          <w:rFonts w:cs="Calibri Light" w:cstheme="majorHAnsi"/>
          <w:b/>
          <w:bCs/>
        </w:rPr>
        <w:t>3.3</w:t>
      </w:r>
      <w:r>
        <w:rPr>
          <w:rFonts w:cs="Calibri Light" w:cstheme="majorHAnsi"/>
        </w:rPr>
        <w:t>. O valor acima é meramente estimativo, de forma que os pagamentos devidos ao Contratado dependerão dos quantitativos de serviços efetivamente prestados.</w:t>
      </w:r>
    </w:p>
    <w:p>
      <w:pPr>
        <w:pStyle w:val="Normal"/>
        <w:jc w:val="both"/>
        <w:rPr>
          <w:rFonts w:ascii="Calibri" w:hAnsi="Calibri" w:cs="Calibri Light"/>
        </w:rPr>
      </w:pPr>
      <w:r>
        <w:rPr>
          <w:rFonts w:cs="Calibri Light"/>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Calibri Light" w:cstheme="majorHAnsi"/>
                <w:b/>
                <w:bCs/>
              </w:rPr>
              <w:t>CLÁUSULA QUARTA - DA FORMA DE PAGAMENTO</w:t>
            </w:r>
            <w:r>
              <w:rPr>
                <w:rFonts w:cs="Calibri Light" w:cstheme="majorHAnsi"/>
              </w:rPr>
              <w:t>:</w:t>
            </w:r>
          </w:p>
        </w:tc>
      </w:tr>
    </w:tbl>
    <w:p>
      <w:pPr>
        <w:pStyle w:val="Normal"/>
        <w:jc w:val="both"/>
        <w:rPr>
          <w:b/>
          <w:bCs/>
        </w:rPr>
      </w:pPr>
      <w:r>
        <w:rPr>
          <w:b/>
          <w:bCs/>
        </w:rPr>
      </w:r>
    </w:p>
    <w:p>
      <w:pPr>
        <w:pStyle w:val="Normal"/>
        <w:jc w:val="both"/>
        <w:rPr>
          <w:rFonts w:ascii="Calibri" w:hAnsi="Calibri"/>
        </w:rPr>
      </w:pPr>
      <w:r>
        <w:rPr>
          <w:b/>
          <w:bCs/>
        </w:rPr>
        <w:t>4.1</w:t>
      </w:r>
      <w:r>
        <w:rPr/>
        <w:t>. A liquidação e o pagamento se dará na forma do art 1°, IX da Ordem de Serviço n° 006, de 25 de outubro de 2023 do Gabinete do Prefeito.</w:t>
      </w:r>
    </w:p>
    <w:p>
      <w:pPr>
        <w:pStyle w:val="Normal"/>
        <w:jc w:val="both"/>
        <w:rPr>
          <w:rFonts w:ascii="Calibri" w:hAnsi="Calibri" w:cs="Calibri Light"/>
        </w:rPr>
      </w:pPr>
      <w:r>
        <w:rPr>
          <w:rFonts w:cs="Calibri Light"/>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Calibri Light" w:cstheme="majorHAnsi"/>
                <w:b/>
                <w:bCs/>
              </w:rPr>
              <w:t>CLÁUSULA QUINTA - DO REAJUSTE</w:t>
            </w:r>
            <w:r>
              <w:rPr>
                <w:rFonts w:cs="Calibri Light" w:cstheme="majorHAnsi"/>
              </w:rPr>
              <w:t>:</w:t>
            </w:r>
          </w:p>
        </w:tc>
      </w:tr>
    </w:tbl>
    <w:p>
      <w:pPr>
        <w:pStyle w:val="Normal"/>
        <w:jc w:val="both"/>
        <w:rPr>
          <w:rFonts w:cs="Calibri Light" w:cstheme="majorHAnsi"/>
        </w:rPr>
      </w:pPr>
      <w:r>
        <w:rPr>
          <w:rFonts w:cs="Calibri Light" w:cstheme="majorHAnsi"/>
        </w:rPr>
      </w:r>
    </w:p>
    <w:p>
      <w:pPr>
        <w:pStyle w:val="Normal"/>
        <w:jc w:val="both"/>
        <w:rPr>
          <w:rFonts w:ascii="Calibri" w:hAnsi="Calibri"/>
        </w:rPr>
      </w:pPr>
      <w:r>
        <w:rPr>
          <w:b/>
          <w:bCs/>
        </w:rPr>
        <w:t>5.1</w:t>
      </w:r>
      <w:r>
        <w:rPr/>
        <w:t>. Os preços inicialmente contratados são fixos e irreajustáveis no prazo de um ano contado da ata do orçamento estimado.</w:t>
      </w:r>
    </w:p>
    <w:p>
      <w:pPr>
        <w:pStyle w:val="Normal"/>
        <w:ind w:left="284"/>
        <w:jc w:val="both"/>
        <w:rPr>
          <w:rFonts w:ascii="Calibri" w:hAnsi="Calibri"/>
        </w:rPr>
      </w:pPr>
      <w:r>
        <w:rPr>
          <w:b/>
          <w:bCs/>
        </w:rPr>
        <w:t>5.1.1</w:t>
      </w:r>
      <w:r>
        <w:rPr/>
        <w:t>. O orçamento estimado pela Administração baseou-se nas planilhas elaboradas através de composição de preços no mês de abril/2024 .</w:t>
      </w:r>
    </w:p>
    <w:p>
      <w:pPr>
        <w:pStyle w:val="Normal"/>
        <w:jc w:val="both"/>
        <w:rPr>
          <w:rFonts w:ascii="Calibri" w:hAnsi="Calibri"/>
        </w:rPr>
      </w:pPr>
      <w:r>
        <w:rPr>
          <w:b/>
          <w:bCs/>
        </w:rPr>
        <w:t>5.2</w:t>
      </w:r>
      <w:r>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rPr>
      </w:pPr>
      <w:r>
        <w:rPr>
          <w:b/>
          <w:bCs/>
        </w:rPr>
        <w:t>5.3</w:t>
      </w:r>
      <w:r>
        <w:rPr/>
        <w:t>. Nos reajustes subsequentes ao primeiro, o interregno mínimo de um ano será contado a partir dos efeitos financeiros do último reajuste.</w:t>
      </w:r>
    </w:p>
    <w:p>
      <w:pPr>
        <w:pStyle w:val="Normal"/>
        <w:jc w:val="both"/>
        <w:rPr>
          <w:rFonts w:ascii="Calibri" w:hAnsi="Calibri"/>
        </w:rPr>
      </w:pPr>
      <w:r>
        <w:rPr>
          <w:b/>
          <w:bCs/>
        </w:rPr>
        <w:t>5.4</w:t>
      </w:r>
      <w:r>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left="284"/>
        <w:jc w:val="both"/>
        <w:rPr>
          <w:rFonts w:ascii="Calibri" w:hAnsi="Calibri"/>
        </w:rPr>
      </w:pPr>
      <w:r>
        <w:rPr>
          <w:b/>
          <w:bCs/>
        </w:rPr>
        <w:t>5.4.1</w:t>
      </w:r>
      <w:r>
        <w:rPr/>
        <w:t>. Fica o Contratado obrigado a apresentar memória de cálculo referente ao reajustamento de preços do valor remanescente, sempre que este ocorrer.</w:t>
      </w:r>
    </w:p>
    <w:p>
      <w:pPr>
        <w:pStyle w:val="Normal"/>
        <w:jc w:val="both"/>
        <w:rPr>
          <w:rFonts w:ascii="Calibri" w:hAnsi="Calibri"/>
        </w:rPr>
      </w:pPr>
      <w:r>
        <w:rPr>
          <w:b/>
          <w:bCs/>
        </w:rPr>
        <w:t>5.5</w:t>
      </w:r>
      <w:r>
        <w:rPr/>
        <w:t>. Nas aferições finais, o índice utilizado para reajuste será, obrigatoriamente, o definitivo.</w:t>
      </w:r>
    </w:p>
    <w:p>
      <w:pPr>
        <w:pStyle w:val="Normal"/>
        <w:jc w:val="both"/>
        <w:rPr>
          <w:rFonts w:ascii="Calibri" w:hAnsi="Calibri"/>
        </w:rPr>
      </w:pPr>
      <w:r>
        <w:rPr>
          <w:b/>
          <w:bCs/>
        </w:rPr>
        <w:t>5.6</w:t>
      </w:r>
      <w:r>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rPr>
      </w:pPr>
      <w:r>
        <w:rPr>
          <w:b/>
          <w:bCs/>
        </w:rPr>
        <w:t>5.7</w:t>
      </w:r>
      <w:r>
        <w:rPr/>
        <w:t>. Na ausência de previsão legal quanto ao índice substituto, as partes elegerão novo índice oficial, para reajustamento do preço do valor remanescente, por meio de termo aditivo.</w:t>
      </w:r>
    </w:p>
    <w:p>
      <w:pPr>
        <w:pStyle w:val="Normal"/>
        <w:jc w:val="both"/>
        <w:rPr>
          <w:rFonts w:ascii="Calibri" w:hAnsi="Calibri"/>
        </w:rPr>
      </w:pPr>
      <w:r>
        <w:rPr>
          <w:rFonts w:cs="Calibri Light" w:cstheme="majorHAnsi"/>
          <w:b/>
          <w:bCs/>
        </w:rPr>
        <w:t>5.8</w:t>
      </w:r>
      <w:r>
        <w:rPr>
          <w:rFonts w:cs="Calibri Light" w:cstheme="majorHAnsi"/>
        </w:rPr>
        <w:t xml:space="preserve">. </w:t>
      </w:r>
      <w:r>
        <w:rPr/>
        <w:t>O reajuste será concedido mediante simples apostila, conforme dispõe o art. 136 da Lei 14.133/2021</w:t>
      </w:r>
      <w:r>
        <w:rPr>
          <w:rFonts w:cs="Calibri Light" w:cstheme="majorHAnsi"/>
        </w:rPr>
        <w:t>.</w:t>
      </w:r>
    </w:p>
    <w:p>
      <w:pPr>
        <w:pStyle w:val="Normal"/>
        <w:jc w:val="both"/>
        <w:rPr>
          <w:rFonts w:ascii="Calibri" w:hAnsi="Calibri" w:cs="Calibri Light"/>
        </w:rPr>
      </w:pPr>
      <w:r>
        <w:rPr>
          <w:rFonts w:cs="Calibri Light"/>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Calibri Light" w:cstheme="majorHAnsi"/>
                <w:b/>
                <w:bCs/>
              </w:rPr>
              <w:t>CLÁUSULA SEXTA - DA FONTE DE RECURSOS</w:t>
            </w:r>
            <w:r>
              <w:rPr>
                <w:rFonts w:cs="Calibri Light" w:cstheme="majorHAnsi"/>
              </w:rPr>
              <w:t>:</w:t>
            </w:r>
          </w:p>
        </w:tc>
      </w:tr>
    </w:tbl>
    <w:p>
      <w:pPr>
        <w:pStyle w:val="Normal"/>
        <w:jc w:val="both"/>
        <w:rPr>
          <w:b/>
          <w:bCs/>
        </w:rPr>
      </w:pPr>
      <w:r>
        <w:rPr>
          <w:b/>
          <w:bCs/>
        </w:rPr>
      </w:r>
    </w:p>
    <w:p>
      <w:pPr>
        <w:pStyle w:val="Normal"/>
        <w:jc w:val="both"/>
        <w:rPr>
          <w:rFonts w:ascii="Calibri" w:hAnsi="Calibri"/>
        </w:rPr>
      </w:pPr>
      <w:r>
        <w:rPr>
          <w:b/>
          <w:bCs/>
        </w:rPr>
        <w:t>6.1</w:t>
      </w:r>
      <w:r>
        <w:rPr/>
        <w:t>. A despesa correrá por conta da seguinte dotação orçamentária:</w:t>
      </w:r>
    </w:p>
    <w:p>
      <w:pPr>
        <w:pStyle w:val="Normal"/>
        <w:jc w:val="both"/>
        <w:rPr>
          <w:sz w:val="20"/>
          <w:szCs w:val="20"/>
        </w:rPr>
      </w:pPr>
      <w:r>
        <w:rPr>
          <w:sz w:val="20"/>
          <w:szCs w:val="20"/>
        </w:rPr>
      </w:r>
    </w:p>
    <w:p>
      <w:pPr>
        <w:pStyle w:val="Normal"/>
        <w:jc w:val="both"/>
        <w:rPr>
          <w:sz w:val="20"/>
          <w:szCs w:val="20"/>
        </w:rPr>
      </w:pPr>
      <w:r>
        <w:rPr>
          <w:sz w:val="20"/>
          <w:szCs w:val="20"/>
        </w:rPr>
        <w:t xml:space="preserve">05 - SECRETARIA DE MUNICÍPIO DE ZELADORIA DA CIDADE </w:t>
      </w:r>
    </w:p>
    <w:p>
      <w:pPr>
        <w:pStyle w:val="Normal"/>
        <w:jc w:val="both"/>
        <w:rPr>
          <w:sz w:val="20"/>
          <w:szCs w:val="20"/>
        </w:rPr>
      </w:pPr>
      <w:r>
        <w:rPr>
          <w:sz w:val="20"/>
          <w:szCs w:val="20"/>
        </w:rPr>
        <w:t xml:space="preserve">004 - COMPLEXO DE MANUTENÇÃO URBANA </w:t>
      </w:r>
    </w:p>
    <w:p>
      <w:pPr>
        <w:pStyle w:val="Normal"/>
        <w:jc w:val="both"/>
        <w:rPr>
          <w:sz w:val="20"/>
          <w:szCs w:val="20"/>
        </w:rPr>
      </w:pPr>
      <w:r>
        <w:rPr>
          <w:sz w:val="20"/>
          <w:szCs w:val="20"/>
        </w:rPr>
        <w:t xml:space="preserve">0015 – Urbanismo </w:t>
      </w:r>
    </w:p>
    <w:p>
      <w:pPr>
        <w:pStyle w:val="Normal"/>
        <w:jc w:val="both"/>
        <w:rPr>
          <w:sz w:val="20"/>
          <w:szCs w:val="20"/>
        </w:rPr>
      </w:pPr>
      <w:r>
        <w:rPr>
          <w:sz w:val="20"/>
          <w:szCs w:val="20"/>
        </w:rPr>
        <w:t xml:space="preserve">0452 - Servicos Urbanos </w:t>
      </w:r>
    </w:p>
    <w:p>
      <w:pPr>
        <w:pStyle w:val="Normal"/>
        <w:jc w:val="both"/>
        <w:rPr>
          <w:sz w:val="20"/>
          <w:szCs w:val="20"/>
        </w:rPr>
      </w:pPr>
      <w:r>
        <w:rPr>
          <w:sz w:val="20"/>
          <w:szCs w:val="20"/>
        </w:rPr>
        <w:t xml:space="preserve">0011 - CIDADE PLANEJADA </w:t>
      </w:r>
    </w:p>
    <w:p>
      <w:pPr>
        <w:pStyle w:val="Normal"/>
        <w:jc w:val="both"/>
        <w:rPr>
          <w:sz w:val="20"/>
          <w:szCs w:val="20"/>
        </w:rPr>
      </w:pPr>
      <w:r>
        <w:rPr>
          <w:sz w:val="20"/>
          <w:szCs w:val="20"/>
        </w:rPr>
        <w:t xml:space="preserve">2142 - MANUTENÇÃO E ZELADORIA DO SERVIÇO URBANO E RURAL </w:t>
      </w:r>
    </w:p>
    <w:p>
      <w:pPr>
        <w:pStyle w:val="Normal"/>
        <w:jc w:val="both"/>
        <w:rPr>
          <w:sz w:val="20"/>
          <w:szCs w:val="20"/>
        </w:rPr>
      </w:pPr>
      <w:r>
        <w:rPr>
          <w:sz w:val="20"/>
          <w:szCs w:val="20"/>
        </w:rPr>
        <w:t xml:space="preserve">33390340000000000000 - Outras despesas de pessoal decorrentes de contratos de terceirização Recurso Livre – 05000001 – Dotação 2889 </w:t>
      </w:r>
    </w:p>
    <w:p>
      <w:pPr>
        <w:pStyle w:val="Normal"/>
        <w:jc w:val="both"/>
        <w:rPr>
          <w:sz w:val="20"/>
          <w:szCs w:val="20"/>
        </w:rPr>
      </w:pPr>
      <w:r>
        <w:rPr>
          <w:sz w:val="20"/>
          <w:szCs w:val="20"/>
        </w:rPr>
      </w:r>
    </w:p>
    <w:p>
      <w:pPr>
        <w:pStyle w:val="Normal"/>
        <w:jc w:val="both"/>
        <w:rPr>
          <w:sz w:val="20"/>
          <w:szCs w:val="20"/>
        </w:rPr>
      </w:pPr>
      <w:r>
        <w:rPr>
          <w:sz w:val="20"/>
          <w:szCs w:val="20"/>
        </w:rPr>
        <w:t xml:space="preserve">05 - SECRETARIA DE MUNICÍPIO DE ZELADORIA DA CIDADE </w:t>
      </w:r>
    </w:p>
    <w:p>
      <w:pPr>
        <w:pStyle w:val="Normal"/>
        <w:jc w:val="both"/>
        <w:rPr>
          <w:sz w:val="20"/>
          <w:szCs w:val="20"/>
        </w:rPr>
      </w:pPr>
      <w:r>
        <w:rPr>
          <w:sz w:val="20"/>
          <w:szCs w:val="20"/>
        </w:rPr>
        <w:t xml:space="preserve">003 - FUNDO MUNICIPAL DE RESÍDUOS SÓLIDOS </w:t>
      </w:r>
    </w:p>
    <w:p>
      <w:pPr>
        <w:pStyle w:val="Normal"/>
        <w:jc w:val="both"/>
        <w:rPr>
          <w:sz w:val="20"/>
          <w:szCs w:val="20"/>
        </w:rPr>
      </w:pPr>
      <w:r>
        <w:rPr>
          <w:sz w:val="20"/>
          <w:szCs w:val="20"/>
        </w:rPr>
        <w:t xml:space="preserve">0015 – Urbanismo </w:t>
      </w:r>
    </w:p>
    <w:p>
      <w:pPr>
        <w:pStyle w:val="Normal"/>
        <w:jc w:val="both"/>
        <w:rPr>
          <w:sz w:val="20"/>
          <w:szCs w:val="20"/>
        </w:rPr>
      </w:pPr>
      <w:r>
        <w:rPr>
          <w:sz w:val="20"/>
          <w:szCs w:val="20"/>
        </w:rPr>
        <w:t xml:space="preserve">0451 - Infra-Estrutura Urbana </w:t>
      </w:r>
    </w:p>
    <w:p>
      <w:pPr>
        <w:pStyle w:val="Normal"/>
        <w:jc w:val="both"/>
        <w:rPr>
          <w:sz w:val="20"/>
          <w:szCs w:val="20"/>
        </w:rPr>
      </w:pPr>
      <w:r>
        <w:rPr>
          <w:sz w:val="20"/>
          <w:szCs w:val="20"/>
        </w:rPr>
        <w:t xml:space="preserve">0007 - CONSTRUINDO UM FUTURO SUSTENTÁVEL </w:t>
      </w:r>
    </w:p>
    <w:p>
      <w:pPr>
        <w:pStyle w:val="Normal"/>
        <w:jc w:val="both"/>
        <w:rPr>
          <w:sz w:val="20"/>
          <w:szCs w:val="20"/>
        </w:rPr>
      </w:pPr>
      <w:r>
        <w:rPr>
          <w:sz w:val="20"/>
          <w:szCs w:val="20"/>
        </w:rPr>
        <w:t xml:space="preserve">2141 - MANUTENÇÃO E SERVIÇOS DE LIMPEZA URBANA </w:t>
      </w:r>
    </w:p>
    <w:p>
      <w:pPr>
        <w:pStyle w:val="Normal"/>
        <w:jc w:val="both"/>
        <w:rPr>
          <w:sz w:val="20"/>
          <w:szCs w:val="20"/>
        </w:rPr>
      </w:pPr>
      <w:r>
        <w:rPr>
          <w:sz w:val="20"/>
          <w:szCs w:val="20"/>
        </w:rPr>
        <w:t xml:space="preserve">33390390000000000000 - Outros serviços de terceiros - pessoa jurídica </w:t>
      </w:r>
    </w:p>
    <w:p>
      <w:pPr>
        <w:pStyle w:val="Normal"/>
        <w:jc w:val="both"/>
        <w:rPr>
          <w:sz w:val="20"/>
          <w:szCs w:val="20"/>
        </w:rPr>
      </w:pPr>
      <w:r>
        <w:rPr>
          <w:sz w:val="20"/>
          <w:szCs w:val="20"/>
        </w:rPr>
        <w:t xml:space="preserve">Recurso Livre – 05000001 – Dotação 2877 </w:t>
      </w:r>
    </w:p>
    <w:p>
      <w:pPr>
        <w:pStyle w:val="Normal"/>
        <w:jc w:val="both"/>
        <w:rPr>
          <w:rFonts w:ascii="Calibri" w:hAnsi="Calibri"/>
        </w:rPr>
      </w:pPr>
      <w:r>
        <w:rPr/>
      </w:r>
    </w:p>
    <w:p>
      <w:pPr>
        <w:pStyle w:val="Normal"/>
        <w:jc w:val="both"/>
        <w:rPr>
          <w:rFonts w:ascii="Calibri" w:hAnsi="Calibri"/>
        </w:rPr>
      </w:pPr>
      <w:r>
        <w:rPr>
          <w:b/>
          <w:bCs/>
        </w:rPr>
        <w:t>6.2</w:t>
      </w:r>
      <w:r>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rPr>
      </w:pPr>
      <w:r>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Times New Roman"/>
                <w:b/>
                <w:bCs/>
              </w:rPr>
              <w:t>CLÁUSULA SÉTIMA - DO MODELO DE EXECUÇÃO E GESTÃO CONTRATUAIS:</w:t>
            </w:r>
          </w:p>
        </w:tc>
      </w:tr>
    </w:tbl>
    <w:p>
      <w:pPr>
        <w:pStyle w:val="Normal"/>
        <w:jc w:val="both"/>
        <w:rPr>
          <w:b/>
          <w:bCs/>
        </w:rPr>
      </w:pPr>
      <w:r>
        <w:rPr>
          <w:b/>
          <w:bCs/>
        </w:rPr>
      </w:r>
    </w:p>
    <w:p>
      <w:pPr>
        <w:pStyle w:val="Normal"/>
        <w:jc w:val="both"/>
        <w:rPr>
          <w:rFonts w:ascii="Calibri" w:hAnsi="Calibri"/>
        </w:rPr>
      </w:pPr>
      <w:r>
        <w:rPr>
          <w:b/>
          <w:bCs/>
        </w:rPr>
        <w:t>7.1</w:t>
      </w:r>
      <w:r>
        <w:rPr/>
        <w:t>. O modelo de gestão, assim como os prazos e condições de conclusão, entrega, observação e recebimento constam no Termo de Referência/Projeto Básico.</w:t>
      </w:r>
    </w:p>
    <w:p>
      <w:pPr>
        <w:pStyle w:val="Normal"/>
        <w:jc w:val="both"/>
        <w:rPr>
          <w:rFonts w:ascii="Calibri" w:hAnsi="Calibri"/>
        </w:rPr>
      </w:pPr>
      <w:r>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Times New Roman"/>
                <w:b/>
                <w:bCs/>
              </w:rPr>
              <w:t>CLÁUSULA OITAVA - DA SUBCONTRATAÇÃO:</w:t>
            </w:r>
          </w:p>
        </w:tc>
      </w:tr>
    </w:tbl>
    <w:p>
      <w:pPr>
        <w:pStyle w:val="Normal"/>
        <w:jc w:val="both"/>
        <w:rPr>
          <w:rFonts w:ascii="Calibri" w:hAnsi="Calibri"/>
        </w:rPr>
      </w:pPr>
      <w:r>
        <w:rPr>
          <w:b/>
          <w:bCs/>
        </w:rPr>
        <w:t>8.1</w:t>
      </w:r>
      <w:r>
        <w:rPr/>
        <w:t>. Conforme previsto no Termo de Referência.</w:t>
      </w:r>
    </w:p>
    <w:p>
      <w:pPr>
        <w:pStyle w:val="Normal"/>
        <w:jc w:val="both"/>
        <w:rPr>
          <w:rFonts w:ascii="Calibri" w:hAnsi="Calibri"/>
        </w:rPr>
      </w:pPr>
      <w:r>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Times New Roman"/>
                <w:b/>
                <w:bCs/>
              </w:rPr>
              <w:t>CLÁUSULA NONA - DAS OBRIGAÇÕES DA CONTRATANTE:</w:t>
            </w:r>
          </w:p>
        </w:tc>
      </w:tr>
    </w:tbl>
    <w:p>
      <w:pPr>
        <w:pStyle w:val="Normal"/>
        <w:jc w:val="both"/>
        <w:rPr>
          <w:rFonts w:ascii="Calibri" w:hAnsi="Calibri"/>
        </w:rPr>
      </w:pPr>
      <w:r>
        <w:rPr/>
      </w:r>
    </w:p>
    <w:p>
      <w:pPr>
        <w:pStyle w:val="Normal"/>
        <w:jc w:val="both"/>
        <w:rPr>
          <w:rFonts w:ascii="Calibri" w:hAnsi="Calibri"/>
        </w:rPr>
      </w:pPr>
      <w:r>
        <w:rPr>
          <w:b/>
          <w:bCs/>
        </w:rPr>
        <w:t>9.1</w:t>
      </w:r>
      <w:r>
        <w:rPr/>
        <w:t>. Exigir o cumprimento de todas as obrigações assumidas pelo Contratado, de acordo com o contrato e seus anexos.</w:t>
      </w:r>
    </w:p>
    <w:p>
      <w:pPr>
        <w:pStyle w:val="Normal"/>
        <w:jc w:val="both"/>
        <w:rPr>
          <w:rFonts w:ascii="Calibri" w:hAnsi="Calibri"/>
        </w:rPr>
      </w:pPr>
      <w:r>
        <w:rPr>
          <w:b/>
          <w:bCs/>
        </w:rPr>
        <w:t>9.2</w:t>
      </w:r>
      <w:r>
        <w:rPr/>
        <w:t>. Receber o objeto no prazo e condições estabelecidas no Termo de Referência ou Projeto Básico.</w:t>
      </w:r>
    </w:p>
    <w:p>
      <w:pPr>
        <w:pStyle w:val="Normal"/>
        <w:jc w:val="both"/>
        <w:rPr>
          <w:rFonts w:ascii="Calibri" w:hAnsi="Calibri"/>
        </w:rPr>
      </w:pPr>
      <w:r>
        <w:rPr>
          <w:b/>
          <w:bCs/>
        </w:rPr>
        <w:t>9.3</w:t>
      </w:r>
      <w:r>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rPr>
      </w:pPr>
      <w:r>
        <w:rPr>
          <w:b/>
          <w:bCs/>
        </w:rPr>
        <w:t>9.4</w:t>
      </w:r>
      <w:r>
        <w:rPr/>
        <w:t>. Acompanhar e fiscalizar a execução do contrato e o cumprimento das obrigações pelo Contratado.</w:t>
      </w:r>
    </w:p>
    <w:p>
      <w:pPr>
        <w:pStyle w:val="Normal"/>
        <w:jc w:val="both"/>
        <w:rPr>
          <w:rFonts w:ascii="Calibri" w:hAnsi="Calibri"/>
        </w:rPr>
      </w:pPr>
      <w:r>
        <w:rPr>
          <w:b/>
          <w:bCs/>
        </w:rPr>
        <w:t>9.5</w:t>
      </w:r>
      <w:r>
        <w:rPr/>
        <w:t>. Efetuar o pagamento ao Contratado do valor correspondente ao fornecimento do objeto, no prazo, forma e condições estabelecidos no presente Contrato.</w:t>
      </w:r>
    </w:p>
    <w:p>
      <w:pPr>
        <w:pStyle w:val="Normal"/>
        <w:jc w:val="both"/>
        <w:rPr>
          <w:rFonts w:ascii="Calibri" w:hAnsi="Calibri"/>
        </w:rPr>
      </w:pPr>
      <w:r>
        <w:rPr>
          <w:b/>
          <w:bCs/>
        </w:rPr>
        <w:t>9.6</w:t>
      </w:r>
      <w:r>
        <w:rPr/>
        <w:t>. Aplicar ao Contratado sanções previstas na Lei e neste Contrato.</w:t>
      </w:r>
    </w:p>
    <w:p>
      <w:pPr>
        <w:pStyle w:val="Normal"/>
        <w:jc w:val="both"/>
        <w:rPr>
          <w:rFonts w:ascii="Calibri" w:hAnsi="Calibri"/>
        </w:rPr>
      </w:pPr>
      <w:r>
        <w:rPr>
          <w:b/>
          <w:bCs/>
        </w:rPr>
        <w:t>9.7</w:t>
      </w:r>
      <w:r>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left="284"/>
        <w:jc w:val="both"/>
        <w:rPr>
          <w:rFonts w:ascii="Calibri" w:hAnsi="Calibri"/>
        </w:rPr>
      </w:pPr>
      <w:r>
        <w:rPr>
          <w:b/>
          <w:bCs/>
        </w:rPr>
        <w:t>9.7.1</w:t>
      </w:r>
      <w:r>
        <w:rPr/>
        <w:t>. Concluída a instrução do requerimento, a Administração terá o prazo de 30 (trinta) dias para decidir, admitida a prorrogação motivada por igual período.</w:t>
      </w:r>
    </w:p>
    <w:p>
      <w:pPr>
        <w:pStyle w:val="Normal"/>
        <w:jc w:val="both"/>
        <w:rPr>
          <w:rFonts w:ascii="Calibri" w:hAnsi="Calibri"/>
        </w:rPr>
      </w:pPr>
      <w:r>
        <w:rPr>
          <w:b/>
          <w:bCs/>
        </w:rPr>
        <w:t>9.8</w:t>
      </w:r>
      <w:r>
        <w:rPr/>
        <w:t>. Responder eventuais pedidos de reestabelecimento do equilíbrio econômico-financeiro feitos pelo Contratado no prazo máximo de 30 (trinta) dias.</w:t>
      </w:r>
    </w:p>
    <w:p>
      <w:pPr>
        <w:pStyle w:val="Normal"/>
        <w:jc w:val="both"/>
        <w:rPr>
          <w:rFonts w:ascii="Calibri" w:hAnsi="Calibri"/>
        </w:rPr>
      </w:pPr>
      <w:r>
        <w:rPr>
          <w:b/>
          <w:bCs/>
        </w:rPr>
        <w:t>9.9</w:t>
      </w:r>
      <w:r>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rPr>
      </w:pPr>
      <w:r>
        <w:rPr>
          <w:b/>
          <w:bCs/>
        </w:rPr>
        <w:t>9.10</w:t>
      </w:r>
      <w:r>
        <w:rPr/>
        <w:t>. Notificar os emitentes das garantias contratuais quanto ao início de processo administrativo para apuração de descumprimento de cláusulas contratuais.</w:t>
      </w:r>
    </w:p>
    <w:p>
      <w:pPr>
        <w:pStyle w:val="Normal"/>
        <w:jc w:val="both"/>
        <w:rPr>
          <w:rFonts w:ascii="Calibri" w:hAnsi="Calibri"/>
        </w:rPr>
      </w:pPr>
      <w:r>
        <w:rPr>
          <w:b/>
          <w:bCs/>
        </w:rPr>
        <w:t>9.11</w:t>
      </w:r>
      <w:r>
        <w:rPr/>
        <w:t>. Não praticar atos de ingerência na administração do Contratado, tais como:</w:t>
      </w:r>
    </w:p>
    <w:p>
      <w:pPr>
        <w:pStyle w:val="Normal"/>
        <w:ind w:left="284"/>
        <w:jc w:val="both"/>
        <w:rPr>
          <w:rFonts w:ascii="Calibri" w:hAnsi="Calibri"/>
        </w:rPr>
      </w:pPr>
      <w:r>
        <w:rPr>
          <w:b/>
          <w:bCs/>
        </w:rPr>
        <w:t>9.11.1</w:t>
      </w:r>
      <w:r>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left="284"/>
        <w:jc w:val="both"/>
        <w:rPr>
          <w:rFonts w:ascii="Calibri" w:hAnsi="Calibri"/>
        </w:rPr>
      </w:pPr>
      <w:r>
        <w:rPr>
          <w:b/>
          <w:bCs/>
        </w:rPr>
        <w:t>9.11.2</w:t>
      </w:r>
      <w:r>
        <w:rPr/>
        <w:t>. Direcionar a contratação de pessoas para trabalhar no Contratado.</w:t>
      </w:r>
    </w:p>
    <w:p>
      <w:pPr>
        <w:pStyle w:val="Normal"/>
        <w:ind w:left="284"/>
        <w:jc w:val="both"/>
        <w:rPr>
          <w:rFonts w:ascii="Calibri" w:hAnsi="Calibri"/>
        </w:rPr>
      </w:pPr>
      <w:r>
        <w:rPr>
          <w:b/>
          <w:bCs/>
        </w:rPr>
        <w:t>9.11.3</w:t>
      </w:r>
      <w:r>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Calibri" w:hAnsi="Calibri"/>
        </w:rPr>
      </w:pPr>
      <w:r>
        <w:rPr>
          <w:b/>
          <w:bCs/>
        </w:rPr>
        <w:t>9.12</w:t>
      </w:r>
      <w:r>
        <w:rPr/>
        <w:t>. Fornecer por escrito as informações necessárias para o desenvolvimento dos serviços objeto do contrato.</w:t>
      </w:r>
    </w:p>
    <w:p>
      <w:pPr>
        <w:pStyle w:val="Normal"/>
        <w:jc w:val="both"/>
        <w:rPr>
          <w:rFonts w:ascii="Calibri" w:hAnsi="Calibri"/>
        </w:rPr>
      </w:pPr>
      <w:r>
        <w:rPr>
          <w:b/>
          <w:bCs/>
        </w:rPr>
        <w:t>9.13</w:t>
      </w:r>
      <w:r>
        <w:rPr/>
        <w:t>. Realizar avaliações periódicas da qualidade dos serviços, após seu recebimento.</w:t>
      </w:r>
    </w:p>
    <w:p>
      <w:pPr>
        <w:pStyle w:val="Normal"/>
        <w:jc w:val="both"/>
        <w:rPr>
          <w:rFonts w:ascii="Calibri" w:hAnsi="Calibri"/>
        </w:rPr>
      </w:pPr>
      <w:r>
        <w:rPr>
          <w:b/>
          <w:bCs/>
        </w:rPr>
        <w:t>9.14</w:t>
      </w:r>
      <w:r>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Calibri" w:hAnsi="Calibri"/>
        </w:rPr>
      </w:pPr>
      <w:r>
        <w:rPr>
          <w:b/>
          <w:bCs/>
        </w:rPr>
        <w:t>9.15</w:t>
      </w:r>
      <w:r>
        <w:rPr/>
        <w:t>. Previamente à expedição da ordem de serviço, verificar pendências, liberar áreas e/ou adotar providências cabíveis para a regularidade do início da sua execução.</w:t>
      </w:r>
    </w:p>
    <w:p>
      <w:pPr>
        <w:pStyle w:val="Normal"/>
        <w:jc w:val="both"/>
        <w:rPr>
          <w:rFonts w:ascii="Calibri" w:hAnsi="Calibri" w:cs="Calibri Light"/>
        </w:rPr>
      </w:pPr>
      <w:r>
        <w:rPr>
          <w:rFonts w:cs="Calibri Light"/>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Calibri Light" w:cstheme="majorHAnsi"/>
                <w:b/>
                <w:bCs/>
              </w:rPr>
              <w:t>CLÁUSULA DÉCIMA - DAS OBRIGAÇÕES DO CONTRATADO</w:t>
            </w:r>
            <w:r>
              <w:rPr>
                <w:rFonts w:cs="Calibri Light" w:cstheme="majorHAnsi"/>
              </w:rPr>
              <w:t>:</w:t>
            </w:r>
          </w:p>
        </w:tc>
      </w:tr>
    </w:tbl>
    <w:p>
      <w:pPr>
        <w:pStyle w:val="Normal"/>
        <w:jc w:val="both"/>
        <w:rPr>
          <w:b/>
          <w:bCs/>
        </w:rPr>
      </w:pPr>
      <w:r>
        <w:rPr>
          <w:b/>
          <w:bCs/>
        </w:rPr>
      </w:r>
    </w:p>
    <w:p>
      <w:pPr>
        <w:pStyle w:val="Normal"/>
        <w:jc w:val="both"/>
        <w:rPr>
          <w:rFonts w:ascii="Calibri" w:hAnsi="Calibri"/>
        </w:rPr>
      </w:pPr>
      <w:r>
        <w:rPr>
          <w:b/>
          <w:bCs/>
        </w:rPr>
        <w:t>10.1</w:t>
      </w:r>
      <w:r>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Calibri" w:hAnsi="Calibri"/>
        </w:rPr>
      </w:pPr>
      <w:r>
        <w:rPr>
          <w:b/>
          <w:bCs/>
        </w:rPr>
        <w:t>10.2</w:t>
      </w:r>
      <w:r>
        <w:rPr/>
        <w:t>. Atender às determinações regulares emitidas pelo fiscal do contrato ou autoridade superior.</w:t>
      </w:r>
    </w:p>
    <w:p>
      <w:pPr>
        <w:pStyle w:val="Normal"/>
        <w:jc w:val="both"/>
        <w:rPr>
          <w:rFonts w:ascii="Calibri" w:hAnsi="Calibri"/>
        </w:rPr>
      </w:pPr>
      <w:r>
        <w:rPr>
          <w:b/>
          <w:bCs/>
        </w:rPr>
        <w:t>10.3</w:t>
      </w:r>
      <w:r>
        <w:rPr/>
        <w:t>. Manter preposto aceito pela Administração no local da obra ou do serviço para representá-lo na execução do contrato.</w:t>
      </w:r>
    </w:p>
    <w:p>
      <w:pPr>
        <w:pStyle w:val="Normal"/>
        <w:ind w:left="284"/>
        <w:jc w:val="both"/>
        <w:rPr>
          <w:rFonts w:ascii="Calibri" w:hAnsi="Calibri"/>
        </w:rPr>
      </w:pPr>
      <w:r>
        <w:rPr>
          <w:b/>
          <w:bCs/>
        </w:rPr>
        <w:t>10.3.1</w:t>
      </w:r>
      <w:r>
        <w:rPr/>
        <w:t>. A indicação ou a manutenção do preposto da empresa poderá ser recusada pelo órgão ou entidade, desde que devidamente justificada, devendo a empresa designar outro para o exercício da atividade.</w:t>
      </w:r>
    </w:p>
    <w:p>
      <w:pPr>
        <w:pStyle w:val="Normal"/>
        <w:jc w:val="both"/>
        <w:rPr>
          <w:rFonts w:ascii="Calibri" w:hAnsi="Calibri"/>
        </w:rPr>
      </w:pPr>
      <w:r>
        <w:rPr>
          <w:b/>
          <w:bCs/>
        </w:rPr>
        <w:t>10.4</w:t>
      </w:r>
      <w:r>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Calibri" w:hAnsi="Calibri"/>
        </w:rPr>
      </w:pPr>
      <w:r>
        <w:rPr>
          <w:b/>
          <w:bCs/>
        </w:rPr>
        <w:t>10.5</w:t>
      </w:r>
      <w:r>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Calibri" w:hAnsi="Calibri"/>
        </w:rPr>
      </w:pPr>
      <w:r>
        <w:rPr>
          <w:rFonts w:cs="Calibri Light" w:cstheme="majorHAnsi"/>
          <w:b/>
          <w:bCs/>
        </w:rPr>
        <w:t>10.6</w:t>
      </w:r>
      <w:r>
        <w:rPr>
          <w:rFonts w:cs="Calibri Light" w:cstheme="majorHAnsi"/>
        </w:rPr>
        <w:t>. Não utilizar, sob nenhuma hipótese, veículo de tração animal para a execução do objeto contratual.</w:t>
      </w:r>
    </w:p>
    <w:p>
      <w:pPr>
        <w:pStyle w:val="Normal"/>
        <w:jc w:val="both"/>
        <w:rPr>
          <w:rFonts w:ascii="Calibri" w:hAnsi="Calibri"/>
        </w:rPr>
      </w:pPr>
      <w:r>
        <w:rPr>
          <w:b/>
          <w:bCs/>
        </w:rPr>
        <w:t>10.7</w:t>
      </w:r>
      <w:r>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rPr>
      </w:pPr>
      <w:r>
        <w:rPr>
          <w:b/>
          <w:bCs/>
        </w:rPr>
        <w:t>10.8</w:t>
      </w:r>
      <w:r>
        <w:rPr/>
        <w:t>. Efetuar comunicação ao Contratante, assim que tiver ciência da impossibilidade de realização ou finalização do serviço no prazo estabelecido, para adoção de ações de contingência cabíveis.</w:t>
      </w:r>
    </w:p>
    <w:p>
      <w:pPr>
        <w:pStyle w:val="Normal"/>
        <w:jc w:val="both"/>
        <w:rPr>
          <w:rFonts w:ascii="Calibri" w:hAnsi="Calibri"/>
        </w:rPr>
      </w:pPr>
      <w:r>
        <w:rPr>
          <w:b/>
          <w:bCs/>
        </w:rPr>
        <w:t>10.9</w:t>
      </w:r>
      <w:r>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Calibri" w:hAnsi="Calibri"/>
        </w:rPr>
      </w:pPr>
      <w:r>
        <w:rPr>
          <w:b/>
          <w:bCs/>
        </w:rPr>
        <w:t>10.10</w:t>
      </w:r>
      <w: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left="284"/>
        <w:jc w:val="both"/>
        <w:rPr>
          <w:rFonts w:ascii="Calibri" w:hAnsi="Calibri"/>
        </w:rPr>
      </w:pPr>
      <w:r>
        <w:rPr>
          <w:b/>
          <w:bCs/>
        </w:rPr>
        <w:t>1</w:t>
      </w:r>
      <w:r>
        <w:rPr/>
        <w:t>) prova de regularidade relativa à Seguridade Social;</w:t>
      </w:r>
    </w:p>
    <w:p>
      <w:pPr>
        <w:pStyle w:val="Normal"/>
        <w:ind w:left="284"/>
        <w:jc w:val="both"/>
        <w:rPr>
          <w:rFonts w:ascii="Calibri" w:hAnsi="Calibri"/>
        </w:rPr>
      </w:pPr>
      <w:r>
        <w:rPr>
          <w:b/>
          <w:bCs/>
        </w:rPr>
        <w:t>2</w:t>
      </w:r>
      <w:r>
        <w:rPr/>
        <w:t xml:space="preserve">) certidão conjunta relativa aos tributos federais e à Dívida Ativa da União; </w:t>
      </w:r>
    </w:p>
    <w:p>
      <w:pPr>
        <w:pStyle w:val="Normal"/>
        <w:ind w:left="284"/>
        <w:jc w:val="both"/>
        <w:rPr>
          <w:rFonts w:ascii="Calibri" w:hAnsi="Calibri"/>
        </w:rPr>
      </w:pPr>
      <w:r>
        <w:rPr>
          <w:b/>
          <w:bCs/>
        </w:rPr>
        <w:t>3</w:t>
      </w:r>
      <w:r>
        <w:rPr/>
        <w:t xml:space="preserve">) certidões que comprovem a regularidade perante a Fazenda Estadual e Municipal do domicílio ou sede do contratado; </w:t>
      </w:r>
    </w:p>
    <w:p>
      <w:pPr>
        <w:pStyle w:val="Normal"/>
        <w:ind w:left="284"/>
        <w:jc w:val="both"/>
        <w:rPr>
          <w:rFonts w:ascii="Calibri" w:hAnsi="Calibri"/>
        </w:rPr>
      </w:pPr>
      <w:r>
        <w:rPr>
          <w:b/>
          <w:bCs/>
        </w:rPr>
        <w:t>4</w:t>
      </w:r>
      <w:r>
        <w:rPr/>
        <w:t xml:space="preserve">) Certidão de Regularidade do FGTS-CRF; e </w:t>
      </w:r>
    </w:p>
    <w:p>
      <w:pPr>
        <w:pStyle w:val="Normal"/>
        <w:ind w:left="284"/>
        <w:jc w:val="both"/>
        <w:rPr>
          <w:rFonts w:ascii="Calibri" w:hAnsi="Calibri"/>
        </w:rPr>
      </w:pPr>
      <w:r>
        <w:rPr>
          <w:b/>
          <w:bCs/>
        </w:rPr>
        <w:t>5</w:t>
      </w:r>
      <w:r>
        <w:rPr/>
        <w:t>) Certidão Negativa de Débitos Trabalhistas (CNDT).</w:t>
      </w:r>
    </w:p>
    <w:p>
      <w:pPr>
        <w:pStyle w:val="Normal"/>
        <w:jc w:val="both"/>
        <w:rPr>
          <w:rFonts w:ascii="Calibri" w:hAnsi="Calibri"/>
        </w:rPr>
      </w:pPr>
      <w:r>
        <w:rPr>
          <w:b/>
          <w:bCs/>
        </w:rPr>
        <w:t>10.11</w:t>
      </w:r>
      <w:r>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Calibri" w:hAnsi="Calibri"/>
        </w:rPr>
      </w:pPr>
      <w:r>
        <w:rPr>
          <w:b/>
          <w:bCs/>
        </w:rPr>
        <w:t>10.12</w:t>
      </w:r>
      <w:r>
        <w:rPr/>
        <w:t>. Comunicar ao Fiscal do contrato, no prazo de 24 (vinte e quatro) horas, qualquer ocorrência anormal ou acidente que se verifique no local dos serviços.</w:t>
      </w:r>
    </w:p>
    <w:p>
      <w:pPr>
        <w:pStyle w:val="Normal"/>
        <w:jc w:val="both"/>
        <w:rPr>
          <w:rFonts w:ascii="Calibri" w:hAnsi="Calibri"/>
        </w:rPr>
      </w:pPr>
      <w:r>
        <w:rPr>
          <w:b/>
          <w:bCs/>
        </w:rPr>
        <w:t>10.13</w:t>
      </w:r>
      <w:r>
        <w:rPr/>
        <w:t>. Prestar todo esclarecimento ou informação solicitada pelo Contratante, garantindo-lhes o acesso, a qualquer tempo, ao local dos trabalhos, bem como aos documentos relativos à execução do empreendimento.</w:t>
      </w:r>
    </w:p>
    <w:p>
      <w:pPr>
        <w:pStyle w:val="Normal"/>
        <w:jc w:val="both"/>
        <w:rPr>
          <w:rFonts w:ascii="Calibri" w:hAnsi="Calibri"/>
        </w:rPr>
      </w:pPr>
      <w:r>
        <w:rPr>
          <w:b/>
          <w:bCs/>
        </w:rPr>
        <w:t>10.14</w:t>
      </w:r>
      <w:r>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rPr>
      </w:pPr>
      <w:r>
        <w:rPr>
          <w:b/>
          <w:bCs/>
        </w:rPr>
        <w:t>10.15</w:t>
      </w:r>
      <w:r>
        <w:rPr/>
        <w:t>. Promover a guarda, manutenção e vigilância de materiais, ferramentas, e tudo o que for necessário à execução do objeto, durante a vigência do contrato.</w:t>
      </w:r>
    </w:p>
    <w:p>
      <w:pPr>
        <w:pStyle w:val="Normal"/>
        <w:jc w:val="both"/>
        <w:rPr>
          <w:rFonts w:ascii="Calibri" w:hAnsi="Calibri"/>
        </w:rPr>
      </w:pPr>
      <w:r>
        <w:rPr>
          <w:b/>
          <w:bCs/>
        </w:rPr>
        <w:t>10.16</w:t>
      </w:r>
      <w:r>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Calibri" w:hAnsi="Calibri"/>
        </w:rPr>
      </w:pPr>
      <w:r>
        <w:rPr>
          <w:b/>
          <w:bCs/>
        </w:rPr>
        <w:t>10.17</w:t>
      </w:r>
      <w:r>
        <w:rPr/>
        <w:t>. Submeter previamente, por escrito, ao Contratante, para análise e aprovação, quaisquer mudanças nos métodos executivos que fujam às especificações do Termo de Referência ou instrumento congênere.</w:t>
      </w:r>
    </w:p>
    <w:p>
      <w:pPr>
        <w:pStyle w:val="Normal"/>
        <w:jc w:val="both"/>
        <w:rPr>
          <w:rFonts w:ascii="Calibri" w:hAnsi="Calibri"/>
        </w:rPr>
      </w:pPr>
      <w:r>
        <w:rPr>
          <w:b/>
          <w:bCs/>
        </w:rPr>
        <w:t>10.18</w:t>
      </w:r>
      <w:r>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Calibri" w:hAnsi="Calibri"/>
        </w:rPr>
      </w:pPr>
      <w:r>
        <w:rPr>
          <w:b/>
          <w:bCs/>
        </w:rPr>
        <w:t>10.19</w:t>
      </w:r>
      <w:r>
        <w:rPr/>
        <w:t>. Manter durante toda a vigência do contrato, em compatibilidade com as obrigações assumidas, todas as condições exigidas para habilitação ou para qualificação, na contratação direta.</w:t>
      </w:r>
    </w:p>
    <w:p>
      <w:pPr>
        <w:pStyle w:val="Normal"/>
        <w:jc w:val="both"/>
        <w:rPr>
          <w:rFonts w:ascii="Calibri" w:hAnsi="Calibri"/>
        </w:rPr>
      </w:pPr>
      <w:r>
        <w:rPr>
          <w:b/>
          <w:bCs/>
        </w:rPr>
        <w:t>10.20</w:t>
      </w:r>
      <w:r>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left="284"/>
        <w:jc w:val="both"/>
        <w:rPr>
          <w:rFonts w:ascii="Calibri" w:hAnsi="Calibri"/>
        </w:rPr>
      </w:pPr>
      <w:r>
        <w:rPr>
          <w:b/>
          <w:bCs/>
        </w:rPr>
        <w:t>10.20.1</w:t>
      </w:r>
      <w:r>
        <w:rPr/>
        <w:t>. Comprovar a reserva de cargos a que se refere a cláusula acima, no prazo fixado pelo fiscal do contrato, com a indicação dos empregados que preencheram as referidas vagas.</w:t>
      </w:r>
    </w:p>
    <w:p>
      <w:pPr>
        <w:pStyle w:val="Normal"/>
        <w:jc w:val="both"/>
        <w:rPr>
          <w:rFonts w:ascii="Calibri" w:hAnsi="Calibri"/>
        </w:rPr>
      </w:pPr>
      <w:r>
        <w:rPr>
          <w:b/>
          <w:bCs/>
        </w:rPr>
        <w:t>10.21</w:t>
      </w:r>
      <w:r>
        <w:rPr/>
        <w:t>. Guardar sigilo sobre todas as informações obtidas em decorrência do cumprimento do contrato.</w:t>
      </w:r>
    </w:p>
    <w:p>
      <w:pPr>
        <w:pStyle w:val="Normal"/>
        <w:jc w:val="both"/>
        <w:rPr>
          <w:rFonts w:ascii="Calibri" w:hAnsi="Calibri"/>
        </w:rPr>
      </w:pPr>
      <w:r>
        <w:rPr>
          <w:b/>
          <w:bCs/>
        </w:rPr>
        <w:t>10.22</w:t>
      </w:r>
      <w:r>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Calibri" w:hAnsi="Calibri"/>
        </w:rPr>
      </w:pPr>
      <w:r>
        <w:rPr>
          <w:b/>
          <w:bCs/>
        </w:rPr>
        <w:t>10.23</w:t>
      </w:r>
      <w:r>
        <w:rPr/>
        <w:t>. Cumprir, além dos postulados legais vigentes de âmbito federal, estadual ou municipal, as normas de segurança do Contratante.</w:t>
      </w:r>
    </w:p>
    <w:p>
      <w:pPr>
        <w:pStyle w:val="Normal"/>
        <w:jc w:val="both"/>
        <w:rPr>
          <w:rFonts w:ascii="Calibri" w:hAnsi="Calibri"/>
        </w:rPr>
      </w:pPr>
      <w:r>
        <w:rPr>
          <w:b/>
          <w:bCs/>
        </w:rPr>
        <w:t>10.24</w:t>
      </w:r>
      <w:r>
        <w:rPr/>
        <w:t>. Assegurar aos seus trabalhadores ambiente de trabalho, inclusive equipamentos e instalações, em condições adequadas ao cumprimento das normas de saúde, segurança e bem-estar no trabalho.</w:t>
      </w:r>
    </w:p>
    <w:p>
      <w:pPr>
        <w:pStyle w:val="Normal"/>
        <w:jc w:val="both"/>
        <w:rPr>
          <w:rFonts w:ascii="Calibri" w:hAnsi="Calibri"/>
        </w:rPr>
      </w:pPr>
      <w:r>
        <w:rPr>
          <w:b/>
          <w:bCs/>
        </w:rPr>
        <w:t>10.25</w:t>
      </w:r>
      <w:r>
        <w:rPr/>
        <w:t>. Garantir o acesso, a qualquer tempo, ao local dos trabalhos, bem como aos documentos relativos à execução do empreendimento.</w:t>
      </w:r>
    </w:p>
    <w:p>
      <w:pPr>
        <w:pStyle w:val="Normal"/>
        <w:jc w:val="both"/>
        <w:rPr>
          <w:rFonts w:ascii="Calibri" w:hAnsi="Calibri"/>
        </w:rPr>
      </w:pPr>
      <w:r>
        <w:rPr>
          <w:b/>
          <w:bCs/>
        </w:rPr>
        <w:t>10.26</w:t>
      </w:r>
      <w:r>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Calibri" w:hAnsi="Calibri"/>
        </w:rPr>
      </w:pPr>
      <w:r>
        <w:rPr>
          <w:b/>
          <w:bCs/>
        </w:rPr>
        <w:t>10.27</w:t>
      </w:r>
      <w:r>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Calibri" w:hAnsi="Calibri"/>
        </w:rPr>
      </w:pPr>
      <w:r>
        <w:rPr>
          <w:b/>
          <w:bCs/>
        </w:rPr>
        <w:t>10.28</w:t>
      </w:r>
      <w:r>
        <w:rPr/>
        <w:t>. Manter os empregados nos horários predeterminados pelo Contratante.</w:t>
      </w:r>
    </w:p>
    <w:p>
      <w:pPr>
        <w:pStyle w:val="Normal"/>
        <w:jc w:val="both"/>
        <w:rPr>
          <w:rFonts w:ascii="Calibri" w:hAnsi="Calibri"/>
        </w:rPr>
      </w:pPr>
      <w:r>
        <w:rPr>
          <w:b/>
          <w:bCs/>
        </w:rPr>
        <w:t>10.29</w:t>
      </w:r>
      <w:r>
        <w:rPr/>
        <w:t>. Apresentar os empregados devidamente identificados por meio de crachá.</w:t>
      </w:r>
    </w:p>
    <w:p>
      <w:pPr>
        <w:pStyle w:val="Normal"/>
        <w:jc w:val="both"/>
        <w:rPr>
          <w:rFonts w:ascii="Calibri" w:hAnsi="Calibri"/>
        </w:rPr>
      </w:pPr>
      <w:r>
        <w:rPr>
          <w:b/>
          <w:bCs/>
        </w:rPr>
        <w:t>10.30</w:t>
      </w:r>
      <w:r>
        <w:rPr/>
        <w:t>. Apresentar ao Contratante, quando for o caso, a relação nominal dos empregados que adentrarão no órgão para a execução do serviço.</w:t>
      </w:r>
    </w:p>
    <w:p>
      <w:pPr>
        <w:pStyle w:val="Normal"/>
        <w:jc w:val="both"/>
        <w:rPr>
          <w:rFonts w:ascii="Calibri" w:hAnsi="Calibri"/>
        </w:rPr>
      </w:pPr>
      <w:r>
        <w:rPr>
          <w:b/>
          <w:bCs/>
        </w:rPr>
        <w:t>10.31</w:t>
      </w:r>
      <w:r>
        <w:rPr/>
        <w:t>. Observar os preceitos da legislação sobre a jornada de trabalho, conforme a categoria profissional.</w:t>
      </w:r>
    </w:p>
    <w:p>
      <w:pPr>
        <w:pStyle w:val="Normal"/>
        <w:jc w:val="both"/>
        <w:rPr>
          <w:rFonts w:ascii="Calibri" w:hAnsi="Calibri"/>
        </w:rPr>
      </w:pPr>
      <w:r>
        <w:rPr>
          <w:b/>
          <w:bCs/>
        </w:rPr>
        <w:t>10.32</w:t>
      </w:r>
      <w:r>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Calibri" w:hAnsi="Calibri"/>
        </w:rPr>
      </w:pPr>
      <w:r>
        <w:rPr>
          <w:b/>
          <w:bCs/>
        </w:rPr>
        <w:t>10.33</w:t>
      </w:r>
      <w:r>
        <w:rPr/>
        <w:t>. Instruir seus empregados quanto à necessidade de acatar as Normas Internas do Contratante.</w:t>
      </w:r>
    </w:p>
    <w:p>
      <w:pPr>
        <w:pStyle w:val="Normal"/>
        <w:jc w:val="both"/>
        <w:rPr>
          <w:rFonts w:ascii="Calibri" w:hAnsi="Calibri"/>
        </w:rPr>
      </w:pPr>
      <w:r>
        <w:rPr>
          <w:b/>
          <w:bCs/>
        </w:rPr>
        <w:t>10.34</w:t>
      </w:r>
      <w:r>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Calibri" w:hAnsi="Calibri"/>
        </w:rPr>
      </w:pPr>
      <w:r>
        <w:rPr>
          <w:b/>
          <w:bCs/>
        </w:rPr>
        <w:t>10.35</w:t>
      </w:r>
      <w:r>
        <w:rPr/>
        <w:t>. Instruir os seus empregados, quanto à prevenção de incêndios nas áreas do Contratante.</w:t>
      </w:r>
    </w:p>
    <w:p>
      <w:pPr>
        <w:pStyle w:val="Normal"/>
        <w:jc w:val="both"/>
        <w:rPr>
          <w:rFonts w:ascii="Calibri" w:hAnsi="Calibri"/>
        </w:rPr>
      </w:pPr>
      <w:r>
        <w:rPr>
          <w:b/>
          <w:bCs/>
        </w:rPr>
        <w:t>10.36</w:t>
      </w:r>
      <w:r>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Calibri" w:hAnsi="Calibri"/>
        </w:rPr>
      </w:pPr>
      <w:r>
        <w:rPr>
          <w:b/>
          <w:bCs/>
        </w:rPr>
        <w:t>10.37.</w:t>
      </w:r>
      <w:r>
        <w:rPr/>
        <w:t xml:space="preserve"> Estar registrada ou inscrita no Conselho Profissional competente, conforme as áreas de atuação previstas no Termo de Referência, em plena validade.</w:t>
      </w:r>
    </w:p>
    <w:p>
      <w:pPr>
        <w:pStyle w:val="Normal"/>
        <w:jc w:val="both"/>
        <w:rPr>
          <w:rFonts w:ascii="Calibri" w:hAnsi="Calibri"/>
        </w:rPr>
      </w:pPr>
      <w:r>
        <w:rPr>
          <w:b/>
          <w:bCs/>
        </w:rPr>
        <w:t>10.38</w:t>
      </w:r>
      <w:r>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Calibri" w:hAnsi="Calibri"/>
        </w:rPr>
      </w:pPr>
      <w:r>
        <w:rPr>
          <w:b/>
          <w:bCs/>
        </w:rPr>
        <w:t>10.39</w:t>
      </w:r>
      <w:r>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Calibri" w:hAnsi="Calibri"/>
        </w:rPr>
      </w:pPr>
      <w:r>
        <w:rPr>
          <w:b/>
          <w:bCs/>
        </w:rPr>
        <w:t>10.40</w:t>
      </w:r>
      <w:r>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Calibri" w:hAnsi="Calibri"/>
        </w:rPr>
      </w:pPr>
      <w:r>
        <w:rPr>
          <w:b/>
          <w:bCs/>
        </w:rPr>
        <w:t>10.41</w:t>
      </w:r>
      <w:r>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Calibri" w:hAnsi="Calibri"/>
        </w:rPr>
      </w:pPr>
      <w:r>
        <w:rPr>
          <w:b/>
          <w:bCs/>
        </w:rPr>
        <w:t>10.42</w:t>
      </w:r>
      <w:r>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Calibri" w:hAnsi="Calibri"/>
        </w:rPr>
      </w:pPr>
      <w:r>
        <w:rPr>
          <w:b/>
          <w:bCs/>
        </w:rPr>
        <w:t>10.43</w:t>
      </w:r>
      <w:r>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Calibri" w:hAnsi="Calibri" w:cs="Calibri Light"/>
        </w:rPr>
      </w:pPr>
      <w:r>
        <w:rPr>
          <w:rFonts w:cs="Calibri Light"/>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Calibri Light" w:cstheme="majorHAnsi"/>
                <w:b/>
                <w:bCs/>
              </w:rPr>
              <w:t>CLÁUSULA DÉCIMA PRIMEIRA - DA GARANTIA DE EXECUÇÃO</w:t>
            </w:r>
            <w:r>
              <w:rPr>
                <w:rFonts w:cs="Calibri Light" w:cstheme="majorHAnsi"/>
              </w:rPr>
              <w:t>:</w:t>
            </w:r>
          </w:p>
        </w:tc>
      </w:tr>
    </w:tbl>
    <w:p>
      <w:pPr>
        <w:pStyle w:val="Normal"/>
        <w:jc w:val="both"/>
        <w:rPr>
          <w:rFonts w:ascii="Calibri" w:hAnsi="Calibri"/>
        </w:rPr>
      </w:pPr>
      <w:r>
        <w:rPr>
          <w:rFonts w:cs="Calibri Light" w:cstheme="majorHAnsi"/>
          <w:b/>
          <w:bCs/>
        </w:rPr>
        <w:t>11.1</w:t>
      </w:r>
      <w:r>
        <w:rPr>
          <w:rFonts w:cs="Calibri Light" w:cstheme="majorHAnsi"/>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left="284"/>
        <w:jc w:val="both"/>
        <w:rPr>
          <w:rFonts w:ascii="Calibri" w:hAnsi="Calibri"/>
        </w:rPr>
      </w:pPr>
      <w:r>
        <w:rPr>
          <w:b/>
          <w:bCs/>
        </w:rPr>
        <w:t>11.1.1</w:t>
      </w:r>
      <w:r>
        <w:rPr/>
        <w:t>. Em se tratando de contratação de serviços contínuos, com vigência superior a 01 (um) ano, será considerado para fins de garantia o valor anual do contrato, para aplicação do percentual.</w:t>
      </w:r>
    </w:p>
    <w:p>
      <w:pPr>
        <w:pStyle w:val="Normal"/>
        <w:jc w:val="both"/>
        <w:rPr>
          <w:rFonts w:ascii="Calibri" w:hAnsi="Calibri"/>
        </w:rPr>
      </w:pPr>
      <w:r>
        <w:rPr>
          <w:b/>
          <w:bCs/>
        </w:rPr>
        <w:t>11.2</w:t>
      </w:r>
      <w:r>
        <w:rPr/>
        <w:t>. No caso de seguro-garantia, a garantia deverá ser apresentada no máximo até a data de assinatura do contrato.</w:t>
      </w:r>
    </w:p>
    <w:p>
      <w:pPr>
        <w:pStyle w:val="Normal"/>
        <w:jc w:val="both"/>
        <w:rPr>
          <w:rFonts w:ascii="Calibri" w:hAnsi="Calibri"/>
        </w:rPr>
      </w:pPr>
      <w:r>
        <w:rPr>
          <w:b/>
          <w:bCs/>
        </w:rPr>
        <w:t>11.3</w:t>
      </w:r>
      <w:r>
        <w:rPr/>
        <w:t>. As demais modalidades deverão ser prestadas em até 15 (quinze) dias úteis, após a assinatura do contrato, sob pena de incidir em infração administrativa.</w:t>
      </w:r>
    </w:p>
    <w:p>
      <w:pPr>
        <w:pStyle w:val="Normal"/>
        <w:jc w:val="both"/>
        <w:rPr>
          <w:rFonts w:ascii="Calibri" w:hAnsi="Calibri"/>
        </w:rPr>
      </w:pPr>
      <w:r>
        <w:rPr>
          <w:b/>
          <w:bCs/>
        </w:rPr>
        <w:t>11.4</w:t>
      </w:r>
      <w:r>
        <w:rPr/>
        <w:t xml:space="preserve">. Deverão ser observados os seguintes procedimentos: </w:t>
      </w:r>
    </w:p>
    <w:p>
      <w:pPr>
        <w:pStyle w:val="Normal"/>
        <w:ind w:left="284"/>
        <w:jc w:val="both"/>
        <w:rPr>
          <w:rFonts w:ascii="Calibri" w:hAnsi="Calibri"/>
        </w:rPr>
      </w:pPr>
      <w:r>
        <w:rPr>
          <w:b/>
          <w:bCs/>
        </w:rPr>
        <w:t xml:space="preserve">I </w:t>
      </w:r>
      <w:r>
        <w:rPr/>
        <w:t>- a garantia deverá ter o valor indicado no item 11.1;</w:t>
      </w:r>
    </w:p>
    <w:p>
      <w:pPr>
        <w:pStyle w:val="Normal"/>
        <w:ind w:left="284"/>
        <w:jc w:val="both"/>
        <w:rPr>
          <w:rFonts w:ascii="Calibri" w:hAnsi="Calibri"/>
        </w:rPr>
      </w:pPr>
      <w:r>
        <w:rPr>
          <w:b/>
          <w:bCs/>
        </w:rPr>
        <w:t>II</w:t>
      </w:r>
      <w:r>
        <w:rPr/>
        <w:t xml:space="preserve"> - a Contratada deverá entregar à SCLC/SMGAL, no endereço eletrônico </w:t>
      </w:r>
      <w:hyperlink r:id="rId2">
        <w:r>
          <w:rPr>
            <w:rStyle w:val="Hyperlink"/>
          </w:rPr>
          <w:t>contratos.riogrande@gmail.com</w:t>
        </w:r>
      </w:hyperlink>
      <w:r>
        <w:rPr/>
        <w:t xml:space="preserve"> ,o documento comprobatório da garantia prestada;</w:t>
      </w:r>
    </w:p>
    <w:p>
      <w:pPr>
        <w:pStyle w:val="Normal"/>
        <w:ind w:left="284"/>
        <w:jc w:val="both"/>
        <w:rPr>
          <w:rFonts w:ascii="Calibri" w:hAnsi="Calibri"/>
        </w:rPr>
      </w:pPr>
      <w:r>
        <w:rPr>
          <w:b/>
          <w:bCs/>
        </w:rPr>
        <w:t>III</w:t>
      </w:r>
      <w:r>
        <w:rPr/>
        <w:t xml:space="preserve"> - a aceitação de títulos da dívida pública ficará condicionada à verificação com o Banco Central do Brasil ou órgão emissor sobre sua exequibilidade e validade;</w:t>
      </w:r>
    </w:p>
    <w:p>
      <w:pPr>
        <w:pStyle w:val="Normal"/>
        <w:ind w:left="284"/>
        <w:jc w:val="both"/>
        <w:rPr>
          <w:rFonts w:ascii="Calibri" w:hAnsi="Calibri"/>
        </w:rPr>
      </w:pPr>
      <w:r>
        <w:rPr>
          <w:b/>
          <w:bCs/>
        </w:rPr>
        <w:t>IV</w:t>
      </w:r>
      <w:r>
        <w:rPr/>
        <w:t xml:space="preserve"> - o título de capitalização custeado por pagamento único, com resgate pelo valor total, deverá ter como titular o Município do Rio Grande/RS;</w:t>
      </w:r>
    </w:p>
    <w:p>
      <w:pPr>
        <w:pStyle w:val="Normal"/>
        <w:ind w:left="284"/>
        <w:jc w:val="both"/>
        <w:rPr>
          <w:rFonts w:ascii="Calibri" w:hAnsi="Calibri"/>
        </w:rPr>
      </w:pPr>
      <w:r>
        <w:rPr>
          <w:b/>
          <w:bCs/>
        </w:rPr>
        <w:t>V</w:t>
      </w:r>
      <w:r>
        <w:rPr/>
        <w:t xml:space="preserve"> - sendo caução em dinheiro, deverá efetuar o depósito em caderneta de poupança, com conta vinculada, na Caixa Econômica Federal, em nome do Município do Rio Grande/RS;</w:t>
      </w:r>
    </w:p>
    <w:p>
      <w:pPr>
        <w:pStyle w:val="Normal"/>
        <w:ind w:left="284"/>
        <w:jc w:val="both"/>
        <w:rPr>
          <w:rFonts w:ascii="Calibri" w:hAnsi="Calibri"/>
        </w:rPr>
      </w:pPr>
      <w:r>
        <w:rPr>
          <w:b/>
          <w:bCs/>
        </w:rPr>
        <w:t>VI</w:t>
      </w:r>
      <w:r>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Calibri" w:hAnsi="Calibri"/>
        </w:rPr>
      </w:pPr>
      <w:r>
        <w:rPr>
          <w:b/>
          <w:bCs/>
        </w:rPr>
        <w:t>11.5</w:t>
      </w:r>
      <w:r>
        <w:rPr/>
        <w:t>. A garantia, qualquer que seja a modalidade escolhida, assegurará o pagamento de:</w:t>
      </w:r>
    </w:p>
    <w:p>
      <w:pPr>
        <w:pStyle w:val="Normal"/>
        <w:ind w:left="284"/>
        <w:jc w:val="both"/>
        <w:rPr>
          <w:rFonts w:ascii="Calibri" w:hAnsi="Calibri"/>
        </w:rPr>
      </w:pPr>
      <w:r>
        <w:rPr>
          <w:b/>
          <w:bCs/>
        </w:rPr>
        <w:t xml:space="preserve">I </w:t>
      </w:r>
      <w:r>
        <w:rPr/>
        <w:t>- prejuízos advindos do não cumprimento do objeto do contrato;</w:t>
      </w:r>
    </w:p>
    <w:p>
      <w:pPr>
        <w:pStyle w:val="Normal"/>
        <w:ind w:left="284"/>
        <w:jc w:val="both"/>
        <w:rPr>
          <w:rFonts w:ascii="Calibri" w:hAnsi="Calibri"/>
        </w:rPr>
      </w:pPr>
      <w:r>
        <w:rPr>
          <w:b/>
          <w:bCs/>
        </w:rPr>
        <w:t>II</w:t>
      </w:r>
      <w:r>
        <w:rPr/>
        <w:t xml:space="preserve"> - prejuízos diretos causados ao Contratante decorrentes de culpa ou dolo durante a execução do contrato;</w:t>
      </w:r>
    </w:p>
    <w:p>
      <w:pPr>
        <w:pStyle w:val="Normal"/>
        <w:ind w:left="284"/>
        <w:jc w:val="both"/>
        <w:rPr>
          <w:rFonts w:ascii="Calibri" w:hAnsi="Calibri"/>
        </w:rPr>
      </w:pPr>
      <w:r>
        <w:rPr>
          <w:b/>
          <w:bCs/>
        </w:rPr>
        <w:t>III</w:t>
      </w:r>
      <w:r>
        <w:rPr/>
        <w:t xml:space="preserve"> - multas moratórias e compensatórias aplicadas pelo Contratante à Contratada;</w:t>
      </w:r>
    </w:p>
    <w:p>
      <w:pPr>
        <w:pStyle w:val="Normal"/>
        <w:ind w:left="284"/>
        <w:jc w:val="both"/>
        <w:rPr>
          <w:rFonts w:ascii="Calibri" w:hAnsi="Calibri"/>
        </w:rPr>
      </w:pPr>
      <w:r>
        <w:rPr>
          <w:b/>
          <w:bCs/>
        </w:rPr>
        <w:t>IV</w:t>
      </w:r>
      <w:r>
        <w:rPr/>
        <w:t xml:space="preserve"> - obrigações trabalhistas e previdenciárias de qualquer natureza não adimplidas pela Contratada.</w:t>
      </w:r>
    </w:p>
    <w:p>
      <w:pPr>
        <w:pStyle w:val="Normal"/>
        <w:jc w:val="both"/>
        <w:rPr>
          <w:rFonts w:ascii="Calibri" w:hAnsi="Calibri"/>
        </w:rPr>
      </w:pPr>
      <w:r>
        <w:rPr>
          <w:b/>
          <w:bCs/>
        </w:rPr>
        <w:t>11.6</w:t>
      </w:r>
      <w:r>
        <w:rPr/>
        <w:t>. A garantia será considerada extinta nos seguintes casos:</w:t>
      </w:r>
    </w:p>
    <w:p>
      <w:pPr>
        <w:pStyle w:val="Normal"/>
        <w:ind w:left="284"/>
        <w:jc w:val="both"/>
        <w:rPr>
          <w:rFonts w:ascii="Calibri" w:hAnsi="Calibri"/>
        </w:rPr>
      </w:pPr>
      <w:r>
        <w:rPr>
          <w:b/>
          <w:bCs/>
        </w:rPr>
        <w:t>I</w:t>
      </w:r>
      <w:r>
        <w:rPr/>
        <w:t xml:space="preserve"> - com a devolução, acompanhada de declaração do Contratante, mediante termo circunstanciado, de que a Contratada cumpriu todas as cláusulas do contrato;</w:t>
      </w:r>
    </w:p>
    <w:p>
      <w:pPr>
        <w:pStyle w:val="Normal"/>
        <w:ind w:left="284"/>
        <w:jc w:val="both"/>
        <w:rPr>
          <w:rFonts w:ascii="Calibri" w:hAnsi="Calibri"/>
        </w:rPr>
      </w:pPr>
      <w:r>
        <w:rPr>
          <w:b/>
          <w:bCs/>
        </w:rPr>
        <w:t>II</w:t>
      </w:r>
      <w:r>
        <w:rPr/>
        <w:t xml:space="preserve"> - após o término da vigência do contrato.</w:t>
      </w:r>
    </w:p>
    <w:p>
      <w:pPr>
        <w:pStyle w:val="Normal"/>
        <w:jc w:val="both"/>
        <w:rPr>
          <w:rFonts w:ascii="Calibri" w:hAnsi="Calibri"/>
        </w:rPr>
      </w:pPr>
      <w:r>
        <w:rPr>
          <w:b/>
          <w:bCs/>
        </w:rPr>
        <w:t>11.7</w:t>
      </w:r>
      <w:r>
        <w:rPr/>
        <w:t xml:space="preserve">. A modalidade de garantia apresentada pela Contratada será a de </w:t>
      </w:r>
      <w:r>
        <w:rPr>
          <w:b/>
          <w:bCs/>
          <w:shd w:fill="FFFF00" w:val="clear"/>
        </w:rPr>
        <w:t xml:space="preserve">XXXXXXXXX. </w:t>
      </w:r>
      <w:r>
        <w:rPr/>
        <w:t xml:space="preserve">Caso haja alteração da modalidade de garantia durante a vigência contratual, sua formalização será realizada por meio de apostila. </w:t>
      </w:r>
    </w:p>
    <w:p>
      <w:pPr>
        <w:pStyle w:val="Normal"/>
        <w:jc w:val="both"/>
        <w:rPr>
          <w:rFonts w:ascii="Calibri" w:hAnsi="Calibri"/>
        </w:rPr>
      </w:pPr>
      <w:r>
        <w:rPr>
          <w:b/>
          <w:bCs/>
        </w:rPr>
        <w:t>11.8</w:t>
      </w:r>
      <w:r>
        <w:rPr/>
        <w:t xml:space="preserve">. No caso de eventual termo aditivo, o valor e o prazo de validade da garantia será atualizado, por meio da apresentação de garantia complementar, no prazo de 30 (trinta) dias, contados da </w:t>
      </w:r>
      <w:bookmarkStart w:id="2" w:name="_GoBack"/>
      <w:r>
        <w:rPr/>
        <w:t>assinatura</w:t>
      </w:r>
      <w:bookmarkEnd w:id="2"/>
      <w:r>
        <w:rPr/>
        <w:t xml:space="preserve"> do respectivo termo, nas mesmas condições do contrato.</w:t>
      </w:r>
    </w:p>
    <w:p>
      <w:pPr>
        <w:pStyle w:val="Normal"/>
        <w:jc w:val="both"/>
        <w:rPr>
          <w:rFonts w:ascii="Calibri" w:hAnsi="Calibri"/>
        </w:rPr>
      </w:pPr>
      <w:r>
        <w:rPr>
          <w:b/>
          <w:bCs/>
        </w:rPr>
        <w:t>11.9</w:t>
      </w:r>
      <w:r>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Calibri" w:hAnsi="Calibri"/>
        </w:rPr>
      </w:pPr>
      <w:r>
        <w:rPr>
          <w:b/>
          <w:bCs/>
        </w:rPr>
        <w:t>11.10</w:t>
      </w:r>
      <w:r>
        <w:rPr/>
        <w:t>. A garantia será liberada ou restituída pelo Contratante após a fiel execução do contrato ou após a sua extinção por culpa exclusiva da Administração.</w:t>
      </w:r>
    </w:p>
    <w:p>
      <w:pPr>
        <w:pStyle w:val="Normal"/>
        <w:jc w:val="both"/>
        <w:rPr>
          <w:rFonts w:ascii="Calibri" w:hAnsi="Calibri"/>
        </w:rPr>
      </w:pPr>
      <w:r>
        <w:rPr>
          <w:rFonts w:cs="Calibri Light" w:cstheme="majorHAnsi"/>
          <w:b/>
          <w:bCs/>
        </w:rPr>
        <w:t>11.11</w:t>
      </w:r>
      <w:r>
        <w:rPr>
          <w:rFonts w:cs="Calibri Light" w:cstheme="majorHAnsi"/>
        </w:rPr>
        <w:t>. O garantidor não é parte para figurar em processo administrativo instaurado pelo Contratante com o objetivo de apurar prejuízos e/ou aplicar sanções à Contratado.</w:t>
      </w:r>
    </w:p>
    <w:p>
      <w:pPr>
        <w:pStyle w:val="Normal"/>
        <w:jc w:val="both"/>
        <w:rPr>
          <w:rFonts w:ascii="Calibri" w:hAnsi="Calibri"/>
        </w:rPr>
      </w:pPr>
      <w:r>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Times New Roman"/>
                <w:b/>
                <w:bCs/>
              </w:rPr>
              <w:t>CLÁUSULA DÉCIMA SEGUNDA - DAS INFRAÇÕES E SANÇÕES ADMINISTRATIVAS:</w:t>
            </w:r>
          </w:p>
        </w:tc>
      </w:tr>
    </w:tbl>
    <w:p>
      <w:pPr>
        <w:pStyle w:val="Normal"/>
        <w:jc w:val="both"/>
        <w:rPr>
          <w:rFonts w:ascii="Calibri" w:hAnsi="Calibri"/>
        </w:rPr>
      </w:pPr>
      <w:r>
        <w:rPr>
          <w:b/>
          <w:bCs/>
        </w:rPr>
        <w:t>12.1</w:t>
      </w:r>
      <w:r>
        <w:rPr/>
        <w:t>. Comete infração administrativa, nos termos da Lei 14.133/2021, o Contratado que:</w:t>
      </w:r>
    </w:p>
    <w:p>
      <w:pPr>
        <w:pStyle w:val="Normal"/>
        <w:ind w:left="284"/>
        <w:jc w:val="both"/>
        <w:rPr>
          <w:rFonts w:ascii="Calibri" w:hAnsi="Calibri"/>
        </w:rPr>
      </w:pPr>
      <w:r>
        <w:rPr>
          <w:b/>
          <w:bCs/>
        </w:rPr>
        <w:t>a</w:t>
      </w:r>
      <w:r>
        <w:rPr/>
        <w:t>) der causa à inexecução parcial do contrato;</w:t>
      </w:r>
    </w:p>
    <w:p>
      <w:pPr>
        <w:pStyle w:val="Normal"/>
        <w:ind w:left="284"/>
        <w:jc w:val="both"/>
        <w:rPr>
          <w:rFonts w:ascii="Calibri" w:hAnsi="Calibri"/>
        </w:rPr>
      </w:pPr>
      <w:r>
        <w:rPr>
          <w:b/>
          <w:bCs/>
        </w:rPr>
        <w:t>b</w:t>
      </w:r>
      <w:r>
        <w:rPr/>
        <w:t>) der causa à inexecução parcial do contrato que cause grave dano à Administração ou ao funcionamento dos serviços públicos ou ao interesse coletivo;</w:t>
      </w:r>
    </w:p>
    <w:p>
      <w:pPr>
        <w:pStyle w:val="Normal"/>
        <w:ind w:left="284"/>
        <w:jc w:val="both"/>
        <w:rPr>
          <w:rFonts w:ascii="Calibri" w:hAnsi="Calibri"/>
        </w:rPr>
      </w:pPr>
      <w:r>
        <w:rPr>
          <w:b/>
          <w:bCs/>
        </w:rPr>
        <w:t>c</w:t>
      </w:r>
      <w:r>
        <w:rPr/>
        <w:t>) der causa à inexecução total do contrato;</w:t>
      </w:r>
    </w:p>
    <w:p>
      <w:pPr>
        <w:pStyle w:val="Normal"/>
        <w:ind w:left="284"/>
        <w:jc w:val="both"/>
        <w:rPr>
          <w:rFonts w:ascii="Calibri" w:hAnsi="Calibri"/>
        </w:rPr>
      </w:pPr>
      <w:r>
        <w:rPr>
          <w:b/>
          <w:bCs/>
        </w:rPr>
        <w:t>d</w:t>
      </w:r>
      <w:r>
        <w:rPr/>
        <w:t>) ensejar o retardamento da execução ou da entrega do objeto da contratação sem motivo justificado;</w:t>
      </w:r>
    </w:p>
    <w:p>
      <w:pPr>
        <w:pStyle w:val="Normal"/>
        <w:ind w:left="284"/>
        <w:jc w:val="both"/>
        <w:rPr>
          <w:rFonts w:ascii="Calibri" w:hAnsi="Calibri"/>
        </w:rPr>
      </w:pPr>
      <w:r>
        <w:rPr>
          <w:b/>
          <w:bCs/>
        </w:rPr>
        <w:t>e</w:t>
      </w:r>
      <w:r>
        <w:rPr/>
        <w:t>) apresentar documentação falsa ou prestar declaração falsa durante a execução do contrato;</w:t>
      </w:r>
    </w:p>
    <w:p>
      <w:pPr>
        <w:pStyle w:val="Normal"/>
        <w:ind w:left="284"/>
        <w:jc w:val="both"/>
        <w:rPr>
          <w:rFonts w:ascii="Calibri" w:hAnsi="Calibri"/>
        </w:rPr>
      </w:pPr>
      <w:r>
        <w:rPr>
          <w:b/>
          <w:bCs/>
        </w:rPr>
        <w:t>f)</w:t>
      </w:r>
      <w:r>
        <w:rPr/>
        <w:t xml:space="preserve"> praticar ato fraudulento na execução do contrato;</w:t>
      </w:r>
    </w:p>
    <w:p>
      <w:pPr>
        <w:pStyle w:val="Normal"/>
        <w:ind w:left="284"/>
        <w:jc w:val="both"/>
        <w:rPr>
          <w:rFonts w:ascii="Calibri" w:hAnsi="Calibri"/>
        </w:rPr>
      </w:pPr>
      <w:r>
        <w:rPr>
          <w:b/>
          <w:bCs/>
        </w:rPr>
        <w:t>g</w:t>
      </w:r>
      <w:r>
        <w:rPr/>
        <w:t>) comportar-se de modo inidôneo ou cometer fraude de qualquer natureza;</w:t>
      </w:r>
    </w:p>
    <w:p>
      <w:pPr>
        <w:pStyle w:val="Normal"/>
        <w:ind w:left="284"/>
        <w:jc w:val="both"/>
        <w:rPr>
          <w:rFonts w:ascii="Calibri" w:hAnsi="Calibri"/>
        </w:rPr>
      </w:pPr>
      <w:r>
        <w:rPr>
          <w:b/>
          <w:bCs/>
        </w:rPr>
        <w:t>h</w:t>
      </w:r>
      <w:r>
        <w:rPr/>
        <w:t>) praticar ato lesivo previsto no art. 5º da Lei 12.846/2013.</w:t>
      </w:r>
    </w:p>
    <w:p>
      <w:pPr>
        <w:pStyle w:val="Normal"/>
        <w:jc w:val="both"/>
        <w:rPr>
          <w:rFonts w:ascii="Calibri" w:hAnsi="Calibri"/>
        </w:rPr>
      </w:pPr>
      <w:r>
        <w:rPr>
          <w:b/>
          <w:bCs/>
        </w:rPr>
        <w:t>12.2</w:t>
      </w:r>
      <w:r>
        <w:rPr/>
        <w:t>. Serão aplicadas ao contratado que incorrer nas infrações acima descritas as seguintes sanções:</w:t>
      </w:r>
    </w:p>
    <w:p>
      <w:pPr>
        <w:pStyle w:val="Normal"/>
        <w:ind w:left="284"/>
        <w:jc w:val="both"/>
        <w:rPr>
          <w:rFonts w:ascii="Calibri" w:hAnsi="Calibri"/>
        </w:rPr>
      </w:pPr>
      <w:r>
        <w:rPr>
          <w:b/>
          <w:bCs/>
        </w:rPr>
        <w:t>12.2.1</w:t>
      </w:r>
      <w:r>
        <w:rPr/>
        <w:t>. Advertência, quando o contratado der causa à inexecução parcial do contrato, sempre que não se justificar a imposição de penalidade mais grave (art. 156, § 2º, da Lei 14.133/2021).</w:t>
      </w:r>
    </w:p>
    <w:p>
      <w:pPr>
        <w:pStyle w:val="Normal"/>
        <w:ind w:left="284"/>
        <w:jc w:val="both"/>
        <w:rPr>
          <w:rFonts w:ascii="Calibri" w:hAnsi="Calibri"/>
        </w:rPr>
      </w:pPr>
      <w:r>
        <w:rPr>
          <w:b/>
          <w:bCs/>
        </w:rPr>
        <w:t>12.2.2</w:t>
      </w:r>
      <w:r>
        <w:rPr/>
        <w:t>. Impedimento de licitar e contratar, quando praticadas as condutas descritas nas alíneas “b”, “c” e “d” do item acima deste Contrato, sempre que não se justificar a imposição de penalidade mais grave (art. 156, § 4º, da Lei 14.133/2021).</w:t>
      </w:r>
    </w:p>
    <w:p>
      <w:pPr>
        <w:pStyle w:val="Normal"/>
        <w:ind w:left="284"/>
        <w:jc w:val="both"/>
        <w:rPr>
          <w:rFonts w:ascii="Calibri" w:hAnsi="Calibri"/>
        </w:rPr>
      </w:pPr>
      <w:r>
        <w:rPr>
          <w:b/>
          <w:bCs/>
        </w:rPr>
        <w:t>12.2.3</w:t>
      </w:r>
      <w:r>
        <w:rPr/>
        <w:t>. Declaração de inidoneidade para licitar e contratar, quando praticadas as condutas descritas nas líneas “e”, “f”, “g” e “h” do item acima deste Contrato, bem como nas alíneas “b”, “c” e “d”, que justifiquem a imposição de penalidade mais grave (art. 156, § 5º, da Lei 14.133/2021).</w:t>
      </w:r>
    </w:p>
    <w:p>
      <w:pPr>
        <w:pStyle w:val="Normal"/>
        <w:ind w:left="284"/>
        <w:jc w:val="both"/>
        <w:rPr>
          <w:rFonts w:ascii="Calibri" w:hAnsi="Calibri"/>
        </w:rPr>
      </w:pPr>
      <w:r>
        <w:rPr>
          <w:b/>
          <w:bCs/>
        </w:rPr>
        <w:t>12.2.4</w:t>
      </w:r>
      <w:r>
        <w:rPr/>
        <w:t>. Multa:</w:t>
      </w:r>
    </w:p>
    <w:p>
      <w:pPr>
        <w:pStyle w:val="Normal"/>
        <w:ind w:left="567"/>
        <w:jc w:val="both"/>
        <w:rPr>
          <w:rFonts w:ascii="Calibri" w:hAnsi="Calibri"/>
        </w:rPr>
      </w:pPr>
      <w:r>
        <w:rPr>
          <w:b/>
          <w:bCs/>
        </w:rPr>
        <w:t>12.2.4.1</w:t>
      </w:r>
      <w:r>
        <w:rPr/>
        <w:t>. Moratória de 1% (um por cento) por dia até o limite de 30 (trinta) dias, sobre o valor total do(s) produto(s) ou serviço(s), pelo atraso na entrega ou entregue(s) com atraso.</w:t>
      </w:r>
    </w:p>
    <w:p>
      <w:pPr>
        <w:pStyle w:val="Normal"/>
        <w:ind w:left="1134"/>
        <w:jc w:val="both"/>
        <w:rPr>
          <w:rFonts w:ascii="Calibri" w:hAnsi="Calibri"/>
        </w:rPr>
      </w:pPr>
      <w:r>
        <w:rPr>
          <w:b/>
          <w:bCs/>
        </w:rPr>
        <w:t>a</w:t>
      </w:r>
      <w:r>
        <w:rPr/>
        <w:t xml:space="preserve">) O atraso superior a 30 (trinta) dias autoriza a Administração a promover a extinção do contrato por descumprimento ou cumprimento irregular de suas cláusulas, conforme dispõe o art. 137, inc. I, da Lei  14.133/2021. </w:t>
      </w:r>
    </w:p>
    <w:p>
      <w:pPr>
        <w:pStyle w:val="Normal"/>
        <w:ind w:left="567"/>
        <w:jc w:val="both"/>
        <w:rPr>
          <w:rFonts w:ascii="Calibri" w:hAnsi="Calibri"/>
        </w:rPr>
      </w:pPr>
      <w:r>
        <w:rPr>
          <w:b/>
          <w:bCs/>
        </w:rPr>
        <w:t>12.2.4.2</w:t>
      </w:r>
      <w:r>
        <w:rPr/>
        <w:t>. Compensatória, para as infrações descritas nas alíneas “e” a “h” do item 12.1, de 15 % (quinze por cento) do valor do Contrato.</w:t>
      </w:r>
    </w:p>
    <w:p>
      <w:pPr>
        <w:pStyle w:val="Normal"/>
        <w:ind w:left="567"/>
        <w:jc w:val="both"/>
        <w:rPr>
          <w:rFonts w:ascii="Calibri" w:hAnsi="Calibri"/>
        </w:rPr>
      </w:pPr>
      <w:r>
        <w:rPr>
          <w:b/>
          <w:bCs/>
        </w:rPr>
        <w:t>12.2.4.3</w:t>
      </w:r>
      <w:r>
        <w:rPr/>
        <w:t xml:space="preserve">. Compensatória, para as infrações previstas nas alíneas “b”, “c” e “d” do item 12.1, de 20% (vinte por cento) do valor do Contrato. </w:t>
      </w:r>
    </w:p>
    <w:p>
      <w:pPr>
        <w:pStyle w:val="Normal"/>
        <w:ind w:left="567"/>
        <w:jc w:val="both"/>
        <w:rPr>
          <w:rFonts w:ascii="Calibri" w:hAnsi="Calibri"/>
        </w:rPr>
      </w:pPr>
      <w:r>
        <w:rPr>
          <w:b/>
          <w:bCs/>
        </w:rPr>
        <w:t>12.2.4.4</w:t>
      </w:r>
      <w:r>
        <w:rPr/>
        <w:t>. Compensatória para infração descrita na alínea “a” do item 12.1, a multa será de 10% (dez por cento)  do valor do Contrato.</w:t>
      </w:r>
    </w:p>
    <w:p>
      <w:pPr>
        <w:pStyle w:val="Normal"/>
        <w:jc w:val="both"/>
        <w:rPr>
          <w:rFonts w:ascii="Calibri" w:hAnsi="Calibri"/>
        </w:rPr>
      </w:pPr>
      <w:r>
        <w:rPr>
          <w:b/>
          <w:bCs/>
        </w:rPr>
        <w:t>12.3</w:t>
      </w:r>
      <w:r>
        <w:rPr/>
        <w:t>. A aplicação das sanções previstas neste não exclui, em hipótese alguma, a obrigação de reparação integral do dano causado ao Contratante (art. 156, § 9º, da Lei 14.133/2021).</w:t>
      </w:r>
    </w:p>
    <w:p>
      <w:pPr>
        <w:pStyle w:val="Normal"/>
        <w:ind w:left="284"/>
        <w:jc w:val="both"/>
        <w:rPr>
          <w:rFonts w:ascii="Calibri" w:hAnsi="Calibri"/>
        </w:rPr>
      </w:pPr>
      <w:r>
        <w:rPr>
          <w:b/>
          <w:bCs/>
        </w:rPr>
        <w:t>12.3.1</w:t>
      </w:r>
      <w:r>
        <w:rPr/>
        <w:t>. Todas as sanções previstas neste poderão ser aplicadas cumulativamente com a multa (art. 156, § 7º, da Lei 14.133/2021).</w:t>
      </w:r>
    </w:p>
    <w:p>
      <w:pPr>
        <w:pStyle w:val="Normal"/>
        <w:ind w:left="284"/>
        <w:jc w:val="both"/>
        <w:rPr>
          <w:rFonts w:ascii="Calibri" w:hAnsi="Calibri"/>
        </w:rPr>
      </w:pPr>
      <w:r>
        <w:rPr>
          <w:b/>
          <w:bCs/>
        </w:rPr>
        <w:t>12.3.2</w:t>
      </w:r>
      <w:r>
        <w:rPr/>
        <w:t>. Antes da aplicação da multa será facultada a defesa do interessado no prazo de 15 (quinze) dias úteis, contado da data de sua intimação (art. 157, da Lei 14.133/2021).</w:t>
      </w:r>
    </w:p>
    <w:p>
      <w:pPr>
        <w:pStyle w:val="Normal"/>
        <w:ind w:left="284"/>
        <w:jc w:val="both"/>
        <w:rPr>
          <w:rFonts w:ascii="Calibri" w:hAnsi="Calibri"/>
        </w:rPr>
      </w:pPr>
      <w:r>
        <w:rPr>
          <w:b/>
          <w:bCs/>
        </w:rPr>
        <w:t>12.3.3</w:t>
      </w:r>
      <w:r>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left="284"/>
        <w:jc w:val="both"/>
        <w:rPr>
          <w:rFonts w:ascii="Calibri" w:hAnsi="Calibri"/>
        </w:rPr>
      </w:pPr>
      <w:r>
        <w:rPr>
          <w:b/>
          <w:bCs/>
        </w:rPr>
        <w:t>12.3.4</w:t>
      </w:r>
      <w:r>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rPr>
      </w:pPr>
      <w:r>
        <w:rPr>
          <w:b/>
          <w:bCs/>
        </w:rPr>
        <w:t>12.4</w:t>
      </w:r>
      <w:r>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rPr>
      </w:pPr>
      <w:r>
        <w:rPr>
          <w:b/>
          <w:bCs/>
        </w:rPr>
        <w:t>12.5</w:t>
      </w:r>
      <w:r>
        <w:rPr/>
        <w:t>. Na aplicação das sanções serão considerados (art. 156, § 1º, da Lei 14.133/2021):</w:t>
      </w:r>
    </w:p>
    <w:p>
      <w:pPr>
        <w:pStyle w:val="Normal"/>
        <w:ind w:left="284"/>
        <w:jc w:val="both"/>
        <w:rPr>
          <w:rFonts w:ascii="Calibri" w:hAnsi="Calibri"/>
        </w:rPr>
      </w:pPr>
      <w:r>
        <w:rPr>
          <w:b/>
          <w:bCs/>
        </w:rPr>
        <w:t>a</w:t>
      </w:r>
      <w:r>
        <w:rPr/>
        <w:t>) a natureza e a gravidade da infração cometida;</w:t>
      </w:r>
    </w:p>
    <w:p>
      <w:pPr>
        <w:pStyle w:val="Normal"/>
        <w:ind w:left="284"/>
        <w:jc w:val="both"/>
        <w:rPr>
          <w:rFonts w:ascii="Calibri" w:hAnsi="Calibri"/>
        </w:rPr>
      </w:pPr>
      <w:r>
        <w:rPr>
          <w:b/>
          <w:bCs/>
        </w:rPr>
        <w:t>b</w:t>
      </w:r>
      <w:r>
        <w:rPr/>
        <w:t>) as peculiaridades do caso concreto;</w:t>
      </w:r>
    </w:p>
    <w:p>
      <w:pPr>
        <w:pStyle w:val="Normal"/>
        <w:ind w:left="284"/>
        <w:jc w:val="both"/>
        <w:rPr>
          <w:rFonts w:ascii="Calibri" w:hAnsi="Calibri"/>
        </w:rPr>
      </w:pPr>
      <w:r>
        <w:rPr>
          <w:b/>
          <w:bCs/>
        </w:rPr>
        <w:t>c</w:t>
      </w:r>
      <w:r>
        <w:rPr/>
        <w:t>) as circunstâncias agravantes ou atenuantes;</w:t>
      </w:r>
    </w:p>
    <w:p>
      <w:pPr>
        <w:pStyle w:val="Normal"/>
        <w:ind w:left="284"/>
        <w:jc w:val="both"/>
        <w:rPr>
          <w:rFonts w:ascii="Calibri" w:hAnsi="Calibri"/>
        </w:rPr>
      </w:pPr>
      <w:r>
        <w:rPr>
          <w:b/>
          <w:bCs/>
        </w:rPr>
        <w:t>d</w:t>
      </w:r>
      <w:r>
        <w:rPr/>
        <w:t>) os danos que dela provierem para o Contratante;</w:t>
      </w:r>
    </w:p>
    <w:p>
      <w:pPr>
        <w:pStyle w:val="Normal"/>
        <w:ind w:left="284"/>
        <w:jc w:val="both"/>
        <w:rPr>
          <w:rFonts w:ascii="Calibri" w:hAnsi="Calibri"/>
        </w:rPr>
      </w:pPr>
      <w:r>
        <w:rPr>
          <w:b/>
          <w:bCs/>
        </w:rPr>
        <w:t>e</w:t>
      </w:r>
      <w:r>
        <w:rPr/>
        <w:t>) a implantação ou o aperfeiçoamento de programa de integridade, conforme normas e orientações dos órgãos de controle.</w:t>
      </w:r>
    </w:p>
    <w:p>
      <w:pPr>
        <w:pStyle w:val="Normal"/>
        <w:jc w:val="both"/>
        <w:rPr>
          <w:rFonts w:ascii="Calibri" w:hAnsi="Calibri"/>
        </w:rPr>
      </w:pPr>
      <w:r>
        <w:rPr>
          <w:b/>
          <w:bCs/>
        </w:rPr>
        <w:t>12.6</w:t>
      </w:r>
      <w:r>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rPr>
      </w:pPr>
      <w:r>
        <w:rPr>
          <w:b/>
          <w:bCs/>
        </w:rPr>
        <w:t>12.7</w:t>
      </w:r>
      <w:r>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rPr>
      </w:pPr>
      <w:r>
        <w:rPr>
          <w:b/>
          <w:bCs/>
        </w:rPr>
        <w:t>12.8</w:t>
      </w:r>
      <w:r>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rPr>
      </w:pPr>
      <w:r>
        <w:rPr>
          <w:b/>
          <w:bCs/>
        </w:rPr>
        <w:t>12.9</w:t>
      </w:r>
      <w:r>
        <w:rPr/>
        <w:t>. As sanções de impedimento de licitar e contratar e declaração de inidoneidade para licitar ou contratar são passíveis de reabilitação na forma do art. 163 da Lei 14.133/2021.</w:t>
      </w:r>
    </w:p>
    <w:p>
      <w:pPr>
        <w:pStyle w:val="Normal"/>
        <w:jc w:val="both"/>
        <w:rPr>
          <w:rFonts w:ascii="Calibri" w:hAnsi="Calibri"/>
        </w:rPr>
      </w:pPr>
      <w:r>
        <w:rPr>
          <w:b/>
          <w:bCs/>
        </w:rPr>
        <w:t>12.10</w:t>
      </w:r>
      <w:r>
        <w:rPr/>
        <w:t>.</w:t>
      </w:r>
      <w:bookmarkStart w:id="3" w:name="_Hlk153021524"/>
      <w:r>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t>.</w:t>
      </w:r>
    </w:p>
    <w:p>
      <w:pPr>
        <w:pStyle w:val="Normal"/>
        <w:jc w:val="both"/>
        <w:rPr>
          <w:rFonts w:ascii="Calibri" w:hAnsi="Calibri"/>
        </w:rPr>
      </w:pPr>
      <w:r>
        <w:rPr/>
      </w:r>
    </w:p>
    <w:tbl>
      <w:tblPr>
        <w:tblW w:w="10536"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shd w:color="auto" w:fill="D9D9D9" w:themeFill="background1" w:themeFillShade="d9" w:val="clear"/>
          </w:tcPr>
          <w:p>
            <w:pPr>
              <w:pStyle w:val="Normal"/>
              <w:jc w:val="both"/>
              <w:rPr>
                <w:rFonts w:ascii="Calibri" w:hAnsi="Calibri"/>
              </w:rPr>
            </w:pPr>
            <w:r>
              <w:rPr>
                <w:rFonts w:cs="Times New Roman"/>
                <w:b/>
                <w:bCs/>
              </w:rPr>
              <w:t>CLÁUSULA DÉCIMA TERCEIRA - DA EXTINÇÃO DO CONTRATO:</w:t>
            </w:r>
          </w:p>
        </w:tc>
      </w:tr>
    </w:tbl>
    <w:p>
      <w:pPr>
        <w:pStyle w:val="Normal"/>
        <w:jc w:val="both"/>
        <w:rPr>
          <w:highlight w:val="cyan"/>
        </w:rPr>
      </w:pPr>
      <w:r>
        <w:rPr>
          <w:highlight w:val="cyan"/>
        </w:rPr>
      </w:r>
    </w:p>
    <w:p>
      <w:pPr>
        <w:pStyle w:val="Normal"/>
        <w:rPr>
          <w:rFonts w:ascii="Calibri" w:hAnsi="Calibri"/>
        </w:rPr>
      </w:pPr>
      <w:r>
        <w:rPr>
          <w:b/>
          <w:bCs/>
        </w:rPr>
        <w:t>13.1</w:t>
      </w:r>
      <w:r>
        <w:rPr/>
        <w:t>. O contrato se extingue quando vencido o prazo nele estipulado, independentemente de terem sido cumpridas ou não as obrigações de ambas as partes contraentes.</w:t>
      </w:r>
    </w:p>
    <w:p>
      <w:pPr>
        <w:pStyle w:val="Normal"/>
        <w:ind w:left="284"/>
        <w:jc w:val="both"/>
        <w:rPr>
          <w:rFonts w:ascii="Calibri" w:hAnsi="Calibri"/>
        </w:rPr>
      </w:pPr>
      <w:r>
        <w:rPr>
          <w:b/>
          <w:bCs/>
        </w:rPr>
        <w:t>13.1.1</w:t>
      </w:r>
      <w:r>
        <w:rPr/>
        <w:t>. O contrato pode ser extinto antes do prazo nele fixado, sem ônus para o Contratante, quando esta não dispuser de créditos orçamentários para sua continuidade ou quando entender que o contrato não mais lhe oferece vantagem.</w:t>
      </w:r>
    </w:p>
    <w:p>
      <w:pPr>
        <w:pStyle w:val="Normal"/>
        <w:ind w:left="284"/>
        <w:jc w:val="both"/>
        <w:rPr>
          <w:rFonts w:ascii="Calibri" w:hAnsi="Calibri"/>
        </w:rPr>
      </w:pPr>
      <w:r>
        <w:rPr>
          <w:b/>
          <w:bCs/>
        </w:rPr>
        <w:t>13.1.2</w:t>
      </w:r>
      <w:r>
        <w:rPr/>
        <w:t>. A extinção nesta hipótese ocorrerá na próxima data de aniversário do contrato, desde que haja a notificação do contratado pelo contratante nesse sentido com pelo menos 2 (dois) meses de antecedência desse dia.</w:t>
      </w:r>
    </w:p>
    <w:p>
      <w:pPr>
        <w:pStyle w:val="Normal"/>
        <w:ind w:left="284"/>
        <w:jc w:val="both"/>
        <w:rPr>
          <w:rFonts w:ascii="Calibri" w:hAnsi="Calibri"/>
        </w:rPr>
      </w:pPr>
      <w:r>
        <w:rPr>
          <w:b/>
          <w:bCs/>
        </w:rPr>
        <w:t>13.1.3</w:t>
      </w:r>
      <w:r>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Calibri" w:hAnsi="Calibri"/>
        </w:rPr>
      </w:pPr>
      <w:r>
        <w:rPr>
          <w:b/>
          <w:bCs/>
        </w:rPr>
        <w:t>13.2</w:t>
      </w:r>
      <w:r>
        <w:rPr/>
        <w:t>. O contrato pode ser extinto antes de cumpridas as obrigações nele estipuladas, ou antes do prazo nele fixado, por algum dos motivos previstos no artigo 137 da Lei 14.133/2021, bem como amigavelmente, assegurados o contraditório e a ampla defesa.</w:t>
      </w:r>
    </w:p>
    <w:p>
      <w:pPr>
        <w:pStyle w:val="Normal"/>
        <w:ind w:left="284"/>
        <w:jc w:val="both"/>
        <w:rPr>
          <w:rFonts w:ascii="Calibri" w:hAnsi="Calibri"/>
        </w:rPr>
      </w:pPr>
      <w:r>
        <w:rPr>
          <w:b/>
          <w:bCs/>
        </w:rPr>
        <w:t>13.2.1</w:t>
      </w:r>
      <w:r>
        <w:rPr/>
        <w:t>. Nesta hipótese, aplicam-se também os artigos 138 e 139 da mesma Lei.</w:t>
      </w:r>
    </w:p>
    <w:p>
      <w:pPr>
        <w:pStyle w:val="Normal"/>
        <w:ind w:left="284"/>
        <w:jc w:val="both"/>
        <w:rPr>
          <w:rFonts w:ascii="Calibri" w:hAnsi="Calibri"/>
        </w:rPr>
      </w:pPr>
      <w:r>
        <w:rPr>
          <w:b/>
          <w:bCs/>
        </w:rPr>
        <w:t>13.2.2</w:t>
      </w:r>
      <w:r>
        <w:rPr/>
        <w:t>. A alteração social ou modificação da finalidade ou da estrutura da empresa não ensejará rescisão se não restringir sua capacidade de concluir o contrato.</w:t>
      </w:r>
    </w:p>
    <w:p>
      <w:pPr>
        <w:pStyle w:val="Normal"/>
        <w:ind w:left="567"/>
        <w:jc w:val="both"/>
        <w:rPr>
          <w:rFonts w:ascii="Calibri" w:hAnsi="Calibri"/>
        </w:rPr>
      </w:pPr>
      <w:r>
        <w:rPr>
          <w:b/>
          <w:bCs/>
        </w:rPr>
        <w:t>13.2.2.1</w:t>
      </w:r>
      <w:r>
        <w:rPr/>
        <w:t>. Se a operação implicar mudança da pessoa jurídica contratada, deverá ser formalizado termo aditivo para alteração subjetiva.</w:t>
      </w:r>
    </w:p>
    <w:p>
      <w:pPr>
        <w:pStyle w:val="Normal"/>
        <w:jc w:val="both"/>
        <w:rPr>
          <w:rFonts w:ascii="Calibri" w:hAnsi="Calibri"/>
        </w:rPr>
      </w:pPr>
      <w:r>
        <w:rPr>
          <w:b/>
          <w:bCs/>
        </w:rPr>
        <w:t>13.3</w:t>
      </w:r>
      <w:r>
        <w:rPr/>
        <w:t>. O termo de extinção, sempre que possível, será precedido:</w:t>
      </w:r>
    </w:p>
    <w:p>
      <w:pPr>
        <w:pStyle w:val="Normal"/>
        <w:ind w:left="284"/>
        <w:jc w:val="both"/>
        <w:rPr>
          <w:rFonts w:ascii="Calibri" w:hAnsi="Calibri"/>
        </w:rPr>
      </w:pPr>
      <w:r>
        <w:rPr>
          <w:b/>
          <w:bCs/>
        </w:rPr>
        <w:t>13.3.1</w:t>
      </w:r>
      <w:r>
        <w:rPr/>
        <w:t>. Balanço dos eventos contratuais já cumpridos ou parcialmente cumpridos;</w:t>
      </w:r>
    </w:p>
    <w:p>
      <w:pPr>
        <w:pStyle w:val="Normal"/>
        <w:ind w:left="284"/>
        <w:jc w:val="both"/>
        <w:rPr>
          <w:rFonts w:ascii="Calibri" w:hAnsi="Calibri"/>
        </w:rPr>
      </w:pPr>
      <w:r>
        <w:rPr>
          <w:b/>
          <w:bCs/>
        </w:rPr>
        <w:t>13.3.2</w:t>
      </w:r>
      <w:r>
        <w:rPr/>
        <w:t>. Relação dos pagamentos já efetuados e ainda devidos;</w:t>
      </w:r>
    </w:p>
    <w:p>
      <w:pPr>
        <w:pStyle w:val="Normal"/>
        <w:ind w:left="284"/>
        <w:jc w:val="both"/>
        <w:rPr>
          <w:rFonts w:ascii="Calibri" w:hAnsi="Calibri"/>
        </w:rPr>
      </w:pPr>
      <w:r>
        <w:rPr>
          <w:b/>
          <w:bCs/>
        </w:rPr>
        <w:t>13.3.3</w:t>
      </w:r>
      <w:r>
        <w:rPr/>
        <w:t>. Indenizações e multas.</w:t>
      </w:r>
    </w:p>
    <w:p>
      <w:pPr>
        <w:pStyle w:val="Normal"/>
        <w:jc w:val="both"/>
        <w:rPr>
          <w:rFonts w:ascii="Calibri" w:hAnsi="Calibri"/>
        </w:rPr>
      </w:pPr>
      <w:r>
        <w:rPr>
          <w:b/>
          <w:bCs/>
        </w:rPr>
        <w:t>13.4</w:t>
      </w:r>
      <w:r>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Calibri" w:hAnsi="Calibri"/>
        </w:rPr>
      </w:pPr>
      <w:r>
        <w:rPr>
          <w:b/>
          <w:bCs/>
        </w:rPr>
        <w:t>13.5</w:t>
      </w:r>
      <w:r>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Calibri" w:hAnsi="Calibri"/>
        </w:rPr>
      </w:pPr>
      <w:r>
        <w:rPr/>
      </w:r>
    </w:p>
    <w:p>
      <w:pPr>
        <w:pStyle w:val="Normal"/>
        <w:jc w:val="both"/>
        <w:rPr>
          <w:rFonts w:ascii="Calibri" w:hAnsi="Calibri"/>
        </w:rPr>
      </w:pPr>
      <w:r>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Times New Roman"/>
                <w:b/>
                <w:bCs/>
              </w:rPr>
              <w:t>CLÁUSULA DÉCIMA QUARTA - DOS CASOS OMISSOS:</w:t>
            </w:r>
          </w:p>
        </w:tc>
      </w:tr>
    </w:tbl>
    <w:p>
      <w:pPr>
        <w:pStyle w:val="Normal"/>
        <w:jc w:val="both"/>
        <w:rPr>
          <w:rFonts w:ascii="Calibri" w:hAnsi="Calibri"/>
        </w:rPr>
      </w:pPr>
      <w:r>
        <w:rPr>
          <w:b/>
          <w:bCs/>
        </w:rPr>
        <w:t>14.1</w:t>
      </w:r>
      <w:r>
        <w:rPr/>
        <w:t>. Os casos omissos serão decididos pela Contratante, segundo as disposições contidas na Lei 14.133/2021, demais normas aplicáveis e normas e princípios gerais dos contratos.</w:t>
      </w:r>
    </w:p>
    <w:p>
      <w:pPr>
        <w:pStyle w:val="Normal"/>
        <w:jc w:val="both"/>
        <w:rPr>
          <w:rFonts w:ascii="Calibri" w:hAnsi="Calibri"/>
        </w:rPr>
      </w:pPr>
      <w:r>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Times New Roman"/>
                <w:b/>
                <w:bCs/>
              </w:rPr>
              <w:t>CLÁUSULA DÉCIMA QUINTA - DAS ALTERAÇÕES:</w:t>
            </w:r>
          </w:p>
        </w:tc>
      </w:tr>
    </w:tbl>
    <w:p>
      <w:pPr>
        <w:pStyle w:val="Normal"/>
        <w:jc w:val="both"/>
        <w:rPr>
          <w:rFonts w:ascii="Calibri" w:hAnsi="Calibri"/>
        </w:rPr>
      </w:pPr>
      <w:r>
        <w:rPr>
          <w:b/>
          <w:bCs/>
        </w:rPr>
        <w:t>15.1</w:t>
      </w:r>
      <w:r>
        <w:rPr/>
        <w:t>. Eventuais alterações contratuais reger-se-ão pela disciplina dos arts. 124 e seguintes da Lei 14.133/2021.</w:t>
      </w:r>
    </w:p>
    <w:p>
      <w:pPr>
        <w:pStyle w:val="Normal"/>
        <w:jc w:val="both"/>
        <w:rPr>
          <w:rFonts w:ascii="Calibri" w:hAnsi="Calibri"/>
        </w:rPr>
      </w:pPr>
      <w:r>
        <w:rPr>
          <w:b/>
          <w:bCs/>
        </w:rPr>
        <w:t>15.2</w:t>
      </w:r>
      <w:r>
        <w:rPr/>
        <w:t>. O Contratado é obrigado a aceitar, nas mesmas condições contratuais, os acréscimos ou supressões que se fizerem necessários, de acordo com o art. 125 da Lei 14.133/2021.</w:t>
      </w:r>
    </w:p>
    <w:p>
      <w:pPr>
        <w:pStyle w:val="Normal"/>
        <w:jc w:val="both"/>
        <w:rPr>
          <w:rFonts w:ascii="Calibri" w:hAnsi="Calibri"/>
        </w:rPr>
      </w:pPr>
      <w:r>
        <w:rPr>
          <w:b/>
          <w:bCs/>
        </w:rPr>
        <w:t>15.3</w:t>
      </w:r>
      <w:r>
        <w:rPr/>
        <w:t>. Registros que não caracterizam alteração do contrato podem ser realizados por simples apostila, dispensada a celebração de termo aditivo, na forma do art. 136 da Lei 14.133/2021.</w:t>
      </w:r>
    </w:p>
    <w:p>
      <w:pPr>
        <w:pStyle w:val="Normal"/>
        <w:jc w:val="both"/>
        <w:rPr>
          <w:rFonts w:ascii="Calibri" w:hAnsi="Calibri"/>
        </w:rPr>
      </w:pPr>
      <w:r>
        <w:rPr/>
      </w:r>
    </w:p>
    <w:tbl>
      <w:tblPr>
        <w:tblW w:w="8500"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jc w:val="both"/>
              <w:rPr>
                <w:rFonts w:ascii="Calibri" w:hAnsi="Calibri"/>
              </w:rPr>
            </w:pPr>
            <w:r>
              <w:rPr>
                <w:rFonts w:cs="Times New Roman"/>
                <w:b/>
                <w:bCs/>
              </w:rPr>
              <w:t>CLÁUSULA DÉCIMA SEXTA - DA PUBLICAÇÃO:</w:t>
            </w:r>
          </w:p>
        </w:tc>
      </w:tr>
    </w:tbl>
    <w:p>
      <w:pPr>
        <w:pStyle w:val="Normal"/>
        <w:jc w:val="both"/>
        <w:rPr>
          <w:rFonts w:ascii="Calibri" w:hAnsi="Calibri"/>
        </w:rPr>
      </w:pPr>
      <w:r>
        <w:rPr>
          <w:b/>
          <w:bCs/>
        </w:rPr>
        <w:t>16.1</w:t>
      </w:r>
      <w:r>
        <w:rPr/>
        <w:t>. Incumbirá ao Contratante providenciar a publicação deste instrumento nos termos e condições previstas na Lei 14.133/2021.</w:t>
      </w:r>
    </w:p>
    <w:p>
      <w:pPr>
        <w:pStyle w:val="Normal"/>
        <w:jc w:val="both"/>
        <w:rPr>
          <w:rFonts w:ascii="Calibri" w:hAnsi="Calibri"/>
        </w:rPr>
      </w:pPr>
      <w:r>
        <w:rPr/>
      </w:r>
    </w:p>
    <w:tbl>
      <w:tblPr>
        <w:tblW w:w="10536"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shd w:color="auto" w:fill="D9D9D9" w:themeFill="background1" w:themeFillShade="d9" w:val="clear"/>
          </w:tcPr>
          <w:p>
            <w:pPr>
              <w:pStyle w:val="Normal"/>
              <w:jc w:val="both"/>
              <w:rPr>
                <w:rFonts w:ascii="Calibri" w:hAnsi="Calibri"/>
              </w:rPr>
            </w:pPr>
            <w:r>
              <w:rPr>
                <w:rFonts w:cs="Times New Roman"/>
                <w:b/>
                <w:bCs/>
              </w:rPr>
              <w:t>CLÁUSULA DÉCIMA SÉTIMA - DO FORO:</w:t>
            </w:r>
          </w:p>
        </w:tc>
      </w:tr>
    </w:tbl>
    <w:p>
      <w:pPr>
        <w:pStyle w:val="Normal"/>
        <w:jc w:val="both"/>
        <w:rPr>
          <w:rFonts w:ascii="Calibri" w:hAnsi="Calibri"/>
        </w:rPr>
      </w:pPr>
      <w:r>
        <w:rPr>
          <w:b/>
          <w:bCs/>
        </w:rPr>
        <w:t>17.1</w:t>
      </w:r>
      <w: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rPr>
      </w:pPr>
      <w:r>
        <w:rPr/>
      </w:r>
    </w:p>
    <w:p>
      <w:pPr>
        <w:pStyle w:val="Normal"/>
        <w:jc w:val="center"/>
        <w:rPr>
          <w:rFonts w:ascii="Calibri" w:hAnsi="Calibri"/>
        </w:rPr>
      </w:pPr>
      <w:r>
        <w:rPr/>
        <w:t>Rio Grande, xxx de xxx de 2024.</w:t>
      </w:r>
    </w:p>
    <w:p>
      <w:pPr>
        <w:pStyle w:val="Normal"/>
        <w:jc w:val="center"/>
        <w:rPr>
          <w:rFonts w:ascii="Calibri" w:hAnsi="Calibri"/>
        </w:rPr>
      </w:pPr>
      <w:r>
        <w:rPr/>
      </w:r>
    </w:p>
    <w:p>
      <w:pPr>
        <w:pStyle w:val="Normal"/>
        <w:jc w:val="center"/>
        <w:rPr>
          <w:rFonts w:ascii="Calibri" w:hAnsi="Calibri"/>
        </w:rPr>
      </w:pPr>
      <w:r>
        <w:rPr/>
        <w:t>Deivid Moraes Mendes</w:t>
      </w:r>
    </w:p>
    <w:p>
      <w:pPr>
        <w:pStyle w:val="Normal"/>
        <w:jc w:val="center"/>
        <w:rPr>
          <w:rFonts w:ascii="Calibri" w:hAnsi="Calibri"/>
        </w:rPr>
      </w:pPr>
      <w:r>
        <w:rPr/>
        <w:t>Secretário de Município de Gestão Administrativa e Licitações</w:t>
      </w:r>
    </w:p>
    <w:p>
      <w:pPr>
        <w:pStyle w:val="Normal"/>
        <w:jc w:val="center"/>
        <w:rPr>
          <w:rFonts w:ascii="Calibri" w:hAnsi="Calibri" w:cs="Calibri Light"/>
        </w:rPr>
      </w:pPr>
      <w:r>
        <w:rPr>
          <w:rFonts w:cs="Calibri Light"/>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jc w:val="both"/>
        <w:rPr>
          <w:rFonts w:ascii="Calibri" w:hAnsi="Calibri"/>
        </w:rPr>
      </w:pPr>
      <w:r>
        <w:rPr/>
      </w:r>
    </w:p>
    <w:p>
      <w:pPr>
        <w:pStyle w:val="Normal"/>
        <w:spacing w:lineRule="auto" w:line="360"/>
        <w:jc w:val="center"/>
        <w:rPr>
          <w:rFonts w:ascii="Calibri" w:hAnsi="Calibri"/>
        </w:rPr>
      </w:pPr>
      <w:r>
        <w:rPr>
          <w:rFonts w:eastAsia="HG Mincho Light J" w:cs="Times New Roman"/>
          <w:b/>
          <w:bCs/>
          <w:color w:val="000000"/>
          <w:lang w:val="pt-PT" w:eastAsia="zh-CN"/>
        </w:rPr>
        <w:t>FISCALIZAÇÃO DO CONTRATO Nº xxx/2024</w:t>
      </w:r>
    </w:p>
    <w:p>
      <w:pPr>
        <w:pStyle w:val="Normal"/>
        <w:spacing w:lineRule="auto" w:line="360"/>
        <w:ind w:left="1416"/>
        <w:jc w:val="center"/>
        <w:rPr>
          <w:rFonts w:ascii="Calibri" w:hAnsi="Calibri" w:eastAsia="HG Mincho Light J" w:cs="Times New Roman"/>
          <w:b/>
          <w:bCs/>
          <w:color w:val="000000"/>
          <w:lang w:val="pt-PT" w:eastAsia="zh-CN"/>
        </w:rPr>
      </w:pPr>
      <w:r>
        <w:rPr>
          <w:rFonts w:eastAsia="HG Mincho Light J" w:cs="Times New Roman"/>
          <w:b/>
          <w:bCs/>
          <w:color w:val="000000"/>
          <w:lang w:val="pt-PT" w:eastAsia="zh-CN"/>
        </w:rPr>
      </w:r>
    </w:p>
    <w:p>
      <w:pPr>
        <w:pStyle w:val="Normal"/>
        <w:suppressAutoHyphens w:val="false"/>
        <w:spacing w:lineRule="auto" w:line="360"/>
        <w:jc w:val="both"/>
        <w:rPr>
          <w:rFonts w:ascii="Calibri" w:hAnsi="Calibri"/>
        </w:rPr>
      </w:pPr>
      <w:r>
        <w:rPr>
          <w:rFonts w:eastAsia="HG Mincho Light J" w:cs="Times New Roman"/>
          <w:color w:val="000000"/>
          <w:lang w:val="pt-PT" w:eastAsia="zh-CN"/>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suppressAutoHyphens w:val="false"/>
        <w:spacing w:lineRule="auto" w:line="360"/>
        <w:jc w:val="both"/>
        <w:rPr>
          <w:rFonts w:ascii="Calibri" w:hAnsi="Calibri"/>
        </w:rPr>
      </w:pPr>
      <w:r>
        <w:rPr>
          <w:rFonts w:eastAsia="HG Mincho Light J" w:cs="Times New Roman"/>
          <w:color w:val="000000"/>
          <w:lang w:val="pt-PT" w:eastAsia="zh-CN"/>
        </w:rPr>
        <w:t>ciente:</w:t>
      </w:r>
    </w:p>
    <w:p>
      <w:pPr>
        <w:pStyle w:val="Normal"/>
        <w:suppressAutoHyphens w:val="false"/>
        <w:spacing w:lineRule="auto" w:line="360"/>
        <w:jc w:val="both"/>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suppressAutoHyphens w:val="false"/>
        <w:spacing w:lineRule="auto" w:line="360"/>
        <w:jc w:val="both"/>
        <w:rPr>
          <w:rFonts w:ascii="Calibri" w:hAnsi="Calibri"/>
        </w:rPr>
      </w:pPr>
      <w:r>
        <w:rPr>
          <w:rFonts w:eastAsia="HG Mincho Light J" w:cs="Times New Roman"/>
          <w:color w:val="000000"/>
          <w:lang w:val="pt-PT" w:eastAsia="zh-CN"/>
        </w:rPr>
        <w:t>_________________________________________</w:t>
      </w:r>
    </w:p>
    <w:p>
      <w:pPr>
        <w:pStyle w:val="Normal"/>
        <w:suppressAutoHyphens w:val="false"/>
        <w:spacing w:lineRule="auto" w:line="360"/>
        <w:jc w:val="both"/>
        <w:rPr>
          <w:rFonts w:ascii="Calibri" w:hAnsi="Calibri"/>
        </w:rPr>
      </w:pPr>
      <w:r>
        <w:rPr>
          <w:rFonts w:eastAsia="HG Mincho Light J" w:cs="Times New Roman"/>
          <w:color w:val="000000"/>
          <w:lang w:val="pt-PT" w:eastAsia="zh-CN"/>
        </w:rPr>
        <w:t>Fiscal do Serviço</w:t>
      </w:r>
    </w:p>
    <w:p>
      <w:pPr>
        <w:pStyle w:val="Normal"/>
        <w:suppressAutoHyphens w:val="false"/>
        <w:spacing w:lineRule="auto" w:line="360"/>
        <w:jc w:val="both"/>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suppressAutoHyphens w:val="false"/>
        <w:spacing w:lineRule="auto" w:line="360"/>
        <w:jc w:val="both"/>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suppressAutoHyphens w:val="false"/>
        <w:spacing w:lineRule="auto" w:line="360"/>
        <w:jc w:val="both"/>
        <w:rPr>
          <w:rFonts w:ascii="Calibri" w:hAnsi="Calibri"/>
        </w:rPr>
      </w:pPr>
      <w:r>
        <w:rPr>
          <w:rFonts w:eastAsia="HG Mincho Light J" w:cs="Times New Roman"/>
          <w:color w:val="000000"/>
          <w:lang w:val="pt-PT" w:eastAsia="zh-CN"/>
        </w:rPr>
        <w:t>________________________________________</w:t>
      </w:r>
    </w:p>
    <w:p>
      <w:pPr>
        <w:pStyle w:val="Normal"/>
        <w:suppressAutoHyphens w:val="false"/>
        <w:spacing w:lineRule="auto" w:line="360"/>
        <w:jc w:val="both"/>
        <w:rPr>
          <w:rFonts w:ascii="Calibri" w:hAnsi="Calibri"/>
        </w:rPr>
      </w:pPr>
      <w:r>
        <w:rPr>
          <w:rFonts w:eastAsia="HG Mincho Light J" w:cs="Times New Roman"/>
          <w:color w:val="000000"/>
          <w:lang w:val="pt-PT" w:eastAsia="zh-CN"/>
        </w:rPr>
        <w:t>Fiscal do contrato</w:t>
      </w:r>
    </w:p>
    <w:p>
      <w:pPr>
        <w:pStyle w:val="Normal"/>
        <w:suppressAutoHyphens w:val="false"/>
        <w:spacing w:lineRule="auto" w:line="360"/>
        <w:ind w:left="1416"/>
        <w:jc w:val="both"/>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jc w:val="center"/>
        <w:rPr>
          <w:rFonts w:ascii="Calibri" w:hAnsi="Calibri"/>
        </w:rPr>
      </w:pPr>
      <w:r>
        <w:rPr>
          <w:b/>
          <w:bCs/>
        </w:rPr>
        <w:t xml:space="preserve">Vinícius </w:t>
      </w:r>
      <w:r>
        <w:rPr>
          <w:rFonts w:eastAsia="HG Mincho Light J"/>
          <w:b/>
          <w:bCs/>
          <w:color w:val="000000"/>
          <w:lang w:val="pt-PT"/>
        </w:rPr>
        <w:t>Moraes da Silva</w:t>
      </w:r>
    </w:p>
    <w:p>
      <w:pPr>
        <w:pStyle w:val="Normal"/>
        <w:jc w:val="center"/>
        <w:rPr/>
      </w:pPr>
      <w:r>
        <w:rPr>
          <w:rStyle w:val="Fontepargpadro2"/>
          <w:rFonts w:eastAsia="HG Mincho Light J" w:cs="Times New Roman"/>
          <w:color w:val="000000"/>
          <w:lang w:val="pt-PT" w:eastAsia="zh-CN"/>
        </w:rPr>
        <w:t>Secretário de Município de Zeladoria da Cidade</w:t>
      </w:r>
    </w:p>
    <w:p>
      <w:pPr>
        <w:pStyle w:val="WW-Padro"/>
        <w:jc w:val="center"/>
        <w:rPr>
          <w:rFonts w:ascii="Calibri" w:hAnsi="Calibri" w:eastAsia="HG Mincho Light J"/>
          <w:color w:val="000000"/>
          <w:sz w:val="24"/>
          <w:szCs w:val="24"/>
          <w:lang w:val="pt-PT"/>
        </w:rPr>
      </w:pPr>
      <w:r>
        <w:rPr>
          <w:rFonts w:eastAsia="HG Mincho Light J" w:ascii="Calibri" w:hAnsi="Calibri"/>
          <w:color w:val="000000"/>
          <w:sz w:val="24"/>
          <w:szCs w:val="24"/>
          <w:lang w:val="pt-PT"/>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jc w:val="center"/>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jc w:val="right"/>
        <w:rPr>
          <w:rFonts w:ascii="Calibri" w:hAnsi="Calibri"/>
        </w:rPr>
      </w:pPr>
      <w:r>
        <w:rPr>
          <w:rFonts w:eastAsia="HG Mincho Light J" w:cs="Times New Roman"/>
          <w:color w:val="000000"/>
          <w:lang w:val="pt-PT" w:eastAsia="zh-CN"/>
        </w:rPr>
        <w:t>Rio Grande, xx de xxxx de 2024.</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jc w:val="right"/>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jc w:val="right"/>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jc w:val="right"/>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jc w:val="center"/>
        <w:rPr>
          <w:rFonts w:ascii="Calibri" w:hAnsi="Calibri"/>
        </w:rPr>
      </w:pPr>
      <w:r>
        <w:rPr>
          <w:rFonts w:eastAsia="HG Mincho Light J" w:cs="Times New Roman"/>
          <w:b/>
          <w:bCs/>
          <w:color w:val="000000"/>
          <w:lang w:val="pt-PT" w:eastAsia="zh-CN"/>
        </w:rPr>
        <w:t>ORDEM DE INÍCIO DOS SERVIÇOS</w:t>
      </w:r>
    </w:p>
    <w:p>
      <w:pPr>
        <w:pStyle w:val="Normal"/>
        <w:ind w:left="1416"/>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ind w:left="1416"/>
        <w:rPr>
          <w:rFonts w:ascii="Calibri" w:hAnsi="Calibri"/>
        </w:rPr>
      </w:pPr>
      <w:r>
        <w:rPr>
          <w:rFonts w:eastAsia="HG Mincho Light J" w:cs="Times New Roman"/>
          <w:color w:val="000000"/>
          <w:lang w:val="pt-PT" w:eastAsia="zh-CN"/>
        </w:rPr>
        <w:tab/>
      </w:r>
    </w:p>
    <w:p>
      <w:pPr>
        <w:pStyle w:val="Normal"/>
        <w:ind w:left="1416"/>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WW-Padro"/>
        <w:rPr>
          <w:rFonts w:ascii="Calibri" w:hAnsi="Calibri"/>
          <w:sz w:val="24"/>
          <w:szCs w:val="24"/>
        </w:rPr>
      </w:pPr>
      <w:r>
        <w:rPr>
          <w:rFonts w:eastAsia="HG Mincho Light J" w:ascii="Calibri" w:hAnsi="Calibri"/>
          <w:b/>
          <w:bCs/>
          <w:color w:val="000000"/>
          <w:sz w:val="24"/>
          <w:szCs w:val="24"/>
          <w:lang w:val="pt-PT"/>
        </w:rPr>
        <w:t>EMPRESA:  xxxx</w:t>
      </w:r>
    </w:p>
    <w:p>
      <w:pPr>
        <w:pStyle w:val="Normal"/>
        <w:ind w:left="1416"/>
        <w:rPr>
          <w:rFonts w:ascii="Calibri" w:hAnsi="Calibri" w:eastAsia="HG Mincho Light J" w:cs="Times New Roman"/>
          <w:b/>
          <w:bCs/>
          <w:color w:val="000000"/>
          <w:lang w:val="pt-PT" w:eastAsia="zh-CN"/>
        </w:rPr>
      </w:pPr>
      <w:r>
        <w:rPr>
          <w:rFonts w:eastAsia="HG Mincho Light J" w:cs="Times New Roman"/>
          <w:b/>
          <w:bCs/>
          <w:color w:val="000000"/>
          <w:lang w:val="pt-PT" w:eastAsia="zh-CN"/>
        </w:rPr>
      </w:r>
    </w:p>
    <w:p>
      <w:pPr>
        <w:pStyle w:val="Normal"/>
        <w:rPr>
          <w:rFonts w:ascii="Calibri" w:hAnsi="Calibri"/>
        </w:rPr>
      </w:pPr>
      <w:r>
        <w:rPr>
          <w:rFonts w:eastAsia="HG Mincho Light J" w:cs="Times New Roman"/>
          <w:b/>
          <w:bCs/>
          <w:color w:val="000000"/>
          <w:lang w:val="pt-PT" w:eastAsia="zh-CN"/>
        </w:rPr>
        <w:t>CONTRATO: xxx/202x</w:t>
      </w:r>
    </w:p>
    <w:p>
      <w:pPr>
        <w:pStyle w:val="Normal"/>
        <w:ind w:left="1416"/>
        <w:rPr>
          <w:rFonts w:ascii="Calibri" w:hAnsi="Calibri" w:eastAsia="HG Mincho Light J" w:cs="Times New Roman"/>
          <w:b/>
          <w:bCs/>
          <w:color w:val="000000"/>
          <w:lang w:val="pt-PT" w:eastAsia="zh-CN"/>
        </w:rPr>
      </w:pPr>
      <w:r>
        <w:rPr>
          <w:rFonts w:eastAsia="HG Mincho Light J" w:cs="Times New Roman"/>
          <w:b/>
          <w:bCs/>
          <w:color w:val="000000"/>
          <w:lang w:val="pt-PT" w:eastAsia="zh-CN"/>
        </w:rPr>
      </w:r>
    </w:p>
    <w:p>
      <w:pPr>
        <w:pStyle w:val="Normal"/>
        <w:rPr>
          <w:rFonts w:ascii="Calibri" w:hAnsi="Calibri"/>
        </w:rPr>
      </w:pPr>
      <w:r>
        <w:rPr>
          <w:rFonts w:eastAsia="HG Mincho Light J" w:cs="Times New Roman"/>
          <w:b/>
          <w:bCs/>
          <w:color w:val="000000"/>
          <w:lang w:val="pt-PT" w:eastAsia="zh-CN"/>
        </w:rPr>
        <w:t>AVISO DE DISPENSA:  xxx/2024</w:t>
      </w:r>
    </w:p>
    <w:p>
      <w:pPr>
        <w:pStyle w:val="Normal"/>
        <w:ind w:left="1416"/>
        <w:jc w:val="both"/>
        <w:rPr>
          <w:rFonts w:ascii="Calibri" w:hAnsi="Calibri" w:eastAsia="HG Mincho Light J" w:cs="Times New Roman"/>
          <w:b/>
          <w:bCs/>
          <w:color w:val="000000"/>
          <w:lang w:val="pt-PT" w:eastAsia="zh-CN"/>
        </w:rPr>
      </w:pPr>
      <w:r>
        <w:rPr>
          <w:rFonts w:eastAsia="HG Mincho Light J" w:cs="Times New Roman"/>
          <w:b/>
          <w:bCs/>
          <w:color w:val="000000"/>
          <w:lang w:val="pt-PT" w:eastAsia="zh-CN"/>
        </w:rPr>
      </w:r>
    </w:p>
    <w:p>
      <w:pPr>
        <w:pStyle w:val="Normal"/>
        <w:jc w:val="both"/>
        <w:rPr>
          <w:rFonts w:ascii="Calibri" w:hAnsi="Calibri"/>
        </w:rPr>
      </w:pPr>
      <w:r>
        <w:rPr>
          <w:rFonts w:eastAsia="HG Mincho Light J" w:cs="Times New Roman"/>
          <w:b/>
          <w:bCs/>
          <w:color w:val="000000"/>
          <w:lang w:val="pt-PT" w:eastAsia="zh-CN"/>
        </w:rPr>
        <w:t xml:space="preserve">OBJETO: </w:t>
      </w:r>
      <w:r>
        <w:rPr>
          <w:rFonts w:eastAsia="HG Mincho Light J" w:cs="Times New Roman"/>
          <w:b/>
          <w:bCs/>
          <w:color w:val="000000"/>
          <w:spacing w:val="-3"/>
          <w:lang w:val="pt-PT" w:eastAsia="zh-CN"/>
        </w:rPr>
        <w:t xml:space="preserve"> </w:t>
      </w:r>
      <w:r>
        <w:rPr>
          <w:rFonts w:eastAsia="HG Mincho Light J" w:cs="Calibri Light" w:cstheme="majorHAnsi"/>
          <w:b/>
          <w:bCs/>
          <w:color w:val="000000"/>
          <w:spacing w:val="-3"/>
          <w:lang w:eastAsia="zh-CN"/>
        </w:rPr>
        <w:t xml:space="preserve"> </w:t>
      </w:r>
      <w:r>
        <w:rPr>
          <w:b/>
          <w:bCs/>
          <w:spacing w:val="-3"/>
        </w:rPr>
        <w:t>EXECUÇÃO DOS SERVIÇOS DE COLETA MANUAL E MECANIZADA, BEM COMO DE TRANSPORTE DE RESÍDUOS SÓLIDOS URBANOS PÚBLICOS E DOMICILIARES – SMZC.</w:t>
      </w:r>
    </w:p>
    <w:p>
      <w:pPr>
        <w:pStyle w:val="Normal"/>
        <w:ind w:left="1416"/>
        <w:rPr>
          <w:rFonts w:ascii="Calibri" w:hAnsi="Calibri" w:eastAsia="HG Mincho Light J" w:cs="Times New Roman"/>
          <w:b/>
          <w:bCs/>
          <w:color w:val="000000"/>
          <w:lang w:val="pt-PT" w:eastAsia="zh-CN"/>
        </w:rPr>
      </w:pPr>
      <w:r>
        <w:rPr>
          <w:rFonts w:eastAsia="HG Mincho Light J" w:cs="Times New Roman"/>
          <w:b/>
          <w:bCs/>
          <w:color w:val="000000"/>
          <w:lang w:val="pt-PT" w:eastAsia="zh-CN"/>
        </w:rPr>
      </w:r>
    </w:p>
    <w:p>
      <w:pPr>
        <w:pStyle w:val="Normal"/>
        <w:rPr>
          <w:rFonts w:ascii="Calibri" w:hAnsi="Calibri"/>
        </w:rPr>
      </w:pPr>
      <w:r>
        <w:rPr>
          <w:rFonts w:eastAsia="HG Mincho Light J" w:cs="Times New Roman"/>
          <w:b/>
          <w:bCs/>
          <w:color w:val="000000"/>
          <w:lang w:val="pt-PT" w:eastAsia="zh-CN"/>
        </w:rPr>
        <w:t>DATA DO INÍCIO: __ / __ / ___.</w:t>
      </w:r>
    </w:p>
    <w:p>
      <w:pPr>
        <w:pStyle w:val="Normal"/>
        <w:ind w:left="1416"/>
        <w:rPr>
          <w:rFonts w:ascii="Calibri" w:hAnsi="Calibri" w:eastAsia="HG Mincho Light J" w:cs="Times New Roman"/>
          <w:b/>
          <w:bCs/>
          <w:color w:val="000000"/>
          <w:lang w:val="pt-PT" w:eastAsia="zh-CN"/>
        </w:rPr>
      </w:pPr>
      <w:r>
        <w:rPr>
          <w:rFonts w:eastAsia="HG Mincho Light J" w:cs="Times New Roman"/>
          <w:b/>
          <w:bCs/>
          <w:color w:val="000000"/>
          <w:lang w:val="pt-PT" w:eastAsia="zh-CN"/>
        </w:rPr>
      </w:r>
    </w:p>
    <w:p>
      <w:pPr>
        <w:pStyle w:val="Normal"/>
        <w:ind w:left="1416"/>
        <w:rPr>
          <w:rFonts w:ascii="Calibri" w:hAnsi="Calibri"/>
        </w:rPr>
      </w:pPr>
      <w:r>
        <w:rPr>
          <w:rFonts w:eastAsia="HG Mincho Light J" w:cs="Times New Roman"/>
          <w:b/>
          <w:bCs/>
          <w:color w:val="000000"/>
          <w:lang w:val="pt-PT" w:eastAsia="zh-CN"/>
        </w:rPr>
        <w:tab/>
        <w:tab/>
      </w:r>
    </w:p>
    <w:p>
      <w:pPr>
        <w:pStyle w:val="Normal"/>
        <w:ind w:left="1416"/>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ind w:left="1416"/>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spacing w:lineRule="auto" w:line="360"/>
        <w:ind w:left="1416"/>
        <w:jc w:val="both"/>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spacing w:lineRule="auto" w:line="360"/>
        <w:ind w:left="1416"/>
        <w:jc w:val="both"/>
        <w:rPr>
          <w:rFonts w:ascii="Calibri" w:hAnsi="Calibri" w:eastAsia="HG Mincho Light J" w:cs="Times New Roman"/>
          <w:color w:val="000000"/>
          <w:lang w:val="pt-PT" w:eastAsia="zh-CN"/>
        </w:rPr>
      </w:pPr>
      <w:r>
        <w:rPr>
          <w:rFonts w:eastAsia="HG Mincho Light J" w:cs="Times New Roman"/>
          <w:color w:val="000000"/>
          <w:lang w:val="pt-PT" w:eastAsia="zh-CN"/>
        </w:rPr>
      </w:r>
    </w:p>
    <w:p>
      <w:pPr>
        <w:pStyle w:val="Normal"/>
        <w:jc w:val="center"/>
        <w:rPr>
          <w:rFonts w:ascii="Calibri" w:hAnsi="Calibri"/>
        </w:rPr>
      </w:pPr>
      <w:r>
        <w:rPr/>
      </w:r>
    </w:p>
    <w:p>
      <w:pPr>
        <w:pStyle w:val="Normal"/>
        <w:jc w:val="center"/>
        <w:rPr>
          <w:rFonts w:ascii="Calibri" w:hAnsi="Calibri"/>
        </w:rPr>
      </w:pPr>
      <w:r>
        <w:rPr>
          <w:rFonts w:cs="Calibri Light" w:cstheme="majorHAnsi"/>
          <w:b/>
          <w:bCs/>
        </w:rPr>
        <w:t>xxxxxxx</w:t>
      </w:r>
    </w:p>
    <w:p>
      <w:pPr>
        <w:pStyle w:val="Normal"/>
        <w:jc w:val="center"/>
        <w:rPr>
          <w:rFonts w:ascii="Calibri" w:hAnsi="Calibri"/>
        </w:rPr>
      </w:pPr>
      <w:r>
        <w:rPr>
          <w:rFonts w:cs="Calibri Light" w:cstheme="majorHAnsi"/>
        </w:rPr>
        <w:t>Contratado</w:t>
      </w:r>
    </w:p>
    <w:p>
      <w:pPr>
        <w:pStyle w:val="Normal"/>
        <w:jc w:val="center"/>
        <w:rPr>
          <w:rFonts w:ascii="Calibri" w:hAnsi="Calibri"/>
        </w:rPr>
      </w:pPr>
      <w:r>
        <w:rPr/>
      </w:r>
    </w:p>
    <w:p>
      <w:pPr>
        <w:pStyle w:val="Normal"/>
        <w:jc w:val="center"/>
        <w:rPr>
          <w:rFonts w:ascii="Calibri" w:hAnsi="Calibri"/>
        </w:rPr>
      </w:pPr>
      <w:r>
        <w:rPr/>
      </w:r>
    </w:p>
    <w:p>
      <w:pPr>
        <w:pStyle w:val="Normal"/>
        <w:jc w:val="center"/>
        <w:rPr>
          <w:rFonts w:ascii="Calibri" w:hAnsi="Calibri"/>
        </w:rPr>
      </w:pPr>
      <w:r>
        <w:rPr/>
      </w:r>
    </w:p>
    <w:p>
      <w:pPr>
        <w:pStyle w:val="Normal"/>
        <w:jc w:val="center"/>
        <w:rPr>
          <w:rFonts w:ascii="Calibri" w:hAnsi="Calibri"/>
        </w:rPr>
      </w:pPr>
      <w:r>
        <w:rPr/>
      </w:r>
    </w:p>
    <w:p>
      <w:pPr>
        <w:pStyle w:val="Normal"/>
        <w:jc w:val="center"/>
        <w:rPr>
          <w:rFonts w:ascii="Calibri" w:hAnsi="Calibri"/>
        </w:rPr>
      </w:pPr>
      <w:r>
        <w:rPr>
          <w:rFonts w:eastAsia="Calibri" w:cs="Calibri Light" w:cstheme="majorHAnsi"/>
          <w:b/>
          <w:bCs/>
          <w:color w:val="000000"/>
        </w:rPr>
        <w:t xml:space="preserve">Vinícius </w:t>
      </w:r>
      <w:r>
        <w:rPr>
          <w:rFonts w:eastAsia="HG Mincho Light J" w:cs="Calibri Light"/>
          <w:b/>
          <w:bCs/>
          <w:color w:val="000000"/>
          <w:lang w:val="pt-PT"/>
        </w:rPr>
        <w:t>Moraes da Silva</w:t>
      </w:r>
    </w:p>
    <w:p>
      <w:pPr>
        <w:pStyle w:val="Normal"/>
        <w:jc w:val="center"/>
        <w:rPr/>
      </w:pPr>
      <w:r>
        <w:rPr>
          <w:rStyle w:val="Fontepargpadro2"/>
          <w:rFonts w:eastAsia="Calibri" w:cs="Calibri Light" w:cstheme="majorHAnsi"/>
          <w:color w:val="000000"/>
        </w:rPr>
        <w:t>Secretário de Município de Zeladoria da Cidade</w:t>
      </w:r>
    </w:p>
    <w:p>
      <w:pPr>
        <w:pStyle w:val="Normal"/>
        <w:jc w:val="center"/>
        <w:rPr>
          <w:rFonts w:ascii="Calibri" w:hAnsi="Calibri" w:eastAsia="Calibri" w:cs="Calibri Light"/>
        </w:rPr>
      </w:pPr>
      <w:r>
        <w:rPr>
          <w:rFonts w:eastAsia="Calibri" w:cs="Calibri Light"/>
        </w:rPr>
      </w:r>
    </w:p>
    <w:p>
      <w:pPr>
        <w:pStyle w:val="Normal"/>
        <w:jc w:val="both"/>
        <w:rPr>
          <w:rFonts w:ascii="Calibri" w:hAnsi="Calibri"/>
        </w:rPr>
      </w:pPr>
      <w:r>
        <w:rPr/>
      </w:r>
    </w:p>
    <w:p>
      <w:pPr>
        <w:pStyle w:val="BodyText"/>
        <w:spacing w:lineRule="auto" w:line="288" w:before="240" w:after="0"/>
        <w:jc w:val="center"/>
        <w:rPr>
          <w:rFonts w:ascii="Calibri" w:hAnsi="Calibri"/>
          <w:color w:val="000000"/>
        </w:rPr>
      </w:pPr>
      <w:r>
        <w:rPr>
          <w:color w:val="000000"/>
        </w:rPr>
      </w:r>
    </w:p>
    <w:p>
      <w:pPr>
        <w:pStyle w:val="BodyText"/>
        <w:spacing w:lineRule="auto" w:line="288" w:before="240" w:after="0"/>
        <w:jc w:val="center"/>
        <w:rPr>
          <w:rFonts w:ascii="Calibri" w:hAnsi="Calibri"/>
          <w:color w:val="000000"/>
        </w:rPr>
      </w:pPr>
      <w:r>
        <w:rPr>
          <w:color w:val="000000"/>
        </w:rPr>
      </w:r>
    </w:p>
    <w:sectPr>
      <w:headerReference w:type="default" r:id="rId3"/>
      <w:footerReference w:type="default" r:id="rId4"/>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Times">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165100" distB="165100" distL="542290" distR="543560" simplePos="0" locked="0" layoutInCell="1" allowOverlap="1" relativeHeight="65" wp14:anchorId="69ADF8BA">
              <wp:simplePos x="0" y="0"/>
              <wp:positionH relativeFrom="column">
                <wp:posOffset>5824220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6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Footer"/>
      <w:ind w:right="360"/>
      <w:rPr>
        <w:b/>
        <w:bCs/>
        <w:color w:val="767171"/>
      </w:rPr>
    </w:pPr>
    <w:r>
      <w:drawing>
        <wp:anchor behindDoc="1" distT="0" distB="0" distL="0" distR="0" simplePos="0" locked="0" layoutInCell="1" allowOverlap="1" relativeHeight="177">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RUA GENERAL OSÓRIO, Nº 467, CENTRO</w:t>
    </w:r>
  </w:p>
  <w:p>
    <w:pPr>
      <w:pStyle w:val="Footer"/>
      <w:rPr>
        <w:b/>
        <w:bCs/>
        <w:color w:val="767171"/>
      </w:rPr>
    </w:pPr>
    <w:r>
      <w:drawing>
        <wp:anchor behindDoc="1" distT="0" distB="0" distL="0" distR="0" simplePos="0" locked="0" layoutInCell="1" allowOverlap="1" relativeHeight="113">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45">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29">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17" wp14:anchorId="154B6775">
              <wp:simplePos x="0" y="0"/>
              <wp:positionH relativeFrom="column">
                <wp:posOffset>-6109335</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0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96" wp14:anchorId="76B9F30E">
              <wp:simplePos x="0" y="0"/>
              <wp:positionH relativeFrom="column">
                <wp:posOffset>3575685</wp:posOffset>
              </wp:positionH>
              <wp:positionV relativeFrom="paragraph">
                <wp:posOffset>410845</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3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33">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1" allowOverlap="1" relativeHeight="49" wp14:anchorId="3F7DB15E">
              <wp:simplePos x="0" y="0"/>
              <wp:positionH relativeFrom="column">
                <wp:posOffset>-4059555</wp:posOffset>
              </wp:positionH>
              <wp:positionV relativeFrom="paragraph">
                <wp:posOffset>-2073275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3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Gestão Administrativa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193"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425"/>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customStyle="1">
    <w:name w:val="Unresolved Mention"/>
    <w:basedOn w:val="DefaultParagraphFont"/>
    <w:uiPriority w:val="99"/>
    <w:semiHidden/>
    <w:unhideWhenUsed/>
    <w:qFormat/>
    <w:rsid w:val="003c4897"/>
    <w:rPr>
      <w:color w:val="605E5C"/>
      <w:shd w:fill="E1DFDD" w:val="clear"/>
    </w:rPr>
  </w:style>
  <w:style w:type="character" w:styleId="Smbolosdenumerao" w:customStyle="1">
    <w:name w:val="Símbolos de numeração"/>
    <w:qFormat/>
    <w:rPr/>
  </w:style>
  <w:style w:type="character" w:styleId="Fontepargpadro2" w:customStyle="1">
    <w:name w:val="Fonte parág. padrão2"/>
    <w:qFormat/>
    <w:rPr/>
  </w:style>
  <w:style w:type="character" w:styleId="Annotationreference">
    <w:name w:val="annotation reference"/>
    <w:basedOn w:val="DefaultParagraphFont"/>
    <w:uiPriority w:val="99"/>
    <w:semiHidden/>
    <w:unhideWhenUsed/>
    <w:qFormat/>
    <w:rsid w:val="00550c4a"/>
    <w:rPr>
      <w:sz w:val="16"/>
      <w:szCs w:val="16"/>
    </w:rPr>
  </w:style>
  <w:style w:type="character" w:styleId="TextodecomentrioChar" w:customStyle="1">
    <w:name w:val="Texto de comentário Char"/>
    <w:basedOn w:val="DefaultParagraphFont"/>
    <w:link w:val="Annotationtext"/>
    <w:uiPriority w:val="99"/>
    <w:semiHidden/>
    <w:qFormat/>
    <w:rsid w:val="00550c4a"/>
    <w:rPr>
      <w:szCs w:val="20"/>
    </w:rPr>
  </w:style>
  <w:style w:type="character" w:styleId="AssuntodocomentrioChar" w:customStyle="1">
    <w:name w:val="Assunto do comentário Char"/>
    <w:basedOn w:val="TextodecomentrioChar"/>
    <w:link w:val="Annotationsubject"/>
    <w:uiPriority w:val="99"/>
    <w:semiHidden/>
    <w:qFormat/>
    <w:rsid w:val="00550c4a"/>
    <w:rPr>
      <w:b/>
      <w:bCs/>
      <w:szCs w:val="20"/>
    </w:rPr>
  </w:style>
  <w:style w:type="character" w:styleId="TextodebaloChar" w:customStyle="1">
    <w:name w:val="Texto de balão Char"/>
    <w:basedOn w:val="DefaultParagraphFont"/>
    <w:link w:val="BalloonText"/>
    <w:uiPriority w:val="99"/>
    <w:semiHidden/>
    <w:qFormat/>
    <w:rsid w:val="00550c4a"/>
    <w:rPr>
      <w:rFonts w:ascii="Segoe UI" w:hAnsi="Segoe UI" w:cs="Segoe UI"/>
      <w:sz w:val="18"/>
      <w:szCs w:val="18"/>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rPr>
  </w:style>
  <w:style w:type="paragraph" w:styleId="CabealhoeRodap" w:customStyle="1">
    <w:name w:val="Cabeçalho e Rodapé"/>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customStyle="1">
    <w:name w:val="Conteúdo do quadro"/>
    <w:basedOn w:val="Normal"/>
    <w:qFormat/>
    <w:pPr/>
    <w:rPr/>
  </w:style>
  <w:style w:type="paragraph" w:styleId="LO-Normal" w:customStyle="1">
    <w:name w:val="LO-Normal"/>
    <w:qFormat/>
    <w:pPr>
      <w:widowControl w:val="false"/>
      <w:suppressAutoHyphens w:val="true"/>
      <w:bidi w:val="0"/>
      <w:spacing w:before="0" w:after="0"/>
      <w:jc w:val="left"/>
      <w:textAlignment w:val="baseline"/>
    </w:pPr>
    <w:rPr>
      <w:rFonts w:ascii="Times;Times New Roman" w:hAnsi="Times;Times New Roman" w:eastAsia="DejaVu Sans" w:cs="DejaVu Sans"/>
      <w:color w:val="auto"/>
      <w:kern w:val="2"/>
      <w:sz w:val="24"/>
      <w:szCs w:val="24"/>
      <w:lang w:val="pt-BR" w:eastAsia="pt-BR" w:bidi="ar-SA"/>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LO-normal1" w:customStyle="1">
    <w:name w:val="LO-normal1"/>
    <w:qFormat/>
    <w:pPr>
      <w:widowControl/>
      <w:suppressAutoHyphens w:val="true"/>
      <w:bidi w:val="0"/>
      <w:spacing w:before="0" w:after="0"/>
      <w:jc w:val="left"/>
    </w:pPr>
    <w:rPr>
      <w:rFonts w:ascii="Calibri" w:hAnsi="Calibri" w:eastAsia="Calibri" w:cs="Calibri" w:asciiTheme="minorHAnsi" w:eastAsiaTheme="minorHAnsi" w:hAnsiTheme="minorHAnsi"/>
      <w:color w:val="auto"/>
      <w:kern w:val="0"/>
      <w:sz w:val="24"/>
      <w:szCs w:val="24"/>
      <w:lang w:val="pt-BR" w:eastAsia="zh-CN" w:bidi="hi-IN"/>
    </w:rPr>
  </w:style>
  <w:style w:type="paragraph" w:styleId="WW-Padro" w:customStyle="1">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Annotationtext">
    <w:name w:val="annotation text"/>
    <w:basedOn w:val="Normal"/>
    <w:link w:val="TextodecomentrioChar"/>
    <w:uiPriority w:val="99"/>
    <w:semiHidden/>
    <w:unhideWhenUsed/>
    <w:qFormat/>
    <w:rsid w:val="00550c4a"/>
    <w:pPr/>
    <w:rPr>
      <w:sz w:val="20"/>
      <w:szCs w:val="20"/>
    </w:rPr>
  </w:style>
  <w:style w:type="paragraph" w:styleId="Annotationsubject">
    <w:name w:val="annotation subject"/>
    <w:basedOn w:val="Annotationtext"/>
    <w:next w:val="Annotationtext"/>
    <w:link w:val="AssuntodocomentrioChar"/>
    <w:uiPriority w:val="99"/>
    <w:semiHidden/>
    <w:unhideWhenUsed/>
    <w:qFormat/>
    <w:rsid w:val="00550c4a"/>
    <w:pPr/>
    <w:rPr>
      <w:b/>
      <w:bCs/>
    </w:rPr>
  </w:style>
  <w:style w:type="paragraph" w:styleId="BalloonText">
    <w:name w:val="Balloon Text"/>
    <w:basedOn w:val="Normal"/>
    <w:link w:val="TextodebaloChar"/>
    <w:uiPriority w:val="99"/>
    <w:semiHidden/>
    <w:unhideWhenUsed/>
    <w:qFormat/>
    <w:rsid w:val="00550c4a"/>
    <w:pPr/>
    <w:rPr>
      <w:rFonts w:ascii="Segoe UI" w:hAnsi="Segoe UI" w:cs="Segoe UI"/>
      <w:sz w:val="18"/>
      <w:szCs w:val="18"/>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rato@gmail.com"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964</TotalTime>
  <Application>LibreOffice/7.6.0.3$Windows_X86_64 LibreOffice_project/69edd8b8ebc41d00b4de3915dc82f8f0fc3b6265</Application>
  <AppVersion>15.0000</AppVersion>
  <Pages>16</Pages>
  <Words>5083</Words>
  <Characters>29256</Characters>
  <CharactersWithSpaces>34143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2024-04-29T19:50:00Z</dcterms:created>
  <dc:creator>Microsoft Office User</dc:creator>
  <dc:description/>
  <dc:language>pt-BR</dc:language>
  <cp:lastModifiedBy/>
  <dcterms:modified xsi:type="dcterms:W3CDTF">2024-05-03T14:53:32Z</dcterms:modified>
  <cp:revision>105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