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A1BCC39" w14:textId="77777777" w:rsidR="00A423F7" w:rsidRDefault="00A423F7">
      <w:pPr>
        <w:jc w:val="both"/>
        <w:rPr>
          <w:rFonts w:ascii="Aptos Narrow" w:hAnsi="Aptos Narrow" w:cs="Calibri Light"/>
          <w:sz w:val="24"/>
          <w:lang w:val="pt-BR"/>
        </w:rPr>
      </w:pPr>
    </w:p>
    <w:p w14:paraId="67766DA9" w14:textId="77777777" w:rsidR="00A423F7" w:rsidRDefault="00000000">
      <w:pPr>
        <w:ind w:left="5103"/>
        <w:jc w:val="both"/>
        <w:rPr>
          <w:rFonts w:ascii="Aptos Narrow" w:hAnsi="Aptos Narrow"/>
          <w:b/>
          <w:bCs/>
          <w:sz w:val="24"/>
        </w:rPr>
      </w:pPr>
      <w:bookmarkStart w:id="0" w:name="_Hlk126598129"/>
      <w:r>
        <w:rPr>
          <w:rFonts w:ascii="Aptos Narrow" w:hAnsi="Aptos Narrow" w:cstheme="majorHAnsi"/>
          <w:b/>
          <w:bCs/>
          <w:sz w:val="24"/>
          <w:lang w:val="pt-BR"/>
        </w:rPr>
        <w:t xml:space="preserve">CONTRATO ADMINISTRATIVO </w:t>
      </w:r>
      <w:r>
        <w:rPr>
          <w:rFonts w:ascii="Aptos Narrow" w:hAnsi="Aptos Narrow" w:cstheme="majorHAnsi"/>
          <w:b/>
          <w:bCs/>
          <w:sz w:val="24"/>
          <w:highlight w:val="yellow"/>
          <w:lang w:val="pt-BR"/>
        </w:rPr>
        <w:t>000/2024</w:t>
      </w:r>
      <w:r>
        <w:rPr>
          <w:rFonts w:ascii="Aptos Narrow" w:hAnsi="Aptos Narrow" w:cstheme="majorHAnsi"/>
          <w:b/>
          <w:bCs/>
          <w:sz w:val="24"/>
          <w:lang w:val="pt-BR"/>
        </w:rPr>
        <w:t>, FIRMADO ENTRE O MUNICÍPIO DO RIO GRANDE/RS, POR INTERMÉDIO DA SECRETARIA DE MUNICÍPIO DE GESTÃO ADMINISTRATIVA E LICITAÇÕES E [</w:t>
      </w:r>
      <w:r>
        <w:rPr>
          <w:rFonts w:ascii="Aptos Narrow" w:hAnsi="Aptos Narrow" w:cstheme="majorHAnsi"/>
          <w:b/>
          <w:bCs/>
          <w:sz w:val="24"/>
          <w:highlight w:val="yellow"/>
          <w:lang w:val="pt-BR"/>
        </w:rPr>
        <w:t>NOME DO CONTRATADO</w:t>
      </w:r>
      <w:r>
        <w:rPr>
          <w:rFonts w:ascii="Aptos Narrow" w:hAnsi="Aptos Narrow" w:cstheme="majorHAnsi"/>
          <w:b/>
          <w:bCs/>
          <w:sz w:val="24"/>
          <w:lang w:val="pt-BR"/>
        </w:rPr>
        <w:t xml:space="preserve">], DE ACORDO COM O </w:t>
      </w:r>
      <w:r>
        <w:rPr>
          <w:rFonts w:ascii="Aptos Narrow" w:hAnsi="Aptos Narrow" w:cstheme="majorHAnsi"/>
          <w:b/>
          <w:bCs/>
          <w:sz w:val="24"/>
          <w:highlight w:val="yellow"/>
          <w:lang w:val="pt-BR"/>
        </w:rPr>
        <w:t>AVISO DE DISPENSA ELETRÔNICA 000/2024</w:t>
      </w:r>
      <w:r>
        <w:rPr>
          <w:rFonts w:ascii="Aptos Narrow" w:hAnsi="Aptos Narrow" w:cstheme="majorHAnsi"/>
          <w:b/>
          <w:bCs/>
          <w:sz w:val="24"/>
          <w:lang w:val="pt-BR"/>
        </w:rPr>
        <w:t xml:space="preserve"> </w:t>
      </w:r>
      <w:r>
        <w:rPr>
          <w:rFonts w:ascii="Aptos Narrow" w:hAnsi="Aptos Narrow" w:cstheme="majorHAnsi"/>
          <w:b/>
          <w:bCs/>
          <w:sz w:val="24"/>
          <w:highlight w:val="cyan"/>
          <w:lang w:val="pt-BR"/>
        </w:rPr>
        <w:t>OU</w:t>
      </w:r>
      <w:r>
        <w:rPr>
          <w:rFonts w:ascii="Aptos Narrow" w:hAnsi="Aptos Narrow" w:cstheme="majorHAnsi"/>
          <w:b/>
          <w:bCs/>
          <w:sz w:val="24"/>
          <w:lang w:val="pt-BR"/>
        </w:rPr>
        <w:t xml:space="preserve"> </w:t>
      </w:r>
      <w:r>
        <w:rPr>
          <w:rFonts w:ascii="Aptos Narrow" w:hAnsi="Aptos Narrow" w:cstheme="majorHAnsi"/>
          <w:b/>
          <w:bCs/>
          <w:sz w:val="24"/>
          <w:highlight w:val="yellow"/>
          <w:lang w:val="pt-BR"/>
        </w:rPr>
        <w:t>AUTORIZAÇÃO DE CONTRATAÇÃO DIRETA 00/2024</w:t>
      </w:r>
      <w:r>
        <w:rPr>
          <w:rFonts w:ascii="Aptos Narrow" w:hAnsi="Aptos Narrow"/>
          <w:b/>
          <w:bCs/>
          <w:sz w:val="24"/>
        </w:rPr>
        <w:t xml:space="preserve"> PARA [</w:t>
      </w:r>
      <w:r>
        <w:rPr>
          <w:rFonts w:ascii="Aptos Narrow" w:hAnsi="Aptos Narrow"/>
          <w:b/>
          <w:bCs/>
          <w:sz w:val="24"/>
          <w:highlight w:val="yellow"/>
        </w:rPr>
        <w:t>PREENCHER RESUMIDAMENTE O OBJETO</w:t>
      </w:r>
      <w:r>
        <w:rPr>
          <w:rFonts w:ascii="Aptos Narrow" w:hAnsi="Aptos Narrow"/>
          <w:b/>
          <w:bCs/>
          <w:sz w:val="24"/>
        </w:rPr>
        <w:t>].</w:t>
      </w:r>
      <w:bookmarkEnd w:id="0"/>
    </w:p>
    <w:p w14:paraId="4559ED1F" w14:textId="77777777" w:rsidR="00A423F7" w:rsidRDefault="00A423F7">
      <w:pPr>
        <w:ind w:left="5103"/>
        <w:jc w:val="both"/>
        <w:rPr>
          <w:rFonts w:ascii="Aptos Narrow" w:hAnsi="Aptos Narrow" w:cs="Calibri Light"/>
          <w:b/>
          <w:bCs/>
          <w:sz w:val="24"/>
          <w:lang w:val="pt-BR"/>
        </w:rPr>
      </w:pPr>
    </w:p>
    <w:p w14:paraId="25EA9A5A" w14:textId="77777777" w:rsidR="00A423F7" w:rsidRDefault="00A423F7">
      <w:pPr>
        <w:jc w:val="both"/>
        <w:rPr>
          <w:rFonts w:ascii="Aptos Narrow" w:hAnsi="Aptos Narrow" w:cs="Calibri Light"/>
          <w:sz w:val="24"/>
          <w:lang w:val="pt-BR"/>
        </w:rPr>
      </w:pPr>
    </w:p>
    <w:p w14:paraId="34302B3D" w14:textId="77777777" w:rsidR="00A423F7" w:rsidRDefault="00A423F7">
      <w:pPr>
        <w:jc w:val="both"/>
        <w:rPr>
          <w:rFonts w:ascii="Aptos Narrow" w:hAnsi="Aptos Narrow" w:cs="Calibri Light"/>
          <w:sz w:val="24"/>
          <w:lang w:val="pt-BR"/>
        </w:rPr>
      </w:pPr>
    </w:p>
    <w:p w14:paraId="36F79402"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CONTRATANTE</w:t>
      </w:r>
      <w:r>
        <w:rPr>
          <w:rFonts w:ascii="Aptos Narrow" w:hAnsi="Aptos Narrow" w:cstheme="majorHAnsi"/>
          <w:sz w:val="24"/>
          <w:lang w:val="pt-BR"/>
        </w:rPr>
        <w:t xml:space="preserve">: </w:t>
      </w:r>
      <w:r>
        <w:rPr>
          <w:rFonts w:ascii="Aptos Narrow" w:hAnsi="Aptos Narrow" w:cstheme="majorHAnsi"/>
          <w:b/>
          <w:bCs/>
          <w:sz w:val="24"/>
          <w:lang w:val="pt-BR"/>
        </w:rPr>
        <w:t>MUNICÍPIO DO RIO GRANDE</w:t>
      </w:r>
      <w:r>
        <w:rPr>
          <w:rFonts w:ascii="Aptos Narrow" w:hAnsi="Aptos Narrow" w:cstheme="majorHAnsi"/>
          <w:sz w:val="24"/>
          <w:lang w:val="pt-BR"/>
        </w:rPr>
        <w:t>, com sede administrativa, sito Largo Eng. João Fernandes Moreira, s/n, inscrito no CNPJ nº 88.566.872/0001-62, neste ato representado, conforme declaração de competência pelo Secretário de Município de Gestão Administrativa e Licitações – SMGAL, Sr. Deivid Moraes Mendes, inscrito no CPF 989.438.470-68.</w:t>
      </w:r>
    </w:p>
    <w:p w14:paraId="52F5EA31" w14:textId="77777777" w:rsidR="00A423F7" w:rsidRDefault="00A423F7">
      <w:pPr>
        <w:jc w:val="both"/>
        <w:rPr>
          <w:rFonts w:ascii="Aptos Narrow" w:hAnsi="Aptos Narrow" w:cs="Calibri Light"/>
          <w:sz w:val="24"/>
          <w:lang w:val="pt-BR"/>
        </w:rPr>
      </w:pPr>
    </w:p>
    <w:p w14:paraId="3F262EFF"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CONTRATADO(A)</w:t>
      </w:r>
      <w:r>
        <w:rPr>
          <w:rFonts w:ascii="Aptos Narrow" w:hAnsi="Aptos Narrow" w:cstheme="majorHAnsi"/>
          <w:sz w:val="24"/>
          <w:lang w:val="pt-BR"/>
        </w:rPr>
        <w:t xml:space="preserve">: ............................., CNPJ/CPF ................., estabelecida no Município de ................, Rua ..............., nº ............., ............., CEP: ........... neste ato representada pelo </w:t>
      </w:r>
      <w:proofErr w:type="spellStart"/>
      <w:r>
        <w:rPr>
          <w:rFonts w:ascii="Aptos Narrow" w:hAnsi="Aptos Narrow" w:cstheme="majorHAnsi"/>
          <w:sz w:val="24"/>
          <w:lang w:val="pt-BR"/>
        </w:rPr>
        <w:t>Sr</w:t>
      </w:r>
      <w:proofErr w:type="spellEnd"/>
      <w:r>
        <w:rPr>
          <w:rFonts w:ascii="Aptos Narrow" w:hAnsi="Aptos Narrow" w:cstheme="majorHAnsi"/>
          <w:sz w:val="24"/>
          <w:lang w:val="pt-BR"/>
        </w:rPr>
        <w:t>(a). ............, na qualidade de ............, portador(a) do CPF ...............</w:t>
      </w:r>
    </w:p>
    <w:p w14:paraId="36E5B445" w14:textId="77777777" w:rsidR="00A423F7" w:rsidRDefault="00A423F7">
      <w:pPr>
        <w:jc w:val="both"/>
        <w:rPr>
          <w:rFonts w:ascii="Aptos Narrow" w:hAnsi="Aptos Narrow" w:cs="Calibri Light"/>
          <w:sz w:val="24"/>
          <w:lang w:val="pt-BR"/>
        </w:rPr>
      </w:pPr>
    </w:p>
    <w:p w14:paraId="2541876C" w14:textId="77777777" w:rsidR="00A423F7" w:rsidRDefault="00000000">
      <w:pPr>
        <w:jc w:val="both"/>
        <w:rPr>
          <w:rFonts w:ascii="Aptos Narrow" w:hAnsi="Aptos Narrow" w:cs="Calibri Light"/>
          <w:sz w:val="24"/>
          <w:lang w:val="pt-BR"/>
        </w:rPr>
      </w:pPr>
      <w:bookmarkStart w:id="1" w:name="_Hlk126598165"/>
      <w:r>
        <w:rPr>
          <w:rFonts w:ascii="Aptos Narrow" w:hAnsi="Aptos Narrow" w:cstheme="majorHAnsi"/>
          <w:sz w:val="24"/>
          <w:lang w:val="pt-BR"/>
        </w:rPr>
        <w:t xml:space="preserve">Tendo em vista o que consta no Processo Administrativo Digital </w:t>
      </w:r>
      <w:r>
        <w:rPr>
          <w:rFonts w:ascii="Aptos Narrow" w:hAnsi="Aptos Narrow" w:cstheme="majorHAnsi"/>
          <w:sz w:val="24"/>
          <w:highlight w:val="yellow"/>
          <w:lang w:val="pt-BR"/>
        </w:rPr>
        <w:t>0000/202X</w:t>
      </w:r>
      <w:r>
        <w:rPr>
          <w:rFonts w:ascii="Aptos Narrow" w:hAnsi="Aptos Narrow" w:cstheme="majorHAnsi"/>
          <w:sz w:val="24"/>
          <w:lang w:val="pt-BR"/>
        </w:rPr>
        <w:t xml:space="preserve"> e em observância às disposições da Lei 14.133, de 1º de abril de 2021, dos Decretos Municipais 19.706, 19.707, ambos de 19/01/2023 e 19.710, de 24/01/2023; resolvem celebrar o presente, decorrente do </w:t>
      </w:r>
      <w:r>
        <w:rPr>
          <w:rFonts w:ascii="Aptos Narrow" w:hAnsi="Aptos Narrow" w:cstheme="majorHAnsi"/>
          <w:sz w:val="24"/>
          <w:highlight w:val="yellow"/>
          <w:lang w:val="pt-BR"/>
        </w:rPr>
        <w:t>Aviso de Dispensa Eletrônica 00/2024</w:t>
      </w:r>
      <w:r>
        <w:rPr>
          <w:rFonts w:ascii="Aptos Narrow" w:hAnsi="Aptos Narrow" w:cstheme="majorHAnsi"/>
          <w:sz w:val="24"/>
          <w:lang w:val="pt-BR"/>
        </w:rPr>
        <w:t xml:space="preserve"> </w:t>
      </w:r>
      <w:r>
        <w:rPr>
          <w:rFonts w:ascii="Aptos Narrow" w:hAnsi="Aptos Narrow" w:cstheme="majorHAnsi"/>
          <w:b/>
          <w:bCs/>
          <w:sz w:val="24"/>
          <w:highlight w:val="cyan"/>
          <w:lang w:val="pt-BR"/>
        </w:rPr>
        <w:t>OU</w:t>
      </w:r>
      <w:r>
        <w:rPr>
          <w:rFonts w:ascii="Aptos Narrow" w:hAnsi="Aptos Narrow" w:cstheme="majorHAnsi"/>
          <w:sz w:val="24"/>
          <w:lang w:val="pt-BR"/>
        </w:rPr>
        <w:t xml:space="preserve"> da </w:t>
      </w:r>
      <w:r>
        <w:rPr>
          <w:rFonts w:ascii="Aptos Narrow" w:hAnsi="Aptos Narrow" w:cstheme="majorHAnsi"/>
          <w:sz w:val="24"/>
          <w:highlight w:val="yellow"/>
          <w:lang w:val="pt-BR"/>
        </w:rPr>
        <w:t>Autorização de Contratação Direta 00/2024</w:t>
      </w:r>
      <w:r>
        <w:rPr>
          <w:rFonts w:ascii="Aptos Narrow" w:hAnsi="Aptos Narrow" w:cstheme="majorHAnsi"/>
          <w:sz w:val="24"/>
          <w:lang w:val="pt-BR"/>
        </w:rPr>
        <w:t>, mediante as cláusulas e condições seguintes:</w:t>
      </w:r>
      <w:bookmarkEnd w:id="1"/>
    </w:p>
    <w:p w14:paraId="5DF4F13B" w14:textId="77777777" w:rsidR="00A423F7" w:rsidRDefault="00A423F7">
      <w:pPr>
        <w:jc w:val="both"/>
        <w:rPr>
          <w:rFonts w:ascii="Aptos Narrow" w:hAnsi="Aptos Narrow" w:cs="Calibri Light"/>
          <w:sz w:val="24"/>
          <w:lang w:val="pt-BR"/>
        </w:rPr>
      </w:pPr>
    </w:p>
    <w:p w14:paraId="18D74AB7"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15B0C9B0" w14:textId="77777777">
        <w:tc>
          <w:tcPr>
            <w:tcW w:w="10490" w:type="dxa"/>
            <w:tcBorders>
              <w:top w:val="nil"/>
              <w:left w:val="nil"/>
              <w:bottom w:val="nil"/>
              <w:right w:val="nil"/>
            </w:tcBorders>
            <w:shd w:val="clear" w:color="auto" w:fill="D9D9D9" w:themeFill="background1" w:themeFillShade="D9"/>
          </w:tcPr>
          <w:p w14:paraId="1659FFA3" w14:textId="77777777" w:rsidR="00A423F7" w:rsidRDefault="00000000">
            <w:pPr>
              <w:widowControl w:val="0"/>
              <w:jc w:val="both"/>
              <w:rPr>
                <w:rFonts w:ascii="Aptos Narrow" w:hAnsi="Aptos Narrow" w:cs="Calibri Light"/>
                <w:sz w:val="24"/>
                <w:lang w:val="pt-BR"/>
              </w:rPr>
            </w:pPr>
            <w:r>
              <w:rPr>
                <w:rFonts w:ascii="Aptos Narrow" w:hAnsi="Aptos Narrow" w:cstheme="majorHAnsi"/>
                <w:b/>
                <w:bCs/>
                <w:sz w:val="24"/>
                <w:lang w:val="pt-BR"/>
              </w:rPr>
              <w:t>CLÁUSULA PRIMEIRA - DO OBJETO</w:t>
            </w:r>
            <w:r>
              <w:rPr>
                <w:rFonts w:ascii="Aptos Narrow" w:hAnsi="Aptos Narrow" w:cstheme="majorHAnsi"/>
                <w:sz w:val="24"/>
                <w:lang w:val="pt-BR"/>
              </w:rPr>
              <w:t xml:space="preserve">: </w:t>
            </w:r>
          </w:p>
        </w:tc>
      </w:tr>
    </w:tbl>
    <w:p w14:paraId="7A3F6646"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1.1</w:t>
      </w:r>
      <w:r>
        <w:rPr>
          <w:rFonts w:ascii="Aptos Narrow" w:hAnsi="Aptos Narrow" w:cstheme="majorHAnsi"/>
          <w:sz w:val="24"/>
          <w:lang w:val="pt-BR"/>
        </w:rPr>
        <w:t xml:space="preserve">. Constitui objeto deste contrato a aquisição de </w:t>
      </w:r>
      <w:r>
        <w:rPr>
          <w:rFonts w:ascii="Aptos Narrow" w:hAnsi="Aptos Narrow" w:cstheme="majorHAnsi"/>
          <w:sz w:val="24"/>
          <w:highlight w:val="yellow"/>
          <w:lang w:val="pt-BR"/>
        </w:rPr>
        <w:t>......</w:t>
      </w:r>
      <w:r>
        <w:rPr>
          <w:rFonts w:ascii="Aptos Narrow" w:hAnsi="Aptos Narrow" w:cstheme="majorHAnsi"/>
          <w:sz w:val="24"/>
          <w:lang w:val="pt-BR"/>
        </w:rPr>
        <w:t>, com fornecimento parcelado, conforme especificações constantes no Termo de Referência (Anexo I), na forma abaixo descrita:</w:t>
      </w:r>
    </w:p>
    <w:p w14:paraId="6D4396B8" w14:textId="77777777" w:rsidR="00A423F7" w:rsidRDefault="00A423F7">
      <w:pPr>
        <w:jc w:val="both"/>
        <w:rPr>
          <w:rFonts w:ascii="Aptos Narrow" w:hAnsi="Aptos Narrow" w:cs="Calibri Light"/>
          <w:sz w:val="24"/>
          <w:lang w:val="pt-BR"/>
        </w:rPr>
      </w:pPr>
    </w:p>
    <w:tbl>
      <w:tblPr>
        <w:tblStyle w:val="Tabelacomgrade"/>
        <w:tblW w:w="10485" w:type="dxa"/>
        <w:tblInd w:w="113" w:type="dxa"/>
        <w:tblLayout w:type="fixed"/>
        <w:tblLook w:val="04A0" w:firstRow="1" w:lastRow="0" w:firstColumn="1" w:lastColumn="0" w:noHBand="0" w:noVBand="1"/>
      </w:tblPr>
      <w:tblGrid>
        <w:gridCol w:w="696"/>
        <w:gridCol w:w="4402"/>
        <w:gridCol w:w="1846"/>
        <w:gridCol w:w="1277"/>
        <w:gridCol w:w="1130"/>
        <w:gridCol w:w="1134"/>
      </w:tblGrid>
      <w:tr w:rsidR="00A423F7" w14:paraId="141C9B61" w14:textId="77777777">
        <w:tc>
          <w:tcPr>
            <w:tcW w:w="695" w:type="dxa"/>
            <w:vAlign w:val="center"/>
          </w:tcPr>
          <w:p w14:paraId="54FA0475" w14:textId="77777777" w:rsidR="00A423F7" w:rsidRDefault="00000000">
            <w:pPr>
              <w:widowControl w:val="0"/>
              <w:jc w:val="center"/>
              <w:rPr>
                <w:rFonts w:ascii="Aptos Narrow" w:hAnsi="Aptos Narrow" w:cs="Calibri Light"/>
                <w:b/>
                <w:bCs/>
                <w:szCs w:val="20"/>
                <w:lang w:val="pt-BR"/>
              </w:rPr>
            </w:pPr>
            <w:r>
              <w:rPr>
                <w:rFonts w:ascii="Aptos Narrow" w:hAnsi="Aptos Narrow" w:cstheme="majorHAnsi"/>
                <w:b/>
                <w:bCs/>
                <w:szCs w:val="20"/>
                <w:lang w:val="pt-BR"/>
              </w:rPr>
              <w:t>Item</w:t>
            </w:r>
          </w:p>
        </w:tc>
        <w:tc>
          <w:tcPr>
            <w:tcW w:w="4402" w:type="dxa"/>
            <w:vAlign w:val="center"/>
          </w:tcPr>
          <w:p w14:paraId="1689E0D6" w14:textId="77777777" w:rsidR="00A423F7" w:rsidRDefault="00000000">
            <w:pPr>
              <w:widowControl w:val="0"/>
              <w:jc w:val="center"/>
              <w:rPr>
                <w:rFonts w:ascii="Aptos Narrow" w:hAnsi="Aptos Narrow" w:cs="Calibri Light"/>
                <w:b/>
                <w:bCs/>
                <w:szCs w:val="20"/>
                <w:lang w:val="pt-BR"/>
              </w:rPr>
            </w:pPr>
            <w:r>
              <w:rPr>
                <w:rFonts w:ascii="Aptos Narrow" w:hAnsi="Aptos Narrow" w:cstheme="majorHAnsi"/>
                <w:b/>
                <w:bCs/>
                <w:szCs w:val="20"/>
                <w:lang w:val="pt-BR"/>
              </w:rPr>
              <w:t>Descrição</w:t>
            </w:r>
          </w:p>
        </w:tc>
        <w:tc>
          <w:tcPr>
            <w:tcW w:w="1846" w:type="dxa"/>
            <w:vAlign w:val="center"/>
          </w:tcPr>
          <w:p w14:paraId="42832D89" w14:textId="77777777" w:rsidR="00A423F7" w:rsidRDefault="00000000">
            <w:pPr>
              <w:widowControl w:val="0"/>
              <w:jc w:val="center"/>
              <w:rPr>
                <w:rFonts w:ascii="Aptos Narrow" w:hAnsi="Aptos Narrow" w:cs="Calibri Light"/>
                <w:b/>
                <w:bCs/>
                <w:szCs w:val="20"/>
                <w:lang w:val="pt-BR"/>
              </w:rPr>
            </w:pPr>
            <w:r>
              <w:rPr>
                <w:rFonts w:ascii="Aptos Narrow" w:hAnsi="Aptos Narrow" w:cstheme="majorHAnsi"/>
                <w:b/>
                <w:bCs/>
                <w:szCs w:val="20"/>
                <w:lang w:val="pt-BR"/>
              </w:rPr>
              <w:t>Unidade de medida</w:t>
            </w:r>
          </w:p>
        </w:tc>
        <w:tc>
          <w:tcPr>
            <w:tcW w:w="1277" w:type="dxa"/>
            <w:vAlign w:val="center"/>
          </w:tcPr>
          <w:p w14:paraId="3D76B8A9" w14:textId="77777777" w:rsidR="00A423F7" w:rsidRDefault="00000000">
            <w:pPr>
              <w:widowControl w:val="0"/>
              <w:jc w:val="center"/>
              <w:rPr>
                <w:rFonts w:ascii="Aptos Narrow" w:hAnsi="Aptos Narrow" w:cs="Calibri Light"/>
                <w:b/>
                <w:bCs/>
                <w:szCs w:val="20"/>
                <w:lang w:val="pt-BR"/>
              </w:rPr>
            </w:pPr>
            <w:r>
              <w:rPr>
                <w:rFonts w:ascii="Aptos Narrow" w:hAnsi="Aptos Narrow" w:cstheme="majorHAnsi"/>
                <w:b/>
                <w:bCs/>
                <w:szCs w:val="20"/>
                <w:lang w:val="pt-BR"/>
              </w:rPr>
              <w:t>Quantidade</w:t>
            </w:r>
          </w:p>
        </w:tc>
        <w:tc>
          <w:tcPr>
            <w:tcW w:w="1130" w:type="dxa"/>
            <w:vAlign w:val="center"/>
          </w:tcPr>
          <w:p w14:paraId="0E9707B6" w14:textId="77777777" w:rsidR="00A423F7" w:rsidRDefault="00000000">
            <w:pPr>
              <w:widowControl w:val="0"/>
              <w:jc w:val="center"/>
              <w:rPr>
                <w:rFonts w:ascii="Aptos Narrow" w:hAnsi="Aptos Narrow" w:cs="Calibri Light"/>
                <w:b/>
                <w:bCs/>
                <w:szCs w:val="20"/>
                <w:lang w:val="pt-BR"/>
              </w:rPr>
            </w:pPr>
            <w:r>
              <w:rPr>
                <w:rFonts w:ascii="Aptos Narrow" w:hAnsi="Aptos Narrow" w:cstheme="majorHAnsi"/>
                <w:b/>
                <w:bCs/>
                <w:szCs w:val="20"/>
                <w:lang w:val="pt-BR"/>
              </w:rPr>
              <w:t>Valor Unit.</w:t>
            </w:r>
          </w:p>
        </w:tc>
        <w:tc>
          <w:tcPr>
            <w:tcW w:w="1134" w:type="dxa"/>
            <w:vAlign w:val="center"/>
          </w:tcPr>
          <w:p w14:paraId="530F7C33" w14:textId="77777777" w:rsidR="00A423F7" w:rsidRDefault="00000000">
            <w:pPr>
              <w:widowControl w:val="0"/>
              <w:jc w:val="center"/>
              <w:rPr>
                <w:rFonts w:ascii="Aptos Narrow" w:hAnsi="Aptos Narrow" w:cs="Calibri Light"/>
                <w:b/>
                <w:bCs/>
                <w:szCs w:val="20"/>
                <w:lang w:val="pt-BR"/>
              </w:rPr>
            </w:pPr>
            <w:r>
              <w:rPr>
                <w:rFonts w:ascii="Aptos Narrow" w:hAnsi="Aptos Narrow" w:cstheme="majorHAnsi"/>
                <w:b/>
                <w:bCs/>
                <w:szCs w:val="20"/>
                <w:lang w:val="pt-BR"/>
              </w:rPr>
              <w:t>Valor Total</w:t>
            </w:r>
          </w:p>
        </w:tc>
      </w:tr>
      <w:tr w:rsidR="00A423F7" w14:paraId="1AE0DEAA" w14:textId="77777777">
        <w:tc>
          <w:tcPr>
            <w:tcW w:w="695" w:type="dxa"/>
          </w:tcPr>
          <w:p w14:paraId="28818C77" w14:textId="77777777" w:rsidR="00A423F7" w:rsidRDefault="00A423F7">
            <w:pPr>
              <w:widowControl w:val="0"/>
              <w:jc w:val="both"/>
              <w:rPr>
                <w:rFonts w:ascii="Aptos Narrow" w:hAnsi="Aptos Narrow" w:cs="Calibri Light"/>
                <w:szCs w:val="20"/>
                <w:lang w:val="pt-BR"/>
              </w:rPr>
            </w:pPr>
          </w:p>
        </w:tc>
        <w:tc>
          <w:tcPr>
            <w:tcW w:w="4402" w:type="dxa"/>
          </w:tcPr>
          <w:p w14:paraId="0CF67BDD" w14:textId="1B9C48A3" w:rsidR="00A423F7" w:rsidRDefault="004842F4">
            <w:pPr>
              <w:widowControl w:val="0"/>
              <w:jc w:val="both"/>
              <w:rPr>
                <w:rFonts w:ascii="Aptos Narrow" w:hAnsi="Aptos Narrow" w:cs="Calibri Light"/>
                <w:szCs w:val="20"/>
                <w:lang w:val="pt-BR"/>
              </w:rPr>
            </w:pPr>
            <w:r w:rsidRPr="004842F4">
              <w:rPr>
                <w:rFonts w:ascii="Aptos Narrow" w:hAnsi="Aptos Narrow" w:cs="Calibri Light"/>
                <w:szCs w:val="20"/>
                <w:lang w:val="pt-BR"/>
              </w:rPr>
              <w:t>Licença de Uso Software Farmácias</w:t>
            </w:r>
          </w:p>
        </w:tc>
        <w:tc>
          <w:tcPr>
            <w:tcW w:w="1846" w:type="dxa"/>
          </w:tcPr>
          <w:p w14:paraId="66FA7D76" w14:textId="77777777" w:rsidR="00A423F7" w:rsidRDefault="00A423F7">
            <w:pPr>
              <w:widowControl w:val="0"/>
              <w:jc w:val="both"/>
              <w:rPr>
                <w:rFonts w:ascii="Aptos Narrow" w:hAnsi="Aptos Narrow" w:cs="Calibri Light"/>
                <w:szCs w:val="20"/>
                <w:lang w:val="pt-BR"/>
              </w:rPr>
            </w:pPr>
          </w:p>
        </w:tc>
        <w:tc>
          <w:tcPr>
            <w:tcW w:w="1277" w:type="dxa"/>
          </w:tcPr>
          <w:p w14:paraId="32AC1034" w14:textId="77777777" w:rsidR="00A423F7" w:rsidRDefault="00A423F7">
            <w:pPr>
              <w:widowControl w:val="0"/>
              <w:jc w:val="both"/>
              <w:rPr>
                <w:rFonts w:ascii="Aptos Narrow" w:hAnsi="Aptos Narrow" w:cs="Calibri Light"/>
                <w:szCs w:val="20"/>
                <w:lang w:val="pt-BR"/>
              </w:rPr>
            </w:pPr>
          </w:p>
        </w:tc>
        <w:tc>
          <w:tcPr>
            <w:tcW w:w="1130" w:type="dxa"/>
          </w:tcPr>
          <w:p w14:paraId="0DF669CB" w14:textId="77777777" w:rsidR="00A423F7" w:rsidRDefault="00A423F7">
            <w:pPr>
              <w:widowControl w:val="0"/>
              <w:jc w:val="both"/>
              <w:rPr>
                <w:rFonts w:ascii="Aptos Narrow" w:hAnsi="Aptos Narrow" w:cs="Calibri Light"/>
                <w:szCs w:val="20"/>
                <w:lang w:val="pt-BR"/>
              </w:rPr>
            </w:pPr>
          </w:p>
        </w:tc>
        <w:tc>
          <w:tcPr>
            <w:tcW w:w="1134" w:type="dxa"/>
          </w:tcPr>
          <w:p w14:paraId="41454E7D" w14:textId="77777777" w:rsidR="00A423F7" w:rsidRDefault="00A423F7">
            <w:pPr>
              <w:widowControl w:val="0"/>
              <w:jc w:val="both"/>
              <w:rPr>
                <w:rFonts w:ascii="Aptos Narrow" w:hAnsi="Aptos Narrow" w:cs="Calibri Light"/>
                <w:szCs w:val="20"/>
                <w:lang w:val="pt-BR"/>
              </w:rPr>
            </w:pPr>
          </w:p>
        </w:tc>
      </w:tr>
    </w:tbl>
    <w:p w14:paraId="3FCADDA6" w14:textId="77777777" w:rsidR="00A423F7" w:rsidRDefault="00A423F7">
      <w:pPr>
        <w:jc w:val="both"/>
        <w:rPr>
          <w:rFonts w:ascii="Aptos Narrow" w:hAnsi="Aptos Narrow" w:cs="Calibri Light"/>
          <w:sz w:val="24"/>
          <w:lang w:val="pt-BR"/>
        </w:rPr>
      </w:pPr>
    </w:p>
    <w:p w14:paraId="64A6047E"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1.2</w:t>
      </w:r>
      <w:r>
        <w:rPr>
          <w:rFonts w:ascii="Aptos Narrow" w:hAnsi="Aptos Narrow" w:cstheme="majorHAnsi"/>
          <w:sz w:val="24"/>
          <w:lang w:val="pt-BR"/>
        </w:rPr>
        <w:t>. São anexos a este instrumento e vinculam esta contratação, independentemente de transcrição:</w:t>
      </w:r>
    </w:p>
    <w:p w14:paraId="500731C9"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1.2.1</w:t>
      </w:r>
      <w:r>
        <w:rPr>
          <w:rFonts w:ascii="Aptos Narrow" w:hAnsi="Aptos Narrow" w:cstheme="majorHAnsi"/>
          <w:sz w:val="24"/>
          <w:lang w:val="pt-BR"/>
        </w:rPr>
        <w:t>. O Termo de Referência que embasou a contratação.</w:t>
      </w:r>
    </w:p>
    <w:p w14:paraId="3F0DC7F5"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1.2.2</w:t>
      </w:r>
      <w:r>
        <w:rPr>
          <w:rFonts w:ascii="Aptos Narrow" w:hAnsi="Aptos Narrow" w:cstheme="majorHAnsi"/>
          <w:sz w:val="24"/>
          <w:lang w:val="pt-BR"/>
        </w:rPr>
        <w:t xml:space="preserve">. O </w:t>
      </w:r>
      <w:r>
        <w:rPr>
          <w:rFonts w:ascii="Aptos Narrow" w:hAnsi="Aptos Narrow" w:cstheme="majorHAnsi"/>
          <w:sz w:val="24"/>
          <w:highlight w:val="yellow"/>
          <w:lang w:val="pt-BR"/>
        </w:rPr>
        <w:t>Aviso de Dispensa Eletrônica</w:t>
      </w:r>
      <w:r>
        <w:rPr>
          <w:rFonts w:ascii="Aptos Narrow" w:hAnsi="Aptos Narrow" w:cstheme="majorHAnsi"/>
          <w:sz w:val="24"/>
          <w:lang w:val="pt-BR"/>
        </w:rPr>
        <w:t xml:space="preserve"> </w:t>
      </w:r>
      <w:r>
        <w:rPr>
          <w:rFonts w:ascii="Aptos Narrow" w:hAnsi="Aptos Narrow" w:cstheme="majorHAnsi"/>
          <w:b/>
          <w:bCs/>
          <w:sz w:val="24"/>
          <w:highlight w:val="cyan"/>
          <w:lang w:val="pt-BR"/>
        </w:rPr>
        <w:t>OU</w:t>
      </w:r>
      <w:r>
        <w:rPr>
          <w:rFonts w:ascii="Aptos Narrow" w:hAnsi="Aptos Narrow" w:cstheme="majorHAnsi"/>
          <w:sz w:val="24"/>
          <w:lang w:val="pt-BR"/>
        </w:rPr>
        <w:t xml:space="preserve"> </w:t>
      </w:r>
      <w:r>
        <w:rPr>
          <w:rFonts w:ascii="Aptos Narrow" w:hAnsi="Aptos Narrow" w:cstheme="majorHAnsi"/>
          <w:sz w:val="24"/>
          <w:highlight w:val="yellow"/>
          <w:lang w:val="pt-BR"/>
        </w:rPr>
        <w:t>Autorização de Contratação Direta</w:t>
      </w:r>
      <w:r>
        <w:rPr>
          <w:rFonts w:ascii="Aptos Narrow" w:hAnsi="Aptos Narrow" w:cstheme="majorHAnsi"/>
          <w:sz w:val="24"/>
          <w:lang w:val="pt-BR"/>
        </w:rPr>
        <w:t>.</w:t>
      </w:r>
    </w:p>
    <w:p w14:paraId="0EBCD6FA"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1.2.3</w:t>
      </w:r>
      <w:r>
        <w:rPr>
          <w:rFonts w:ascii="Aptos Narrow" w:hAnsi="Aptos Narrow" w:cstheme="majorHAnsi"/>
          <w:sz w:val="24"/>
          <w:lang w:val="pt-BR"/>
        </w:rPr>
        <w:t>. A Proposta do Contratado.</w:t>
      </w:r>
    </w:p>
    <w:p w14:paraId="7D8FE78B"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1.2.4</w:t>
      </w:r>
      <w:r>
        <w:rPr>
          <w:rFonts w:ascii="Aptos Narrow" w:hAnsi="Aptos Narrow" w:cstheme="majorHAnsi"/>
          <w:sz w:val="24"/>
          <w:lang w:val="pt-BR"/>
        </w:rPr>
        <w:t>. Eventuais anexos dos documentos supracitados.</w:t>
      </w:r>
    </w:p>
    <w:p w14:paraId="14B2BE94"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1.3</w:t>
      </w:r>
      <w:r>
        <w:rPr>
          <w:rFonts w:ascii="Aptos Narrow" w:hAnsi="Aptos Narrow" w:cstheme="majorHAnsi"/>
          <w:sz w:val="24"/>
          <w:lang w:val="pt-BR"/>
        </w:rPr>
        <w:t>. O regime de execução contratual será o de [</w:t>
      </w:r>
      <w:r>
        <w:rPr>
          <w:rFonts w:ascii="Aptos Narrow" w:hAnsi="Aptos Narrow" w:cstheme="majorHAnsi"/>
          <w:sz w:val="24"/>
          <w:highlight w:val="yellow"/>
          <w:lang w:val="pt-BR"/>
        </w:rPr>
        <w:t>preencher</w:t>
      </w:r>
      <w:r>
        <w:rPr>
          <w:rFonts w:ascii="Aptos Narrow" w:hAnsi="Aptos Narrow" w:cstheme="majorHAnsi"/>
          <w:sz w:val="24"/>
          <w:lang w:val="pt-BR"/>
        </w:rPr>
        <w:t>].</w:t>
      </w:r>
    </w:p>
    <w:p w14:paraId="2845E9A4"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167F1F0F" w14:textId="77777777">
        <w:tc>
          <w:tcPr>
            <w:tcW w:w="10490" w:type="dxa"/>
            <w:tcBorders>
              <w:top w:val="nil"/>
              <w:left w:val="nil"/>
              <w:bottom w:val="nil"/>
              <w:right w:val="nil"/>
            </w:tcBorders>
            <w:shd w:val="clear" w:color="auto" w:fill="D9D9D9" w:themeFill="background1" w:themeFillShade="D9"/>
          </w:tcPr>
          <w:p w14:paraId="1D21030F"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SEGUNDA - DA VIGÊNCIA E PRORROGAÇÃO</w:t>
            </w:r>
            <w:r>
              <w:rPr>
                <w:rFonts w:ascii="Aptos Narrow" w:hAnsi="Aptos Narrow" w:cstheme="majorHAnsi"/>
                <w:sz w:val="24"/>
                <w:lang w:val="pt-BR"/>
              </w:rPr>
              <w:t>:</w:t>
            </w:r>
          </w:p>
        </w:tc>
      </w:tr>
    </w:tbl>
    <w:p w14:paraId="2F4B1BD2" w14:textId="77777777" w:rsidR="00A423F7" w:rsidRDefault="00000000">
      <w:pPr>
        <w:jc w:val="both"/>
        <w:rPr>
          <w:rFonts w:ascii="Aptos Narrow" w:hAnsi="Aptos Narrow"/>
          <w:sz w:val="24"/>
        </w:rPr>
      </w:pPr>
      <w:r>
        <w:rPr>
          <w:rFonts w:ascii="Aptos Narrow" w:hAnsi="Aptos Narrow"/>
          <w:b/>
          <w:bCs/>
          <w:sz w:val="24"/>
        </w:rPr>
        <w:t>2.1</w:t>
      </w:r>
      <w:r>
        <w:rPr>
          <w:rFonts w:ascii="Aptos Narrow" w:hAnsi="Aptos Narrow"/>
          <w:sz w:val="24"/>
        </w:rPr>
        <w:t xml:space="preserve">. O Contrato terá vigência de </w:t>
      </w:r>
      <w:r>
        <w:rPr>
          <w:rFonts w:ascii="Aptos Narrow" w:hAnsi="Aptos Narrow"/>
          <w:sz w:val="24"/>
          <w:highlight w:val="yellow"/>
        </w:rPr>
        <w:t>00</w:t>
      </w:r>
      <w:r>
        <w:rPr>
          <w:rFonts w:ascii="Aptos Narrow" w:hAnsi="Aptos Narrow"/>
          <w:sz w:val="24"/>
        </w:rPr>
        <w:t xml:space="preserve"> (</w:t>
      </w:r>
      <w:r>
        <w:rPr>
          <w:rFonts w:ascii="Aptos Narrow" w:hAnsi="Aptos Narrow"/>
          <w:sz w:val="24"/>
          <w:highlight w:val="yellow"/>
        </w:rPr>
        <w:t>meses por extenso</w:t>
      </w:r>
      <w:r>
        <w:rPr>
          <w:rFonts w:ascii="Aptos Narrow" w:hAnsi="Aptos Narrow"/>
          <w:sz w:val="24"/>
        </w:rPr>
        <w:t xml:space="preserve">), contados de </w:t>
      </w:r>
      <w:r>
        <w:rPr>
          <w:rFonts w:ascii="Aptos Narrow" w:hAnsi="Aptos Narrow"/>
          <w:sz w:val="24"/>
          <w:highlight w:val="yellow"/>
        </w:rPr>
        <w:t>00/00/00</w:t>
      </w:r>
      <w:r>
        <w:rPr>
          <w:rFonts w:ascii="Aptos Narrow" w:hAnsi="Aptos Narrow"/>
          <w:sz w:val="24"/>
        </w:rPr>
        <w:t xml:space="preserve"> a </w:t>
      </w:r>
      <w:r>
        <w:rPr>
          <w:rFonts w:ascii="Aptos Narrow" w:hAnsi="Aptos Narrow"/>
          <w:sz w:val="24"/>
          <w:highlight w:val="yellow"/>
        </w:rPr>
        <w:t>00/00/00</w:t>
      </w:r>
      <w:r>
        <w:rPr>
          <w:rFonts w:ascii="Aptos Narrow" w:hAnsi="Aptos Narrow"/>
          <w:sz w:val="24"/>
        </w:rPr>
        <w:t>, podendo ser prorrogado, por até 10 anos, desde que satisfeitos os requisitos dos arts. 106 e 107 da Lei 14.133/2021.</w:t>
      </w:r>
    </w:p>
    <w:p w14:paraId="6F77070D" w14:textId="77777777" w:rsidR="00A423F7" w:rsidRDefault="00000000">
      <w:pPr>
        <w:ind w:left="284"/>
        <w:jc w:val="both"/>
        <w:rPr>
          <w:rFonts w:ascii="Aptos Narrow" w:hAnsi="Aptos Narrow"/>
          <w:sz w:val="24"/>
        </w:rPr>
      </w:pPr>
      <w:r>
        <w:rPr>
          <w:rFonts w:ascii="Aptos Narrow" w:hAnsi="Aptos Narrow"/>
          <w:b/>
          <w:bCs/>
          <w:sz w:val="24"/>
        </w:rPr>
        <w:lastRenderedPageBreak/>
        <w:t>2.1.1</w:t>
      </w:r>
      <w:r>
        <w:rPr>
          <w:rFonts w:ascii="Aptos Narrow" w:hAnsi="Aptos Narrow"/>
          <w:sz w:val="24"/>
        </w:rPr>
        <w:t>. A prorrogação de que trata este item é condicionada ao ateste, pela autoridade competente, de que as condições e os preços permanecem vantajosos para a Administração, permitida a negociação com o contratado.</w:t>
      </w:r>
    </w:p>
    <w:p w14:paraId="44566DAA" w14:textId="77777777" w:rsidR="00A423F7" w:rsidRDefault="00000000">
      <w:pPr>
        <w:jc w:val="both"/>
        <w:rPr>
          <w:rFonts w:ascii="Aptos Narrow" w:hAnsi="Aptos Narrow"/>
          <w:sz w:val="24"/>
        </w:rPr>
      </w:pPr>
      <w:r>
        <w:rPr>
          <w:rFonts w:ascii="Aptos Narrow" w:hAnsi="Aptos Narrow"/>
          <w:b/>
          <w:bCs/>
          <w:sz w:val="24"/>
        </w:rPr>
        <w:t>2.2</w:t>
      </w:r>
      <w:r>
        <w:rPr>
          <w:rFonts w:ascii="Aptos Narrow" w:hAnsi="Aptos Narrow"/>
          <w:sz w:val="24"/>
        </w:rPr>
        <w:t>. O contratado não tem direito subjetivo à prorrogação contratual.</w:t>
      </w:r>
    </w:p>
    <w:p w14:paraId="42B9FAFC" w14:textId="77777777" w:rsidR="00A423F7" w:rsidRDefault="00000000">
      <w:pPr>
        <w:jc w:val="both"/>
        <w:rPr>
          <w:rFonts w:ascii="Aptos Narrow" w:hAnsi="Aptos Narrow"/>
          <w:sz w:val="24"/>
        </w:rPr>
      </w:pPr>
      <w:r>
        <w:rPr>
          <w:rFonts w:ascii="Aptos Narrow" w:hAnsi="Aptos Narrow"/>
          <w:b/>
          <w:bCs/>
          <w:sz w:val="24"/>
        </w:rPr>
        <w:t>2.3</w:t>
      </w:r>
      <w:r>
        <w:rPr>
          <w:rFonts w:ascii="Aptos Narrow" w:hAnsi="Aptos Narrow"/>
          <w:sz w:val="24"/>
        </w:rPr>
        <w:t>. A prorrogação de contrato deverá ser promovida mediante celebração de termo aditivo.</w:t>
      </w:r>
    </w:p>
    <w:p w14:paraId="73DE626C" w14:textId="77777777" w:rsidR="00A423F7" w:rsidRDefault="00000000">
      <w:pPr>
        <w:jc w:val="both"/>
        <w:rPr>
          <w:rFonts w:ascii="Aptos Narrow" w:hAnsi="Aptos Narrow"/>
          <w:sz w:val="24"/>
        </w:rPr>
      </w:pPr>
      <w:r>
        <w:rPr>
          <w:rFonts w:ascii="Aptos Narrow" w:hAnsi="Aptos Narrow"/>
          <w:b/>
          <w:bCs/>
          <w:sz w:val="24"/>
        </w:rPr>
        <w:t>2.4</w:t>
      </w:r>
      <w:r>
        <w:rPr>
          <w:rFonts w:ascii="Aptos Narrow" w:hAnsi="Aptos Narrow"/>
          <w:sz w:val="24"/>
        </w:rPr>
        <w:t>. O contrato não poderá ser prorrogado quando o contratado tiver sido penalizado nas sanções de declaração de inidoneidade ou impedimento de licitar e contratar com poder público, observadas as abrangências de aplicação.</w:t>
      </w:r>
    </w:p>
    <w:p w14:paraId="1132F294"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53165590" w14:textId="77777777">
        <w:tc>
          <w:tcPr>
            <w:tcW w:w="10490" w:type="dxa"/>
            <w:tcBorders>
              <w:top w:val="nil"/>
              <w:left w:val="nil"/>
              <w:bottom w:val="nil"/>
              <w:right w:val="nil"/>
            </w:tcBorders>
            <w:shd w:val="clear" w:color="auto" w:fill="D9D9D9" w:themeFill="background1" w:themeFillShade="D9"/>
          </w:tcPr>
          <w:p w14:paraId="6A90E10B"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TERCEIRA - DO PREÇO</w:t>
            </w:r>
            <w:r>
              <w:rPr>
                <w:rFonts w:ascii="Aptos Narrow" w:hAnsi="Aptos Narrow" w:cstheme="majorHAnsi"/>
                <w:sz w:val="24"/>
                <w:lang w:val="pt-BR"/>
              </w:rPr>
              <w:t>:</w:t>
            </w:r>
          </w:p>
        </w:tc>
      </w:tr>
    </w:tbl>
    <w:p w14:paraId="090BB32E" w14:textId="77777777" w:rsidR="00A423F7" w:rsidRDefault="00000000">
      <w:pPr>
        <w:jc w:val="both"/>
        <w:rPr>
          <w:rFonts w:ascii="Aptos Narrow" w:hAnsi="Aptos Narrow"/>
          <w:sz w:val="24"/>
        </w:rPr>
      </w:pPr>
      <w:r>
        <w:rPr>
          <w:rFonts w:ascii="Aptos Narrow" w:hAnsi="Aptos Narrow"/>
          <w:sz w:val="24"/>
        </w:rPr>
        <w:t>[</w:t>
      </w:r>
      <w:r>
        <w:rPr>
          <w:rFonts w:ascii="Aptos Narrow" w:hAnsi="Aptos Narrow"/>
          <w:b/>
          <w:bCs/>
          <w:sz w:val="24"/>
          <w:highlight w:val="green"/>
        </w:rPr>
        <w:t>utilizar quando for fornecimento para entrega parcelada (fornecimento contínuo)</w:t>
      </w:r>
      <w:r>
        <w:rPr>
          <w:rFonts w:ascii="Aptos Narrow" w:hAnsi="Aptos Narrow"/>
          <w:sz w:val="24"/>
        </w:rPr>
        <w:t>]</w:t>
      </w:r>
    </w:p>
    <w:p w14:paraId="20E5AE40" w14:textId="77777777" w:rsidR="00A423F7" w:rsidRDefault="00000000">
      <w:pPr>
        <w:jc w:val="both"/>
        <w:rPr>
          <w:rFonts w:ascii="Aptos Narrow" w:hAnsi="Aptos Narrow"/>
          <w:sz w:val="24"/>
        </w:rPr>
      </w:pPr>
      <w:r>
        <w:rPr>
          <w:rFonts w:ascii="Aptos Narrow" w:hAnsi="Aptos Narrow"/>
          <w:b/>
          <w:bCs/>
          <w:sz w:val="24"/>
        </w:rPr>
        <w:t>3.1</w:t>
      </w:r>
      <w:r>
        <w:rPr>
          <w:rFonts w:ascii="Aptos Narrow" w:hAnsi="Aptos Narrow"/>
          <w:sz w:val="24"/>
        </w:rPr>
        <w:t xml:space="preserve">. O valor mensal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 xml:space="preserve">), perfazendo o valor total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 para o período inicial contratado.</w:t>
      </w:r>
    </w:p>
    <w:p w14:paraId="265A8C1E" w14:textId="77777777" w:rsidR="00A423F7" w:rsidRDefault="00000000">
      <w:pPr>
        <w:ind w:left="284"/>
        <w:jc w:val="both"/>
        <w:rPr>
          <w:rFonts w:ascii="Aptos Narrow" w:hAnsi="Aptos Narrow"/>
          <w:sz w:val="24"/>
        </w:rPr>
      </w:pPr>
      <w:r>
        <w:rPr>
          <w:rFonts w:ascii="Aptos Narrow" w:hAnsi="Aptos Narrow"/>
          <w:b/>
          <w:bCs/>
          <w:sz w:val="24"/>
        </w:rPr>
        <w:t>3.1.1</w:t>
      </w:r>
      <w:r>
        <w:rPr>
          <w:rFonts w:ascii="Aptos Narrow" w:hAnsi="Aptos Narrow"/>
          <w:sz w:val="24"/>
        </w:rPr>
        <w:t>. O valor acima é meramente estimativo, de forma que os pagamentos devidos ao contratado dependerão dos quantitativos efetivamente fornecidos.</w:t>
      </w:r>
    </w:p>
    <w:p w14:paraId="7ABE1D95" w14:textId="77777777" w:rsidR="00A423F7" w:rsidRDefault="00000000">
      <w:pPr>
        <w:jc w:val="both"/>
        <w:rPr>
          <w:rFonts w:ascii="Aptos Narrow" w:hAnsi="Aptos Narrow"/>
          <w:sz w:val="24"/>
        </w:rPr>
      </w:pPr>
      <w:r>
        <w:rPr>
          <w:rFonts w:ascii="Aptos Narrow" w:hAnsi="Aptos Narrow"/>
          <w:b/>
          <w:bCs/>
          <w:sz w:val="24"/>
        </w:rPr>
        <w:t>3.2</w:t>
      </w:r>
      <w:r>
        <w:rPr>
          <w:rFonts w:ascii="Aptos Narrow" w:hAnsi="Aptos Narrow"/>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81D04B" w14:textId="77777777" w:rsidR="00A423F7" w:rsidRDefault="00A423F7">
      <w:pPr>
        <w:jc w:val="both"/>
        <w:rPr>
          <w:rFonts w:ascii="Aptos Narrow" w:hAnsi="Aptos Narrow" w:cs="Calibri Light"/>
          <w:sz w:val="24"/>
        </w:rPr>
      </w:pPr>
    </w:p>
    <w:tbl>
      <w:tblPr>
        <w:tblStyle w:val="Tabelacomgrade"/>
        <w:tblW w:w="10490" w:type="dxa"/>
        <w:tblInd w:w="108" w:type="dxa"/>
        <w:tblLayout w:type="fixed"/>
        <w:tblLook w:val="04A0" w:firstRow="1" w:lastRow="0" w:firstColumn="1" w:lastColumn="0" w:noHBand="0" w:noVBand="1"/>
      </w:tblPr>
      <w:tblGrid>
        <w:gridCol w:w="10490"/>
      </w:tblGrid>
      <w:tr w:rsidR="00A423F7" w14:paraId="2DC4FC82" w14:textId="77777777">
        <w:tc>
          <w:tcPr>
            <w:tcW w:w="10490" w:type="dxa"/>
            <w:tcBorders>
              <w:top w:val="nil"/>
              <w:left w:val="nil"/>
              <w:bottom w:val="nil"/>
              <w:right w:val="nil"/>
            </w:tcBorders>
            <w:shd w:val="clear" w:color="auto" w:fill="D9D9D9" w:themeFill="background1" w:themeFillShade="D9"/>
          </w:tcPr>
          <w:p w14:paraId="1120AE22"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QUARTA - DA FORMA DE PAGAMENTO</w:t>
            </w:r>
            <w:r>
              <w:rPr>
                <w:rFonts w:ascii="Aptos Narrow" w:hAnsi="Aptos Narrow" w:cstheme="majorHAnsi"/>
                <w:sz w:val="24"/>
                <w:lang w:val="pt-BR"/>
              </w:rPr>
              <w:t>:</w:t>
            </w:r>
          </w:p>
        </w:tc>
      </w:tr>
    </w:tbl>
    <w:p w14:paraId="7917DCDE" w14:textId="77777777" w:rsidR="00A423F7" w:rsidRDefault="00000000">
      <w:pPr>
        <w:jc w:val="both"/>
        <w:rPr>
          <w:rFonts w:ascii="Aptos Narrow" w:hAnsi="Aptos Narrow"/>
          <w:sz w:val="24"/>
        </w:rPr>
      </w:pPr>
      <w:r>
        <w:rPr>
          <w:rFonts w:ascii="Aptos Narrow" w:hAnsi="Aptos Narrow"/>
          <w:b/>
          <w:bCs/>
          <w:sz w:val="24"/>
        </w:rPr>
        <w:t>4.1</w:t>
      </w:r>
      <w:r>
        <w:rPr>
          <w:rFonts w:ascii="Aptos Narrow" w:hAnsi="Aptos Narrow"/>
          <w:sz w:val="24"/>
        </w:rPr>
        <w:t>. A liquidação e o pagamento se dará na forma do art 1°, IX da Ordem de Serviço n° 006, de 25 de outubro de 2023 do Gabinete do Prefeito.</w:t>
      </w:r>
    </w:p>
    <w:p w14:paraId="23812218"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6FD11D51" w14:textId="77777777">
        <w:tc>
          <w:tcPr>
            <w:tcW w:w="10490" w:type="dxa"/>
            <w:tcBorders>
              <w:top w:val="nil"/>
              <w:left w:val="nil"/>
              <w:bottom w:val="nil"/>
              <w:right w:val="nil"/>
            </w:tcBorders>
            <w:shd w:val="clear" w:color="auto" w:fill="D9D9D9" w:themeFill="background1" w:themeFillShade="D9"/>
          </w:tcPr>
          <w:p w14:paraId="2C05A67F"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QUINTA - DO REAJUSTE</w:t>
            </w:r>
            <w:r>
              <w:rPr>
                <w:rFonts w:ascii="Aptos Narrow" w:hAnsi="Aptos Narrow" w:cstheme="majorHAnsi"/>
                <w:sz w:val="24"/>
                <w:lang w:val="pt-BR"/>
              </w:rPr>
              <w:t>:</w:t>
            </w:r>
          </w:p>
        </w:tc>
      </w:tr>
    </w:tbl>
    <w:p w14:paraId="445E9BB2" w14:textId="77777777" w:rsidR="00A423F7" w:rsidRDefault="00000000">
      <w:pPr>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data do orçamento estimado.</w:t>
      </w:r>
    </w:p>
    <w:p w14:paraId="7C87CB76" w14:textId="77777777" w:rsidR="00A423F7" w:rsidRDefault="00000000">
      <w:pPr>
        <w:jc w:val="both"/>
        <w:rPr>
          <w:rFonts w:ascii="Aptos Narrow" w:hAnsi="Aptos Narrow"/>
          <w:sz w:val="24"/>
        </w:rPr>
      </w:pPr>
      <w:r>
        <w:rPr>
          <w:rFonts w:ascii="Aptos Narrow" w:hAnsi="Aptos Narrow"/>
          <w:b/>
          <w:bCs/>
          <w:sz w:val="24"/>
        </w:rPr>
        <w:t>5.2</w:t>
      </w:r>
      <w:r>
        <w:rPr>
          <w:rFonts w:ascii="Aptos Narrow" w:hAnsi="Aptos Narrow"/>
          <w:sz w:val="24"/>
        </w:rPr>
        <w:t xml:space="preserve">. Após o interregno de um ano, e independentemente de pedido do Contratado, os preços iniciais serão reajustados, mediante a aplicação, pelo Contratante, </w:t>
      </w:r>
      <w:bookmarkStart w:id="2" w:name="_Hlk153460833"/>
      <w:r>
        <w:rPr>
          <w:rFonts w:ascii="Aptos Narrow" w:hAnsi="Aptos Narrow"/>
          <w:sz w:val="24"/>
        </w:rPr>
        <w:t xml:space="preserve">do índice INPC-IBGE (Índice Nacional de Preços ao Consumidor), de acordo com o disposto na OS 006/2023/SMGAL, </w:t>
      </w:r>
      <w:bookmarkEnd w:id="2"/>
      <w:r>
        <w:rPr>
          <w:rFonts w:ascii="Aptos Narrow" w:hAnsi="Aptos Narrow"/>
          <w:sz w:val="24"/>
        </w:rPr>
        <w:t>exclusivamente para as obrigações iniciadas e concluídas após a ocorrência da anualidade.</w:t>
      </w:r>
    </w:p>
    <w:p w14:paraId="009558DE" w14:textId="77777777" w:rsidR="00A423F7" w:rsidRDefault="00000000">
      <w:pPr>
        <w:ind w:left="284"/>
        <w:jc w:val="both"/>
        <w:rPr>
          <w:rFonts w:ascii="Aptos Narrow" w:hAnsi="Aptos Narrow"/>
          <w:sz w:val="24"/>
        </w:rPr>
      </w:pPr>
      <w:r>
        <w:rPr>
          <w:rFonts w:ascii="Aptos Narrow" w:hAnsi="Aptos Narrow"/>
          <w:b/>
          <w:bCs/>
          <w:sz w:val="24"/>
        </w:rPr>
        <w:t>5.2.1</w:t>
      </w:r>
      <w:r>
        <w:rPr>
          <w:rFonts w:ascii="Aptos Narrow" w:hAnsi="Aptos Narrow"/>
          <w:sz w:val="24"/>
        </w:rPr>
        <w:t>. No caso de atraso ou não divulgação do índice de reajustamento, a Contratante pagará ao Contratado a importância calculada pela última variação conhecida, liquidando a diferença correspondente tão logo seja divulgado o índice definitivo.</w:t>
      </w:r>
    </w:p>
    <w:p w14:paraId="7C7EFECF" w14:textId="77777777" w:rsidR="00A423F7" w:rsidRDefault="00000000">
      <w:pPr>
        <w:ind w:left="284"/>
        <w:jc w:val="both"/>
        <w:rPr>
          <w:rFonts w:ascii="Aptos Narrow" w:hAnsi="Aptos Narrow"/>
          <w:sz w:val="24"/>
        </w:rPr>
      </w:pPr>
      <w:r>
        <w:rPr>
          <w:rFonts w:ascii="Aptos Narrow" w:hAnsi="Aptos Narrow"/>
          <w:b/>
          <w:bCs/>
          <w:sz w:val="24"/>
        </w:rPr>
        <w:t>5.2.2</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14:paraId="2F0233F4" w14:textId="77777777" w:rsidR="00A423F7" w:rsidRDefault="00000000">
      <w:pPr>
        <w:ind w:left="567"/>
        <w:jc w:val="both"/>
        <w:rPr>
          <w:rFonts w:ascii="Aptos Narrow" w:hAnsi="Aptos Narrow"/>
          <w:sz w:val="24"/>
        </w:rPr>
      </w:pPr>
      <w:r>
        <w:rPr>
          <w:rFonts w:ascii="Aptos Narrow" w:hAnsi="Aptos Narrow"/>
          <w:b/>
          <w:bCs/>
          <w:sz w:val="24"/>
        </w:rPr>
        <w:t>5.2.2.1</w:t>
      </w:r>
      <w:r>
        <w:rPr>
          <w:rFonts w:ascii="Aptos Narrow" w:hAnsi="Aptos Narrow"/>
          <w:sz w:val="24"/>
        </w:rPr>
        <w:t>. Na ausência de previsão legal quanto ao índice substituto, as partes elegerão novo índice oficial, para reajustamento do preço do valor remanescente, por meio de termo aditivo.</w:t>
      </w:r>
    </w:p>
    <w:p w14:paraId="028FD41D" w14:textId="77777777" w:rsidR="00A423F7" w:rsidRDefault="00000000">
      <w:pPr>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14:paraId="62C9000D" w14:textId="77777777" w:rsidR="00A423F7" w:rsidRDefault="00000000">
      <w:pPr>
        <w:jc w:val="both"/>
        <w:rPr>
          <w:rFonts w:ascii="Aptos Narrow" w:hAnsi="Aptos Narrow"/>
          <w:sz w:val="24"/>
        </w:rPr>
      </w:pPr>
      <w:r>
        <w:rPr>
          <w:rFonts w:ascii="Aptos Narrow" w:hAnsi="Aptos Narrow"/>
          <w:b/>
          <w:bCs/>
          <w:sz w:val="24"/>
        </w:rPr>
        <w:t>5.4</w:t>
      </w:r>
      <w:r>
        <w:rPr>
          <w:rFonts w:ascii="Aptos Narrow" w:hAnsi="Aptos Narrow"/>
          <w:sz w:val="24"/>
        </w:rPr>
        <w:t>. O reajuste será concedido mediante simples apostila, conforme dispõe o art. 136 da Lei 14.133/2021.</w:t>
      </w:r>
    </w:p>
    <w:p w14:paraId="5413D04F"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7409A0C3" w14:textId="77777777">
        <w:tc>
          <w:tcPr>
            <w:tcW w:w="10490" w:type="dxa"/>
            <w:tcBorders>
              <w:top w:val="nil"/>
              <w:left w:val="nil"/>
              <w:bottom w:val="nil"/>
              <w:right w:val="nil"/>
            </w:tcBorders>
            <w:shd w:val="clear" w:color="auto" w:fill="D9D9D9" w:themeFill="background1" w:themeFillShade="D9"/>
          </w:tcPr>
          <w:p w14:paraId="172B5286"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SEXTA - DA FONTE DE RECURSOS</w:t>
            </w:r>
            <w:r>
              <w:rPr>
                <w:rFonts w:ascii="Aptos Narrow" w:hAnsi="Aptos Narrow" w:cstheme="majorHAnsi"/>
                <w:sz w:val="24"/>
                <w:lang w:val="pt-BR"/>
              </w:rPr>
              <w:t>:</w:t>
            </w:r>
          </w:p>
        </w:tc>
      </w:tr>
    </w:tbl>
    <w:p w14:paraId="306960FC" w14:textId="77777777" w:rsidR="00A423F7" w:rsidRDefault="00000000">
      <w:pPr>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14:paraId="55BA7F09" w14:textId="77777777" w:rsidR="00A423F7" w:rsidRDefault="00000000">
      <w:pPr>
        <w:jc w:val="both"/>
        <w:rPr>
          <w:rFonts w:ascii="Aptos Narrow" w:hAnsi="Aptos Narrow"/>
          <w:sz w:val="24"/>
          <w:highlight w:val="yellow"/>
        </w:rPr>
      </w:pPr>
      <w:r>
        <w:rPr>
          <w:rFonts w:ascii="Aptos Narrow" w:hAnsi="Aptos Narrow"/>
          <w:sz w:val="24"/>
          <w:highlight w:val="yellow"/>
        </w:rPr>
        <w:t>0000000000</w:t>
      </w:r>
    </w:p>
    <w:p w14:paraId="6EA84DCA" w14:textId="77777777" w:rsidR="00A423F7" w:rsidRDefault="00000000">
      <w:pPr>
        <w:jc w:val="both"/>
        <w:rPr>
          <w:rFonts w:ascii="Aptos Narrow" w:hAnsi="Aptos Narrow"/>
          <w:sz w:val="24"/>
        </w:rPr>
      </w:pPr>
      <w:r>
        <w:rPr>
          <w:rFonts w:ascii="Aptos Narrow" w:hAnsi="Aptos Narrow"/>
          <w:sz w:val="24"/>
          <w:highlight w:val="yellow"/>
        </w:rPr>
        <w:lastRenderedPageBreak/>
        <w:t>0000000000</w:t>
      </w:r>
    </w:p>
    <w:p w14:paraId="49BD3033" w14:textId="77777777" w:rsidR="00A423F7" w:rsidRDefault="00000000">
      <w:pPr>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14:paraId="79EEEB11" w14:textId="77777777" w:rsidR="00A423F7" w:rsidRDefault="00A423F7">
      <w:pPr>
        <w:jc w:val="both"/>
        <w:rPr>
          <w:rFonts w:ascii="Aptos Narrow" w:hAnsi="Aptos Narrow"/>
          <w:sz w:val="24"/>
        </w:rPr>
      </w:pPr>
    </w:p>
    <w:tbl>
      <w:tblPr>
        <w:tblStyle w:val="Tabelacomgrade"/>
        <w:tblW w:w="10490" w:type="dxa"/>
        <w:tblInd w:w="108" w:type="dxa"/>
        <w:tblLayout w:type="fixed"/>
        <w:tblLook w:val="04A0" w:firstRow="1" w:lastRow="0" w:firstColumn="1" w:lastColumn="0" w:noHBand="0" w:noVBand="1"/>
      </w:tblPr>
      <w:tblGrid>
        <w:gridCol w:w="10490"/>
      </w:tblGrid>
      <w:tr w:rsidR="00A423F7" w14:paraId="3270E7A4" w14:textId="77777777">
        <w:tc>
          <w:tcPr>
            <w:tcW w:w="10490" w:type="dxa"/>
            <w:tcBorders>
              <w:top w:val="nil"/>
              <w:left w:val="nil"/>
              <w:bottom w:val="nil"/>
              <w:right w:val="nil"/>
            </w:tcBorders>
            <w:shd w:val="clear" w:color="auto" w:fill="D9D9D9" w:themeFill="background1" w:themeFillShade="D9"/>
          </w:tcPr>
          <w:p w14:paraId="5DBCE382"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SÉTIMA - DO MODELO DE EXECUÇÃO E GESTÃO CONTRATUAIS</w:t>
            </w:r>
            <w:r>
              <w:rPr>
                <w:rFonts w:ascii="Aptos Narrow" w:hAnsi="Aptos Narrow" w:cstheme="majorHAnsi"/>
                <w:sz w:val="24"/>
                <w:lang w:val="pt-BR"/>
              </w:rPr>
              <w:t>:</w:t>
            </w:r>
          </w:p>
        </w:tc>
      </w:tr>
    </w:tbl>
    <w:p w14:paraId="30734A42"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7.1</w:t>
      </w:r>
      <w:r>
        <w:rPr>
          <w:rFonts w:ascii="Aptos Narrow" w:hAnsi="Aptos Narrow" w:cstheme="majorHAnsi"/>
          <w:sz w:val="24"/>
          <w:lang w:val="pt-BR"/>
        </w:rPr>
        <w:t>. O regime de execução contratual, o modelo de gestão, assim como os prazos e condições de conclusão, entrega, observação e recebimento definitivo constam no Termo de Referência, anexo a este Contrato.</w:t>
      </w:r>
    </w:p>
    <w:p w14:paraId="51F48AFC"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5A5B575E" w14:textId="77777777">
        <w:tc>
          <w:tcPr>
            <w:tcW w:w="10490" w:type="dxa"/>
            <w:tcBorders>
              <w:top w:val="nil"/>
              <w:left w:val="nil"/>
              <w:bottom w:val="nil"/>
              <w:right w:val="nil"/>
            </w:tcBorders>
            <w:shd w:val="clear" w:color="auto" w:fill="D9D9D9" w:themeFill="background1" w:themeFillShade="D9"/>
          </w:tcPr>
          <w:p w14:paraId="2D84CA8D"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OITAVA - DA SUBCONTRATAÇÃO</w:t>
            </w:r>
            <w:r>
              <w:rPr>
                <w:rFonts w:ascii="Aptos Narrow" w:hAnsi="Aptos Narrow" w:cstheme="majorHAnsi"/>
                <w:sz w:val="24"/>
                <w:lang w:val="pt-BR"/>
              </w:rPr>
              <w:t>:</w:t>
            </w:r>
          </w:p>
        </w:tc>
      </w:tr>
    </w:tbl>
    <w:p w14:paraId="7D338A4F"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8.1</w:t>
      </w:r>
      <w:r>
        <w:rPr>
          <w:rFonts w:ascii="Aptos Narrow" w:hAnsi="Aptos Narrow" w:cstheme="majorHAnsi"/>
          <w:sz w:val="24"/>
          <w:lang w:val="pt-BR"/>
        </w:rPr>
        <w:t>. Conforme previsto no Termo de Referência.</w:t>
      </w:r>
    </w:p>
    <w:p w14:paraId="3D4DFEBF"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599FA896" w14:textId="77777777">
        <w:tc>
          <w:tcPr>
            <w:tcW w:w="10490" w:type="dxa"/>
            <w:tcBorders>
              <w:top w:val="nil"/>
              <w:left w:val="nil"/>
              <w:bottom w:val="nil"/>
              <w:right w:val="nil"/>
            </w:tcBorders>
            <w:shd w:val="clear" w:color="auto" w:fill="D9D9D9" w:themeFill="background1" w:themeFillShade="D9"/>
          </w:tcPr>
          <w:p w14:paraId="7432BD93"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NONA - DAS OBRIGAÇÕES DA CONTRATANTE</w:t>
            </w:r>
            <w:r>
              <w:rPr>
                <w:rFonts w:ascii="Aptos Narrow" w:hAnsi="Aptos Narrow" w:cstheme="majorHAnsi"/>
                <w:sz w:val="24"/>
                <w:lang w:val="pt-BR"/>
              </w:rPr>
              <w:t>:</w:t>
            </w:r>
          </w:p>
        </w:tc>
      </w:tr>
    </w:tbl>
    <w:p w14:paraId="5D1369D1"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9.1</w:t>
      </w:r>
      <w:r>
        <w:rPr>
          <w:rFonts w:ascii="Aptos Narrow" w:hAnsi="Aptos Narrow" w:cstheme="majorHAnsi"/>
          <w:sz w:val="24"/>
          <w:lang w:val="pt-BR"/>
        </w:rPr>
        <w:t>. Exigir o cumprimento de todas as obrigações assumidas pelo Contratado, de acordo com o contrato e seus anexos.</w:t>
      </w:r>
    </w:p>
    <w:p w14:paraId="4CCF6346"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9.2</w:t>
      </w:r>
      <w:r>
        <w:rPr>
          <w:rFonts w:ascii="Aptos Narrow" w:hAnsi="Aptos Narrow" w:cstheme="majorHAnsi"/>
          <w:sz w:val="24"/>
          <w:lang w:val="pt-BR"/>
        </w:rPr>
        <w:t>. Receber o objeto no prazo e condições estabelecidas no Termo de Referência.</w:t>
      </w:r>
    </w:p>
    <w:p w14:paraId="4B2040EE"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9.3</w:t>
      </w:r>
      <w:r>
        <w:rPr>
          <w:rFonts w:ascii="Aptos Narrow" w:hAnsi="Aptos Narrow" w:cstheme="majorHAnsi"/>
          <w:sz w:val="24"/>
          <w:lang w:val="pt-BR"/>
        </w:rPr>
        <w:t>. Notificar o Contratado, por escrito, sobre vícios, defeitos ou incorreções verificadas no objeto fornecido, para que seja por ele substituído, reparado ou corrigido, no total ou em parte, às suas expensas.</w:t>
      </w:r>
    </w:p>
    <w:p w14:paraId="2F67D5C2"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9.4</w:t>
      </w:r>
      <w:r>
        <w:rPr>
          <w:rFonts w:ascii="Aptos Narrow" w:hAnsi="Aptos Narrow" w:cstheme="majorHAnsi"/>
          <w:sz w:val="24"/>
          <w:lang w:val="pt-BR"/>
        </w:rPr>
        <w:t>. Acompanhar e fiscalizar a execução do contrato e o cumprimento das obrigações pelo Contratado.</w:t>
      </w:r>
    </w:p>
    <w:p w14:paraId="3D805183"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9.5</w:t>
      </w:r>
      <w:r>
        <w:rPr>
          <w:rFonts w:ascii="Aptos Narrow" w:hAnsi="Aptos Narrow" w:cstheme="majorHAnsi"/>
          <w:sz w:val="24"/>
          <w:lang w:val="pt-BR"/>
        </w:rPr>
        <w:t>. Efetuar o pagamento ao Contratado do valor correspondente ao fornecimento do objeto, no prazo, forma e condições estabelecidos no presente Contrato.</w:t>
      </w:r>
    </w:p>
    <w:p w14:paraId="7EC3E6DA"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9.6</w:t>
      </w:r>
      <w:r>
        <w:rPr>
          <w:rFonts w:ascii="Aptos Narrow" w:hAnsi="Aptos Narrow" w:cstheme="majorHAnsi"/>
          <w:sz w:val="24"/>
          <w:lang w:val="pt-BR"/>
        </w:rPr>
        <w:t>. Aplicar ao Contratado sanções motivadas pela inexecução total ou parcial do Contrato.</w:t>
      </w:r>
    </w:p>
    <w:p w14:paraId="3C7C3859"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9.7</w:t>
      </w:r>
      <w:r>
        <w:rPr>
          <w:rFonts w:ascii="Aptos Narrow" w:hAnsi="Aptos Narrow" w:cstheme="majorHAnsi"/>
          <w:sz w:val="24"/>
          <w:lang w:val="pt-BR"/>
        </w:rPr>
        <w:t>. Emitir decisão sobre todas as solicitações e reclamações relacionadas à execução do presente Contrato, ressalvados os requerimentos manifestamente impertinentes, meramente protelatórios ou de nenhum interesse para a boa execução do ajuste.</w:t>
      </w:r>
    </w:p>
    <w:p w14:paraId="048A919E"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9.7.1</w:t>
      </w:r>
      <w:r>
        <w:rPr>
          <w:rFonts w:ascii="Aptos Narrow" w:hAnsi="Aptos Narrow" w:cstheme="majorHAnsi"/>
          <w:sz w:val="24"/>
          <w:lang w:val="pt-BR"/>
        </w:rPr>
        <w:t>. Concluída a instrução do requerimento, a Administração terá o prazo de 30 (trinta) dias para decidir, admitida a prorrogação motivada por igual período.</w:t>
      </w:r>
    </w:p>
    <w:p w14:paraId="5301015C"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9.8</w:t>
      </w:r>
      <w:r>
        <w:rPr>
          <w:rFonts w:ascii="Aptos Narrow" w:hAnsi="Aptos Narrow" w:cstheme="majorHAnsi"/>
          <w:sz w:val="24"/>
          <w:lang w:val="pt-BR"/>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1A4" w14:textId="77777777" w:rsidR="00A423F7" w:rsidRDefault="00A423F7">
      <w:pPr>
        <w:jc w:val="both"/>
        <w:rPr>
          <w:rFonts w:ascii="Aptos Narrow" w:hAnsi="Aptos Narrow" w:cs="Calibri Light"/>
          <w:sz w:val="24"/>
          <w:lang w:val="pt-BR"/>
        </w:rPr>
      </w:pPr>
    </w:p>
    <w:tbl>
      <w:tblPr>
        <w:tblStyle w:val="Tabelacomgrade"/>
        <w:tblW w:w="10632" w:type="dxa"/>
        <w:tblInd w:w="108" w:type="dxa"/>
        <w:tblLayout w:type="fixed"/>
        <w:tblLook w:val="04A0" w:firstRow="1" w:lastRow="0" w:firstColumn="1" w:lastColumn="0" w:noHBand="0" w:noVBand="1"/>
      </w:tblPr>
      <w:tblGrid>
        <w:gridCol w:w="10632"/>
      </w:tblGrid>
      <w:tr w:rsidR="00A423F7" w14:paraId="10E12F1E" w14:textId="77777777">
        <w:tc>
          <w:tcPr>
            <w:tcW w:w="10632" w:type="dxa"/>
            <w:tcBorders>
              <w:top w:val="nil"/>
              <w:left w:val="nil"/>
              <w:bottom w:val="nil"/>
              <w:right w:val="nil"/>
            </w:tcBorders>
            <w:shd w:val="clear" w:color="auto" w:fill="D9D9D9" w:themeFill="background1" w:themeFillShade="D9"/>
          </w:tcPr>
          <w:p w14:paraId="1317BE03"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 DAS OBRIGAÇÕES DO CONTRATADO</w:t>
            </w:r>
            <w:r>
              <w:rPr>
                <w:rFonts w:ascii="Aptos Narrow" w:hAnsi="Aptos Narrow" w:cstheme="majorHAnsi"/>
                <w:sz w:val="24"/>
                <w:lang w:val="pt-BR"/>
              </w:rPr>
              <w:t>:</w:t>
            </w:r>
          </w:p>
        </w:tc>
      </w:tr>
    </w:tbl>
    <w:p w14:paraId="29D943F4"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10.1</w:t>
      </w:r>
      <w:r>
        <w:rPr>
          <w:rFonts w:ascii="Aptos Narrow" w:hAnsi="Aptos Narrow" w:cstheme="majorHAnsi"/>
          <w:sz w:val="24"/>
          <w:lang w:val="pt-BR"/>
        </w:rPr>
        <w:t>. O Contratado deve cumprir todas as obrigações constantes deste Contrato e em seus anexos, assumindo como exclusivamente seus os riscos e as despesas decorrentes da boa e perfeita execução do objeto.</w:t>
      </w:r>
    </w:p>
    <w:p w14:paraId="0F10A802"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10.2</w:t>
      </w:r>
      <w:r>
        <w:rPr>
          <w:rFonts w:ascii="Aptos Narrow" w:hAnsi="Aptos Narrow" w:cstheme="majorHAnsi"/>
          <w:sz w:val="24"/>
          <w:lang w:val="pt-BR"/>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D0A0954"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10.3</w:t>
      </w:r>
      <w:r>
        <w:rPr>
          <w:rFonts w:ascii="Aptos Narrow" w:hAnsi="Aptos Narrow" w:cstheme="majorHAnsi"/>
          <w:sz w:val="24"/>
          <w:lang w:val="pt-BR"/>
        </w:rPr>
        <w:t>. Não utilizar, sob nenhuma hipótese, veículo de tração animal para a execução do objeto contratual.</w:t>
      </w:r>
    </w:p>
    <w:p w14:paraId="5514A29F"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10.4</w:t>
      </w:r>
      <w:r>
        <w:rPr>
          <w:rFonts w:ascii="Aptos Narrow" w:hAnsi="Aptos Narrow" w:cstheme="majorHAnsi"/>
          <w:sz w:val="24"/>
          <w:lang w:val="pt-BR"/>
        </w:rPr>
        <w:t xml:space="preserve">. Responsabilizar-se pelos vícios e danos decorrentes do objeto, de acordo com os </w:t>
      </w:r>
      <w:proofErr w:type="spellStart"/>
      <w:r>
        <w:rPr>
          <w:rFonts w:ascii="Aptos Narrow" w:hAnsi="Aptos Narrow" w:cstheme="majorHAnsi"/>
          <w:sz w:val="24"/>
          <w:lang w:val="pt-BR"/>
        </w:rPr>
        <w:t>arts</w:t>
      </w:r>
      <w:proofErr w:type="spellEnd"/>
      <w:r>
        <w:rPr>
          <w:rFonts w:ascii="Aptos Narrow" w:hAnsi="Aptos Narrow" w:cstheme="majorHAnsi"/>
          <w:sz w:val="24"/>
          <w:lang w:val="pt-BR"/>
        </w:rPr>
        <w:t>. 12, 13 e 17 a 27, do Código de Defesa do Consumidor (Lei 8.078/1990).</w:t>
      </w:r>
    </w:p>
    <w:p w14:paraId="13AF9611"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10.5</w:t>
      </w:r>
      <w:r>
        <w:rPr>
          <w:rFonts w:ascii="Aptos Narrow" w:hAnsi="Aptos Narrow" w:cstheme="majorHAnsi"/>
          <w:sz w:val="24"/>
          <w:lang w:val="pt-BR"/>
        </w:rPr>
        <w:t>. Substituir, reparar ou corrigir, às suas expensas, no prazo fixado no Termo de Referência, o objeto com avarias ou defeitos.</w:t>
      </w:r>
    </w:p>
    <w:p w14:paraId="521CB7A8"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lastRenderedPageBreak/>
        <w:t>10.6</w:t>
      </w:r>
      <w:r>
        <w:rPr>
          <w:rFonts w:ascii="Aptos Narrow" w:hAnsi="Aptos Narrow" w:cstheme="majorHAnsi"/>
          <w:sz w:val="24"/>
          <w:lang w:val="pt-BR"/>
        </w:rPr>
        <w:t>. Comunicar ao Contratante, no prazo máximo de 24 (vinte e quatro) horas que antecede a data da entrega, os motivos que impossibilitem o cumprimento do prazo previsto, com a devida comprovação.</w:t>
      </w:r>
    </w:p>
    <w:p w14:paraId="32BE8BB0"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10.7</w:t>
      </w:r>
      <w:r>
        <w:rPr>
          <w:rFonts w:ascii="Aptos Narrow" w:hAnsi="Aptos Narrow" w:cstheme="majorHAnsi"/>
          <w:sz w:val="24"/>
          <w:lang w:val="pt-BR"/>
        </w:rPr>
        <w:t>. Manter durante toda a vigência do contrato, em compatibilidade com as obrigações assumidas, todas as condições de habilitação e qualificação exigidas na contratação direta.</w:t>
      </w:r>
    </w:p>
    <w:p w14:paraId="5301A8BE"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10.8</w:t>
      </w:r>
      <w:r>
        <w:rPr>
          <w:rFonts w:ascii="Aptos Narrow" w:hAnsi="Aptos Narrow" w:cstheme="majorHAnsi"/>
          <w:sz w:val="24"/>
          <w:lang w:val="pt-BR"/>
        </w:rPr>
        <w:t>. Manter atualizado os seus dados no Portal Nacional de Contratações Públicas (PNCP), conforme legislação vigente.</w:t>
      </w:r>
    </w:p>
    <w:p w14:paraId="01B357A5"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10.9</w:t>
      </w:r>
      <w:r>
        <w:rPr>
          <w:rFonts w:ascii="Aptos Narrow" w:hAnsi="Aptos Narrow" w:cstheme="majorHAnsi"/>
          <w:sz w:val="24"/>
          <w:lang w:val="pt-BR"/>
        </w:rPr>
        <w:t>. Guardar sigilo sobre todas as informações obtidas em decorrência do cumprimento do contrato.</w:t>
      </w:r>
    </w:p>
    <w:p w14:paraId="58360784"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10.10</w:t>
      </w:r>
      <w:r>
        <w:rPr>
          <w:rFonts w:ascii="Aptos Narrow" w:hAnsi="Aptos Narrow" w:cstheme="majorHAnsi"/>
          <w:sz w:val="24"/>
          <w:lang w:val="pt-BR"/>
        </w:rPr>
        <w:t>.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BCB4419"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a</w:t>
      </w:r>
      <w:r>
        <w:rPr>
          <w:rFonts w:ascii="Aptos Narrow" w:hAnsi="Aptos Narrow" w:cstheme="majorHAnsi"/>
          <w:sz w:val="24"/>
          <w:lang w:val="pt-BR"/>
        </w:rPr>
        <w:t>) alteração qualitativa do projeto ou de suas especificações pelo Município;</w:t>
      </w:r>
    </w:p>
    <w:p w14:paraId="30004834"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b</w:t>
      </w:r>
      <w:r>
        <w:rPr>
          <w:rFonts w:ascii="Aptos Narrow" w:hAnsi="Aptos Narrow" w:cstheme="majorHAnsi"/>
          <w:sz w:val="24"/>
          <w:lang w:val="pt-BR"/>
        </w:rPr>
        <w:t>) retardamento na expedição da ordem de execução do serviço ou autorização de fornecimento, interrupção da execução do contrato ou diminuição do ritmo do trabalho, por ordem e no interesse do Município;</w:t>
      </w:r>
    </w:p>
    <w:p w14:paraId="15DEB38F"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c</w:t>
      </w:r>
      <w:r>
        <w:rPr>
          <w:rFonts w:ascii="Aptos Narrow" w:hAnsi="Aptos Narrow" w:cstheme="majorHAnsi"/>
          <w:sz w:val="24"/>
          <w:lang w:val="pt-BR"/>
        </w:rPr>
        <w:t>) aumento das quantidades inicialmente previstas no contrato, nos limites permitidos pela Lei 14.133/2021.</w:t>
      </w:r>
    </w:p>
    <w:p w14:paraId="1B9B1F10"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10.11</w:t>
      </w:r>
      <w:r>
        <w:rPr>
          <w:rFonts w:ascii="Aptos Narrow" w:hAnsi="Aptos Narrow" w:cstheme="majorHAnsi"/>
          <w:sz w:val="24"/>
          <w:lang w:val="pt-BR"/>
        </w:rPr>
        <w:t>. Cumprir, durante todo o período de execução do contrato, a reserva de cargos prevista em lei para pessoa com deficiência, para reabilitado da Previdência Social ou para aprendiz, bem como as reservas de cargos previstas na legislação (art. 116 da Lei 14.133/2021).</w:t>
      </w:r>
    </w:p>
    <w:p w14:paraId="29035F70"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10.12</w:t>
      </w:r>
      <w:r>
        <w:rPr>
          <w:rFonts w:ascii="Aptos Narrow" w:hAnsi="Aptos Narrow" w:cstheme="majorHAnsi"/>
          <w:sz w:val="24"/>
          <w:lang w:val="pt-BR"/>
        </w:rPr>
        <w:t>. Adotar as seguintes práticas de sustentabilidade, quando couber:</w:t>
      </w:r>
    </w:p>
    <w:p w14:paraId="01710F21"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a</w:t>
      </w:r>
      <w:r>
        <w:rPr>
          <w:rFonts w:ascii="Aptos Narrow" w:hAnsi="Aptos Narrow" w:cstheme="majorHAnsi"/>
          <w:sz w:val="24"/>
          <w:lang w:val="pt-BR"/>
        </w:rPr>
        <w:t>) os bens devem ser constituídos, no todo ou em parte, por material reciclado, atóxico, biodegradável, conforme normas específicas da ABNT;</w:t>
      </w:r>
    </w:p>
    <w:p w14:paraId="695E0462"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b</w:t>
      </w:r>
      <w:r>
        <w:rPr>
          <w:rFonts w:ascii="Aptos Narrow" w:hAnsi="Aptos Narrow" w:cstheme="majorHAnsi"/>
          <w:sz w:val="24"/>
          <w:lang w:val="pt-BR"/>
        </w:rPr>
        <w:t>) observar os requisitos ambientais para a obtenção de certificação do Instituto Nacional de Metrologia, Normalização e Qualidade Industrial – INMETRO, como produtos sustentáveis ou de menor impacto ambiental em relação aos seus similares;</w:t>
      </w:r>
    </w:p>
    <w:p w14:paraId="56DB0190"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c</w:t>
      </w:r>
      <w:r>
        <w:rPr>
          <w:rFonts w:ascii="Aptos Narrow" w:hAnsi="Aptos Narrow" w:cstheme="majorHAnsi"/>
          <w:sz w:val="24"/>
          <w:lang w:val="pt-BR"/>
        </w:rPr>
        <w:t>) os bens deverão ser, preferencialmente, acondicionados em embalagem individual adequada, com o menor volume possível, que utilize materiais recicláveis, de forma a garantir a máxima proteção durante o transporte e o armazenamento;</w:t>
      </w:r>
    </w:p>
    <w:p w14:paraId="2AD7CE13"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d</w:t>
      </w:r>
      <w:r>
        <w:rPr>
          <w:rFonts w:ascii="Aptos Narrow" w:hAnsi="Aptos Narrow" w:cstheme="majorHAnsi"/>
          <w:sz w:val="24"/>
          <w:lang w:val="pt-BR"/>
        </w:rPr>
        <w:t xml:space="preserve">) os bens não conterão substâncias perigosas em concentração acima da recomendada na diretiva </w:t>
      </w:r>
      <w:proofErr w:type="spellStart"/>
      <w:r>
        <w:rPr>
          <w:rFonts w:ascii="Aptos Narrow" w:hAnsi="Aptos Narrow" w:cstheme="majorHAnsi"/>
          <w:sz w:val="24"/>
          <w:lang w:val="pt-BR"/>
        </w:rPr>
        <w:t>RoHS</w:t>
      </w:r>
      <w:proofErr w:type="spellEnd"/>
      <w:r>
        <w:rPr>
          <w:rFonts w:ascii="Aptos Narrow" w:hAnsi="Aptos Narrow" w:cstheme="majorHAnsi"/>
          <w:sz w:val="24"/>
          <w:lang w:val="pt-BR"/>
        </w:rPr>
        <w:t xml:space="preserve"> (</w:t>
      </w:r>
      <w:proofErr w:type="spellStart"/>
      <w:r>
        <w:rPr>
          <w:rFonts w:ascii="Aptos Narrow" w:hAnsi="Aptos Narrow" w:cstheme="majorHAnsi"/>
          <w:sz w:val="24"/>
          <w:lang w:val="pt-BR"/>
        </w:rPr>
        <w:t>Restriction</w:t>
      </w:r>
      <w:proofErr w:type="spellEnd"/>
      <w:r>
        <w:rPr>
          <w:rFonts w:ascii="Aptos Narrow" w:hAnsi="Aptos Narrow" w:cstheme="majorHAnsi"/>
          <w:sz w:val="24"/>
          <w:lang w:val="pt-BR"/>
        </w:rPr>
        <w:t xml:space="preserve"> </w:t>
      </w:r>
      <w:proofErr w:type="spellStart"/>
      <w:r>
        <w:rPr>
          <w:rFonts w:ascii="Aptos Narrow" w:hAnsi="Aptos Narrow" w:cstheme="majorHAnsi"/>
          <w:sz w:val="24"/>
          <w:lang w:val="pt-BR"/>
        </w:rPr>
        <w:t>of</w:t>
      </w:r>
      <w:proofErr w:type="spellEnd"/>
      <w:r>
        <w:rPr>
          <w:rFonts w:ascii="Aptos Narrow" w:hAnsi="Aptos Narrow" w:cstheme="majorHAnsi"/>
          <w:sz w:val="24"/>
          <w:lang w:val="pt-BR"/>
        </w:rPr>
        <w:t xml:space="preserve"> </w:t>
      </w:r>
      <w:proofErr w:type="spellStart"/>
      <w:r>
        <w:rPr>
          <w:rFonts w:ascii="Aptos Narrow" w:hAnsi="Aptos Narrow" w:cstheme="majorHAnsi"/>
          <w:sz w:val="24"/>
          <w:lang w:val="pt-BR"/>
        </w:rPr>
        <w:t>Certain</w:t>
      </w:r>
      <w:proofErr w:type="spellEnd"/>
      <w:r>
        <w:rPr>
          <w:rFonts w:ascii="Aptos Narrow" w:hAnsi="Aptos Narrow" w:cstheme="majorHAnsi"/>
          <w:sz w:val="24"/>
          <w:lang w:val="pt-BR"/>
        </w:rPr>
        <w:t xml:space="preserve"> </w:t>
      </w:r>
      <w:proofErr w:type="spellStart"/>
      <w:r>
        <w:rPr>
          <w:rFonts w:ascii="Aptos Narrow" w:hAnsi="Aptos Narrow" w:cstheme="majorHAnsi"/>
          <w:sz w:val="24"/>
          <w:lang w:val="pt-BR"/>
        </w:rPr>
        <w:t>Hazardous</w:t>
      </w:r>
      <w:proofErr w:type="spellEnd"/>
      <w:r>
        <w:rPr>
          <w:rFonts w:ascii="Aptos Narrow" w:hAnsi="Aptos Narrow" w:cstheme="majorHAnsi"/>
          <w:sz w:val="24"/>
          <w:lang w:val="pt-BR"/>
        </w:rPr>
        <w:t xml:space="preserve"> </w:t>
      </w:r>
      <w:proofErr w:type="spellStart"/>
      <w:r>
        <w:rPr>
          <w:rFonts w:ascii="Aptos Narrow" w:hAnsi="Aptos Narrow" w:cstheme="majorHAnsi"/>
          <w:sz w:val="24"/>
          <w:lang w:val="pt-BR"/>
        </w:rPr>
        <w:t>Substances</w:t>
      </w:r>
      <w:proofErr w:type="spellEnd"/>
      <w:r>
        <w:rPr>
          <w:rFonts w:ascii="Aptos Narrow" w:hAnsi="Aptos Narrow" w:cstheme="majorHAnsi"/>
          <w:sz w:val="24"/>
          <w:lang w:val="pt-BR"/>
        </w:rPr>
        <w:t>), tais como mercúrio (Hg), chumbo (</w:t>
      </w:r>
      <w:proofErr w:type="spellStart"/>
      <w:r>
        <w:rPr>
          <w:rFonts w:ascii="Aptos Narrow" w:hAnsi="Aptos Narrow" w:cstheme="majorHAnsi"/>
          <w:sz w:val="24"/>
          <w:lang w:val="pt-BR"/>
        </w:rPr>
        <w:t>Pb</w:t>
      </w:r>
      <w:proofErr w:type="spellEnd"/>
      <w:r>
        <w:rPr>
          <w:rFonts w:ascii="Aptos Narrow" w:hAnsi="Aptos Narrow" w:cstheme="majorHAnsi"/>
          <w:sz w:val="24"/>
          <w:lang w:val="pt-BR"/>
        </w:rPr>
        <w:t>), cromo hexavalente (</w:t>
      </w:r>
      <w:proofErr w:type="gramStart"/>
      <w:r>
        <w:rPr>
          <w:rFonts w:ascii="Aptos Narrow" w:hAnsi="Aptos Narrow" w:cstheme="majorHAnsi"/>
          <w:sz w:val="24"/>
          <w:lang w:val="pt-BR"/>
        </w:rPr>
        <w:t>Cr(</w:t>
      </w:r>
      <w:proofErr w:type="gramEnd"/>
      <w:r>
        <w:rPr>
          <w:rFonts w:ascii="Aptos Narrow" w:hAnsi="Aptos Narrow" w:cstheme="majorHAnsi"/>
          <w:sz w:val="24"/>
          <w:lang w:val="pt-BR"/>
        </w:rPr>
        <w:t>VI)), cádmio (</w:t>
      </w:r>
      <w:proofErr w:type="spellStart"/>
      <w:r>
        <w:rPr>
          <w:rFonts w:ascii="Aptos Narrow" w:hAnsi="Aptos Narrow" w:cstheme="majorHAnsi"/>
          <w:sz w:val="24"/>
          <w:lang w:val="pt-BR"/>
        </w:rPr>
        <w:t>Cd</w:t>
      </w:r>
      <w:proofErr w:type="spellEnd"/>
      <w:r>
        <w:rPr>
          <w:rFonts w:ascii="Aptos Narrow" w:hAnsi="Aptos Narrow" w:cstheme="majorHAnsi"/>
          <w:sz w:val="24"/>
          <w:lang w:val="pt-BR"/>
        </w:rPr>
        <w:t xml:space="preserve">), </w:t>
      </w:r>
      <w:proofErr w:type="spellStart"/>
      <w:r>
        <w:rPr>
          <w:rFonts w:ascii="Aptos Narrow" w:hAnsi="Aptos Narrow" w:cstheme="majorHAnsi"/>
          <w:sz w:val="24"/>
          <w:lang w:val="pt-BR"/>
        </w:rPr>
        <w:t>bifenil</w:t>
      </w:r>
      <w:proofErr w:type="spellEnd"/>
      <w:r>
        <w:rPr>
          <w:rFonts w:ascii="Aptos Narrow" w:hAnsi="Aptos Narrow" w:cstheme="majorHAnsi"/>
          <w:sz w:val="24"/>
          <w:lang w:val="pt-BR"/>
        </w:rPr>
        <w:t>-polibromados (</w:t>
      </w:r>
      <w:proofErr w:type="spellStart"/>
      <w:r>
        <w:rPr>
          <w:rFonts w:ascii="Aptos Narrow" w:hAnsi="Aptos Narrow" w:cstheme="majorHAnsi"/>
          <w:sz w:val="24"/>
          <w:lang w:val="pt-BR"/>
        </w:rPr>
        <w:t>PBBs</w:t>
      </w:r>
      <w:proofErr w:type="spellEnd"/>
      <w:r>
        <w:rPr>
          <w:rFonts w:ascii="Aptos Narrow" w:hAnsi="Aptos Narrow" w:cstheme="majorHAnsi"/>
          <w:sz w:val="24"/>
          <w:lang w:val="pt-BR"/>
        </w:rPr>
        <w:t>), éteres difenil-polibromados (PBDEs).</w:t>
      </w:r>
    </w:p>
    <w:p w14:paraId="340983CC" w14:textId="77777777" w:rsidR="00A423F7" w:rsidRDefault="00A423F7">
      <w:pPr>
        <w:jc w:val="both"/>
        <w:rPr>
          <w:rFonts w:ascii="Aptos Narrow" w:hAnsi="Aptos Narrow" w:cs="Calibri Light"/>
          <w:sz w:val="24"/>
          <w:lang w:val="pt-BR"/>
        </w:rPr>
      </w:pPr>
    </w:p>
    <w:tbl>
      <w:tblPr>
        <w:tblStyle w:val="Tabelacomgrade"/>
        <w:tblW w:w="10632" w:type="dxa"/>
        <w:tblInd w:w="108" w:type="dxa"/>
        <w:tblLayout w:type="fixed"/>
        <w:tblLook w:val="04A0" w:firstRow="1" w:lastRow="0" w:firstColumn="1" w:lastColumn="0" w:noHBand="0" w:noVBand="1"/>
      </w:tblPr>
      <w:tblGrid>
        <w:gridCol w:w="10632"/>
      </w:tblGrid>
      <w:tr w:rsidR="00A423F7" w14:paraId="08DFE346" w14:textId="77777777">
        <w:tc>
          <w:tcPr>
            <w:tcW w:w="10632" w:type="dxa"/>
            <w:tcBorders>
              <w:top w:val="nil"/>
              <w:left w:val="nil"/>
              <w:bottom w:val="nil"/>
              <w:right w:val="nil"/>
            </w:tcBorders>
            <w:shd w:val="clear" w:color="auto" w:fill="D9D9D9" w:themeFill="background1" w:themeFillShade="D9"/>
          </w:tcPr>
          <w:p w14:paraId="6C11FB3A"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PRIMEIRA - DA GARANTIA DE EXECUÇÃO</w:t>
            </w:r>
            <w:r>
              <w:rPr>
                <w:rFonts w:ascii="Aptos Narrow" w:hAnsi="Aptos Narrow" w:cstheme="majorHAnsi"/>
                <w:sz w:val="24"/>
                <w:lang w:val="pt-BR"/>
              </w:rPr>
              <w:t>:</w:t>
            </w:r>
          </w:p>
        </w:tc>
      </w:tr>
    </w:tbl>
    <w:p w14:paraId="101EAA02"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11.1</w:t>
      </w:r>
      <w:r>
        <w:rPr>
          <w:rFonts w:ascii="Aptos Narrow" w:hAnsi="Aptos Narrow" w:cstheme="majorHAnsi"/>
          <w:sz w:val="24"/>
          <w:lang w:val="pt-BR"/>
        </w:rPr>
        <w:t>. Não haverá exigência de garantia contratual da execução.</w:t>
      </w:r>
    </w:p>
    <w:p w14:paraId="036CBD56" w14:textId="77777777" w:rsidR="00A423F7" w:rsidRDefault="00A423F7">
      <w:pPr>
        <w:jc w:val="both"/>
        <w:rPr>
          <w:rFonts w:ascii="Aptos Narrow" w:hAnsi="Aptos Narrow" w:cs="Calibri Light"/>
          <w:sz w:val="24"/>
          <w:lang w:val="pt-BR"/>
        </w:rPr>
      </w:pPr>
    </w:p>
    <w:tbl>
      <w:tblPr>
        <w:tblStyle w:val="Tabelacomgrade"/>
        <w:tblW w:w="10632" w:type="dxa"/>
        <w:tblInd w:w="108" w:type="dxa"/>
        <w:tblLayout w:type="fixed"/>
        <w:tblLook w:val="04A0" w:firstRow="1" w:lastRow="0" w:firstColumn="1" w:lastColumn="0" w:noHBand="0" w:noVBand="1"/>
      </w:tblPr>
      <w:tblGrid>
        <w:gridCol w:w="10632"/>
      </w:tblGrid>
      <w:tr w:rsidR="00A423F7" w14:paraId="3A8488CF" w14:textId="77777777">
        <w:tc>
          <w:tcPr>
            <w:tcW w:w="10632" w:type="dxa"/>
            <w:tcBorders>
              <w:top w:val="nil"/>
              <w:left w:val="nil"/>
              <w:bottom w:val="nil"/>
              <w:right w:val="nil"/>
            </w:tcBorders>
            <w:shd w:val="clear" w:color="auto" w:fill="D9D9D9" w:themeFill="background1" w:themeFillShade="D9"/>
          </w:tcPr>
          <w:p w14:paraId="7DA83EF7"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SEGUNDA - DA GARANTIA CONTRATUAL DOS BENS</w:t>
            </w:r>
            <w:r>
              <w:rPr>
                <w:rFonts w:ascii="Aptos Narrow" w:hAnsi="Aptos Narrow" w:cstheme="majorHAnsi"/>
                <w:sz w:val="24"/>
                <w:lang w:val="pt-BR"/>
              </w:rPr>
              <w:t>:</w:t>
            </w:r>
          </w:p>
        </w:tc>
      </w:tr>
    </w:tbl>
    <w:p w14:paraId="09814971"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12.1</w:t>
      </w:r>
      <w:r>
        <w:rPr>
          <w:rFonts w:ascii="Aptos Narrow" w:hAnsi="Aptos Narrow" w:cstheme="majorHAnsi"/>
          <w:sz w:val="24"/>
          <w:lang w:val="pt-BR"/>
        </w:rPr>
        <w:t>. Conforme previsto no Termo de Referência.</w:t>
      </w:r>
    </w:p>
    <w:p w14:paraId="3FEB182B" w14:textId="77777777" w:rsidR="00A423F7" w:rsidRDefault="00A423F7">
      <w:pPr>
        <w:jc w:val="both"/>
        <w:rPr>
          <w:rFonts w:ascii="Aptos Narrow" w:hAnsi="Aptos Narrow" w:cs="Calibri Light"/>
          <w:sz w:val="24"/>
          <w:lang w:val="pt-BR"/>
        </w:rPr>
      </w:pPr>
    </w:p>
    <w:tbl>
      <w:tblPr>
        <w:tblStyle w:val="Tabelacomgrade"/>
        <w:tblW w:w="10632" w:type="dxa"/>
        <w:tblInd w:w="108" w:type="dxa"/>
        <w:tblLayout w:type="fixed"/>
        <w:tblLook w:val="04A0" w:firstRow="1" w:lastRow="0" w:firstColumn="1" w:lastColumn="0" w:noHBand="0" w:noVBand="1"/>
      </w:tblPr>
      <w:tblGrid>
        <w:gridCol w:w="10632"/>
      </w:tblGrid>
      <w:tr w:rsidR="00A423F7" w14:paraId="73FB7548" w14:textId="77777777">
        <w:tc>
          <w:tcPr>
            <w:tcW w:w="10632" w:type="dxa"/>
            <w:tcBorders>
              <w:top w:val="nil"/>
              <w:left w:val="nil"/>
              <w:bottom w:val="nil"/>
              <w:right w:val="nil"/>
            </w:tcBorders>
            <w:shd w:val="clear" w:color="auto" w:fill="D9D9D9" w:themeFill="background1" w:themeFillShade="D9"/>
          </w:tcPr>
          <w:p w14:paraId="390AF23A"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TERCEIRA - DAS INFRAÇÕES E SANÇÕES ADMINISTRATIVAS</w:t>
            </w:r>
            <w:r>
              <w:rPr>
                <w:rFonts w:ascii="Aptos Narrow" w:hAnsi="Aptos Narrow" w:cstheme="majorHAnsi"/>
                <w:sz w:val="24"/>
                <w:lang w:val="pt-BR"/>
              </w:rPr>
              <w:t>:</w:t>
            </w:r>
          </w:p>
        </w:tc>
      </w:tr>
    </w:tbl>
    <w:p w14:paraId="10CF3FAC" w14:textId="77777777" w:rsidR="00A423F7" w:rsidRDefault="00000000">
      <w:pPr>
        <w:jc w:val="both"/>
        <w:rPr>
          <w:rFonts w:ascii="Aptos Narrow" w:hAnsi="Aptos Narrow"/>
          <w:sz w:val="24"/>
        </w:rPr>
      </w:pPr>
      <w:r>
        <w:rPr>
          <w:rFonts w:ascii="Aptos Narrow" w:hAnsi="Aptos Narrow"/>
          <w:b/>
          <w:bCs/>
          <w:sz w:val="24"/>
        </w:rPr>
        <w:t>13.1</w:t>
      </w:r>
      <w:r>
        <w:rPr>
          <w:rFonts w:ascii="Aptos Narrow" w:hAnsi="Aptos Narrow"/>
          <w:sz w:val="24"/>
        </w:rPr>
        <w:t>. Comete infração administrativa, nos termos da Lei 14.133/2021, o Contratado que:</w:t>
      </w:r>
    </w:p>
    <w:p w14:paraId="79CA6E57" w14:textId="77777777" w:rsidR="00A423F7" w:rsidRDefault="00000000">
      <w:pPr>
        <w:ind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14:paraId="65F7FD09" w14:textId="77777777" w:rsidR="00A423F7" w:rsidRDefault="00000000">
      <w:pPr>
        <w:ind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14:paraId="75B31ECE" w14:textId="77777777" w:rsidR="00A423F7" w:rsidRDefault="00000000">
      <w:pPr>
        <w:ind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14:paraId="73B1AB2F" w14:textId="77777777" w:rsidR="00A423F7" w:rsidRDefault="00000000">
      <w:pPr>
        <w:ind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14:paraId="02012F13" w14:textId="77777777" w:rsidR="00A423F7" w:rsidRDefault="00000000">
      <w:pPr>
        <w:ind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14:paraId="0277AF44" w14:textId="77777777" w:rsidR="00A423F7" w:rsidRDefault="00000000">
      <w:pPr>
        <w:ind w:left="284"/>
        <w:jc w:val="both"/>
        <w:rPr>
          <w:rFonts w:ascii="Aptos Narrow" w:hAnsi="Aptos Narrow"/>
          <w:sz w:val="24"/>
        </w:rPr>
      </w:pPr>
      <w:r>
        <w:rPr>
          <w:rFonts w:ascii="Aptos Narrow" w:hAnsi="Aptos Narrow"/>
          <w:b/>
          <w:bCs/>
          <w:sz w:val="24"/>
        </w:rPr>
        <w:lastRenderedPageBreak/>
        <w:t>f)</w:t>
      </w:r>
      <w:r>
        <w:rPr>
          <w:rFonts w:ascii="Aptos Narrow" w:hAnsi="Aptos Narrow"/>
          <w:sz w:val="24"/>
        </w:rPr>
        <w:t xml:space="preserve"> praticar ato fraudulento na execução do contrato;</w:t>
      </w:r>
    </w:p>
    <w:p w14:paraId="448B827F" w14:textId="77777777" w:rsidR="00A423F7" w:rsidRDefault="00000000">
      <w:pPr>
        <w:ind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14:paraId="371A14DB" w14:textId="77777777" w:rsidR="00A423F7" w:rsidRDefault="00000000">
      <w:pPr>
        <w:ind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14:paraId="7E9ED5C5" w14:textId="77777777" w:rsidR="00A423F7" w:rsidRDefault="00000000">
      <w:pPr>
        <w:jc w:val="both"/>
        <w:rPr>
          <w:rFonts w:ascii="Aptos Narrow" w:hAnsi="Aptos Narrow"/>
          <w:sz w:val="24"/>
        </w:rPr>
      </w:pPr>
      <w:r>
        <w:rPr>
          <w:rFonts w:ascii="Aptos Narrow" w:hAnsi="Aptos Narrow"/>
          <w:b/>
          <w:bCs/>
          <w:sz w:val="24"/>
        </w:rPr>
        <w:t>13.2</w:t>
      </w:r>
      <w:r>
        <w:rPr>
          <w:rFonts w:ascii="Aptos Narrow" w:hAnsi="Aptos Narrow"/>
          <w:sz w:val="24"/>
        </w:rPr>
        <w:t>. Serão aplicadas ao contratado que incorrer nas infrações acima descritas as seguintes sanções:</w:t>
      </w:r>
    </w:p>
    <w:p w14:paraId="2E7BD9F5" w14:textId="77777777" w:rsidR="00A423F7" w:rsidRDefault="00000000">
      <w:pPr>
        <w:ind w:left="284"/>
        <w:jc w:val="both"/>
        <w:rPr>
          <w:rFonts w:ascii="Aptos Narrow" w:hAnsi="Aptos Narrow"/>
          <w:sz w:val="24"/>
        </w:rPr>
      </w:pPr>
      <w:r>
        <w:rPr>
          <w:rFonts w:ascii="Aptos Narrow" w:hAnsi="Aptos Narrow"/>
          <w:b/>
          <w:bCs/>
          <w:sz w:val="24"/>
        </w:rPr>
        <w:t>13.2.1</w:t>
      </w:r>
      <w:r>
        <w:rPr>
          <w:rFonts w:ascii="Aptos Narrow" w:hAnsi="Aptos Narrow"/>
          <w:sz w:val="24"/>
        </w:rPr>
        <w:t>. Advertência, quando o contratado der causa à inexecução parcial do contrato, sempre que não se justificar a imposição de penalidade mais grave (art. 156, § 2º, da Lei 14.133/2021).</w:t>
      </w:r>
    </w:p>
    <w:p w14:paraId="60655B5A" w14:textId="77777777" w:rsidR="00A423F7" w:rsidRDefault="00000000">
      <w:pPr>
        <w:ind w:left="284"/>
        <w:jc w:val="both"/>
        <w:rPr>
          <w:rFonts w:ascii="Aptos Narrow" w:hAnsi="Aptos Narrow"/>
          <w:sz w:val="24"/>
        </w:rPr>
      </w:pPr>
      <w:r>
        <w:rPr>
          <w:rFonts w:ascii="Aptos Narrow" w:hAnsi="Aptos Narrow"/>
          <w:b/>
          <w:bCs/>
          <w:sz w:val="24"/>
        </w:rPr>
        <w:t>13.2.2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14:paraId="2B6E733F" w14:textId="77777777" w:rsidR="00A423F7" w:rsidRDefault="00000000">
      <w:pPr>
        <w:ind w:left="284"/>
        <w:jc w:val="both"/>
        <w:rPr>
          <w:rFonts w:ascii="Aptos Narrow" w:hAnsi="Aptos Narrow"/>
          <w:sz w:val="24"/>
        </w:rPr>
      </w:pPr>
      <w:r>
        <w:rPr>
          <w:rFonts w:ascii="Aptos Narrow" w:hAnsi="Aptos Narrow"/>
          <w:b/>
          <w:bCs/>
          <w:sz w:val="24"/>
        </w:rPr>
        <w:t>13.2.3</w:t>
      </w:r>
      <w:r>
        <w:rPr>
          <w:rFonts w:ascii="Aptos Narrow" w:hAnsi="Aptos Narrow"/>
          <w:sz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14:paraId="474812C6" w14:textId="77777777" w:rsidR="00A423F7" w:rsidRDefault="00000000">
      <w:pPr>
        <w:ind w:left="284"/>
        <w:jc w:val="both"/>
        <w:rPr>
          <w:rFonts w:ascii="Aptos Narrow" w:hAnsi="Aptos Narrow"/>
          <w:sz w:val="24"/>
        </w:rPr>
      </w:pPr>
      <w:r>
        <w:rPr>
          <w:rFonts w:ascii="Aptos Narrow" w:hAnsi="Aptos Narrow"/>
          <w:b/>
          <w:bCs/>
          <w:sz w:val="24"/>
        </w:rPr>
        <w:t>13.2.4</w:t>
      </w:r>
      <w:r>
        <w:rPr>
          <w:rFonts w:ascii="Aptos Narrow" w:hAnsi="Aptos Narrow"/>
          <w:sz w:val="24"/>
        </w:rPr>
        <w:t>. Multa:</w:t>
      </w:r>
    </w:p>
    <w:p w14:paraId="33051C6F" w14:textId="77777777" w:rsidR="00A423F7" w:rsidRDefault="00000000">
      <w:pPr>
        <w:ind w:left="567"/>
        <w:jc w:val="both"/>
        <w:rPr>
          <w:rFonts w:ascii="Aptos Narrow" w:hAnsi="Aptos Narrow"/>
          <w:sz w:val="24"/>
        </w:rPr>
      </w:pPr>
      <w:r>
        <w:rPr>
          <w:rFonts w:ascii="Aptos Narrow" w:hAnsi="Aptos Narrow"/>
          <w:b/>
          <w:bCs/>
          <w:sz w:val="24"/>
        </w:rPr>
        <w:t>13.2.4.1</w:t>
      </w:r>
      <w:r>
        <w:rPr>
          <w:rFonts w:ascii="Aptos Narrow" w:hAnsi="Aptos Narrow"/>
          <w:sz w:val="24"/>
        </w:rPr>
        <w:t>. Moratória de 1% (um por cento) por dia até o limite de 30 (trinta) dias, sobre o valor total do(s) produto(s), pelo atraso na entrega ou entregue(s) com atraso.</w:t>
      </w:r>
    </w:p>
    <w:p w14:paraId="66209461" w14:textId="77777777" w:rsidR="00A423F7" w:rsidRDefault="00000000">
      <w:pPr>
        <w:ind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14:paraId="0AE94713" w14:textId="77777777" w:rsidR="00A423F7" w:rsidRDefault="00000000">
      <w:pPr>
        <w:ind w:left="567"/>
        <w:jc w:val="both"/>
        <w:rPr>
          <w:rFonts w:ascii="Aptos Narrow" w:hAnsi="Aptos Narrow"/>
          <w:sz w:val="24"/>
        </w:rPr>
      </w:pPr>
      <w:r>
        <w:rPr>
          <w:rFonts w:ascii="Aptos Narrow" w:hAnsi="Aptos Narrow"/>
          <w:b/>
          <w:bCs/>
          <w:sz w:val="24"/>
        </w:rPr>
        <w:t>13.2.4.2</w:t>
      </w:r>
      <w:r>
        <w:rPr>
          <w:rFonts w:ascii="Aptos Narrow" w:hAnsi="Aptos Narrow"/>
          <w:sz w:val="24"/>
        </w:rPr>
        <w:t>. Compensatória, para as infrações descritas nas alíneas “e” a “h” do item 13.1, de 15 % (quinze por cento) do valor do Contrato.</w:t>
      </w:r>
    </w:p>
    <w:p w14:paraId="325864B7" w14:textId="77777777" w:rsidR="00A423F7" w:rsidRDefault="00000000">
      <w:pPr>
        <w:ind w:left="567"/>
        <w:jc w:val="both"/>
        <w:rPr>
          <w:rFonts w:ascii="Aptos Narrow" w:hAnsi="Aptos Narrow"/>
          <w:sz w:val="24"/>
        </w:rPr>
      </w:pPr>
      <w:r>
        <w:rPr>
          <w:rFonts w:ascii="Aptos Narrow" w:hAnsi="Aptos Narrow"/>
          <w:b/>
          <w:bCs/>
          <w:sz w:val="24"/>
        </w:rPr>
        <w:t>13.2.4.3</w:t>
      </w:r>
      <w:r>
        <w:rPr>
          <w:rFonts w:ascii="Aptos Narrow" w:hAnsi="Aptos Narrow"/>
          <w:sz w:val="24"/>
        </w:rPr>
        <w:t xml:space="preserve">. Compensatória, para as infrações previstas nas alíneas “b”, “c” e “d” do item 13.1, de 20% (vinte por cento) do valor do Contrato. </w:t>
      </w:r>
    </w:p>
    <w:p w14:paraId="041C9EE5" w14:textId="77777777" w:rsidR="00A423F7" w:rsidRDefault="00000000">
      <w:pPr>
        <w:ind w:left="567"/>
        <w:jc w:val="both"/>
        <w:rPr>
          <w:rFonts w:ascii="Aptos Narrow" w:hAnsi="Aptos Narrow"/>
          <w:sz w:val="24"/>
        </w:rPr>
      </w:pPr>
      <w:r>
        <w:rPr>
          <w:rFonts w:ascii="Aptos Narrow" w:hAnsi="Aptos Narrow"/>
          <w:b/>
          <w:bCs/>
          <w:sz w:val="24"/>
        </w:rPr>
        <w:t>13.2.4.4</w:t>
      </w:r>
      <w:r>
        <w:rPr>
          <w:rFonts w:ascii="Aptos Narrow" w:hAnsi="Aptos Narrow"/>
          <w:sz w:val="24"/>
        </w:rPr>
        <w:t>. Compensatória para infração descrita na alínea “a” do item 13.1, a multa será de 10% (dez por cento)  do valor do Contrato.</w:t>
      </w:r>
    </w:p>
    <w:p w14:paraId="59086592" w14:textId="77777777" w:rsidR="00A423F7" w:rsidRDefault="00000000">
      <w:pPr>
        <w:jc w:val="both"/>
        <w:rPr>
          <w:rFonts w:ascii="Aptos Narrow" w:hAnsi="Aptos Narrow"/>
          <w:sz w:val="24"/>
        </w:rPr>
      </w:pPr>
      <w:r>
        <w:rPr>
          <w:rFonts w:ascii="Aptos Narrow" w:hAnsi="Aptos Narrow"/>
          <w:b/>
          <w:bCs/>
          <w:sz w:val="24"/>
        </w:rPr>
        <w:t>13.3</w:t>
      </w:r>
      <w:r>
        <w:rPr>
          <w:rFonts w:ascii="Aptos Narrow" w:hAnsi="Aptos Narrow"/>
          <w:sz w:val="24"/>
        </w:rPr>
        <w:t>. A aplicação das sanções previstas neste Contrato não exclui, em hipótese alguma, a obrigação de reparação integral do dano causado ao Contratante (art. 156, § 9º, da Lei 14.133/2021).</w:t>
      </w:r>
    </w:p>
    <w:p w14:paraId="322D7C97" w14:textId="77777777" w:rsidR="00A423F7" w:rsidRDefault="00000000">
      <w:pPr>
        <w:ind w:left="284"/>
        <w:jc w:val="both"/>
        <w:rPr>
          <w:rFonts w:ascii="Aptos Narrow" w:hAnsi="Aptos Narrow"/>
          <w:sz w:val="24"/>
        </w:rPr>
      </w:pPr>
      <w:r>
        <w:rPr>
          <w:rFonts w:ascii="Aptos Narrow" w:hAnsi="Aptos Narrow"/>
          <w:b/>
          <w:bCs/>
          <w:sz w:val="24"/>
        </w:rPr>
        <w:t>13.3.1</w:t>
      </w:r>
      <w:r>
        <w:rPr>
          <w:rFonts w:ascii="Aptos Narrow" w:hAnsi="Aptos Narrow"/>
          <w:sz w:val="24"/>
        </w:rPr>
        <w:t>. Todas as sanções previstas neste Contrato poderão ser aplicadas cumulativamente com a multa (art. 156, § 7º, da Lei 14.133/2021).</w:t>
      </w:r>
    </w:p>
    <w:p w14:paraId="16116B93" w14:textId="77777777" w:rsidR="00A423F7" w:rsidRDefault="00000000">
      <w:pPr>
        <w:ind w:left="284"/>
        <w:jc w:val="both"/>
        <w:rPr>
          <w:rFonts w:ascii="Aptos Narrow" w:hAnsi="Aptos Narrow"/>
          <w:sz w:val="24"/>
        </w:rPr>
      </w:pPr>
      <w:r>
        <w:rPr>
          <w:rFonts w:ascii="Aptos Narrow" w:hAnsi="Aptos Narrow"/>
          <w:b/>
          <w:bCs/>
          <w:sz w:val="24"/>
        </w:rPr>
        <w:t>13.3.2</w:t>
      </w:r>
      <w:r>
        <w:rPr>
          <w:rFonts w:ascii="Aptos Narrow" w:hAnsi="Aptos Narrow"/>
          <w:sz w:val="24"/>
        </w:rPr>
        <w:t>. Antes da aplicação da multa será facultada a defesa do interessado no prazo de 15 (quinze) dias úteis, contado da data de sua intimação (art. 157, da Lei 14.133/2021).</w:t>
      </w:r>
    </w:p>
    <w:p w14:paraId="35589B27" w14:textId="77777777" w:rsidR="00A423F7" w:rsidRDefault="00000000">
      <w:pPr>
        <w:ind w:left="284"/>
        <w:jc w:val="both"/>
        <w:rPr>
          <w:rFonts w:ascii="Aptos Narrow" w:hAnsi="Aptos Narrow"/>
          <w:sz w:val="24"/>
        </w:rPr>
      </w:pPr>
      <w:r>
        <w:rPr>
          <w:rFonts w:ascii="Aptos Narrow" w:hAnsi="Aptos Narrow"/>
          <w:b/>
          <w:bCs/>
          <w:sz w:val="24"/>
        </w:rPr>
        <w:t>13.3.3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14:paraId="2344FC37" w14:textId="77777777" w:rsidR="00A423F7" w:rsidRDefault="00000000">
      <w:pPr>
        <w:ind w:left="284"/>
        <w:jc w:val="both"/>
        <w:rPr>
          <w:rFonts w:ascii="Aptos Narrow" w:hAnsi="Aptos Narrow"/>
          <w:sz w:val="24"/>
        </w:rPr>
      </w:pPr>
      <w:r>
        <w:rPr>
          <w:rFonts w:ascii="Aptos Narrow" w:hAnsi="Aptos Narrow"/>
          <w:b/>
          <w:bCs/>
          <w:sz w:val="24"/>
        </w:rPr>
        <w:t>13.3.4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14:paraId="288C83AD" w14:textId="77777777" w:rsidR="00A423F7" w:rsidRDefault="00000000">
      <w:pPr>
        <w:jc w:val="both"/>
        <w:rPr>
          <w:rFonts w:ascii="Aptos Narrow" w:hAnsi="Aptos Narrow"/>
          <w:sz w:val="24"/>
        </w:rPr>
      </w:pPr>
      <w:r>
        <w:rPr>
          <w:rFonts w:ascii="Aptos Narrow" w:hAnsi="Aptos Narrow"/>
          <w:b/>
          <w:bCs/>
          <w:sz w:val="24"/>
        </w:rPr>
        <w:t>13.4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14:paraId="31A45871" w14:textId="77777777" w:rsidR="00A423F7" w:rsidRDefault="00000000">
      <w:pPr>
        <w:jc w:val="both"/>
        <w:rPr>
          <w:rFonts w:ascii="Aptos Narrow" w:hAnsi="Aptos Narrow"/>
          <w:sz w:val="24"/>
        </w:rPr>
      </w:pPr>
      <w:r>
        <w:rPr>
          <w:rFonts w:ascii="Aptos Narrow" w:hAnsi="Aptos Narrow"/>
          <w:b/>
          <w:bCs/>
          <w:sz w:val="24"/>
        </w:rPr>
        <w:t>13.5</w:t>
      </w:r>
      <w:r>
        <w:rPr>
          <w:rFonts w:ascii="Aptos Narrow" w:hAnsi="Aptos Narrow"/>
          <w:sz w:val="24"/>
        </w:rPr>
        <w:t>. Na aplicação das sanções serão considerados (art. 156, § 1º, da Lei 14.133/2021):</w:t>
      </w:r>
    </w:p>
    <w:p w14:paraId="08E1C3AA" w14:textId="77777777" w:rsidR="00A423F7" w:rsidRDefault="00000000">
      <w:pPr>
        <w:ind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14:paraId="581C17B7" w14:textId="77777777" w:rsidR="00A423F7" w:rsidRDefault="00000000">
      <w:pPr>
        <w:ind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14:paraId="48C6A1D8" w14:textId="77777777" w:rsidR="00A423F7" w:rsidRDefault="00000000">
      <w:pPr>
        <w:ind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14:paraId="073BB78F" w14:textId="77777777" w:rsidR="00A423F7" w:rsidRDefault="00000000">
      <w:pPr>
        <w:ind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14:paraId="18FDA57E" w14:textId="77777777" w:rsidR="00A423F7" w:rsidRDefault="00000000">
      <w:pPr>
        <w:ind w:left="284"/>
        <w:jc w:val="both"/>
        <w:rPr>
          <w:rFonts w:ascii="Aptos Narrow" w:hAnsi="Aptos Narrow"/>
          <w:sz w:val="24"/>
        </w:rPr>
      </w:pPr>
      <w:r>
        <w:rPr>
          <w:rFonts w:ascii="Aptos Narrow" w:hAnsi="Aptos Narrow"/>
          <w:b/>
          <w:bCs/>
          <w:sz w:val="24"/>
        </w:rPr>
        <w:lastRenderedPageBreak/>
        <w:t>e</w:t>
      </w:r>
      <w:r>
        <w:rPr>
          <w:rFonts w:ascii="Aptos Narrow" w:hAnsi="Aptos Narrow"/>
          <w:sz w:val="24"/>
        </w:rPr>
        <w:t>) a implantação ou o aperfeiçoamento de programa de integridade, conforme normas e orientações dos órgãos de controle.</w:t>
      </w:r>
    </w:p>
    <w:p w14:paraId="55C2A39F" w14:textId="77777777" w:rsidR="00A423F7" w:rsidRDefault="00000000">
      <w:pPr>
        <w:jc w:val="both"/>
        <w:rPr>
          <w:rFonts w:ascii="Aptos Narrow" w:hAnsi="Aptos Narrow"/>
          <w:sz w:val="24"/>
        </w:rPr>
      </w:pPr>
      <w:r>
        <w:rPr>
          <w:rFonts w:ascii="Aptos Narrow" w:hAnsi="Aptos Narrow"/>
          <w:b/>
          <w:bCs/>
          <w:sz w:val="24"/>
        </w:rPr>
        <w:t>13.6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14:paraId="270BE43A" w14:textId="77777777" w:rsidR="00A423F7" w:rsidRDefault="00000000">
      <w:pPr>
        <w:jc w:val="both"/>
        <w:rPr>
          <w:rFonts w:ascii="Aptos Narrow" w:hAnsi="Aptos Narrow"/>
          <w:sz w:val="24"/>
        </w:rPr>
      </w:pPr>
      <w:r>
        <w:rPr>
          <w:rFonts w:ascii="Aptos Narrow" w:hAnsi="Aptos Narrow"/>
          <w:b/>
          <w:bCs/>
          <w:sz w:val="24"/>
        </w:rPr>
        <w:t>13.7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14:paraId="0E3F5A44" w14:textId="77777777" w:rsidR="00A423F7" w:rsidRDefault="00000000">
      <w:pPr>
        <w:jc w:val="both"/>
        <w:rPr>
          <w:rFonts w:ascii="Aptos Narrow" w:hAnsi="Aptos Narrow"/>
          <w:sz w:val="24"/>
        </w:rPr>
      </w:pPr>
      <w:r>
        <w:rPr>
          <w:rFonts w:ascii="Aptos Narrow" w:hAnsi="Aptos Narrow"/>
          <w:b/>
          <w:bCs/>
          <w:sz w:val="24"/>
        </w:rPr>
        <w:t>13.8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14:paraId="2F76AA56" w14:textId="77777777" w:rsidR="00A423F7" w:rsidRDefault="00000000">
      <w:pPr>
        <w:jc w:val="both"/>
        <w:rPr>
          <w:rFonts w:ascii="Aptos Narrow" w:hAnsi="Aptos Narrow"/>
          <w:sz w:val="24"/>
        </w:rPr>
      </w:pPr>
      <w:r>
        <w:rPr>
          <w:rFonts w:ascii="Aptos Narrow" w:hAnsi="Aptos Narrow"/>
          <w:b/>
          <w:bCs/>
          <w:sz w:val="24"/>
        </w:rPr>
        <w:t>13.9</w:t>
      </w:r>
      <w:r>
        <w:rPr>
          <w:rFonts w:ascii="Aptos Narrow" w:hAnsi="Aptos Narrow"/>
          <w:sz w:val="24"/>
        </w:rPr>
        <w:t>.</w:t>
      </w:r>
      <w:r>
        <w:rPr>
          <w:rFonts w:ascii="Aptos Narrow" w:hAnsi="Aptos Narrow"/>
          <w:sz w:val="24"/>
        </w:rPr>
        <w:tab/>
        <w:t>As sanções de impedimento de licitar e contratar e declaração de inidoneidade para licitar ou contratar são passíveis de reabilitação na forma do art. 163 da Lei 14.133/2021.</w:t>
      </w:r>
    </w:p>
    <w:p w14:paraId="76717197" w14:textId="77777777" w:rsidR="00A423F7" w:rsidRDefault="00000000">
      <w:pPr>
        <w:jc w:val="both"/>
        <w:rPr>
          <w:rFonts w:ascii="Aptos Narrow" w:hAnsi="Aptos Narrow"/>
          <w:sz w:val="24"/>
        </w:rPr>
      </w:pPr>
      <w:r>
        <w:rPr>
          <w:rFonts w:ascii="Aptos Narrow" w:hAnsi="Aptos Narrow"/>
          <w:b/>
          <w:bCs/>
          <w:sz w:val="24"/>
        </w:rPr>
        <w:t>13.10</w:t>
      </w:r>
      <w:r>
        <w:rPr>
          <w:rFonts w:ascii="Aptos Narrow" w:hAnsi="Aptos Narrow"/>
          <w:sz w:val="24"/>
        </w:rPr>
        <w:t>.</w:t>
      </w:r>
      <w:bookmarkStart w:id="3"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rFonts w:ascii="Aptos Narrow" w:hAnsi="Aptos Narrow"/>
          <w:sz w:val="24"/>
        </w:rPr>
        <w:t>.</w:t>
      </w:r>
    </w:p>
    <w:p w14:paraId="791FB194" w14:textId="77777777" w:rsidR="00A423F7" w:rsidRDefault="00A423F7">
      <w:pPr>
        <w:jc w:val="both"/>
        <w:rPr>
          <w:rFonts w:ascii="Aptos Narrow" w:hAnsi="Aptos Narrow" w:cs="Calibri Light"/>
          <w:sz w:val="24"/>
        </w:rPr>
      </w:pPr>
    </w:p>
    <w:tbl>
      <w:tblPr>
        <w:tblStyle w:val="Tabelacomgrade"/>
        <w:tblW w:w="10632" w:type="dxa"/>
        <w:tblInd w:w="108" w:type="dxa"/>
        <w:tblLayout w:type="fixed"/>
        <w:tblLook w:val="04A0" w:firstRow="1" w:lastRow="0" w:firstColumn="1" w:lastColumn="0" w:noHBand="0" w:noVBand="1"/>
      </w:tblPr>
      <w:tblGrid>
        <w:gridCol w:w="10632"/>
      </w:tblGrid>
      <w:tr w:rsidR="00A423F7" w14:paraId="3A597A54" w14:textId="77777777">
        <w:tc>
          <w:tcPr>
            <w:tcW w:w="10632" w:type="dxa"/>
            <w:tcBorders>
              <w:top w:val="nil"/>
              <w:left w:val="nil"/>
              <w:bottom w:val="nil"/>
              <w:right w:val="nil"/>
            </w:tcBorders>
            <w:shd w:val="clear" w:color="auto" w:fill="D9D9D9" w:themeFill="background1" w:themeFillShade="D9"/>
          </w:tcPr>
          <w:p w14:paraId="4FEC6131"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QUARTA - DA EXTINÇÃO DO CONTRATO</w:t>
            </w:r>
            <w:r>
              <w:rPr>
                <w:rFonts w:ascii="Aptos Narrow" w:hAnsi="Aptos Narrow" w:cstheme="majorHAnsi"/>
                <w:sz w:val="24"/>
                <w:lang w:val="pt-BR"/>
              </w:rPr>
              <w:t>:</w:t>
            </w:r>
          </w:p>
        </w:tc>
      </w:tr>
    </w:tbl>
    <w:p w14:paraId="4143C207" w14:textId="77777777" w:rsidR="00A423F7" w:rsidRDefault="00000000">
      <w:pPr>
        <w:jc w:val="both"/>
        <w:rPr>
          <w:rFonts w:ascii="Aptos Narrow" w:hAnsi="Aptos Narrow" w:cs="Calibri Light"/>
          <w:sz w:val="24"/>
          <w:lang w:val="pt-BR"/>
        </w:rPr>
      </w:pPr>
      <w:r>
        <w:rPr>
          <w:rFonts w:ascii="Aptos Narrow" w:hAnsi="Aptos Narrow" w:cstheme="majorHAnsi"/>
          <w:sz w:val="24"/>
          <w:lang w:val="pt-BR"/>
        </w:rPr>
        <w:t>[</w:t>
      </w:r>
      <w:r>
        <w:rPr>
          <w:rFonts w:ascii="Aptos Narrow" w:hAnsi="Aptos Narrow" w:cstheme="majorHAnsi"/>
          <w:b/>
          <w:bCs/>
          <w:sz w:val="24"/>
          <w:highlight w:val="cyan"/>
          <w:lang w:val="pt-BR"/>
        </w:rPr>
        <w:t>utilizar para fornecimento parcelado, aluguel de equipamentos e softwares</w:t>
      </w:r>
      <w:r>
        <w:rPr>
          <w:rFonts w:ascii="Aptos Narrow" w:hAnsi="Aptos Narrow" w:cstheme="majorHAnsi"/>
          <w:sz w:val="24"/>
          <w:lang w:val="pt-BR"/>
        </w:rPr>
        <w:t>]</w:t>
      </w:r>
    </w:p>
    <w:p w14:paraId="5F7754EB"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14.1</w:t>
      </w:r>
      <w:r>
        <w:rPr>
          <w:rFonts w:ascii="Aptos Narrow" w:hAnsi="Aptos Narrow" w:cstheme="majorHAnsi"/>
          <w:sz w:val="24"/>
          <w:lang w:val="pt-BR"/>
        </w:rPr>
        <w:t>. O contrato se extingue quando vencido o prazo nele estipulado, independentemente de terem sido cumpridas ou não as obrigações de ambas as partes contraentes.</w:t>
      </w:r>
    </w:p>
    <w:p w14:paraId="00019511"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14.2</w:t>
      </w:r>
      <w:r>
        <w:rPr>
          <w:rFonts w:ascii="Aptos Narrow" w:hAnsi="Aptos Narrow" w:cstheme="majorHAnsi"/>
          <w:sz w:val="24"/>
          <w:lang w:val="pt-BR"/>
        </w:rPr>
        <w:t>. O contrato pode ser extinto antes do prazo nele fixado, sem ônus para o Contratante, quando esta não dispuser de créditos orçamentários para sua continuidade ou quando entender que o contrato não mais lhe oferece vantagem.</w:t>
      </w:r>
    </w:p>
    <w:p w14:paraId="57C04A8C"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14.2.1</w:t>
      </w:r>
      <w:r>
        <w:rPr>
          <w:rFonts w:ascii="Aptos Narrow" w:hAnsi="Aptos Narrow" w:cstheme="majorHAnsi"/>
          <w:sz w:val="24"/>
          <w:lang w:val="pt-BR"/>
        </w:rPr>
        <w:t>. A extinção nesta hipótese ocorrerá na próxima data de aniversário do contrato, desde que haja a notificação do contratado pelo contratante nesse sentido com pelo menos 2 (dois) meses de antecedência desse dia.</w:t>
      </w:r>
    </w:p>
    <w:p w14:paraId="06F8BE7F"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14.2.2</w:t>
      </w:r>
      <w:r>
        <w:rPr>
          <w:rFonts w:ascii="Aptos Narrow" w:hAnsi="Aptos Narrow" w:cstheme="majorHAnsi"/>
          <w:sz w:val="24"/>
          <w:lang w:val="pt-BR"/>
        </w:rPr>
        <w:t>. Caso a notificação da não-continuidade do contrato de que trata este subitem ocorra com menos de 2 (dois) meses da data de aniversário, a extinção contratual ocorrerá após 2 (dois) meses da data da comunicação.</w:t>
      </w:r>
    </w:p>
    <w:p w14:paraId="0FB0C31D"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14.3</w:t>
      </w:r>
      <w:r>
        <w:rPr>
          <w:rFonts w:ascii="Aptos Narrow" w:hAnsi="Aptos Narrow" w:cstheme="majorHAnsi"/>
          <w:sz w:val="24"/>
          <w:lang w:val="pt-BR"/>
        </w:rPr>
        <w:t>. O contrato pode ser extinto antes de cumpridas as obrigações nele estipuladas, ou antes do prazo nele fixado, por algum dos motivos previstos no art. 137 da Lei 14.133/2021, bem como amigavelmente, assegurados o contraditório e a ampla defesa.</w:t>
      </w:r>
    </w:p>
    <w:p w14:paraId="0B39F320"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14.3.1</w:t>
      </w:r>
      <w:r>
        <w:rPr>
          <w:rFonts w:ascii="Aptos Narrow" w:hAnsi="Aptos Narrow" w:cstheme="majorHAnsi"/>
          <w:sz w:val="24"/>
          <w:lang w:val="pt-BR"/>
        </w:rPr>
        <w:t>. Nesta hipótese, aplicam-se também os artigos 138 e 139 da mesma Lei.</w:t>
      </w:r>
    </w:p>
    <w:p w14:paraId="4930BFF5"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14.3.2</w:t>
      </w:r>
      <w:r>
        <w:rPr>
          <w:rFonts w:ascii="Aptos Narrow" w:hAnsi="Aptos Narrow" w:cstheme="majorHAnsi"/>
          <w:sz w:val="24"/>
          <w:lang w:val="pt-BR"/>
        </w:rPr>
        <w:t>. A alteração social ou a modificação da finalidade ou da estrutura da empresa não ensejará a rescisão se não restringir sua capacidade de concluir o contrato.</w:t>
      </w:r>
    </w:p>
    <w:p w14:paraId="6E40EFB8" w14:textId="77777777" w:rsidR="00A423F7" w:rsidRDefault="00000000">
      <w:pPr>
        <w:ind w:left="567"/>
        <w:jc w:val="both"/>
        <w:rPr>
          <w:rFonts w:ascii="Aptos Narrow" w:hAnsi="Aptos Narrow" w:cs="Calibri Light"/>
          <w:sz w:val="24"/>
          <w:lang w:val="pt-BR"/>
        </w:rPr>
      </w:pPr>
      <w:r>
        <w:rPr>
          <w:rFonts w:ascii="Aptos Narrow" w:hAnsi="Aptos Narrow" w:cstheme="majorHAnsi"/>
          <w:b/>
          <w:bCs/>
          <w:sz w:val="24"/>
          <w:lang w:val="pt-BR"/>
        </w:rPr>
        <w:t>14.3.2.1</w:t>
      </w:r>
      <w:r>
        <w:rPr>
          <w:rFonts w:ascii="Aptos Narrow" w:hAnsi="Aptos Narrow" w:cstheme="majorHAnsi"/>
          <w:sz w:val="24"/>
          <w:lang w:val="pt-BR"/>
        </w:rPr>
        <w:t>. Se a operação implicar mudança da pessoa jurídica contratada, deverá ser formalizado termo aditivo para alteração subjetiva.</w:t>
      </w:r>
    </w:p>
    <w:p w14:paraId="4C395E41"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14.4</w:t>
      </w:r>
      <w:r>
        <w:rPr>
          <w:rFonts w:ascii="Aptos Narrow" w:hAnsi="Aptos Narrow" w:cstheme="majorHAnsi"/>
          <w:sz w:val="24"/>
          <w:lang w:val="pt-BR"/>
        </w:rPr>
        <w:t>. O termo de rescisão, sempre que possível, será precedido:</w:t>
      </w:r>
    </w:p>
    <w:p w14:paraId="4FE1B98E"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lastRenderedPageBreak/>
        <w:t>14.4.1</w:t>
      </w:r>
      <w:r>
        <w:rPr>
          <w:rFonts w:ascii="Aptos Narrow" w:hAnsi="Aptos Narrow" w:cstheme="majorHAnsi"/>
          <w:sz w:val="24"/>
          <w:lang w:val="pt-BR"/>
        </w:rPr>
        <w:t>. Balanço dos eventos contratuais já cumpridos ou parcialmente cumpridos;</w:t>
      </w:r>
    </w:p>
    <w:p w14:paraId="2198638A"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14.4.2</w:t>
      </w:r>
      <w:r>
        <w:rPr>
          <w:rFonts w:ascii="Aptos Narrow" w:hAnsi="Aptos Narrow" w:cstheme="majorHAnsi"/>
          <w:sz w:val="24"/>
          <w:lang w:val="pt-BR"/>
        </w:rPr>
        <w:t>. Relação dos pagamentos já efetuados e ainda devidos;</w:t>
      </w:r>
    </w:p>
    <w:p w14:paraId="6E2F6EA3" w14:textId="77777777" w:rsidR="00A423F7" w:rsidRDefault="00000000">
      <w:pPr>
        <w:ind w:left="284"/>
        <w:jc w:val="both"/>
        <w:rPr>
          <w:rFonts w:ascii="Aptos Narrow" w:hAnsi="Aptos Narrow" w:cs="Calibri Light"/>
          <w:sz w:val="24"/>
          <w:lang w:val="pt-BR"/>
        </w:rPr>
      </w:pPr>
      <w:r>
        <w:rPr>
          <w:rFonts w:ascii="Aptos Narrow" w:hAnsi="Aptos Narrow" w:cstheme="majorHAnsi"/>
          <w:b/>
          <w:bCs/>
          <w:sz w:val="24"/>
          <w:lang w:val="pt-BR"/>
        </w:rPr>
        <w:t>14.4.3</w:t>
      </w:r>
      <w:r>
        <w:rPr>
          <w:rFonts w:ascii="Aptos Narrow" w:hAnsi="Aptos Narrow" w:cstheme="majorHAnsi"/>
          <w:sz w:val="24"/>
          <w:lang w:val="pt-BR"/>
        </w:rPr>
        <w:t>. Indenizações e multas.</w:t>
      </w:r>
    </w:p>
    <w:p w14:paraId="2CB44453"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1C8BF243" w14:textId="77777777">
        <w:tc>
          <w:tcPr>
            <w:tcW w:w="10490" w:type="dxa"/>
            <w:tcBorders>
              <w:top w:val="nil"/>
              <w:left w:val="nil"/>
              <w:bottom w:val="nil"/>
              <w:right w:val="nil"/>
            </w:tcBorders>
            <w:shd w:val="clear" w:color="auto" w:fill="D9D9D9" w:themeFill="background1" w:themeFillShade="D9"/>
          </w:tcPr>
          <w:p w14:paraId="1AADE737"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QUINTA - DOS CASOS OMISSOS</w:t>
            </w:r>
            <w:r>
              <w:rPr>
                <w:rFonts w:ascii="Aptos Narrow" w:hAnsi="Aptos Narrow" w:cstheme="majorHAnsi"/>
                <w:sz w:val="24"/>
                <w:lang w:val="pt-BR"/>
              </w:rPr>
              <w:t>:</w:t>
            </w:r>
          </w:p>
        </w:tc>
      </w:tr>
    </w:tbl>
    <w:p w14:paraId="3FD9C08B"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15.1</w:t>
      </w:r>
      <w:r>
        <w:rPr>
          <w:rFonts w:ascii="Aptos Narrow" w:hAnsi="Aptos Narrow" w:cstheme="majorHAnsi"/>
          <w:sz w:val="24"/>
          <w:lang w:val="pt-BR"/>
        </w:rPr>
        <w:t>. Os casos omissos serão decididos pela Contratante, segundo as disposições contidas na Lei 14.133/2021, e demais normas aplicáveis e normas e princípios gerais dos contratos.</w:t>
      </w:r>
    </w:p>
    <w:p w14:paraId="1FBC63EC"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7E2B2D97" w14:textId="77777777">
        <w:tc>
          <w:tcPr>
            <w:tcW w:w="10490" w:type="dxa"/>
            <w:tcBorders>
              <w:top w:val="nil"/>
              <w:left w:val="nil"/>
              <w:bottom w:val="nil"/>
              <w:right w:val="nil"/>
            </w:tcBorders>
            <w:shd w:val="clear" w:color="auto" w:fill="D9D9D9" w:themeFill="background1" w:themeFillShade="D9"/>
          </w:tcPr>
          <w:p w14:paraId="19521CE5"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SEXTA - DAS ALTERAÇÕES</w:t>
            </w:r>
            <w:r>
              <w:rPr>
                <w:rFonts w:ascii="Aptos Narrow" w:hAnsi="Aptos Narrow" w:cstheme="majorHAnsi"/>
                <w:sz w:val="24"/>
                <w:lang w:val="pt-BR"/>
              </w:rPr>
              <w:t>:</w:t>
            </w:r>
          </w:p>
        </w:tc>
      </w:tr>
    </w:tbl>
    <w:p w14:paraId="59810718"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16.1</w:t>
      </w:r>
      <w:r>
        <w:rPr>
          <w:rFonts w:ascii="Aptos Narrow" w:hAnsi="Aptos Narrow" w:cstheme="majorHAnsi"/>
          <w:sz w:val="24"/>
          <w:lang w:val="pt-BR"/>
        </w:rPr>
        <w:t xml:space="preserve">. Eventuais alterações contratuais reger-se-ão pela disciplina dos </w:t>
      </w:r>
      <w:proofErr w:type="spellStart"/>
      <w:r>
        <w:rPr>
          <w:rFonts w:ascii="Aptos Narrow" w:hAnsi="Aptos Narrow" w:cstheme="majorHAnsi"/>
          <w:sz w:val="24"/>
          <w:lang w:val="pt-BR"/>
        </w:rPr>
        <w:t>arts</w:t>
      </w:r>
      <w:proofErr w:type="spellEnd"/>
      <w:r>
        <w:rPr>
          <w:rFonts w:ascii="Aptos Narrow" w:hAnsi="Aptos Narrow" w:cstheme="majorHAnsi"/>
          <w:sz w:val="24"/>
          <w:lang w:val="pt-BR"/>
        </w:rPr>
        <w:t>. 124 e seguintes da Lei 14.133/2021.</w:t>
      </w:r>
    </w:p>
    <w:p w14:paraId="45FA0CB1"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16.2</w:t>
      </w:r>
      <w:r>
        <w:rPr>
          <w:rFonts w:ascii="Aptos Narrow" w:hAnsi="Aptos Narrow" w:cstheme="majorHAnsi"/>
          <w:sz w:val="24"/>
          <w:lang w:val="pt-BR"/>
        </w:rPr>
        <w:t>. O Contratado é obrigado a aceitar, nas mesmas condições contratuais, os acréscimos ou supressões que se fizerem necessários, de acordo com o art. 125 da Lei 14.133/2021.</w:t>
      </w:r>
    </w:p>
    <w:p w14:paraId="24C5CE80"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16.3</w:t>
      </w:r>
      <w:r>
        <w:rPr>
          <w:rFonts w:ascii="Aptos Narrow" w:hAnsi="Aptos Narrow" w:cstheme="majorHAnsi"/>
          <w:sz w:val="24"/>
          <w:lang w:val="pt-BR"/>
        </w:rPr>
        <w:t>. Registros que não caracterizam alteração do contrato podem ser realizados por simples apostila, dispensada a celebração de termo aditivo, na forma do art. 136 da Lei 14.133/2021.</w:t>
      </w:r>
    </w:p>
    <w:p w14:paraId="538FC310"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72BAC9FA" w14:textId="77777777">
        <w:tc>
          <w:tcPr>
            <w:tcW w:w="10490" w:type="dxa"/>
            <w:tcBorders>
              <w:top w:val="nil"/>
              <w:left w:val="nil"/>
              <w:bottom w:val="nil"/>
              <w:right w:val="nil"/>
            </w:tcBorders>
            <w:shd w:val="clear" w:color="auto" w:fill="D9D9D9" w:themeFill="background1" w:themeFillShade="D9"/>
          </w:tcPr>
          <w:p w14:paraId="4D3B305A"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SÉTIMA - DA PUBLICAÇÃO</w:t>
            </w:r>
            <w:r>
              <w:rPr>
                <w:rFonts w:ascii="Aptos Narrow" w:hAnsi="Aptos Narrow" w:cstheme="majorHAnsi"/>
                <w:sz w:val="24"/>
                <w:lang w:val="pt-BR"/>
              </w:rPr>
              <w:t>:</w:t>
            </w:r>
          </w:p>
        </w:tc>
      </w:tr>
    </w:tbl>
    <w:p w14:paraId="02E3817F"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17.1</w:t>
      </w:r>
      <w:r>
        <w:rPr>
          <w:rFonts w:ascii="Aptos Narrow" w:hAnsi="Aptos Narrow" w:cstheme="majorHAnsi"/>
          <w:sz w:val="24"/>
          <w:lang w:val="pt-BR"/>
        </w:rPr>
        <w:t>. Incumbirá ao Contratante providenciar a publicação deste instrumento nos termos e condições previstas na Lei 14.133/2021.</w:t>
      </w:r>
    </w:p>
    <w:p w14:paraId="6CEB9A69" w14:textId="77777777" w:rsidR="00A423F7" w:rsidRDefault="00A423F7">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A423F7" w14:paraId="0F384D9A" w14:textId="77777777">
        <w:tc>
          <w:tcPr>
            <w:tcW w:w="10490" w:type="dxa"/>
            <w:tcBorders>
              <w:top w:val="nil"/>
              <w:left w:val="nil"/>
              <w:bottom w:val="nil"/>
              <w:right w:val="nil"/>
            </w:tcBorders>
            <w:shd w:val="clear" w:color="auto" w:fill="D9D9D9" w:themeFill="background1" w:themeFillShade="D9"/>
          </w:tcPr>
          <w:p w14:paraId="258F8D9C" w14:textId="77777777" w:rsidR="00A423F7" w:rsidRDefault="00000000">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OITAVA - DO FORO</w:t>
            </w:r>
            <w:r>
              <w:rPr>
                <w:rFonts w:ascii="Aptos Narrow" w:hAnsi="Aptos Narrow" w:cstheme="majorHAnsi"/>
                <w:sz w:val="24"/>
                <w:lang w:val="pt-BR"/>
              </w:rPr>
              <w:t>:</w:t>
            </w:r>
          </w:p>
        </w:tc>
      </w:tr>
    </w:tbl>
    <w:p w14:paraId="7E05BBB2" w14:textId="77777777" w:rsidR="00A423F7" w:rsidRDefault="00000000">
      <w:pPr>
        <w:jc w:val="both"/>
        <w:rPr>
          <w:rFonts w:ascii="Aptos Narrow" w:hAnsi="Aptos Narrow" w:cs="Calibri Light"/>
          <w:sz w:val="24"/>
          <w:lang w:val="pt-BR"/>
        </w:rPr>
      </w:pPr>
      <w:r>
        <w:rPr>
          <w:rFonts w:ascii="Aptos Narrow" w:hAnsi="Aptos Narrow" w:cstheme="majorHAnsi"/>
          <w:b/>
          <w:bCs/>
          <w:sz w:val="24"/>
          <w:lang w:val="pt-BR"/>
        </w:rPr>
        <w:t>18.1</w:t>
      </w:r>
      <w:r>
        <w:rPr>
          <w:rFonts w:ascii="Aptos Narrow" w:hAnsi="Aptos Narrow" w:cstheme="majorHAnsi"/>
          <w:sz w:val="24"/>
          <w:lang w:val="pt-BR"/>
        </w:rPr>
        <w:t>. É eleito o Foro da Comarca do Rio Grande/RS, para dirimir os litígios que decorrerem da execução deste Termo de Contrato que não possam ser compostos pela conciliação, conforme art. 92, §1º da Lei 14.133/2021.</w:t>
      </w:r>
    </w:p>
    <w:p w14:paraId="3CFEA90E" w14:textId="77777777" w:rsidR="00A423F7" w:rsidRDefault="00A423F7">
      <w:pPr>
        <w:jc w:val="both"/>
        <w:rPr>
          <w:rFonts w:ascii="Aptos Narrow" w:hAnsi="Aptos Narrow" w:cs="Calibri Light"/>
          <w:sz w:val="24"/>
          <w:lang w:val="pt-BR"/>
        </w:rPr>
      </w:pPr>
    </w:p>
    <w:p w14:paraId="10A84EA3" w14:textId="77777777" w:rsidR="00A423F7" w:rsidRDefault="00000000">
      <w:pPr>
        <w:jc w:val="center"/>
        <w:rPr>
          <w:rFonts w:ascii="Aptos Narrow" w:hAnsi="Aptos Narrow" w:cs="Calibri Light"/>
          <w:sz w:val="24"/>
          <w:lang w:val="pt-BR"/>
        </w:rPr>
      </w:pPr>
      <w:r>
        <w:rPr>
          <w:rFonts w:ascii="Aptos Narrow" w:hAnsi="Aptos Narrow" w:cstheme="majorHAnsi"/>
          <w:sz w:val="24"/>
          <w:lang w:val="pt-BR"/>
        </w:rPr>
        <w:t>[</w:t>
      </w:r>
      <w:r>
        <w:rPr>
          <w:rFonts w:ascii="Aptos Narrow" w:hAnsi="Aptos Narrow" w:cstheme="majorHAnsi"/>
          <w:b/>
          <w:bCs/>
          <w:sz w:val="24"/>
          <w:highlight w:val="yellow"/>
          <w:lang w:val="pt-BR"/>
        </w:rPr>
        <w:t>Local/Data</w:t>
      </w:r>
      <w:r>
        <w:rPr>
          <w:rFonts w:ascii="Aptos Narrow" w:hAnsi="Aptos Narrow" w:cstheme="majorHAnsi"/>
          <w:sz w:val="24"/>
          <w:lang w:val="pt-BR"/>
        </w:rPr>
        <w:t>]</w:t>
      </w:r>
    </w:p>
    <w:p w14:paraId="23DD80CF" w14:textId="77777777" w:rsidR="00A423F7" w:rsidRDefault="00A423F7">
      <w:pPr>
        <w:jc w:val="both"/>
        <w:rPr>
          <w:rFonts w:ascii="Aptos Narrow" w:hAnsi="Aptos Narrow" w:cs="Calibri Light"/>
          <w:sz w:val="24"/>
          <w:lang w:val="pt-BR"/>
        </w:rPr>
      </w:pPr>
    </w:p>
    <w:p w14:paraId="03A34485" w14:textId="77777777" w:rsidR="00A423F7" w:rsidRDefault="00000000">
      <w:pPr>
        <w:jc w:val="center"/>
        <w:rPr>
          <w:rFonts w:ascii="Aptos Narrow" w:hAnsi="Aptos Narrow" w:cs="Calibri Light"/>
          <w:b/>
          <w:bCs/>
          <w:sz w:val="24"/>
          <w:lang w:val="pt-BR"/>
        </w:rPr>
      </w:pPr>
      <w:r>
        <w:rPr>
          <w:rFonts w:ascii="Aptos Narrow" w:hAnsi="Aptos Narrow" w:cstheme="majorHAnsi"/>
          <w:b/>
          <w:bCs/>
          <w:sz w:val="24"/>
          <w:lang w:val="pt-BR"/>
        </w:rPr>
        <w:t>Deivid Moraes Mendes</w:t>
      </w:r>
    </w:p>
    <w:p w14:paraId="29884216" w14:textId="77777777" w:rsidR="00A423F7" w:rsidRDefault="00000000">
      <w:pPr>
        <w:jc w:val="center"/>
        <w:rPr>
          <w:rFonts w:ascii="Aptos Narrow" w:hAnsi="Aptos Narrow" w:cs="Calibri Light"/>
          <w:b/>
          <w:bCs/>
          <w:sz w:val="24"/>
          <w:lang w:val="pt-BR"/>
        </w:rPr>
      </w:pPr>
      <w:bookmarkStart w:id="4" w:name="_Hlk126604625"/>
      <w:r>
        <w:rPr>
          <w:rFonts w:ascii="Aptos Narrow" w:hAnsi="Aptos Narrow" w:cs="Arial"/>
          <w:b/>
          <w:bCs/>
          <w:sz w:val="24"/>
          <w:lang w:val="pt-BR"/>
        </w:rPr>
        <w:t>Secretário de Município de Gestão Administrativa e Licitações</w:t>
      </w:r>
      <w:bookmarkEnd w:id="4"/>
    </w:p>
    <w:p w14:paraId="6B5C206E" w14:textId="77777777" w:rsidR="00A423F7" w:rsidRDefault="00A423F7">
      <w:pPr>
        <w:jc w:val="both"/>
        <w:rPr>
          <w:rFonts w:ascii="Aptos Narrow" w:hAnsi="Aptos Narrow" w:cs="Calibri Light"/>
          <w:sz w:val="24"/>
          <w:lang w:val="pt-BR"/>
        </w:rPr>
      </w:pPr>
    </w:p>
    <w:p w14:paraId="4854FF04" w14:textId="77777777" w:rsidR="00A423F7" w:rsidRDefault="00A423F7">
      <w:pPr>
        <w:jc w:val="both"/>
        <w:rPr>
          <w:rFonts w:ascii="Aptos Narrow" w:hAnsi="Aptos Narrow"/>
          <w:sz w:val="24"/>
          <w:lang w:val="pt-BR"/>
        </w:rPr>
      </w:pPr>
    </w:p>
    <w:p w14:paraId="7FC81B62" w14:textId="77777777" w:rsidR="00A423F7" w:rsidRDefault="00A423F7">
      <w:pPr>
        <w:jc w:val="both"/>
        <w:rPr>
          <w:rFonts w:ascii="Aptos Narrow" w:hAnsi="Aptos Narrow"/>
          <w:sz w:val="24"/>
        </w:rPr>
      </w:pPr>
    </w:p>
    <w:p w14:paraId="3ACF8420" w14:textId="77777777" w:rsidR="00A423F7" w:rsidRDefault="00A423F7">
      <w:pPr>
        <w:jc w:val="both"/>
        <w:rPr>
          <w:rFonts w:ascii="Aptos Narrow" w:hAnsi="Aptos Narrow"/>
          <w:sz w:val="24"/>
        </w:rPr>
      </w:pPr>
    </w:p>
    <w:p w14:paraId="460C8D7A" w14:textId="77777777" w:rsidR="00A423F7" w:rsidRDefault="00A423F7">
      <w:pPr>
        <w:jc w:val="both"/>
        <w:rPr>
          <w:rFonts w:ascii="Aptos Narrow" w:hAnsi="Aptos Narrow"/>
          <w:sz w:val="24"/>
        </w:rPr>
      </w:pPr>
    </w:p>
    <w:p w14:paraId="6A9C5098" w14:textId="77777777" w:rsidR="00A423F7" w:rsidRDefault="00A423F7">
      <w:pPr>
        <w:jc w:val="both"/>
        <w:rPr>
          <w:rFonts w:ascii="Aptos Narrow" w:hAnsi="Aptos Narrow"/>
          <w:sz w:val="24"/>
        </w:rPr>
      </w:pPr>
    </w:p>
    <w:p w14:paraId="09CCB7CE" w14:textId="77777777" w:rsidR="00A423F7" w:rsidRDefault="00A423F7">
      <w:pPr>
        <w:jc w:val="both"/>
        <w:rPr>
          <w:rFonts w:ascii="Aptos Narrow" w:hAnsi="Aptos Narrow"/>
          <w:sz w:val="24"/>
        </w:rPr>
      </w:pPr>
    </w:p>
    <w:p w14:paraId="0DB4127C" w14:textId="77777777" w:rsidR="00A423F7" w:rsidRDefault="00A423F7">
      <w:pPr>
        <w:jc w:val="both"/>
        <w:rPr>
          <w:rFonts w:ascii="Aptos Narrow" w:hAnsi="Aptos Narrow"/>
          <w:sz w:val="24"/>
        </w:rPr>
      </w:pPr>
    </w:p>
    <w:p w14:paraId="5035DECF" w14:textId="77777777" w:rsidR="00A423F7" w:rsidRDefault="00A423F7">
      <w:pPr>
        <w:jc w:val="both"/>
        <w:rPr>
          <w:rFonts w:ascii="Aptos Narrow" w:hAnsi="Aptos Narrow"/>
          <w:sz w:val="24"/>
        </w:rPr>
      </w:pPr>
    </w:p>
    <w:p w14:paraId="3DB19B24" w14:textId="77777777" w:rsidR="00A423F7" w:rsidRDefault="00A423F7">
      <w:pPr>
        <w:jc w:val="both"/>
        <w:rPr>
          <w:rFonts w:ascii="Aptos Narrow" w:hAnsi="Aptos Narrow"/>
          <w:sz w:val="24"/>
        </w:rPr>
      </w:pPr>
    </w:p>
    <w:p w14:paraId="61999C27" w14:textId="77777777" w:rsidR="00A423F7" w:rsidRDefault="00A423F7">
      <w:pPr>
        <w:jc w:val="both"/>
        <w:rPr>
          <w:rFonts w:ascii="Aptos Narrow" w:hAnsi="Aptos Narrow"/>
          <w:sz w:val="24"/>
        </w:rPr>
      </w:pPr>
    </w:p>
    <w:p w14:paraId="5D086978" w14:textId="77777777" w:rsidR="00A423F7" w:rsidRDefault="00A423F7">
      <w:pPr>
        <w:jc w:val="both"/>
        <w:rPr>
          <w:rFonts w:ascii="Aptos Narrow" w:hAnsi="Aptos Narrow"/>
          <w:sz w:val="24"/>
        </w:rPr>
      </w:pPr>
    </w:p>
    <w:p w14:paraId="26C3109D" w14:textId="77777777" w:rsidR="00A423F7" w:rsidRDefault="00000000">
      <w:pPr>
        <w:spacing w:line="360" w:lineRule="auto"/>
        <w:jc w:val="center"/>
        <w:rPr>
          <w:rFonts w:ascii="Aptos Narrow" w:hAnsi="Aptos Narrow"/>
          <w:sz w:val="24"/>
        </w:rPr>
      </w:pPr>
      <w:r>
        <w:rPr>
          <w:rFonts w:ascii="Aptos Narrow" w:hAnsi="Aptos Narrow"/>
          <w:b/>
          <w:bCs/>
          <w:sz w:val="24"/>
        </w:rPr>
        <w:t>FISCALIZAÇÃO DO CONTRATO Nº xxx/2024</w:t>
      </w:r>
    </w:p>
    <w:p w14:paraId="24611FB8" w14:textId="77777777" w:rsidR="00A423F7" w:rsidRDefault="00A423F7">
      <w:pPr>
        <w:spacing w:line="360" w:lineRule="auto"/>
        <w:ind w:left="1416"/>
        <w:jc w:val="center"/>
        <w:rPr>
          <w:rFonts w:ascii="Aptos Narrow" w:hAnsi="Aptos Narrow"/>
          <w:b/>
          <w:bCs/>
          <w:sz w:val="24"/>
        </w:rPr>
      </w:pPr>
    </w:p>
    <w:p w14:paraId="3D0A90AA" w14:textId="77777777" w:rsidR="00A423F7" w:rsidRDefault="00000000">
      <w:pPr>
        <w:suppressAutoHyphens w:val="0"/>
        <w:spacing w:line="360" w:lineRule="auto"/>
        <w:jc w:val="both"/>
        <w:rPr>
          <w:rFonts w:ascii="Aptos Narrow" w:hAnsi="Aptos Narrow"/>
          <w:sz w:val="24"/>
        </w:rPr>
      </w:pPr>
      <w:r>
        <w:rPr>
          <w:rFonts w:ascii="Aptos Narrow" w:hAnsi="Aptos Narrow"/>
          <w:sz w:val="24"/>
        </w:rPr>
        <w:tab/>
        <w:t xml:space="preserve">Em virtude da complexidade da prestação do serviço e por estar previsto no art. 117  da Lei 14.133/2021, que versa sobre a necessidade de acompanhamento e fiscalização de todo o contrato </w:t>
      </w:r>
      <w:r>
        <w:rPr>
          <w:rFonts w:ascii="Aptos Narrow" w:hAnsi="Aptos Narrow"/>
          <w:sz w:val="24"/>
        </w:rPr>
        <w:lastRenderedPageBreak/>
        <w:t>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14:paraId="595C93C9" w14:textId="77777777" w:rsidR="00A423F7" w:rsidRDefault="00A423F7">
      <w:pPr>
        <w:suppressAutoHyphens w:val="0"/>
        <w:spacing w:line="360" w:lineRule="auto"/>
        <w:jc w:val="both"/>
        <w:rPr>
          <w:rFonts w:ascii="Aptos Narrow" w:hAnsi="Aptos Narrow"/>
          <w:sz w:val="24"/>
        </w:rPr>
      </w:pPr>
    </w:p>
    <w:p w14:paraId="4F9E718A" w14:textId="77777777" w:rsidR="00A423F7" w:rsidRDefault="00000000">
      <w:pPr>
        <w:suppressAutoHyphens w:val="0"/>
        <w:spacing w:line="360" w:lineRule="auto"/>
        <w:jc w:val="both"/>
        <w:rPr>
          <w:rFonts w:ascii="Aptos Narrow" w:hAnsi="Aptos Narrow"/>
          <w:sz w:val="24"/>
        </w:rPr>
      </w:pPr>
      <w:r>
        <w:rPr>
          <w:rFonts w:ascii="Aptos Narrow" w:hAnsi="Aptos Narrow"/>
          <w:sz w:val="24"/>
        </w:rPr>
        <w:t>ciente:</w:t>
      </w:r>
    </w:p>
    <w:p w14:paraId="0C76AE14" w14:textId="77777777" w:rsidR="00A423F7" w:rsidRDefault="00A423F7">
      <w:pPr>
        <w:suppressAutoHyphens w:val="0"/>
        <w:spacing w:line="360" w:lineRule="auto"/>
        <w:jc w:val="both"/>
        <w:rPr>
          <w:rFonts w:ascii="Aptos Narrow" w:hAnsi="Aptos Narrow"/>
          <w:sz w:val="24"/>
        </w:rPr>
      </w:pPr>
    </w:p>
    <w:p w14:paraId="4000DACE" w14:textId="77777777" w:rsidR="00A423F7" w:rsidRDefault="00000000">
      <w:pPr>
        <w:suppressAutoHyphens w:val="0"/>
        <w:spacing w:line="360" w:lineRule="auto"/>
        <w:jc w:val="both"/>
        <w:rPr>
          <w:rFonts w:ascii="Aptos Narrow" w:hAnsi="Aptos Narrow"/>
          <w:sz w:val="24"/>
        </w:rPr>
      </w:pPr>
      <w:r>
        <w:rPr>
          <w:rFonts w:ascii="Aptos Narrow" w:hAnsi="Aptos Narrow"/>
          <w:sz w:val="24"/>
        </w:rPr>
        <w:t>_________________________________________</w:t>
      </w:r>
    </w:p>
    <w:p w14:paraId="7BD6EABF" w14:textId="77777777" w:rsidR="00A423F7" w:rsidRDefault="00000000">
      <w:pPr>
        <w:suppressAutoHyphens w:val="0"/>
        <w:spacing w:line="360" w:lineRule="auto"/>
        <w:jc w:val="both"/>
        <w:rPr>
          <w:rFonts w:ascii="Aptos Narrow" w:hAnsi="Aptos Narrow"/>
          <w:sz w:val="24"/>
        </w:rPr>
      </w:pPr>
      <w:r>
        <w:rPr>
          <w:rFonts w:ascii="Aptos Narrow" w:hAnsi="Aptos Narrow"/>
          <w:sz w:val="24"/>
        </w:rPr>
        <w:t>Fiscal do Serviço</w:t>
      </w:r>
    </w:p>
    <w:p w14:paraId="7EF8A063" w14:textId="77777777" w:rsidR="00A423F7" w:rsidRDefault="00A423F7">
      <w:pPr>
        <w:suppressAutoHyphens w:val="0"/>
        <w:spacing w:line="360" w:lineRule="auto"/>
        <w:jc w:val="both"/>
        <w:rPr>
          <w:rFonts w:ascii="Aptos Narrow" w:hAnsi="Aptos Narrow"/>
          <w:sz w:val="24"/>
        </w:rPr>
      </w:pPr>
    </w:p>
    <w:p w14:paraId="232DF1AC" w14:textId="77777777" w:rsidR="00A423F7" w:rsidRDefault="00A423F7">
      <w:pPr>
        <w:suppressAutoHyphens w:val="0"/>
        <w:spacing w:line="360" w:lineRule="auto"/>
        <w:jc w:val="both"/>
        <w:rPr>
          <w:rFonts w:ascii="Aptos Narrow" w:hAnsi="Aptos Narrow"/>
          <w:sz w:val="24"/>
        </w:rPr>
      </w:pPr>
    </w:p>
    <w:p w14:paraId="349D2921" w14:textId="77777777" w:rsidR="00A423F7" w:rsidRDefault="00000000">
      <w:pPr>
        <w:suppressAutoHyphens w:val="0"/>
        <w:spacing w:line="360" w:lineRule="auto"/>
        <w:jc w:val="both"/>
        <w:rPr>
          <w:rFonts w:ascii="Aptos Narrow" w:hAnsi="Aptos Narrow"/>
          <w:sz w:val="24"/>
        </w:rPr>
      </w:pPr>
      <w:r>
        <w:rPr>
          <w:rFonts w:ascii="Aptos Narrow" w:hAnsi="Aptos Narrow"/>
          <w:sz w:val="24"/>
        </w:rPr>
        <w:t>________________________________________</w:t>
      </w:r>
    </w:p>
    <w:p w14:paraId="0C3FA212" w14:textId="77777777" w:rsidR="00A423F7" w:rsidRDefault="00000000">
      <w:pPr>
        <w:suppressAutoHyphens w:val="0"/>
        <w:spacing w:line="360" w:lineRule="auto"/>
        <w:jc w:val="both"/>
        <w:rPr>
          <w:rFonts w:ascii="Aptos Narrow" w:hAnsi="Aptos Narrow"/>
          <w:sz w:val="24"/>
        </w:rPr>
      </w:pPr>
      <w:r>
        <w:rPr>
          <w:rFonts w:ascii="Aptos Narrow" w:hAnsi="Aptos Narrow"/>
          <w:sz w:val="24"/>
        </w:rPr>
        <w:t>Fiscal do contrato</w:t>
      </w:r>
    </w:p>
    <w:p w14:paraId="0039402B" w14:textId="77777777" w:rsidR="00A423F7" w:rsidRDefault="00A423F7">
      <w:pPr>
        <w:suppressAutoHyphens w:val="0"/>
        <w:spacing w:line="360" w:lineRule="auto"/>
        <w:ind w:left="1416"/>
        <w:jc w:val="both"/>
        <w:rPr>
          <w:rFonts w:ascii="Aptos Narrow" w:hAnsi="Aptos Narrow"/>
          <w:sz w:val="24"/>
        </w:rPr>
      </w:pPr>
    </w:p>
    <w:p w14:paraId="2F5F6ADE" w14:textId="77777777" w:rsidR="00A423F7" w:rsidRDefault="00A423F7">
      <w:pPr>
        <w:suppressAutoHyphens w:val="0"/>
        <w:spacing w:line="360" w:lineRule="auto"/>
        <w:jc w:val="center"/>
        <w:rPr>
          <w:rFonts w:ascii="Aptos Narrow" w:hAnsi="Aptos Narrow"/>
          <w:sz w:val="24"/>
        </w:rPr>
      </w:pPr>
    </w:p>
    <w:p w14:paraId="7A9397CB" w14:textId="77777777" w:rsidR="00A423F7" w:rsidRDefault="00A423F7">
      <w:pPr>
        <w:suppressAutoHyphens w:val="0"/>
        <w:spacing w:line="360" w:lineRule="auto"/>
        <w:jc w:val="center"/>
        <w:rPr>
          <w:rFonts w:ascii="Aptos Narrow" w:hAnsi="Aptos Narrow"/>
          <w:sz w:val="24"/>
        </w:rPr>
      </w:pPr>
    </w:p>
    <w:p w14:paraId="0B334A79" w14:textId="77777777" w:rsidR="00A423F7" w:rsidRDefault="00A423F7">
      <w:pPr>
        <w:suppressAutoHyphens w:val="0"/>
        <w:spacing w:line="360" w:lineRule="auto"/>
        <w:jc w:val="center"/>
        <w:rPr>
          <w:rFonts w:ascii="Aptos Narrow" w:hAnsi="Aptos Narrow"/>
          <w:sz w:val="24"/>
        </w:rPr>
      </w:pPr>
    </w:p>
    <w:p w14:paraId="49BCC405" w14:textId="77777777" w:rsidR="00A423F7" w:rsidRDefault="00A423F7">
      <w:pPr>
        <w:suppressAutoHyphens w:val="0"/>
        <w:spacing w:line="360" w:lineRule="auto"/>
        <w:jc w:val="center"/>
        <w:rPr>
          <w:rFonts w:ascii="Aptos Narrow" w:hAnsi="Aptos Narrow"/>
          <w:sz w:val="24"/>
        </w:rPr>
      </w:pPr>
    </w:p>
    <w:p w14:paraId="69B8D944" w14:textId="77777777" w:rsidR="00A423F7" w:rsidRDefault="00000000">
      <w:pPr>
        <w:jc w:val="center"/>
        <w:rPr>
          <w:b/>
          <w:bCs/>
        </w:rPr>
      </w:pPr>
      <w:r>
        <w:rPr>
          <w:rFonts w:ascii="Aptos Narrow" w:hAnsi="Aptos Narrow"/>
          <w:b/>
          <w:bCs/>
          <w:sz w:val="24"/>
        </w:rPr>
        <w:t>xxxxxx</w:t>
      </w:r>
    </w:p>
    <w:p w14:paraId="737403A8" w14:textId="77777777" w:rsidR="00A423F7" w:rsidRDefault="00000000">
      <w:pPr>
        <w:jc w:val="center"/>
        <w:rPr>
          <w:rFonts w:ascii="Aptos Narrow" w:hAnsi="Aptos Narrow"/>
          <w:b/>
          <w:bCs/>
          <w:sz w:val="24"/>
        </w:rPr>
      </w:pPr>
      <w:r>
        <w:rPr>
          <w:rStyle w:val="Fontepargpadro2"/>
          <w:rFonts w:ascii="Aptos Narrow" w:hAnsi="Aptos Narrow"/>
          <w:b/>
          <w:bCs/>
          <w:sz w:val="24"/>
        </w:rPr>
        <w:t>Secretário de Município xxxxx</w:t>
      </w:r>
    </w:p>
    <w:p w14:paraId="44BD2AD5" w14:textId="77777777" w:rsidR="00A423F7" w:rsidRDefault="00A423F7">
      <w:pPr>
        <w:pStyle w:val="WW-Padro"/>
        <w:jc w:val="center"/>
        <w:rPr>
          <w:rFonts w:ascii="Aptos Narrow" w:eastAsia="HG Mincho Light J" w:hAnsi="Aptos Narrow"/>
          <w:color w:val="000000"/>
          <w:sz w:val="24"/>
          <w:szCs w:val="24"/>
          <w:lang w:val="pt-PT"/>
        </w:rPr>
      </w:pPr>
    </w:p>
    <w:p w14:paraId="28210F50" w14:textId="77777777" w:rsidR="00A423F7" w:rsidRDefault="00A423F7">
      <w:pPr>
        <w:tabs>
          <w:tab w:val="left" w:pos="432"/>
          <w:tab w:val="left" w:pos="1152"/>
          <w:tab w:val="left" w:pos="1872"/>
          <w:tab w:val="left" w:pos="2592"/>
          <w:tab w:val="left" w:pos="31000"/>
        </w:tabs>
        <w:suppressAutoHyphens w:val="0"/>
        <w:spacing w:line="360" w:lineRule="auto"/>
        <w:ind w:left="1416"/>
        <w:jc w:val="center"/>
        <w:rPr>
          <w:rFonts w:ascii="Aptos Narrow" w:hAnsi="Aptos Narrow"/>
          <w:sz w:val="24"/>
        </w:rPr>
      </w:pPr>
    </w:p>
    <w:p w14:paraId="1755330D" w14:textId="77777777" w:rsidR="00A423F7" w:rsidRDefault="00000000">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r>
        <w:rPr>
          <w:rFonts w:ascii="Aptos Narrow" w:hAnsi="Aptos Narrow"/>
          <w:sz w:val="24"/>
        </w:rPr>
        <w:t>Rio Grande, xx de xxxxx de 202x.</w:t>
      </w:r>
    </w:p>
    <w:p w14:paraId="3A943C09" w14:textId="77777777" w:rsidR="00A423F7" w:rsidRDefault="00A423F7">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14:paraId="63CFF597" w14:textId="77777777" w:rsidR="00A423F7" w:rsidRDefault="00A423F7">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14:paraId="3C0D9745" w14:textId="77777777" w:rsidR="00A423F7" w:rsidRDefault="00A423F7">
      <w:pPr>
        <w:jc w:val="both"/>
        <w:rPr>
          <w:rFonts w:ascii="Aptos Narrow" w:hAnsi="Aptos Narrow"/>
          <w:sz w:val="24"/>
        </w:rPr>
      </w:pPr>
    </w:p>
    <w:p w14:paraId="7070FDBE" w14:textId="77777777" w:rsidR="00A423F7" w:rsidRDefault="00A423F7">
      <w:pPr>
        <w:jc w:val="both"/>
        <w:rPr>
          <w:rFonts w:ascii="Aptos Narrow" w:hAnsi="Aptos Narrow"/>
          <w:sz w:val="24"/>
        </w:rPr>
      </w:pPr>
    </w:p>
    <w:p w14:paraId="39C34D65" w14:textId="77777777" w:rsidR="00A423F7" w:rsidRDefault="00A423F7">
      <w:pPr>
        <w:jc w:val="both"/>
        <w:rPr>
          <w:rFonts w:ascii="Aptos Narrow" w:hAnsi="Aptos Narrow"/>
          <w:sz w:val="24"/>
        </w:rPr>
      </w:pPr>
    </w:p>
    <w:p w14:paraId="147D00C6" w14:textId="77777777" w:rsidR="00A423F7" w:rsidRDefault="00A423F7">
      <w:pPr>
        <w:jc w:val="both"/>
        <w:rPr>
          <w:rFonts w:ascii="Aptos Narrow" w:hAnsi="Aptos Narrow"/>
          <w:sz w:val="24"/>
        </w:rPr>
      </w:pPr>
    </w:p>
    <w:sectPr w:rsidR="00A423F7">
      <w:headerReference w:type="default" r:id="rId8"/>
      <w:footerReference w:type="default" r:id="rId9"/>
      <w:pgSz w:w="11906" w:h="16838"/>
      <w:pgMar w:top="1985" w:right="680" w:bottom="1134" w:left="680" w:header="425" w:footer="936"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3D2ED" w14:textId="77777777" w:rsidR="00FE57E6" w:rsidRDefault="00FE57E6">
      <w:r>
        <w:separator/>
      </w:r>
    </w:p>
  </w:endnote>
  <w:endnote w:type="continuationSeparator" w:id="0">
    <w:p w14:paraId="7F5D9A31" w14:textId="77777777" w:rsidR="00FE57E6" w:rsidRDefault="00FE5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font>
  <w:font w:name="Albany">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00"/>
    <w:family w:val="roman"/>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Ecofont Vera Sans">
    <w:charset w:val="00"/>
    <w:family w:val="roman"/>
    <w:pitch w:val="variable"/>
  </w:font>
  <w:font w:name="Arial">
    <w:panose1 w:val="020B0604020202020204"/>
    <w:charset w:val="00"/>
    <w:family w:val="swiss"/>
    <w:pitch w:val="variable"/>
    <w:sig w:usb0="E0002EFF" w:usb1="C000785B" w:usb2="00000009" w:usb3="00000000" w:csb0="000001FF"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Zen Hei">
    <w:panose1 w:val="00000000000000000000"/>
    <w:charset w:val="00"/>
    <w:family w:val="roman"/>
    <w:notTrueType/>
    <w:pitch w:val="default"/>
  </w:font>
  <w:font w:name="Lohit Devanagari">
    <w:panose1 w:val="00000000000000000000"/>
    <w:charset w:val="00"/>
    <w:family w:val="roman"/>
    <w:notTrueType/>
    <w:pitch w:val="default"/>
  </w:font>
  <w:font w:name="DejaVu Sans">
    <w:charset w:val="00"/>
    <w:family w:val="roman"/>
    <w:pitch w:val="variable"/>
  </w:font>
  <w:font w:name="Bitstream Vera San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lbertus Medium">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B255F" w14:textId="77777777" w:rsidR="00A423F7" w:rsidRDefault="00000000">
    <w:pPr>
      <w:pStyle w:val="Rodap"/>
      <w:ind w:right="-30"/>
      <w:jc w:val="center"/>
      <w:rPr>
        <w:rFonts w:ascii="Book Antiqua" w:hAnsi="Book Antiqua" w:cs="Arial Unicode MS"/>
        <w:b/>
        <w:i/>
      </w:rPr>
    </w:pPr>
    <w:r>
      <w:rPr>
        <w:noProof/>
      </w:rPr>
      <mc:AlternateContent>
        <mc:Choice Requires="wps">
          <w:drawing>
            <wp:anchor distT="15240" distB="15240" distL="15875" distR="14605" simplePos="0" relativeHeight="27" behindDoc="1" locked="0" layoutInCell="0" allowOverlap="1" wp14:anchorId="75885220" wp14:editId="09C38F3D">
              <wp:simplePos x="0" y="0"/>
              <wp:positionH relativeFrom="margin">
                <wp:posOffset>2967990</wp:posOffset>
              </wp:positionH>
              <wp:positionV relativeFrom="bottomMargin">
                <wp:posOffset>255905</wp:posOffset>
              </wp:positionV>
              <wp:extent cx="301625" cy="254000"/>
              <wp:effectExtent l="15875" t="15240" r="14605" b="15240"/>
              <wp:wrapNone/>
              <wp:docPr id="2" name="Colchete Duplo 2"/>
              <wp:cNvGraphicFramePr/>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scrgbClr r="0" g="0" b="0"/>
                      </a:lnRef>
                      <a:fillRef idx="0">
                        <a:scrgbClr r="0" g="0" b="0"/>
                      </a:fillRef>
                      <a:effectRef idx="0">
                        <a:scrgbClr r="0" g="0" b="0"/>
                      </a:effectRef>
                      <a:fontRef idx="minor"/>
                    </wps:style>
                    <wps:txbx>
                      <w:txbxContent>
                        <w:sdt>
                          <w:sdtPr>
                            <w:id w:val="105850467"/>
                            <w:docPartObj>
                              <w:docPartGallery w:val="Page Numbers (Bottom of Page)"/>
                              <w:docPartUnique/>
                            </w:docPartObj>
                          </w:sdtPr>
                          <w:sdtContent>
                            <w:p w14:paraId="2E5AC325" w14:textId="77777777" w:rsidR="00A423F7" w:rsidRDefault="00000000">
                              <w:pPr>
                                <w:pStyle w:val="Contedodoquadro"/>
                                <w:jc w:val="center"/>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Pr>
                                  <w:rFonts w:ascii="Calibri" w:hAnsi="Calibri" w:cs="Calibri"/>
                                </w:rPr>
                                <w:t>9</w:t>
                              </w:r>
                              <w:r>
                                <w:rPr>
                                  <w:rFonts w:ascii="Calibri" w:hAnsi="Calibri" w:cs="Calibri"/>
                                </w:rPr>
                                <w:fldChar w:fldCharType="end"/>
                              </w:r>
                            </w:p>
                          </w:sdtContent>
                        </w:sdt>
                      </w:txbxContent>
                    </wps:txbx>
                    <wps:bodyPr tIns="0" bIns="0" anchor="t" upright="1">
                      <a:noAutofit/>
                    </wps:bodyPr>
                  </wps:wsp>
                </a:graphicData>
              </a:graphic>
            </wp:anchor>
          </w:drawing>
        </mc:Choice>
        <mc:Fallback>
          <w:pict>
            <v:shapetype w14:anchorId="7588522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lchete Duplo 2" o:spid="_x0000_s1026" type="#_x0000_t185" style="position:absolute;left:0;text-align:left;margin-left:233.7pt;margin-top:20.15pt;width:23.75pt;height:20pt;z-index:-503316453;visibility:visible;mso-wrap-style:square;mso-wrap-distance-left:1.25pt;mso-wrap-distance-top:1.2pt;mso-wrap-distance-right:1.15pt;mso-wrap-distance-bottom:1.2pt;mso-position-horizontal:absolute;mso-position-horizontal-relative:margin;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" o:allowincell="f" filled="t" strokecolor="gray" strokeweight="2.25pt">
              <v:textbox inset=",0,,0">
                <w:txbxContent>
                  <w:sdt>
                    <w:sdtPr>
                      <w:id w:val="105850467"/>
                      <w:docPartObj>
                        <w:docPartGallery w:val="Page Numbers (Bottom of Page)"/>
                        <w:docPartUnique/>
                      </w:docPartObj>
                    </w:sdtPr>
                    <w:sdtContent>
                      <w:p w14:paraId="2E5AC325" w14:textId="77777777" w:rsidR="00A423F7" w:rsidRDefault="00000000">
                        <w:pPr>
                          <w:pStyle w:val="Contedodoquadro"/>
                          <w:jc w:val="center"/>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Pr>
                            <w:rFonts w:ascii="Calibri" w:hAnsi="Calibri" w:cs="Calibri"/>
                          </w:rPr>
                          <w:t>9</w:t>
                        </w:r>
                        <w:r>
                          <w:rPr>
                            <w:rFonts w:ascii="Calibri" w:hAnsi="Calibri" w:cs="Calibri"/>
                          </w:rPr>
                          <w:fldChar w:fldCharType="end"/>
                        </w:r>
                      </w:p>
                    </w:sdtContent>
                  </w:sdt>
                </w:txbxContent>
              </v:textbox>
              <w10:wrap anchorx="margin" anchory="margin"/>
            </v:shape>
          </w:pict>
        </mc:Fallback>
      </mc:AlternateContent>
    </w:r>
    <w:r>
      <w:rPr>
        <w:rFonts w:ascii="Book Antiqua" w:hAnsi="Book Antiqua" w:cs="Arial Unicode MS"/>
        <w:b/>
        <w:i/>
      </w:rPr>
      <w:t xml:space="preserve">Doe </w:t>
    </w:r>
    <w:r>
      <w:rPr>
        <w:rFonts w:ascii="Book Antiqua" w:hAnsi="Book Antiqua" w:cs="Arial Unicode MS"/>
        <w:b/>
        <w:i/>
      </w:rPr>
      <w:t>órgãos, doe sangue: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369C8" w14:textId="77777777" w:rsidR="00FE57E6" w:rsidRDefault="00FE57E6">
      <w:r>
        <w:separator/>
      </w:r>
    </w:p>
  </w:footnote>
  <w:footnote w:type="continuationSeparator" w:id="0">
    <w:p w14:paraId="759CBA2A" w14:textId="77777777" w:rsidR="00FE57E6" w:rsidRDefault="00FE57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68EBE" w14:textId="77777777" w:rsidR="00A423F7" w:rsidRDefault="00000000">
    <w:pPr>
      <w:spacing w:line="276" w:lineRule="auto"/>
      <w:ind w:left="2127"/>
      <w:jc w:val="center"/>
      <w:rPr>
        <w:sz w:val="22"/>
        <w:szCs w:val="22"/>
      </w:rPr>
    </w:pPr>
    <w:r>
      <w:rPr>
        <w:noProof/>
      </w:rPr>
      <w:drawing>
        <wp:anchor distT="0" distB="0" distL="0" distR="0" simplePos="0" relativeHeight="10" behindDoc="1" locked="0" layoutInCell="0" allowOverlap="1" wp14:anchorId="27782DAB" wp14:editId="487CC46D">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pic:spPr>
              </pic:pic>
            </a:graphicData>
          </a:graphic>
        </wp:anchor>
      </w:drawing>
    </w:r>
    <w:r>
      <w:rPr>
        <w:rFonts w:ascii="Arial Unicode MS" w:eastAsia="Arial Unicode MS" w:hAnsi="Arial Unicode MS" w:cs="Arial Unicode MS"/>
        <w:b/>
        <w:sz w:val="22"/>
        <w:szCs w:val="22"/>
      </w:rPr>
      <w:t>Estado do Rio Grande do Sul</w:t>
    </w:r>
  </w:p>
  <w:p w14:paraId="456EE4F7" w14:textId="77777777" w:rsidR="00A423F7" w:rsidRDefault="00000000">
    <w:pPr>
      <w:spacing w:line="276" w:lineRule="auto"/>
      <w:ind w:left="2410"/>
      <w:jc w:val="center"/>
      <w:rPr>
        <w:sz w:val="22"/>
        <w:szCs w:val="22"/>
      </w:rPr>
    </w:pPr>
    <w:r>
      <w:rPr>
        <w:rFonts w:ascii="Arial Unicode MS" w:eastAsia="Arial Unicode MS" w:hAnsi="Arial Unicode MS" w:cs="Arial Unicode MS"/>
        <w:b/>
        <w:sz w:val="22"/>
        <w:szCs w:val="22"/>
      </w:rPr>
      <w:t>PREFEITURA MUNICIPAL DO RIO GRANDE</w:t>
    </w:r>
  </w:p>
  <w:p w14:paraId="4A52BEAE" w14:textId="77777777" w:rsidR="00A423F7" w:rsidRDefault="00000000">
    <w:pPr>
      <w:spacing w:line="276" w:lineRule="auto"/>
      <w:ind w:left="1701"/>
      <w:jc w:val="center"/>
      <w:rPr>
        <w:sz w:val="22"/>
        <w:szCs w:val="22"/>
      </w:rPr>
    </w:pPr>
    <w:r>
      <w:rPr>
        <w:rFonts w:ascii="Arial Unicode MS" w:eastAsia="Arial Unicode MS" w:hAnsi="Arial Unicode MS" w:cs="Arial Unicode MS"/>
        <w:sz w:val="22"/>
        <w:szCs w:val="22"/>
      </w:rPr>
      <w:t>Secretaria de Município de Gestão Administrativa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9138AC"/>
    <w:multiLevelType w:val="multilevel"/>
    <w:tmpl w:val="B1C41DCA"/>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11F2B73"/>
    <w:multiLevelType w:val="multilevel"/>
    <w:tmpl w:val="472496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63121220">
    <w:abstractNumId w:val="0"/>
  </w:num>
  <w:num w:numId="2" w16cid:durableId="1002781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F7"/>
    <w:rsid w:val="004842F4"/>
    <w:rsid w:val="004F4A92"/>
    <w:rsid w:val="00A423F7"/>
    <w:rsid w:val="00FE57E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11BE"/>
  <w15:docId w15:val="{ACD5774D-BADD-42AD-B8C8-7AE621D45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HG Mincho Light J"/>
      <w:color w:val="000000"/>
      <w:szCs w:val="24"/>
      <w:lang w:val="pt-PT" w:eastAsia="zh-CN"/>
    </w:rPr>
  </w:style>
  <w:style w:type="paragraph" w:styleId="Ttulo1">
    <w:name w:val="heading 1"/>
    <w:basedOn w:val="Normal"/>
    <w:next w:val="Normal"/>
    <w:qFormat/>
    <w:pPr>
      <w:keepNext/>
      <w:numPr>
        <w:numId w:val="1"/>
      </w:numPr>
      <w:outlineLvl w:val="0"/>
    </w:pPr>
    <w:rPr>
      <w:sz w:val="24"/>
    </w:rPr>
  </w:style>
  <w:style w:type="paragraph" w:styleId="Ttulo2">
    <w:name w:val="heading 2"/>
    <w:basedOn w:val="WW-Ttulo"/>
    <w:next w:val="Corpodetexto"/>
    <w:qFormat/>
    <w:pPr>
      <w:outlineLvl w:val="1"/>
    </w:pPr>
    <w:rPr>
      <w:b/>
      <w:i/>
    </w:rPr>
  </w:style>
  <w:style w:type="paragraph" w:styleId="Ttulo4">
    <w:name w:val="heading 4"/>
    <w:basedOn w:val="Normal"/>
    <w:next w:val="Normal"/>
    <w:qFormat/>
    <w:pPr>
      <w:keepNext/>
      <w:numPr>
        <w:ilvl w:val="3"/>
        <w:numId w:val="1"/>
      </w:numPr>
      <w:pBdr>
        <w:top w:val="single" w:sz="4" w:space="1" w:color="000000"/>
        <w:left w:val="single" w:sz="4" w:space="1" w:color="000000"/>
        <w:bottom w:val="single" w:sz="4" w:space="1" w:color="000000"/>
        <w:right w:val="single" w:sz="4" w:space="1" w:color="000000"/>
      </w:pBdr>
      <w:spacing w:after="120" w:line="480" w:lineRule="auto"/>
      <w:ind w:left="3841" w:firstLine="0"/>
      <w:outlineLvl w:val="3"/>
    </w:pPr>
    <w:rPr>
      <w:i/>
      <w:sz w:val="24"/>
    </w:rPr>
  </w:style>
  <w:style w:type="paragraph" w:styleId="Ttulo6">
    <w:name w:val="heading 6"/>
    <w:basedOn w:val="Normal"/>
    <w:next w:val="Normal"/>
    <w:qFormat/>
    <w:pPr>
      <w:keepNext/>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3">
    <w:name w:val="Fonte parág. padrão3"/>
    <w:qFormat/>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Fontepargpadro2">
    <w:name w:val="Fonte parág. padrão2"/>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8Num6z0">
    <w:name w:val="WW8Num6z0"/>
    <w:qFormat/>
    <w:rPr>
      <w:rFonts w:ascii="Symbol" w:hAnsi="Symbol" w:cs="Symbol"/>
      <w:sz w:val="18"/>
    </w:rPr>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8Num7z0">
    <w:name w:val="WW8Num7z0"/>
    <w:qFormat/>
    <w:rPr>
      <w:rFonts w:ascii="Wingdings" w:hAnsi="Wingdings" w:cs="Wingdings"/>
    </w:rPr>
  </w:style>
  <w:style w:type="character" w:customStyle="1" w:styleId="WW8Num8z0">
    <w:name w:val="WW8Num8z0"/>
    <w:qFormat/>
    <w:rPr>
      <w:rFonts w:ascii="Wingdings" w:hAnsi="Wingdings" w:cs="Wingdings"/>
    </w:rPr>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Caracteresdenotaderodap">
    <w:name w:val="Caracteres de nota de rodapé"/>
    <w:uiPriority w:val="99"/>
    <w:semiHidden/>
    <w:unhideWhenUsed/>
    <w:qFormat/>
    <w:rsid w:val="003E35FC"/>
    <w:rPr>
      <w:vertAlign w:val="superscript"/>
    </w:rPr>
  </w:style>
  <w:style w:type="character" w:customStyle="1" w:styleId="Smbolosdenumerao">
    <w:name w:val="Símbolos de numeração"/>
    <w:qFormat/>
  </w:style>
  <w:style w:type="character" w:customStyle="1" w:styleId="Marcas">
    <w:name w:val="Marcas"/>
    <w:qFormat/>
    <w:rPr>
      <w:rFonts w:ascii="StarSymbol" w:hAnsi="StarSymbol" w:cs="StarSymbol"/>
      <w:sz w:val="18"/>
    </w:rPr>
  </w:style>
  <w:style w:type="character" w:styleId="Hyperlink">
    <w:name w:val="Hyperlink"/>
    <w:rPr>
      <w:color w:val="000080"/>
      <w:u w:val="single"/>
    </w:rPr>
  </w:style>
  <w:style w:type="character" w:customStyle="1" w:styleId="Caracteresdenotadefim">
    <w:name w:val="Caracteres de nota de fim"/>
    <w:qFormat/>
  </w:style>
  <w:style w:type="character" w:styleId="nfase">
    <w:name w:val="Emphasis"/>
    <w:qFormat/>
    <w:rPr>
      <w:i/>
      <w:iCs/>
    </w:rPr>
  </w:style>
  <w:style w:type="character" w:styleId="Forte">
    <w:name w:val="Strong"/>
    <w:qFormat/>
    <w:rPr>
      <w:b/>
      <w:bCs/>
    </w:rPr>
  </w:style>
  <w:style w:type="character" w:customStyle="1" w:styleId="WW-Fontepargpadro">
    <w:name w:val="WW-Fonte parág. padrão"/>
    <w:qFormat/>
  </w:style>
  <w:style w:type="character" w:customStyle="1" w:styleId="Fontepargpadro1">
    <w:name w:val="Fonte parág. padrão1"/>
    <w:qFormat/>
  </w:style>
  <w:style w:type="character" w:customStyle="1" w:styleId="style101">
    <w:name w:val="style101"/>
    <w:basedOn w:val="Fontepargpadro1"/>
    <w:qFormat/>
  </w:style>
  <w:style w:type="character" w:customStyle="1" w:styleId="titulo1">
    <w:name w:val="titulo1"/>
    <w:qFormat/>
    <w:rPr>
      <w:rFonts w:ascii="Verdana" w:hAnsi="Verdana" w:cs="Verdana"/>
      <w:b/>
      <w:bCs/>
      <w:sz w:val="20"/>
      <w:szCs w:val="20"/>
    </w:rPr>
  </w:style>
  <w:style w:type="character" w:customStyle="1" w:styleId="Marcadores">
    <w:name w:val="Marcadores"/>
    <w:qFormat/>
    <w:rPr>
      <w:rFonts w:ascii="StarSymbol" w:eastAsia="StarSymbol" w:hAnsi="StarSymbol" w:cs="StarSymbol"/>
      <w:sz w:val="18"/>
      <w:szCs w:val="18"/>
    </w:rPr>
  </w:style>
  <w:style w:type="character" w:customStyle="1" w:styleId="TextodebaloChar">
    <w:name w:val="Texto de balão Char"/>
    <w:qFormat/>
    <w:rPr>
      <w:rFonts w:ascii="Segoe UI" w:eastAsia="HG Mincho Light J" w:hAnsi="Segoe UI" w:cs="Segoe UI"/>
      <w:color w:val="000000"/>
      <w:sz w:val="18"/>
      <w:szCs w:val="18"/>
      <w:lang w:val="pt-PT"/>
    </w:rPr>
  </w:style>
  <w:style w:type="character" w:customStyle="1" w:styleId="object">
    <w:name w:val="object"/>
    <w:qFormat/>
  </w:style>
  <w:style w:type="character" w:customStyle="1" w:styleId="RodapChar">
    <w:name w:val="Rodapé Char"/>
    <w:uiPriority w:val="99"/>
    <w:qFormat/>
    <w:rPr>
      <w:rFonts w:eastAsia="HG Mincho Light J"/>
      <w:color w:val="000000"/>
      <w:szCs w:val="24"/>
      <w:lang w:val="pt-PT"/>
    </w:rPr>
  </w:style>
  <w:style w:type="character" w:customStyle="1" w:styleId="PargrafoNormalChar">
    <w:name w:val="Parágrafo Normal Char"/>
    <w:qFormat/>
    <w:rPr>
      <w:rFonts w:ascii="Ecofont Vera Sans" w:hAnsi="Ecofont Vera Sans" w:cs="Arial"/>
      <w:sz w:val="22"/>
      <w:szCs w:val="24"/>
    </w:rPr>
  </w:style>
  <w:style w:type="character" w:customStyle="1" w:styleId="TextodenotaderodapChar">
    <w:name w:val="Texto de nota de rodapé Char"/>
    <w:qFormat/>
    <w:rPr>
      <w:rFonts w:ascii="Arial" w:hAnsi="Arial" w:cs="Arial"/>
    </w:rPr>
  </w:style>
  <w:style w:type="character" w:customStyle="1" w:styleId="TextodenotaderodapChar1">
    <w:name w:val="Texto de nota de rodapé Char1"/>
    <w:qFormat/>
    <w:rPr>
      <w:rFonts w:eastAsia="HG Mincho Light J"/>
      <w:color w:val="000000"/>
      <w:lang w:val="pt-PT"/>
    </w:rPr>
  </w:style>
  <w:style w:type="character" w:customStyle="1" w:styleId="Refdenotaderodap1">
    <w:name w:val="Ref. de nota de rodapé1"/>
    <w:qFormat/>
    <w:rPr>
      <w:vertAlign w:val="superscript"/>
    </w:rPr>
  </w:style>
  <w:style w:type="character" w:customStyle="1" w:styleId="Recuodecorpodetexto2Char">
    <w:name w:val="Recuo de corpo de texto 2 Char"/>
    <w:qFormat/>
    <w:rPr>
      <w:rFonts w:eastAsia="HG Mincho Light J"/>
      <w:color w:val="000000"/>
      <w:szCs w:val="24"/>
      <w:lang w:val="pt-PT"/>
    </w:rPr>
  </w:style>
  <w:style w:type="character" w:styleId="Refdenotaderodap">
    <w:name w:val="footnote reference"/>
    <w:rPr>
      <w:vertAlign w:val="superscri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style>
  <w:style w:type="paragraph" w:customStyle="1" w:styleId="Ttulo3">
    <w:name w:val="Título3"/>
    <w:basedOn w:val="Normal"/>
    <w:next w:val="Corpodetexto"/>
    <w:qFormat/>
    <w:pPr>
      <w:keepNext/>
      <w:spacing w:before="240" w:after="120"/>
    </w:pPr>
    <w:rPr>
      <w:rFonts w:ascii="Liberation Sans" w:eastAsia="Microsoft YaHei" w:hAnsi="Liberation Sans" w:cs="Arial"/>
      <w:sz w:val="28"/>
      <w:szCs w:val="28"/>
    </w:rPr>
  </w:style>
  <w:style w:type="paragraph" w:customStyle="1" w:styleId="WW-Ttulo">
    <w:name w:val="WW-Título"/>
    <w:basedOn w:val="Normal"/>
    <w:next w:val="Corpodetexto"/>
    <w:qFormat/>
    <w:pPr>
      <w:keepNext/>
      <w:spacing w:before="240" w:after="120"/>
    </w:pPr>
    <w:rPr>
      <w:rFonts w:ascii="Albany" w:hAnsi="Albany" w:cs="Albany"/>
      <w:sz w:val="28"/>
    </w:rPr>
  </w:style>
  <w:style w:type="paragraph" w:customStyle="1" w:styleId="Ttulo20">
    <w:name w:val="Título2"/>
    <w:basedOn w:val="Normal"/>
    <w:next w:val="Corpodetexto"/>
    <w:qFormat/>
    <w:pPr>
      <w:keepNext/>
      <w:spacing w:before="240" w:after="120"/>
    </w:pPr>
    <w:rPr>
      <w:rFonts w:ascii="Helvetica" w:hAnsi="Helvetica" w:cs="Tahoma"/>
      <w:sz w:val="28"/>
      <w:szCs w:val="28"/>
    </w:rPr>
  </w:style>
  <w:style w:type="paragraph" w:customStyle="1" w:styleId="Ttulo10">
    <w:name w:val="Título1"/>
    <w:basedOn w:val="Normal"/>
    <w:next w:val="Corpodetexto"/>
    <w:qFormat/>
    <w:pPr>
      <w:keepNext/>
      <w:spacing w:before="240" w:after="120"/>
    </w:pPr>
    <w:rPr>
      <w:rFonts w:ascii="Liberation Sans" w:eastAsia="WenQuanYi Zen Hei" w:hAnsi="Liberation Sans" w:cs="Lohit Devanagari"/>
      <w:sz w:val="28"/>
      <w:szCs w:val="28"/>
    </w:rPr>
  </w:style>
  <w:style w:type="paragraph" w:customStyle="1" w:styleId="Legenda1">
    <w:name w:val="Legenda1"/>
    <w:basedOn w:val="Normal"/>
    <w:qFormat/>
    <w:pPr>
      <w:suppressLineNumbers/>
      <w:spacing w:before="120" w:after="120"/>
    </w:pPr>
    <w:rPr>
      <w:i/>
      <w:iCs/>
      <w:szCs w:val="20"/>
    </w:rPr>
  </w:style>
  <w:style w:type="paragraph" w:customStyle="1" w:styleId="Captulo">
    <w:name w:val="Capítulo"/>
    <w:basedOn w:val="Normal"/>
    <w:next w:val="Corpodetexto"/>
    <w:qFormat/>
    <w:pPr>
      <w:keepNext/>
      <w:spacing w:before="240" w:after="120"/>
    </w:pPr>
    <w:rPr>
      <w:rFonts w:ascii="DejaVu Sans" w:eastAsia="DejaVu Sans" w:hAnsi="DejaVu Sans" w:cs="DejaVu Sans"/>
      <w:sz w:val="28"/>
      <w:szCs w:val="28"/>
    </w:rPr>
  </w:style>
  <w:style w:type="paragraph" w:customStyle="1" w:styleId="Suspensodorecuo">
    <w:name w:val="Suspensão do recuo"/>
    <w:basedOn w:val="Normal"/>
    <w:qFormat/>
    <w:pPr>
      <w:spacing w:before="240" w:line="360" w:lineRule="auto"/>
      <w:ind w:firstLine="1134"/>
    </w:pPr>
  </w:style>
  <w:style w:type="paragraph" w:styleId="Recuodecorpodetexto">
    <w:name w:val="Body Text Indent"/>
    <w:basedOn w:val="Normal"/>
    <w:pPr>
      <w:ind w:firstLine="1800"/>
      <w:jc w:val="center"/>
    </w:pPr>
    <w:rPr>
      <w:b/>
      <w:bCs/>
      <w:sz w:val="32"/>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styleId="Subttulo">
    <w:name w:val="Subtitle"/>
    <w:basedOn w:val="Ttulo20"/>
    <w:next w:val="Corpodetexto"/>
    <w:qFormat/>
    <w:pPr>
      <w:jc w:val="center"/>
    </w:pPr>
    <w:rPr>
      <w:i/>
      <w:iCs/>
    </w:rPr>
  </w:style>
  <w:style w:type="paragraph" w:customStyle="1" w:styleId="Citaes">
    <w:name w:val="Citações"/>
    <w:basedOn w:val="Normal"/>
    <w:qFormat/>
    <w:pPr>
      <w:spacing w:after="283"/>
      <w:ind w:left="567" w:right="567"/>
    </w:pPr>
  </w:style>
  <w:style w:type="paragraph" w:customStyle="1" w:styleId="Corpodetexto21">
    <w:name w:val="Corpo de texto 21"/>
    <w:basedOn w:val="Normal"/>
    <w:qFormat/>
    <w:pPr>
      <w:widowControl w:val="0"/>
      <w:spacing w:line="360" w:lineRule="auto"/>
      <w:jc w:val="both"/>
    </w:pPr>
    <w:rPr>
      <w:rFonts w:ascii="Arial" w:eastAsia="Bitstream Vera Sans" w:hAnsi="Arial" w:cs="Arial"/>
    </w:rPr>
  </w:style>
  <w:style w:type="paragraph" w:customStyle="1" w:styleId="western">
    <w:name w:val="western"/>
    <w:basedOn w:val="Normal"/>
    <w:qFormat/>
    <w:pPr>
      <w:spacing w:before="280" w:after="119"/>
    </w:pPr>
  </w:style>
  <w:style w:type="paragraph" w:customStyle="1" w:styleId="Corpodetexto31">
    <w:name w:val="Corpo de texto 31"/>
    <w:basedOn w:val="Normal"/>
    <w:qFormat/>
    <w:pPr>
      <w:spacing w:after="120"/>
    </w:pPr>
    <w:rPr>
      <w:sz w:val="16"/>
      <w:szCs w:val="16"/>
    </w:rPr>
  </w:style>
  <w:style w:type="paragraph" w:customStyle="1" w:styleId="Contedodoquadro">
    <w:name w:val="Conteúdo do quadro"/>
    <w:basedOn w:val="Corpodetexto"/>
    <w:qFormat/>
  </w:style>
  <w:style w:type="paragraph" w:customStyle="1" w:styleId="Textocomum">
    <w:name w:val="Texto comum"/>
    <w:basedOn w:val="Normal"/>
    <w:qFormat/>
    <w:pPr>
      <w:suppressAutoHyphens w:val="0"/>
      <w:spacing w:line="360" w:lineRule="auto"/>
      <w:ind w:left="567" w:firstLine="720"/>
      <w:jc w:val="both"/>
    </w:pPr>
    <w:rPr>
      <w:sz w:val="24"/>
    </w:rPr>
  </w:style>
  <w:style w:type="paragraph" w:customStyle="1" w:styleId="Corpodetexto32">
    <w:name w:val="Corpo de texto 32"/>
    <w:basedOn w:val="Normal"/>
    <w:qFormat/>
    <w:pPr>
      <w:spacing w:line="360" w:lineRule="auto"/>
    </w:pPr>
    <w:rPr>
      <w:b/>
      <w:bCs/>
    </w:rPr>
  </w:style>
  <w:style w:type="paragraph" w:customStyle="1" w:styleId="Corpodetexto22">
    <w:name w:val="Corpo de texto 22"/>
    <w:basedOn w:val="Normal"/>
    <w:qFormat/>
    <w:pPr>
      <w:widowControl w:val="0"/>
      <w:suppressAutoHyphens w:val="0"/>
      <w:spacing w:line="360" w:lineRule="auto"/>
      <w:jc w:val="both"/>
    </w:pPr>
    <w:rPr>
      <w:spacing w:val="20"/>
      <w:sz w:val="24"/>
    </w:rPr>
  </w:style>
  <w:style w:type="paragraph" w:customStyle="1" w:styleId="Edital-Nvel1">
    <w:name w:val="Edital - Nível 1"/>
    <w:basedOn w:val="Normal"/>
    <w:qFormat/>
    <w:pPr>
      <w:suppressAutoHyphens w:val="0"/>
      <w:jc w:val="both"/>
    </w:pPr>
    <w:rPr>
      <w:rFonts w:ascii="Arial Narrow" w:hAnsi="Arial Narrow" w:cs="Arial Narrow"/>
      <w:b/>
      <w:caps/>
      <w:sz w:val="22"/>
      <w:szCs w:val="22"/>
    </w:rPr>
  </w:style>
  <w:style w:type="paragraph" w:customStyle="1" w:styleId="Edital-Nvel2">
    <w:name w:val="Edital - Nível 2"/>
    <w:basedOn w:val="Normal"/>
    <w:qFormat/>
    <w:pPr>
      <w:suppressAutoHyphens w:val="0"/>
      <w:jc w:val="both"/>
    </w:pPr>
    <w:rPr>
      <w:rFonts w:ascii="Arial Narrow" w:hAnsi="Arial Narrow" w:cs="Arial Narrow"/>
      <w:sz w:val="22"/>
    </w:rPr>
  </w:style>
  <w:style w:type="paragraph" w:customStyle="1" w:styleId="Edital-Nvel3">
    <w:name w:val="Edital - Nível 3"/>
    <w:basedOn w:val="Edital-Nvel2"/>
    <w:qFormat/>
  </w:style>
  <w:style w:type="paragraph" w:customStyle="1" w:styleId="StyleHeading411pt">
    <w:name w:val="Style Heading 4 + 11 pt"/>
    <w:basedOn w:val="Ttulo4"/>
    <w:next w:val="Normal"/>
    <w:qFormat/>
    <w:pPr>
      <w:numPr>
        <w:ilvl w:val="0"/>
        <w:numId w:val="0"/>
      </w:numPr>
      <w:tabs>
        <w:tab w:val="left" w:pos="360"/>
      </w:tabs>
      <w:suppressAutoHyphens w:val="0"/>
      <w:ind w:left="3841"/>
      <w:jc w:val="both"/>
    </w:pPr>
    <w:rPr>
      <w:rFonts w:ascii="Arial" w:hAnsi="Arial" w:cs="Arial"/>
      <w:bCs/>
      <w:iCs/>
      <w:sz w:val="22"/>
    </w:rPr>
  </w:style>
  <w:style w:type="paragraph" w:customStyle="1" w:styleId="Normal1">
    <w:name w:val="Normal1"/>
    <w:qFormat/>
    <w:pPr>
      <w:widowControl w:val="0"/>
      <w:spacing w:line="360" w:lineRule="atLeast"/>
      <w:jc w:val="both"/>
      <w:textAlignment w:val="baseline"/>
    </w:pPr>
    <w:rPr>
      <w:rFonts w:ascii="Arial" w:hAnsi="Arial" w:cs="Arial"/>
      <w:sz w:val="24"/>
      <w:szCs w:val="24"/>
      <w:lang w:eastAsia="zh-CN"/>
    </w:rPr>
  </w:style>
  <w:style w:type="paragraph" w:customStyle="1" w:styleId="WW-Textoembloco">
    <w:name w:val="WW-Texto em bloco"/>
    <w:basedOn w:val="Normal"/>
    <w:qFormat/>
    <w:pPr>
      <w:tabs>
        <w:tab w:val="left" w:pos="6048"/>
        <w:tab w:val="left" w:pos="6624"/>
        <w:tab w:val="left" w:pos="6768"/>
        <w:tab w:val="left" w:pos="7488"/>
        <w:tab w:val="left" w:pos="8208"/>
        <w:tab w:val="left" w:pos="8928"/>
        <w:tab w:val="left" w:pos="9648"/>
      </w:tabs>
      <w:ind w:left="4536" w:right="4" w:firstLine="1134"/>
      <w:jc w:val="both"/>
    </w:pPr>
    <w:rPr>
      <w:rFonts w:ascii="Albertus Medium" w:hAnsi="Albertus Medium" w:cs="Albertus Medium"/>
      <w:b/>
    </w:rPr>
  </w:style>
  <w:style w:type="paragraph" w:customStyle="1" w:styleId="Recuodaprimeiralinha">
    <w:name w:val="Recuo da primeira linha"/>
    <w:basedOn w:val="Corpodetexto"/>
    <w:qFormat/>
    <w:pPr>
      <w:ind w:firstLine="283"/>
    </w:pPr>
  </w:style>
  <w:style w:type="paragraph" w:styleId="Textodebalo">
    <w:name w:val="Balloon Text"/>
    <w:basedOn w:val="Normal"/>
    <w:qFormat/>
    <w:rPr>
      <w:rFonts w:ascii="Segoe UI" w:hAnsi="Segoe UI" w:cs="Segoe UI"/>
      <w:sz w:val="18"/>
      <w:szCs w:val="18"/>
    </w:rPr>
  </w:style>
  <w:style w:type="paragraph" w:customStyle="1" w:styleId="Ementa-Ttulo">
    <w:name w:val="Ementa - Título"/>
    <w:basedOn w:val="Normal"/>
    <w:qFormat/>
    <w:pPr>
      <w:suppressAutoHyphens w:val="0"/>
      <w:ind w:left="2835"/>
      <w:jc w:val="both"/>
    </w:pPr>
    <w:rPr>
      <w:rFonts w:ascii="Arial" w:hAnsi="Arial" w:cs="Arial"/>
      <w:b/>
      <w:bCs/>
      <w:caps/>
      <w:kern w:val="2"/>
      <w:sz w:val="22"/>
      <w:szCs w:val="22"/>
    </w:rPr>
  </w:style>
  <w:style w:type="paragraph" w:customStyle="1" w:styleId="Ementa-Corpo">
    <w:name w:val="Ementa - Corpo"/>
    <w:basedOn w:val="Normal"/>
    <w:qFormat/>
    <w:pPr>
      <w:suppressAutoHyphens w:val="0"/>
      <w:ind w:left="2835"/>
      <w:jc w:val="both"/>
    </w:pPr>
    <w:rPr>
      <w:rFonts w:ascii="Arial" w:hAnsi="Arial" w:cs="Arial"/>
      <w:b/>
      <w:bCs/>
      <w:kern w:val="2"/>
      <w:sz w:val="22"/>
      <w:szCs w:val="22"/>
    </w:rPr>
  </w:style>
  <w:style w:type="paragraph" w:customStyle="1" w:styleId="PargrafoNormal">
    <w:name w:val="Parágrafo Normal"/>
    <w:basedOn w:val="Normal"/>
    <w:qFormat/>
    <w:pPr>
      <w:suppressAutoHyphens w:val="0"/>
      <w:spacing w:after="60" w:line="360" w:lineRule="auto"/>
      <w:ind w:firstLine="1418"/>
      <w:jc w:val="both"/>
    </w:pPr>
    <w:rPr>
      <w:rFonts w:ascii="Ecofont Vera Sans" w:eastAsia="Times New Roman" w:hAnsi="Ecofont Vera Sans" w:cs="Ecofont Vera Sans"/>
      <w:color w:val="auto"/>
      <w:sz w:val="22"/>
      <w:lang w:val="x-none"/>
    </w:rPr>
  </w:style>
  <w:style w:type="paragraph" w:styleId="Textodenotaderodap">
    <w:name w:val="footnote text"/>
    <w:basedOn w:val="Normal"/>
    <w:pPr>
      <w:suppressAutoHyphens w:val="0"/>
      <w:jc w:val="both"/>
    </w:pPr>
    <w:rPr>
      <w:rFonts w:ascii="Arial" w:eastAsia="Times New Roman" w:hAnsi="Arial" w:cs="Arial"/>
      <w:color w:val="auto"/>
      <w:szCs w:val="20"/>
      <w:lang w:val="x-none"/>
    </w:rPr>
  </w:style>
  <w:style w:type="paragraph" w:customStyle="1" w:styleId="WW-Corpodetexto2">
    <w:name w:val="WW-Corpo de texto 2"/>
    <w:basedOn w:val="Normal"/>
    <w:qFormat/>
    <w:pPr>
      <w:jc w:val="both"/>
    </w:pPr>
    <w:rPr>
      <w:rFonts w:ascii="Bookman Old Style" w:hAnsi="Bookman Old Style" w:cs="Bookman Old Style"/>
      <w:i/>
      <w:kern w:val="2"/>
    </w:rPr>
  </w:style>
  <w:style w:type="paragraph" w:customStyle="1" w:styleId="Standard">
    <w:name w:val="Standard"/>
    <w:qFormat/>
    <w:rPr>
      <w:rFonts w:eastAsia="HG Mincho Light J"/>
      <w:color w:val="000000"/>
      <w:kern w:val="2"/>
      <w:szCs w:val="24"/>
      <w:lang w:val="pt-PT" w:eastAsia="zh-CN"/>
    </w:rPr>
  </w:style>
  <w:style w:type="paragraph" w:customStyle="1" w:styleId="Textbody">
    <w:name w:val="Text body"/>
    <w:basedOn w:val="Standard"/>
    <w:qFormat/>
    <w:pPr>
      <w:spacing w:after="120"/>
    </w:pPr>
  </w:style>
  <w:style w:type="paragraph" w:styleId="NormalWeb">
    <w:name w:val="Normal (Web)"/>
    <w:basedOn w:val="Normal"/>
    <w:qFormat/>
    <w:pPr>
      <w:suppressAutoHyphens w:val="0"/>
      <w:spacing w:before="100" w:after="100"/>
    </w:pPr>
    <w:rPr>
      <w:rFonts w:eastAsia="Times New Roman"/>
      <w:color w:val="auto"/>
      <w:sz w:val="24"/>
      <w:lang w:val="pt-BR"/>
    </w:rPr>
  </w:style>
  <w:style w:type="paragraph" w:customStyle="1" w:styleId="Recuodecorpodetexto21">
    <w:name w:val="Recuo de corpo de texto 21"/>
    <w:basedOn w:val="Normal"/>
    <w:qFormat/>
    <w:pPr>
      <w:spacing w:after="120" w:line="480" w:lineRule="auto"/>
      <w:ind w:left="283"/>
    </w:pPr>
  </w:style>
  <w:style w:type="paragraph" w:customStyle="1" w:styleId="texto2">
    <w:name w:val="texto2"/>
    <w:basedOn w:val="Normal"/>
    <w:qFormat/>
    <w:pPr>
      <w:suppressAutoHyphens w:val="0"/>
      <w:spacing w:before="100" w:after="100"/>
    </w:pPr>
    <w:rPr>
      <w:rFonts w:eastAsia="Times New Roman"/>
      <w:color w:val="auto"/>
      <w:sz w:val="24"/>
      <w:lang w:val="pt-BR"/>
    </w:rPr>
  </w:style>
  <w:style w:type="paragraph" w:customStyle="1" w:styleId="artart">
    <w:name w:val="artart"/>
    <w:basedOn w:val="Normal"/>
    <w:qFormat/>
    <w:pPr>
      <w:suppressAutoHyphens w:val="0"/>
      <w:spacing w:before="100" w:after="100"/>
    </w:pPr>
    <w:rPr>
      <w:rFonts w:eastAsia="Times New Roman"/>
      <w:color w:val="auto"/>
      <w:sz w:val="24"/>
      <w:lang w:val="pt-BR"/>
    </w:rPr>
  </w:style>
  <w:style w:type="paragraph" w:styleId="PargrafodaLista">
    <w:name w:val="List Paragraph"/>
    <w:basedOn w:val="Normal"/>
    <w:uiPriority w:val="34"/>
    <w:qFormat/>
    <w:rsid w:val="001D033D"/>
    <w:pPr>
      <w:ind w:left="720"/>
      <w:contextualSpacing/>
    </w:pPr>
  </w:style>
  <w:style w:type="paragraph" w:customStyle="1" w:styleId="WW-Padro">
    <w:name w:val="WW-Padrão"/>
    <w:qFormat/>
    <w:pPr>
      <w:widowControl w:val="0"/>
    </w:pPr>
    <w:rPr>
      <w:rFonts w:eastAsia="Arial"/>
      <w:lang w:eastAsia="zh-CN"/>
    </w:rPr>
  </w:style>
  <w:style w:type="table" w:styleId="Tabelacomgrade">
    <w:name w:val="Table Grid"/>
    <w:basedOn w:val="Tabelanormal"/>
    <w:uiPriority w:val="39"/>
    <w:rsid w:val="005E1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3332</Words>
  <Characters>17994</Characters>
  <Application>Microsoft Office Word</Application>
  <DocSecurity>0</DocSecurity>
  <Lines>149</Lines>
  <Paragraphs>42</Paragraphs>
  <ScaleCrop>false</ScaleCrop>
  <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Parecer Juridico</dc:title>
  <dc:subject/>
  <dc:creator>PGM</dc:creator>
  <dc:description/>
  <cp:lastModifiedBy>Kinberlli Arrieche de Oliveira</cp:lastModifiedBy>
  <cp:revision>2</cp:revision>
  <dcterms:created xsi:type="dcterms:W3CDTF">2024-08-12T20:39:00Z</dcterms:created>
  <dcterms:modified xsi:type="dcterms:W3CDTF">2024-08-12T20:39:00Z</dcterms:modified>
  <dc:language>pt-BR</dc:language>
</cp:coreProperties>
</file>