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b/>
          <w:b/>
          <w:bCs/>
          <w:sz w:val="24"/>
          <w:highlight w:val="cyan"/>
        </w:rPr>
      </w:pPr>
      <w:r>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widowControl/>
        <w:suppressAutoHyphens w:val="true"/>
        <w:bidi w:val="0"/>
        <w:spacing w:before="0" w:after="0"/>
        <w:ind w:left="3912" w:right="0" w:hanging="0"/>
        <w:jc w:val="both"/>
        <w:rPr>
          <w:rFonts w:ascii="Aptos Narrow" w:hAnsi="Aptos Narrow"/>
          <w:b/>
          <w:b/>
          <w:bCs/>
          <w:sz w:val="24"/>
        </w:rPr>
      </w:pPr>
      <w:r>
        <w:rPr>
          <w:rFonts w:ascii="Aptos Narrow" w:hAnsi="Aptos Narrow"/>
          <w:b/>
          <w:bCs/>
          <w:sz w:val="24"/>
        </w:rPr>
        <w:t xml:space="preserve">CONTRATO ADMINISTRATIVO </w:t>
      </w:r>
      <w:r>
        <w:rPr>
          <w:rFonts w:ascii="Aptos Narrow" w:hAnsi="Aptos Narrow"/>
          <w:b/>
          <w:bCs/>
          <w:sz w:val="24"/>
        </w:rPr>
        <w:t>21893</w:t>
      </w:r>
      <w:r>
        <w:rPr>
          <w:rFonts w:ascii="Aptos Narrow" w:hAnsi="Aptos Narrow" w:cstheme="minorBidi"/>
          <w:b/>
          <w:bCs/>
          <w:sz w:val="24"/>
          <w:shd w:fill="auto" w:val="clear"/>
        </w:rPr>
        <w:t>/2025,</w:t>
      </w:r>
      <w:r>
        <w:rPr>
          <w:rFonts w:ascii="Aptos Narrow" w:hAnsi="Aptos Narrow"/>
          <w:b/>
          <w:bCs/>
          <w:sz w:val="24"/>
        </w:rPr>
        <w:t xml:space="preserve">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O </w:t>
      </w:r>
      <w:r>
        <w:rPr>
          <w:rFonts w:ascii="Aptos Narrow" w:hAnsi="Aptos Narrow"/>
          <w:b/>
          <w:bCs/>
          <w:sz w:val="24"/>
          <w:highlight w:val="yellow"/>
        </w:rPr>
        <w:t>PREGÃO 000/2025, SOB A FORMA ELETRÔNICA</w:t>
      </w:r>
      <w:r>
        <w:rPr>
          <w:rFonts w:ascii="Aptos Narrow" w:hAnsi="Aptos Narrow"/>
          <w:b/>
          <w:bCs/>
          <w:sz w:val="24"/>
        </w:rPr>
        <w:t>, PARA [</w:t>
      </w:r>
      <w:r>
        <w:rPr>
          <w:rFonts w:ascii="Aptos Narrow" w:hAnsi="Aptos Narrow"/>
          <w:b/>
          <w:bCs/>
          <w:sz w:val="24"/>
          <w:highlight w:val="yellow"/>
        </w:rPr>
        <w:t>PREENCHER RESUMIDAMENTE O OBJETO</w:t>
      </w:r>
      <w:r>
        <w:rPr>
          <w:rFonts w:ascii="Aptos Narrow" w:hAnsi="Aptos Narrow"/>
          <w:b/>
          <w:bCs/>
          <w:sz w:val="24"/>
        </w:rPr>
        <w:t>].</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 xml:space="preserve">Tendo em vista o que consta no Processo Administrativo Digital </w:t>
      </w:r>
      <w:r>
        <w:rPr>
          <w:rFonts w:ascii="Aptos Narrow" w:hAnsi="Aptos Narrow"/>
          <w:sz w:val="24"/>
        </w:rPr>
        <w:t>21893</w:t>
      </w:r>
      <w:r>
        <w:rPr>
          <w:rFonts w:ascii="Aptos Narrow" w:hAnsi="Aptos Narrow" w:cstheme="minorBidi"/>
          <w:sz w:val="24"/>
          <w:shd w:fill="auto" w:val="clear"/>
        </w:rPr>
        <w:t>/2025</w:t>
      </w:r>
      <w:r>
        <w:rPr>
          <w:rFonts w:ascii="Aptos Narrow" w:hAnsi="Aptos Narrow"/>
          <w:sz w:val="24"/>
        </w:rPr>
        <w:t xml:space="preserve"> e em observância às disposições da Lei 14.133, de 1º de abril de 2021, dos Decretos  Municipais 19.706, 19.707, ambos de 19/01/2023 e 19.710, de 24/01/2023; resolvem celebrar o presente, decorrente do </w:t>
      </w:r>
      <w:r>
        <w:rPr>
          <w:rFonts w:ascii="Aptos Narrow" w:hAnsi="Aptos Narrow"/>
          <w:sz w:val="24"/>
          <w:highlight w:val="yellow"/>
        </w:rPr>
        <w:t>Pregão 000/2025</w:t>
      </w:r>
      <w:r>
        <w:rPr>
          <w:rFonts w:ascii="Aptos Narrow" w:hAnsi="Aptos Narrow"/>
          <w:sz w:val="24"/>
        </w:rPr>
        <w:t>, sob a forma eletrônica,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b/>
          <w:bCs/>
          <w:sz w:val="24"/>
        </w:rPr>
        <w:t>1.1</w:t>
      </w:r>
      <w:r>
        <w:rPr>
          <w:rFonts w:ascii="Aptos Narrow" w:hAnsi="Aptos Narrow"/>
          <w:sz w:val="24"/>
        </w:rPr>
        <w:t>. Constitui objeto deste contrato a prestação de serviços, com dedicação exclusiva de mão-de-obra para a prestação de serviços Contratação de empresa para prestação de serviço de Sepultador (CBO 5166) 44hs, sepultamentos, manutenção e limpeza do cemitério municipal, conforme especificações constantes no Termo de Referência (Anexo I), na forma abaixo descrita:</w:t>
      </w:r>
    </w:p>
    <w:p>
      <w:pPr>
        <w:pStyle w:val="Normal"/>
        <w:jc w:val="both"/>
        <w:rPr>
          <w:rFonts w:ascii="Aptos Narrow" w:hAnsi="Aptos Narrow"/>
          <w:b/>
          <w:b/>
          <w:bCs/>
          <w:sz w:val="24"/>
        </w:rPr>
      </w:pPr>
      <w:r>
        <w:rPr/>
      </w:r>
    </w:p>
    <w:p>
      <w:pPr>
        <w:pStyle w:val="Normal"/>
        <w:jc w:val="both"/>
        <w:rPr>
          <w:rFonts w:ascii="Aptos Narrow" w:hAnsi="Aptos Narrow"/>
          <w:sz w:val="24"/>
        </w:rPr>
      </w:pPr>
      <w:r>
        <w:rPr>
          <w:rFonts w:ascii="Aptos Narrow" w:hAnsi="Aptos Narrow"/>
          <w:sz w:val="24"/>
        </w:rPr>
      </w:r>
    </w:p>
    <w:tbl>
      <w:tblPr>
        <w:tblStyle w:val="Tabelacomgrade"/>
        <w:tblW w:w="985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0"/>
        <w:gridCol w:w="3435"/>
        <w:gridCol w:w="1140"/>
        <w:gridCol w:w="1020"/>
        <w:gridCol w:w="1695"/>
        <w:gridCol w:w="1875"/>
      </w:tblGrid>
      <w:tr>
        <w:trPr/>
        <w:tc>
          <w:tcPr>
            <w:tcW w:w="690"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Item</w:t>
            </w:r>
          </w:p>
        </w:tc>
        <w:tc>
          <w:tcPr>
            <w:tcW w:w="3435"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Descrição</w:t>
            </w:r>
          </w:p>
        </w:tc>
        <w:tc>
          <w:tcPr>
            <w:tcW w:w="1140"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Unidade de medida</w:t>
            </w:r>
          </w:p>
        </w:tc>
        <w:tc>
          <w:tcPr>
            <w:tcW w:w="1020"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Qtde.</w:t>
            </w:r>
          </w:p>
        </w:tc>
        <w:tc>
          <w:tcPr>
            <w:tcW w:w="1695"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Valor Unit.</w:t>
            </w:r>
          </w:p>
        </w:tc>
        <w:tc>
          <w:tcPr>
            <w:tcW w:w="1875"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Valor Total</w:t>
            </w:r>
          </w:p>
        </w:tc>
      </w:tr>
      <w:tr>
        <w:trPr/>
        <w:tc>
          <w:tcPr>
            <w:tcW w:w="69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343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Contratação de empresa para prestação de serviço de</w:t>
            </w:r>
          </w:p>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Sepultador (CBO 5166) 44hs, sepultamentos,</w:t>
            </w:r>
          </w:p>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manutenção e limpeza do cemitério municipal, a serem</w:t>
            </w:r>
          </w:p>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executados com regime de dedicação exclusiva de mãode-</w:t>
            </w:r>
          </w:p>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obra, 02 pontos (Torotama e Povo Novo).</w:t>
            </w:r>
          </w:p>
        </w:tc>
        <w:tc>
          <w:tcPr>
            <w:tcW w:w="114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mês</w:t>
            </w:r>
          </w:p>
        </w:tc>
        <w:tc>
          <w:tcPr>
            <w:tcW w:w="102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12</w:t>
            </w:r>
          </w:p>
        </w:tc>
        <w:tc>
          <w:tcPr>
            <w:tcW w:w="169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R$ 13.040,57</w:t>
            </w:r>
          </w:p>
        </w:tc>
        <w:tc>
          <w:tcPr>
            <w:tcW w:w="187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R$ 156.486,88</w:t>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left="284" w:hanging="0"/>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left="284" w:hanging="0"/>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left="284" w:hanging="0"/>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left="284" w:hanging="0"/>
        <w:jc w:val="both"/>
        <w:rPr>
          <w:rFonts w:ascii="Aptos Narrow" w:hAnsi="Aptos Narrow"/>
          <w:sz w:val="24"/>
        </w:rPr>
      </w:pPr>
      <w:r>
        <w:rPr>
          <w:rFonts w:ascii="Aptos Narrow" w:hAnsi="Aptos Narrow"/>
          <w:b/>
          <w:bCs/>
          <w:sz w:val="24"/>
        </w:rPr>
        <w:t>1.2.4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xml:space="preserve">. O regime de execução contratual será o de </w:t>
      </w:r>
      <w:r>
        <w:rPr>
          <w:rFonts w:ascii="Aptos Narrow" w:hAnsi="Aptos Narrow"/>
          <w:sz w:val="24"/>
        </w:rPr>
        <w:t>empreitada por preço unitário.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SEGUNDA - DA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xml:space="preserve">. O Contrato terá vigência de </w:t>
      </w:r>
      <w:r>
        <w:rPr>
          <w:rFonts w:ascii="Aptos Narrow" w:hAnsi="Aptos Narrow"/>
          <w:sz w:val="24"/>
          <w:highlight w:val="yellow"/>
        </w:rPr>
        <w:t>12</w:t>
      </w:r>
      <w:r>
        <w:rPr>
          <w:rFonts w:ascii="Aptos Narrow" w:hAnsi="Aptos Narrow"/>
          <w:sz w:val="24"/>
        </w:rPr>
        <w:t xml:space="preserve"> </w:t>
      </w:r>
      <w:r>
        <w:rPr>
          <w:rFonts w:ascii="Aptos Narrow" w:hAnsi="Aptos Narrow"/>
          <w:sz w:val="24"/>
        </w:rPr>
        <w:t>(doze) meses</w:t>
      </w:r>
      <w:r>
        <w:rPr>
          <w:rFonts w:ascii="Aptos Narrow" w:hAnsi="Aptos Narrow"/>
          <w:sz w:val="24"/>
        </w:rPr>
        <w:t xml:space="preserve">, contados </w:t>
      </w:r>
      <w:r>
        <w:rPr>
          <w:rFonts w:ascii="Aptos Narrow" w:hAnsi="Aptos Narrow"/>
          <w:sz w:val="24"/>
          <w:highlight w:val="yellow"/>
        </w:rPr>
        <w:t>da Ordem de Início dos Serviços</w:t>
      </w:r>
      <w:r>
        <w:rPr>
          <w:rFonts w:ascii="Aptos Narrow" w:hAnsi="Aptos Narrow"/>
          <w:sz w:val="24"/>
        </w:rPr>
        <w:t>, podendo ser prorrogado, por até 10 anos, desde que satisfeitos os requisitos dos arts. 106 e 107 da Lei 14.133/2021.</w:t>
      </w:r>
    </w:p>
    <w:p>
      <w:pPr>
        <w:pStyle w:val="Normal"/>
        <w:ind w:left="284" w:hanging="0"/>
        <w:jc w:val="both"/>
        <w:rPr>
          <w:rFonts w:ascii="Aptos Narrow" w:hAnsi="Aptos Narrow"/>
          <w:sz w:val="24"/>
        </w:rPr>
      </w:pPr>
      <w:r>
        <w:rPr>
          <w:rFonts w:ascii="Aptos Narrow" w:hAnsi="Aptos Narrow"/>
          <w:b/>
          <w:bCs/>
          <w:sz w:val="24"/>
        </w:rPr>
        <w:t>2.1.1</w:t>
      </w:r>
      <w:r>
        <w:rPr>
          <w:rFonts w:ascii="Aptos Narrow" w:hAnsi="Aptos Narrow"/>
          <w:sz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Aptos Narrow" w:hAnsi="Aptos Narrow"/>
          <w:sz w:val="24"/>
        </w:rPr>
      </w:pPr>
      <w:r>
        <w:rPr>
          <w:rFonts w:ascii="Aptos Narrow" w:hAnsi="Aptos Narrow"/>
          <w:b/>
          <w:bCs/>
          <w:sz w:val="24"/>
        </w:rPr>
        <w:t>2.2</w:t>
      </w:r>
      <w:r>
        <w:rPr>
          <w:rFonts w:ascii="Aptos Narrow" w:hAnsi="Aptos Narrow"/>
          <w:sz w:val="24"/>
        </w:rPr>
        <w:t>. O contratado não tem direito subjetivo à prorrogação contratual.</w:t>
      </w:r>
    </w:p>
    <w:p>
      <w:pPr>
        <w:pStyle w:val="Normal"/>
        <w:jc w:val="both"/>
        <w:rPr>
          <w:rFonts w:ascii="Aptos Narrow" w:hAnsi="Aptos Narrow"/>
          <w:sz w:val="24"/>
        </w:rPr>
      </w:pPr>
      <w:r>
        <w:rPr>
          <w:rFonts w:ascii="Aptos Narrow" w:hAnsi="Aptos Narrow"/>
          <w:b/>
          <w:bCs/>
          <w:sz w:val="24"/>
        </w:rPr>
        <w:t>2.3</w:t>
      </w:r>
      <w:r>
        <w:rPr>
          <w:rFonts w:ascii="Aptos Narrow" w:hAnsi="Aptos Narrow"/>
          <w:sz w:val="24"/>
        </w:rPr>
        <w:t>. A prorrogação de contrato deverá ser promovida mediante celebração de termo aditivo.</w:t>
      </w:r>
    </w:p>
    <w:p>
      <w:pPr>
        <w:pStyle w:val="Normal"/>
        <w:jc w:val="both"/>
        <w:rPr>
          <w:rFonts w:ascii="Aptos Narrow" w:hAnsi="Aptos Narrow"/>
          <w:sz w:val="24"/>
        </w:rPr>
      </w:pPr>
      <w:r>
        <w:rPr>
          <w:rFonts w:ascii="Aptos Narrow" w:hAnsi="Aptos Narrow"/>
          <w:b/>
          <w:bCs/>
          <w:sz w:val="24"/>
        </w:rPr>
        <w:t>2.4</w:t>
      </w:r>
      <w:r>
        <w:rPr>
          <w:rFonts w:ascii="Aptos Narrow" w:hAnsi="Aptos Narrow"/>
          <w:sz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Aptos Narrow" w:hAnsi="Aptos Narrow"/>
          <w:b/>
          <w:b/>
          <w:bCs/>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mensal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xml:space="preserve">), perfazendo o valor total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para o período inicial contratado.</w:t>
      </w:r>
    </w:p>
    <w:p>
      <w:pPr>
        <w:pStyle w:val="Normal"/>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sz w:val="24"/>
        </w:rPr>
      </w:pPr>
      <w:r>
        <w:rPr/>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
    </w:p>
    <w:tbl>
      <w:tblPr>
        <w:tblStyle w:val="Tabelacomgrade"/>
        <w:tblW w:w="844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45"/>
      </w:tblGrid>
      <w:tr>
        <w:trPr/>
        <w:tc>
          <w:tcPr>
            <w:tcW w:w="8445"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QUINTA - DA REPACTUAÇÃO DOS PREÇOS CONTRATADOS:</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contratados serão repactuados para manutenção do equilíbrio econômico-financeiro, após o interregno de um ano, mediante solicitação da Contratada.</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O interregno mínimo de 1 (um) ano para a primeira repactuação será contado:</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para os custos decorrentes do mercado: a partir da apresentação da proposta.</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Nas repactuações subsequentes à primeira, o interregno mínimo 1 (um) ano será contado a partir da data da última repactuação correspondente à mesma parcela objeto da nova solicitação.</w:t>
      </w:r>
    </w:p>
    <w:p>
      <w:pPr>
        <w:pStyle w:val="Normal"/>
        <w:ind w:left="284" w:hanging="0"/>
        <w:jc w:val="both"/>
        <w:rPr>
          <w:rFonts w:ascii="Aptos Narrow" w:hAnsi="Aptos Narrow"/>
          <w:sz w:val="24"/>
        </w:rPr>
      </w:pPr>
      <w:r>
        <w:rPr>
          <w:rFonts w:ascii="Aptos Narrow" w:hAnsi="Aptos Narrow"/>
          <w:b/>
          <w:bCs/>
          <w:sz w:val="24"/>
        </w:rPr>
        <w:t>5.3.1</w:t>
      </w:r>
      <w:r>
        <w:rPr>
          <w:rFonts w:ascii="Aptos Narrow" w:hAnsi="Aptos Narrow"/>
          <w:sz w:val="24"/>
        </w:rPr>
        <w:t>. Entende-se como última repactuação a data em que iniciados seus efeitos financeiros, independentemente daquela em que apostilada.</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14.133/2021).</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14.133/2021)</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É vedada a inclusão, por ocasião da repactuação, de benefícios não previstos na proposta inicial, exceto quando se tornarem obrigatórios por força de lei, acordo, convenção ou dissídio coletivo de trabalho.</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atividade.(art. 135, §§ 1º e 2º, da Lei 14.133/2021)</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pPr>
        <w:pStyle w:val="Normal"/>
        <w:jc w:val="both"/>
        <w:rPr>
          <w:rFonts w:ascii="Aptos Narrow" w:hAnsi="Aptos Narrow"/>
          <w:sz w:val="24"/>
        </w:rPr>
      </w:pPr>
      <w:r>
        <w:rPr>
          <w:rFonts w:ascii="Aptos Narrow" w:hAnsi="Aptos Narrow"/>
          <w:b/>
          <w:bCs/>
          <w:sz w:val="24"/>
        </w:rPr>
        <w:t>5.9</w:t>
      </w:r>
      <w:r>
        <w:rPr>
          <w:rFonts w:ascii="Aptos Narrow" w:hAnsi="Aptos Narrow"/>
          <w:sz w:val="24"/>
        </w:rPr>
        <w:t>. Quando a repactuação solicitada pelo Contratado se referir aos custos decorrentes do mercado, o respectivo aumento será apurado mediante a aplicação do índice INPC-IBGE (Índice Nacional de Preços), conforme OS 006/2023/SMGAL,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5.10</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5.11</w:t>
      </w:r>
      <w:r>
        <w:rPr>
          <w:rFonts w:ascii="Aptos Narrow" w:hAnsi="Aptos Narrow"/>
          <w:sz w:val="24"/>
        </w:rPr>
        <w:t>. Nas aferições finais, o índice utilizado para a repactuação dos custos decorrentes do mercado será, obrigatoriamente, o definitivo.</w:t>
      </w:r>
    </w:p>
    <w:p>
      <w:pPr>
        <w:pStyle w:val="Normal"/>
        <w:jc w:val="both"/>
        <w:rPr>
          <w:rFonts w:ascii="Aptos Narrow" w:hAnsi="Aptos Narrow"/>
          <w:sz w:val="24"/>
        </w:rPr>
      </w:pPr>
      <w:r>
        <w:rPr>
          <w:rFonts w:ascii="Aptos Narrow" w:hAnsi="Aptos Narrow"/>
          <w:b/>
          <w:bCs/>
          <w:sz w:val="24"/>
        </w:rPr>
        <w:t>5.12</w:t>
      </w:r>
      <w:r>
        <w:rPr>
          <w:rFonts w:ascii="Aptos Narrow" w:hAnsi="Aptos Narrow"/>
          <w:sz w:val="24"/>
        </w:rPr>
        <w:t>. Caso o índice estabelecido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5.13</w:t>
      </w:r>
      <w:r>
        <w:rPr>
          <w:rFonts w:ascii="Aptos Narrow" w:hAnsi="Aptos Narrow"/>
          <w:sz w:val="24"/>
        </w:rPr>
        <w:t>. Na ausência de previsão legal quanto ao índice substituto, as partes elegerão novo índice oficial, para reajustamento do preço do valor remanescente dos custos decorrentes do mercado, por meio de termo aditivo.</w:t>
      </w:r>
    </w:p>
    <w:p>
      <w:pPr>
        <w:pStyle w:val="Normal"/>
        <w:jc w:val="both"/>
        <w:rPr>
          <w:rFonts w:ascii="Aptos Narrow" w:hAnsi="Aptos Narrow"/>
          <w:sz w:val="24"/>
        </w:rPr>
      </w:pPr>
      <w:r>
        <w:rPr>
          <w:rFonts w:ascii="Aptos Narrow" w:hAnsi="Aptos Narrow"/>
          <w:b/>
          <w:bCs/>
          <w:sz w:val="24"/>
        </w:rPr>
        <w:t>5.14</w:t>
      </w:r>
      <w:r>
        <w:rPr>
          <w:rFonts w:ascii="Aptos Narrow" w:hAnsi="Aptos Narrow"/>
          <w:sz w:val="24"/>
        </w:rPr>
        <w:t>. 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pPr>
        <w:pStyle w:val="Normal"/>
        <w:jc w:val="both"/>
        <w:rPr>
          <w:rFonts w:ascii="Aptos Narrow" w:hAnsi="Aptos Narrow"/>
          <w:sz w:val="24"/>
        </w:rPr>
      </w:pPr>
      <w:r>
        <w:rPr>
          <w:rFonts w:ascii="Aptos Narrow" w:hAnsi="Aptos Narrow"/>
          <w:b/>
          <w:bCs/>
          <w:sz w:val="24"/>
        </w:rPr>
        <w:t>5.15</w:t>
      </w:r>
      <w:r>
        <w:rPr>
          <w:rFonts w:ascii="Aptos Narrow" w:hAnsi="Aptos Narrow"/>
          <w:sz w:val="24"/>
        </w:rPr>
        <w:t>.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pPr>
        <w:pStyle w:val="Normal"/>
        <w:jc w:val="both"/>
        <w:rPr>
          <w:rFonts w:ascii="Aptos Narrow" w:hAnsi="Aptos Narrow"/>
          <w:sz w:val="24"/>
        </w:rPr>
      </w:pPr>
      <w:r>
        <w:rPr>
          <w:rFonts w:ascii="Aptos Narrow" w:hAnsi="Aptos Narrow"/>
          <w:b/>
          <w:bCs/>
          <w:sz w:val="24"/>
        </w:rPr>
        <w:t>5.16</w:t>
      </w:r>
      <w:r>
        <w:rPr>
          <w:rFonts w:ascii="Aptos Narrow" w:hAnsi="Aptos Narrow"/>
          <w:sz w:val="24"/>
        </w:rPr>
        <w:t>. Os novos valores contratuais decorrentes das repactuações poderão se iniciar em data futura, desde que assim acordado entre as partes, sem prejuízo da contagem da anualidade para concessão das repactuações futuras.</w:t>
      </w:r>
    </w:p>
    <w:p>
      <w:pPr>
        <w:pStyle w:val="Normal"/>
        <w:jc w:val="both"/>
        <w:rPr>
          <w:rFonts w:ascii="Aptos Narrow" w:hAnsi="Aptos Narrow"/>
          <w:sz w:val="24"/>
        </w:rPr>
      </w:pPr>
      <w:r>
        <w:rPr>
          <w:rFonts w:ascii="Aptos Narrow" w:hAnsi="Aptos Narrow"/>
          <w:b/>
          <w:bCs/>
          <w:sz w:val="24"/>
        </w:rPr>
        <w:t>5.17</w:t>
      </w:r>
      <w:r>
        <w:rPr>
          <w:rFonts w:ascii="Aptos Narrow" w:hAnsi="Aptos Narrow"/>
          <w:sz w:val="24"/>
        </w:rPr>
        <w:t>. Os efeitos financeiros da repactuação ficarão restritos exclusivamente aos itens que a motivaram, e apenas em relação à diferença porventura existente.</w:t>
      </w:r>
    </w:p>
    <w:p>
      <w:pPr>
        <w:pStyle w:val="Normal"/>
        <w:jc w:val="both"/>
        <w:rPr>
          <w:rFonts w:ascii="Aptos Narrow" w:hAnsi="Aptos Narrow"/>
          <w:sz w:val="24"/>
        </w:rPr>
      </w:pPr>
      <w:r>
        <w:rPr>
          <w:rFonts w:ascii="Aptos Narrow" w:hAnsi="Aptos Narrow"/>
          <w:b/>
          <w:bCs/>
          <w:sz w:val="24"/>
        </w:rPr>
        <w:t>5.18</w:t>
      </w:r>
      <w:r>
        <w:rPr>
          <w:rFonts w:ascii="Aptos Narrow" w:hAnsi="Aptos Narrow"/>
          <w:sz w:val="24"/>
        </w:rPr>
        <w:t>. O pedido de repactuação deverá ser formulado durante a vigência do contrato e antes de eventual prorrogação contratual, sob pena de preclusão.</w:t>
      </w:r>
    </w:p>
    <w:p>
      <w:pPr>
        <w:pStyle w:val="Normal"/>
        <w:jc w:val="both"/>
        <w:rPr>
          <w:rFonts w:ascii="Aptos Narrow" w:hAnsi="Aptos Narrow"/>
          <w:sz w:val="24"/>
        </w:rPr>
      </w:pPr>
      <w:r>
        <w:rPr>
          <w:rFonts w:ascii="Aptos Narrow" w:hAnsi="Aptos Narrow"/>
          <w:b/>
          <w:bCs/>
          <w:sz w:val="24"/>
        </w:rPr>
        <w:t>5.19</w:t>
      </w:r>
      <w:r>
        <w:rPr>
          <w:rFonts w:ascii="Aptos Narrow" w:hAnsi="Aptos Narrow"/>
          <w:sz w:val="24"/>
        </w:rPr>
        <w:t>. 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pPr>
        <w:pStyle w:val="Normal"/>
        <w:jc w:val="both"/>
        <w:rPr>
          <w:rFonts w:ascii="Aptos Narrow" w:hAnsi="Aptos Narrow"/>
          <w:sz w:val="24"/>
        </w:rPr>
      </w:pPr>
      <w:r>
        <w:rPr>
          <w:rFonts w:ascii="Aptos Narrow" w:hAnsi="Aptos Narrow"/>
          <w:b/>
          <w:bCs/>
          <w:sz w:val="24"/>
        </w:rPr>
        <w:t>5.20</w:t>
      </w:r>
      <w:r>
        <w:rPr>
          <w:rFonts w:ascii="Aptos Narrow" w:hAnsi="Aptos Narrow"/>
          <w:sz w:val="24"/>
        </w:rPr>
        <w:t>. A extinção do contrato não configurará óbice para o deferimento da repactuação solicitada tempestivamente, hipótese em que será concedida por meio de termo indenizatório.</w:t>
      </w:r>
    </w:p>
    <w:p>
      <w:pPr>
        <w:pStyle w:val="Normal"/>
        <w:jc w:val="both"/>
        <w:rPr>
          <w:rFonts w:ascii="Aptos Narrow" w:hAnsi="Aptos Narrow"/>
          <w:sz w:val="24"/>
        </w:rPr>
      </w:pPr>
      <w:r>
        <w:rPr>
          <w:rFonts w:ascii="Aptos Narrow" w:hAnsi="Aptos Narrow"/>
          <w:b/>
          <w:bCs/>
          <w:sz w:val="24"/>
        </w:rPr>
        <w:t>5.21</w:t>
      </w:r>
      <w:r>
        <w:rPr>
          <w:rFonts w:ascii="Aptos Narrow" w:hAnsi="Aptos Narrow"/>
          <w:sz w:val="24"/>
        </w:rPr>
        <w:t>. O Contratante decidirá sobre o pedido de repactuação de preços em até 30 (trinta) dias, contado da data do fornecimento, pelo Contratado, da documentação comprobatória da variação dos custos a serem repactuados. (art. 92, § 6º, c/c o art. 135, § 6º)</w:t>
      </w:r>
    </w:p>
    <w:p>
      <w:pPr>
        <w:pStyle w:val="Normal"/>
        <w:jc w:val="both"/>
        <w:rPr>
          <w:rFonts w:ascii="Aptos Narrow" w:hAnsi="Aptos Narrow"/>
          <w:sz w:val="24"/>
        </w:rPr>
      </w:pPr>
      <w:r>
        <w:rPr>
          <w:rFonts w:ascii="Aptos Narrow" w:hAnsi="Aptos Narrow"/>
          <w:b/>
          <w:bCs/>
          <w:sz w:val="24"/>
        </w:rPr>
        <w:t>5.22</w:t>
      </w:r>
      <w:r>
        <w:rPr>
          <w:rFonts w:ascii="Aptos Narrow" w:hAnsi="Aptos Narrow"/>
          <w:sz w:val="24"/>
        </w:rPr>
        <w:t>. A repactuação de preços será formalizada por apostilamento.</w:t>
      </w:r>
    </w:p>
    <w:p>
      <w:pPr>
        <w:pStyle w:val="Normal"/>
        <w:jc w:val="both"/>
        <w:rPr>
          <w:rFonts w:ascii="Aptos Narrow" w:hAnsi="Aptos Narrow"/>
          <w:sz w:val="24"/>
        </w:rPr>
      </w:pPr>
      <w:r>
        <w:rPr>
          <w:rFonts w:ascii="Aptos Narrow" w:hAnsi="Aptos Narrow"/>
          <w:b/>
          <w:bCs/>
          <w:sz w:val="24"/>
        </w:rPr>
        <w:t>5.23</w:t>
      </w:r>
      <w:r>
        <w:rPr>
          <w:rFonts w:ascii="Aptos Narrow" w:hAnsi="Aptos Narrow"/>
          <w:sz w:val="24"/>
        </w:rPr>
        <w:t>. O Contratado deverá complementar a garantia contratual anteriormente prestada, de modo que se mantenha a proporção inicial em relação ao valor contratado.</w:t>
      </w:r>
    </w:p>
    <w:p>
      <w:pPr>
        <w:pStyle w:val="Normal"/>
        <w:jc w:val="both"/>
        <w:rPr>
          <w:rFonts w:ascii="Aptos Narrow" w:hAnsi="Aptos Narrow"/>
          <w:sz w:val="24"/>
        </w:rPr>
      </w:pPr>
      <w:r>
        <w:rPr>
          <w:rFonts w:ascii="Aptos Narrow" w:hAnsi="Aptos Narrow"/>
          <w:b/>
          <w:bCs/>
          <w:sz w:val="24"/>
        </w:rPr>
        <w:t>5.24</w:t>
      </w:r>
      <w:r>
        <w:rPr>
          <w:rFonts w:ascii="Aptos Narrow" w:hAnsi="Aptos Narrow"/>
          <w:sz w:val="24"/>
        </w:rPr>
        <w:t>.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pPr>
        <w:pStyle w:val="Normal"/>
        <w:ind w:left="284" w:hanging="0"/>
        <w:jc w:val="both"/>
        <w:rPr>
          <w:rFonts w:ascii="Aptos Narrow" w:hAnsi="Aptos Narrow"/>
          <w:sz w:val="24"/>
        </w:rPr>
      </w:pPr>
      <w:r>
        <w:rPr>
          <w:rFonts w:ascii="Aptos Narrow" w:hAnsi="Aptos Narrow"/>
          <w:b/>
          <w:bCs/>
          <w:sz w:val="24"/>
        </w:rPr>
        <w:t>5.2.4.1</w:t>
      </w:r>
      <w:r>
        <w:rPr>
          <w:rFonts w:ascii="Aptos Narrow" w:hAnsi="Aptos Narrow"/>
          <w:sz w:val="24"/>
        </w:rPr>
        <w:t>. A revisão dos custos relativos ao vale-transporte será formalizada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Dotação: 2889</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05- SECRETARIA DE MUNICÍPIO DE SERVIÇOS URBANOS</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05.004 – COMPLEXO DE MANUTENÇÃO URBANA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2142- MANUTENÇÃO E SERVIÇOS DE LIMPEZA URBANA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15.452.0011 CIDADE PLANEJADA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3.3.90.34.00.00.00.00 Outras despesas de pessoal decorrentes de contratos de terceirização</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3.3.90.34.01.00.00.00 Substituição de mão de obra (art. 18, §1º da lrf)</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Dotação: 3170</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05- SECRETARIA DE MUNICÍPIO DE SERVIÇOS URBANOS</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05.004 – COMPLEXO DE MANUTENÇÃO URBANA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2142- MANUTENÇÃO E SERVIÇOS DE LIMPEZA URBANA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15.452.0011 CIDADE PLANEJADA</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3.3.90.34.00.00.00.00 Outras despesas de pessoal decorrentes de contratos de terceirização</w:t>
      </w:r>
    </w:p>
    <w:p>
      <w:pPr>
        <w:pStyle w:val="Normal"/>
        <w:jc w:val="both"/>
        <w:rPr>
          <w:rFonts w:asciiTheme="minorHAnsi" w:cstheme="minorBidi" w:eastAsiaTheme="minorHAnsi" w:hAnsiTheme="minorHAnsi"/>
          <w:highlight w:val="none"/>
          <w:shd w:fill="auto" w:val="clear"/>
        </w:rPr>
      </w:pPr>
      <w:r>
        <w:rPr>
          <w:rFonts w:asciiTheme="minorHAnsi" w:cstheme="minorBidi" w:eastAsiaTheme="minorHAnsi" w:hAnsiTheme="minorHAnsi" w:ascii="Aptos Narrow" w:hAnsi="Aptos Narrow"/>
          <w:sz w:val="24"/>
          <w:shd w:fill="auto" w:val="clear"/>
        </w:rPr>
        <w:t>3.3.90.34.01.00.00.00 Substituição de mão de obra (art. 18, §1º da lrf)</w:t>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Referência/Projeto Básico.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Referência/Projeto Básico.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serviço prestado,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 prestação do serviço,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motivadas pela inexecução total ou parcial do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Não praticar atos de ingerência na administração do Contratado, tais como (art. 48 da Lei 14.133/2021):</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indicar pessoas expressamente nominadas para executar direta ou indiretamente o objeto contratado;</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fixar salário inferior ao definido em lei ou em ato normativo a ser pago pelo Contratado;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estabelecer vínculo de subordinação com funcionário do Contratado;</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definir forma de pagamento mediante exclusivo reembolso dos salários pagos;</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demandar a funcionário do Contratado a execução de tarefas fora do escopo do objeto da contratação;</w:t>
      </w:r>
    </w:p>
    <w:p>
      <w:pPr>
        <w:pStyle w:val="Normal"/>
        <w:ind w:left="284" w:hanging="0"/>
        <w:jc w:val="both"/>
        <w:rPr>
          <w:rFonts w:ascii="Aptos Narrow" w:hAnsi="Aptos Narrow"/>
          <w:sz w:val="24"/>
        </w:rPr>
      </w:pPr>
      <w:r>
        <w:rPr>
          <w:rFonts w:ascii="Aptos Narrow" w:hAnsi="Aptos Narrow"/>
          <w:b/>
          <w:bCs/>
          <w:sz w:val="24"/>
        </w:rPr>
        <w:t>f</w:t>
      </w:r>
      <w:r>
        <w:rPr>
          <w:rFonts w:ascii="Aptos Narrow" w:hAnsi="Aptos Narrow"/>
          <w:sz w:val="24"/>
        </w:rPr>
        <w:t>) prever exigências que constituam intervenção indevida da Administração na gestão interna do Contratado.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left="284" w:hanging="0"/>
        <w:jc w:val="both"/>
        <w:rPr>
          <w:rFonts w:ascii="Aptos Narrow" w:hAnsi="Aptos Narrow"/>
          <w:sz w:val="24"/>
        </w:rPr>
      </w:pPr>
      <w:r>
        <w:rPr>
          <w:rFonts w:ascii="Aptos Narrow" w:hAnsi="Aptos Narrow"/>
          <w:b/>
          <w:bCs/>
          <w:sz w:val="24"/>
        </w:rPr>
        <w:t>9.9.1</w:t>
      </w:r>
      <w:r>
        <w:rPr>
          <w:rFonts w:ascii="Aptos Narrow" w:hAnsi="Aptos Narrow"/>
          <w:sz w:val="24"/>
        </w:rPr>
        <w:t>. Concluída a instrução do requerimento, a Administração terá o prazo de 30 (trinta) dias para decidir, admitida a prorrogação motivada por igual período.</w:t>
      </w:r>
    </w:p>
    <w:p>
      <w:pPr>
        <w:pStyle w:val="Normal"/>
        <w:ind w:left="284" w:hanging="0"/>
        <w:jc w:val="both"/>
        <w:rPr>
          <w:rFonts w:ascii="Aptos Narrow" w:hAnsi="Aptos Narrow"/>
          <w:sz w:val="24"/>
        </w:rPr>
      </w:pPr>
      <w:r>
        <w:rPr>
          <w:rFonts w:ascii="Aptos Narrow" w:hAnsi="Aptos Narrow"/>
          <w:b/>
          <w:bCs/>
          <w:sz w:val="24"/>
        </w:rPr>
        <w:t>9.9.2</w:t>
      </w:r>
      <w:r>
        <w:rPr>
          <w:rFonts w:ascii="Aptos Narrow" w:hAnsi="Aptos Narrow"/>
          <w:sz w:val="24"/>
        </w:rPr>
        <w:t>. Notificar os emitentes das garantias contratuais quanto ao início de processo administrativo para apuração de descumprimento de cláusulas contratuais.</w:t>
      </w:r>
    </w:p>
    <w:p>
      <w:pPr>
        <w:pStyle w:val="Normal"/>
        <w:ind w:left="284" w:hanging="0"/>
        <w:jc w:val="both"/>
        <w:rPr>
          <w:rFonts w:ascii="Aptos Narrow" w:hAnsi="Aptos Narrow"/>
          <w:sz w:val="24"/>
        </w:rPr>
      </w:pPr>
      <w:r>
        <w:rPr>
          <w:rFonts w:ascii="Aptos Narrow" w:hAnsi="Aptos Narrow"/>
          <w:b/>
          <w:bCs/>
          <w:sz w:val="24"/>
        </w:rPr>
        <w:t>9.9.3</w:t>
      </w:r>
      <w:r>
        <w:rPr>
          <w:rFonts w:ascii="Aptos Narrow" w:hAnsi="Aptos Narrow"/>
          <w:sz w:val="24"/>
        </w:rPr>
        <w:t>. Comunicar o Contratado na hipótese de posterior alteração do projeto pelo contratante, no caso do art. 93, § 2º, da Lei 14.133/21.</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do serviço para representá-lo na execução do contrato.</w:t>
      </w:r>
    </w:p>
    <w:p>
      <w:pPr>
        <w:pStyle w:val="Normal"/>
        <w:ind w:left="284" w:hanging="0"/>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left="284" w:hanging="0"/>
        <w:jc w:val="both"/>
        <w:rPr>
          <w:rFonts w:ascii="Aptos Narrow" w:hAnsi="Aptos Narrow"/>
          <w:sz w:val="24"/>
        </w:rPr>
      </w:pPr>
      <w:r>
        <w:rPr>
          <w:rFonts w:ascii="Aptos Narrow" w:hAnsi="Aptos Narrow"/>
          <w:b/>
          <w:bCs/>
          <w:sz w:val="24"/>
        </w:rPr>
        <w:t>1</w:t>
      </w:r>
      <w:r>
        <w:rPr>
          <w:rFonts w:ascii="Aptos Narrow" w:hAnsi="Aptos Narrow"/>
          <w:sz w:val="24"/>
        </w:rPr>
        <w:t xml:space="preserve">) prova de regularidade relativa à Seguridade Social; </w:t>
      </w:r>
    </w:p>
    <w:p>
      <w:pPr>
        <w:pStyle w:val="Normal"/>
        <w:ind w:left="284" w:hanging="0"/>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left="284" w:hanging="0"/>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left="284" w:hanging="0"/>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left="284" w:hanging="0"/>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 2º, do art. 121, da Lei 14.133/2021.</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Promover a guarda, manutenção e vigilância de materiais,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left="284" w:hanging="0"/>
        <w:jc w:val="both"/>
        <w:rPr>
          <w:rFonts w:ascii="Aptos Narrow" w:hAnsi="Aptos Narrow"/>
          <w:sz w:val="24"/>
        </w:rPr>
      </w:pPr>
      <w:r>
        <w:rPr>
          <w:rFonts w:ascii="Aptos Narrow" w:hAnsi="Aptos Narrow"/>
          <w:b/>
          <w:bCs/>
          <w:sz w:val="24"/>
        </w:rPr>
        <w:t>10.19.1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“d”, da Lei 14.133/2021.</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Vedar a utilização, na execução dos serviços, de empregado que seja familiar de agente público ocupante de cargo em comissão ou função de confiança no órgão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Disponibilizar ao contratante os empregados devidamente uniformizados e identificados por meio de crachá, além de provê-los com os Equipamentos de Proteção Individual - EPI, quando for o caso.</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Fornecer os uniformes a serem utilizados por seus empregados, conforme disposto no Termo de Referência, sem repassar quaisquer custos a estes.</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relação mensal dos empregados que expressamente optarem por não receber o vale transporte.</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Efetuar o pagamento dos salários dos empregados alocados na execução contratual mediante depósito na conta bancária de titularidade do trabalhador, em agência situada na localidade em que ocorre a prestação dos serviços.</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Não permitir que o empregado designado para trabalhar em um turno preste seus serviços no turno imediatamente subsequente.</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Atender às solicitações do contratante quanto à substituição dos empregados alocados, no prazo fixado pelo fiscal do contrato, nos casos em que ficar constatado descumprimento das obrigações relativas à execução do serviço, conforme descrito no Termo de Referência.</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quanto à necessidade de acatar as normas internas da Administração.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Instruir seus empregados, no início da execução contratual, quanto à obtenção das informações de seus interesses junto aos órgãos públicos, relativas ao contrato de trabalho e obrigações a ele inerentes, bem como viabilizar o acesso de seus empregados, via internet, oferecendo todos os meios necessários aos seus empregados para a obtenção de extratos de recolhimentos de seus direitos sociais.</w:t>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10% (dez por cento) do valor inicial do contrato, sob pena de iniciar-se processo visando à aplicabilidade das sanções cabíveis.</w:t>
      </w:r>
    </w:p>
    <w:p>
      <w:pPr>
        <w:pStyle w:val="Normal"/>
        <w:ind w:left="284" w:hanging="0"/>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left="284" w:hanging="0"/>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SCLC/SMGAL, no endereço eletrônico </w:t>
      </w:r>
      <w:r>
        <w:rPr>
          <w:rFonts w:ascii="Aptos Narrow" w:hAnsi="Aptos Narrow" w:cstheme="minorBidi"/>
          <w:sz w:val="24"/>
          <w:shd w:fill="auto" w:val="clear"/>
        </w:rPr>
        <w:t>[contratos.riogrande@gmail.com],</w:t>
      </w:r>
      <w:r>
        <w:rPr>
          <w:rFonts w:ascii="Aptos Narrow" w:hAnsi="Aptos Narrow"/>
          <w:sz w:val="24"/>
        </w:rPr>
        <w:t xml:space="preserve"> o documento comprobatório da garantia prestada;</w:t>
      </w:r>
    </w:p>
    <w:p>
      <w:pPr>
        <w:pStyle w:val="Normal"/>
        <w:ind w:left="284" w:hanging="0"/>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left="284" w:hanging="0"/>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left="284" w:hanging="0"/>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left="284" w:hanging="0"/>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left="284" w:hanging="0"/>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 e do não adimplemento das demais obrigações nele previstas;</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multas moratórias e punitivas aplicadas pela Administração à contratado; e</w:t>
      </w:r>
    </w:p>
    <w:p>
      <w:pPr>
        <w:pStyle w:val="Normal"/>
        <w:ind w:left="284" w:hanging="0"/>
        <w:jc w:val="both"/>
        <w:rPr>
          <w:rFonts w:ascii="Aptos Narrow" w:hAnsi="Aptos Narrow"/>
          <w:sz w:val="24"/>
        </w:rPr>
      </w:pPr>
      <w:r>
        <w:rPr>
          <w:rFonts w:ascii="Aptos Narrow" w:hAnsi="Aptos Narrow"/>
          <w:b/>
          <w:bCs/>
          <w:sz w:val="24"/>
        </w:rPr>
        <w:t>III</w:t>
      </w:r>
      <w:r>
        <w:rPr>
          <w:rFonts w:ascii="Aptos Narrow" w:hAnsi="Aptos Narrow"/>
          <w:sz w:val="24"/>
        </w:rPr>
        <w:t xml:space="preserve"> - obrigações trabalhistas e previdenciárias de qualquer natureza, verbas rescisórias e obrigações para com o FGTS não adimplidas pelo Contratado.</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left="284" w:hanging="0"/>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left="284" w:hanging="0"/>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left="284" w:hanging="0"/>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left="284" w:hanging="0"/>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left="284" w:hanging="0"/>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left="284" w:hanging="0"/>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hanging="0"/>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left="284" w:hanging="0"/>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left="567" w:hanging="0"/>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left="1134" w:hanging="0"/>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hanging="0"/>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left="567" w:hanging="0"/>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left="567" w:hanging="0"/>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left="284" w:hanging="0"/>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left="284" w:hanging="0"/>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left="284" w:hanging="0"/>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left="284" w:hanging="0"/>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0"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0"/>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vencido o prazo nele estipulado, independentemente de terem sido cumpridas ou não as obrigações de ambas as partes contraentes.</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O contrato poderá ser extinto antes do prazo nele fixado, sem ônus para o contratante, quando este não dispuser de créditos orçamentários para sua continuidade ou quando entender que o contrato não mais lhe oferece vantagem.</w:t>
      </w:r>
    </w:p>
    <w:p>
      <w:pPr>
        <w:pStyle w:val="Normal"/>
        <w:ind w:left="284" w:hanging="0"/>
        <w:jc w:val="both"/>
        <w:rPr>
          <w:rFonts w:ascii="Aptos Narrow" w:hAnsi="Aptos Narrow"/>
          <w:sz w:val="24"/>
        </w:rPr>
      </w:pPr>
      <w:r>
        <w:rPr>
          <w:rFonts w:ascii="Aptos Narrow" w:hAnsi="Aptos Narrow"/>
          <w:b/>
          <w:bCs/>
          <w:sz w:val="24"/>
        </w:rPr>
        <w:t>13.2.1</w:t>
      </w:r>
      <w:r>
        <w:rPr>
          <w:rFonts w:ascii="Aptos Narrow" w:hAnsi="Aptos Narrow"/>
          <w:sz w:val="24"/>
        </w:rPr>
        <w:t>. A extinção nesta hipótese ocorrerá na próxima data de aniversário do contrato, desde que haja a notificação do contratado pelo contratante nesse sentido com pelo menos 2 (dois) meses de antecedência desse dia.</w:t>
      </w:r>
    </w:p>
    <w:p>
      <w:pPr>
        <w:pStyle w:val="Normal"/>
        <w:ind w:left="284" w:hanging="0"/>
        <w:jc w:val="both"/>
        <w:rPr>
          <w:rFonts w:ascii="Aptos Narrow" w:hAnsi="Aptos Narrow"/>
          <w:sz w:val="24"/>
        </w:rPr>
      </w:pPr>
      <w:r>
        <w:rPr>
          <w:rFonts w:ascii="Aptos Narrow" w:hAnsi="Aptos Narrow"/>
          <w:b/>
          <w:bCs/>
          <w:sz w:val="24"/>
        </w:rPr>
        <w:t>13.2.2</w:t>
      </w:r>
      <w:r>
        <w:rPr>
          <w:rFonts w:ascii="Aptos Narrow" w:hAnsi="Aptos Narrow"/>
          <w:sz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O contrato poderá ser extinto antes de cumpridas as obrigações nele estipuladas, ou antes do prazo nele fixado, por algum dos motivos previstos no artigo 137 da Lei 14.133/2021, bem como amigavelmente, assegurados o contraditório e a ampla defesa.</w:t>
      </w:r>
    </w:p>
    <w:p>
      <w:pPr>
        <w:pStyle w:val="Normal"/>
        <w:ind w:left="284" w:hanging="0"/>
        <w:jc w:val="both"/>
        <w:rPr>
          <w:rFonts w:ascii="Aptos Narrow" w:hAnsi="Aptos Narrow"/>
          <w:sz w:val="24"/>
        </w:rPr>
      </w:pPr>
      <w:r>
        <w:rPr>
          <w:rFonts w:ascii="Aptos Narrow" w:hAnsi="Aptos Narrow"/>
          <w:b/>
          <w:bCs/>
          <w:sz w:val="24"/>
        </w:rPr>
        <w:t>13.3.1.1</w:t>
      </w:r>
      <w:r>
        <w:rPr>
          <w:rFonts w:ascii="Aptos Narrow" w:hAnsi="Aptos Narrow"/>
          <w:sz w:val="24"/>
        </w:rPr>
        <w:t>. Nesta hipótese, aplicam-se também os artigos 138 e 139 da mesma Lei.</w:t>
      </w:r>
    </w:p>
    <w:p>
      <w:pPr>
        <w:pStyle w:val="Normal"/>
        <w:ind w:left="284" w:hanging="0"/>
        <w:jc w:val="both"/>
        <w:rPr>
          <w:rFonts w:ascii="Aptos Narrow" w:hAnsi="Aptos Narrow"/>
          <w:sz w:val="24"/>
        </w:rPr>
      </w:pPr>
      <w:r>
        <w:rPr>
          <w:rFonts w:ascii="Aptos Narrow" w:hAnsi="Aptos Narrow"/>
          <w:b/>
          <w:bCs/>
          <w:sz w:val="24"/>
        </w:rPr>
        <w:t>13.3.1.2</w:t>
      </w:r>
      <w:r>
        <w:rPr>
          <w:rFonts w:ascii="Aptos Narrow" w:hAnsi="Aptos Narrow"/>
          <w:sz w:val="24"/>
        </w:rPr>
        <w:t>. A alteração social ou a modificação da finalidade ou da estrutura da empresa não ensejará a extinção se não restringir sua capacidade de concluir o contrato.</w:t>
      </w:r>
    </w:p>
    <w:p>
      <w:pPr>
        <w:pStyle w:val="Normal"/>
        <w:ind w:left="284" w:hanging="0"/>
        <w:jc w:val="both"/>
        <w:rPr>
          <w:rFonts w:ascii="Aptos Narrow" w:hAnsi="Aptos Narrow"/>
          <w:sz w:val="24"/>
        </w:rPr>
      </w:pPr>
      <w:r>
        <w:rPr>
          <w:rFonts w:ascii="Aptos Narrow" w:hAnsi="Aptos Narrow"/>
          <w:b/>
          <w:bCs/>
          <w:sz w:val="24"/>
        </w:rPr>
        <w:t>13.3.1.3</w:t>
      </w:r>
      <w:r>
        <w:rPr>
          <w:rFonts w:ascii="Aptos Narrow" w:hAnsi="Aptos Narrow"/>
          <w:sz w:val="24"/>
        </w:rPr>
        <w:t>. Se a operação implicar mudança da pessoa jurídica contratada, deverá ser formalizado termo aditivo para alteração subjetiva.</w:t>
      </w:r>
    </w:p>
    <w:p>
      <w:pPr>
        <w:pStyle w:val="Normal"/>
        <w:jc w:val="both"/>
        <w:rPr>
          <w:rFonts w:ascii="Aptos Narrow" w:hAnsi="Aptos Narrow"/>
          <w:sz w:val="24"/>
        </w:rPr>
      </w:pPr>
      <w:r>
        <w:rPr>
          <w:rFonts w:ascii="Aptos Narrow" w:hAnsi="Aptos Narrow"/>
          <w:b/>
          <w:bCs/>
          <w:sz w:val="24"/>
        </w:rPr>
        <w:t>13.4</w:t>
      </w:r>
      <w:r>
        <w:rPr>
          <w:rFonts w:ascii="Aptos Narrow" w:hAnsi="Aptos Narrow"/>
          <w:sz w:val="24"/>
        </w:rPr>
        <w:t>. O termo de extinção, sempre que possível, será precedido:</w:t>
      </w:r>
    </w:p>
    <w:p>
      <w:pPr>
        <w:pStyle w:val="Normal"/>
        <w:ind w:left="284" w:hanging="0"/>
        <w:jc w:val="both"/>
        <w:rPr>
          <w:rFonts w:ascii="Aptos Narrow" w:hAnsi="Aptos Narrow"/>
          <w:sz w:val="24"/>
        </w:rPr>
      </w:pPr>
      <w:r>
        <w:rPr>
          <w:rFonts w:ascii="Aptos Narrow" w:hAnsi="Aptos Narrow"/>
          <w:b/>
          <w:bCs/>
          <w:sz w:val="24"/>
        </w:rPr>
        <w:t>13.4.1</w:t>
      </w:r>
      <w:r>
        <w:rPr>
          <w:rFonts w:ascii="Aptos Narrow" w:hAnsi="Aptos Narrow"/>
          <w:sz w:val="24"/>
        </w:rPr>
        <w:t>. Balanço dos eventos contratuais já cumpridos ou parcialmente cumpridos;</w:t>
      </w:r>
    </w:p>
    <w:p>
      <w:pPr>
        <w:pStyle w:val="Normal"/>
        <w:ind w:left="284" w:hanging="0"/>
        <w:jc w:val="both"/>
        <w:rPr>
          <w:rFonts w:ascii="Aptos Narrow" w:hAnsi="Aptos Narrow"/>
          <w:sz w:val="24"/>
        </w:rPr>
      </w:pPr>
      <w:r>
        <w:rPr>
          <w:rFonts w:ascii="Aptos Narrow" w:hAnsi="Aptos Narrow"/>
          <w:b/>
          <w:bCs/>
          <w:sz w:val="24"/>
        </w:rPr>
        <w:t>13.4.2</w:t>
      </w:r>
      <w:r>
        <w:rPr>
          <w:rFonts w:ascii="Aptos Narrow" w:hAnsi="Aptos Narrow"/>
          <w:sz w:val="24"/>
        </w:rPr>
        <w:t>. Relação dos pagamentos já efetuados e ainda devidos;</w:t>
      </w:r>
    </w:p>
    <w:p>
      <w:pPr>
        <w:pStyle w:val="Normal"/>
        <w:ind w:left="284" w:hanging="0"/>
        <w:jc w:val="both"/>
        <w:rPr>
          <w:rFonts w:ascii="Aptos Narrow" w:hAnsi="Aptos Narrow"/>
          <w:sz w:val="24"/>
        </w:rPr>
      </w:pPr>
      <w:r>
        <w:rPr>
          <w:rFonts w:ascii="Aptos Narrow" w:hAnsi="Aptos Narrow"/>
          <w:b/>
          <w:bCs/>
          <w:sz w:val="24"/>
        </w:rPr>
        <w:t>13.4.3</w:t>
      </w:r>
      <w:r>
        <w:rPr>
          <w:rFonts w:ascii="Aptos Narrow" w:hAnsi="Aptos Narrow"/>
          <w:sz w:val="24"/>
        </w:rPr>
        <w:t>. Indenizações e multas.</w:t>
      </w:r>
    </w:p>
    <w:p>
      <w:pPr>
        <w:pStyle w:val="Normal"/>
        <w:jc w:val="both"/>
        <w:rPr>
          <w:rFonts w:ascii="Aptos Narrow" w:hAnsi="Aptos Narrow"/>
          <w:sz w:val="24"/>
        </w:rPr>
      </w:pPr>
      <w:r>
        <w:rPr>
          <w:rFonts w:ascii="Aptos Narrow" w:hAnsi="Aptos Narrow"/>
          <w:b/>
          <w:bCs/>
          <w:sz w:val="24"/>
        </w:rPr>
        <w:t>13.5</w:t>
      </w:r>
      <w:r>
        <w:rPr>
          <w:rFonts w:ascii="Aptos Narrow" w:hAnsi="Aptos Narrow"/>
          <w:sz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Aptos Narrow" w:hAnsi="Aptos Narrow"/>
          <w:sz w:val="24"/>
        </w:rPr>
      </w:pPr>
      <w:r>
        <w:rPr>
          <w:rFonts w:ascii="Aptos Narrow" w:hAnsi="Aptos Narrow"/>
          <w:b/>
          <w:bCs/>
          <w:sz w:val="24"/>
        </w:rPr>
        <w:t>13.6</w:t>
      </w:r>
      <w:r>
        <w:rPr>
          <w:rFonts w:ascii="Aptos Narrow" w:hAnsi="Aptos Narrow"/>
          <w:sz w:val="24"/>
        </w:rPr>
        <w:t xml:space="preserve">. 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pPr>
        <w:pStyle w:val="Normal"/>
        <w:jc w:val="both"/>
        <w:rPr>
          <w:rFonts w:ascii="Aptos Narrow" w:hAnsi="Aptos Narrow"/>
          <w:sz w:val="24"/>
        </w:rPr>
      </w:pPr>
      <w:r>
        <w:rPr>
          <w:rFonts w:ascii="Aptos Narrow" w:hAnsi="Aptos Narrow"/>
          <w:b/>
          <w:bCs/>
          <w:sz w:val="24"/>
        </w:rPr>
        <w:t>13.7</w:t>
      </w:r>
      <w:r>
        <w:rPr>
          <w:rFonts w:ascii="Aptos Narrow" w:hAnsi="Aptos Narrow"/>
          <w:sz w:val="24"/>
        </w:rPr>
        <w:t>. O contratante poderá conceder prazo para que o contratado regularize suas obrigações trabalhistas ou suas condições de habilitação, sob pena de extinção contratual, quando não identificar má-fé ou a incapacidade de correção.</w:t>
      </w:r>
    </w:p>
    <w:p>
      <w:pPr>
        <w:pStyle w:val="Normal"/>
        <w:jc w:val="both"/>
        <w:rPr>
          <w:rFonts w:ascii="Aptos Narrow" w:hAnsi="Aptos Narrow"/>
          <w:sz w:val="24"/>
        </w:rPr>
      </w:pPr>
      <w:r>
        <w:rPr>
          <w:rFonts w:ascii="Aptos Narrow" w:hAnsi="Aptos Narrow"/>
          <w:b/>
          <w:bCs/>
          <w:sz w:val="24"/>
        </w:rPr>
        <w:t>13.8</w:t>
      </w:r>
      <w:r>
        <w:rPr>
          <w:rFonts w:ascii="Aptos Narrow" w:hAnsi="Aptos Narrow"/>
          <w:sz w:val="24"/>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pPr>
        <w:pStyle w:val="Normal"/>
        <w:jc w:val="both"/>
        <w:rPr>
          <w:rFonts w:ascii="Aptos Narrow" w:hAnsi="Aptos Narrow"/>
          <w:sz w:val="24"/>
        </w:rPr>
      </w:pPr>
      <w:r>
        <w:rPr>
          <w:rFonts w:ascii="Aptos Narrow" w:hAnsi="Aptos Narrow"/>
          <w:b/>
          <w:bCs/>
          <w:sz w:val="24"/>
        </w:rPr>
        <w:t>13.9</w:t>
      </w:r>
      <w:r>
        <w:rPr>
          <w:rFonts w:ascii="Aptos Narrow" w:hAnsi="Aptos Narrow"/>
          <w:sz w:val="24"/>
        </w:rPr>
        <w:t>. Até que o contratado comprove o disposto no item anterior, o contratante reterá:</w:t>
      </w:r>
    </w:p>
    <w:p>
      <w:pPr>
        <w:pStyle w:val="Normal"/>
        <w:ind w:left="284" w:hanging="0"/>
        <w:jc w:val="both"/>
        <w:rPr>
          <w:rFonts w:ascii="Aptos Narrow" w:hAnsi="Aptos Narrow"/>
          <w:sz w:val="24"/>
        </w:rPr>
      </w:pPr>
      <w:r>
        <w:rPr>
          <w:rFonts w:ascii="Aptos Narrow" w:hAnsi="Aptos Narrow"/>
          <w:b/>
          <w:bCs/>
          <w:sz w:val="24"/>
        </w:rPr>
        <w:t>13.9.1</w:t>
      </w:r>
      <w:r>
        <w:rPr>
          <w:rFonts w:ascii="Aptos Narrow" w:hAnsi="Aptos Narrow"/>
          <w:sz w:val="24"/>
        </w:rPr>
        <w:t xml:space="preserve">.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14.133/2021); e </w:t>
      </w:r>
    </w:p>
    <w:p>
      <w:pPr>
        <w:pStyle w:val="Normal"/>
        <w:ind w:left="284" w:hanging="0"/>
        <w:jc w:val="both"/>
        <w:rPr>
          <w:rFonts w:ascii="Aptos Narrow" w:hAnsi="Aptos Narrow"/>
          <w:sz w:val="24"/>
        </w:rPr>
      </w:pPr>
      <w:r>
        <w:rPr>
          <w:rFonts w:ascii="Aptos Narrow" w:hAnsi="Aptos Narrow"/>
          <w:b/>
          <w:bCs/>
          <w:sz w:val="24"/>
        </w:rPr>
        <w:t>13.9.2</w:t>
      </w:r>
      <w:r>
        <w:rPr>
          <w:rFonts w:ascii="Aptos Narrow" w:hAnsi="Aptos Narrow"/>
          <w:sz w:val="24"/>
        </w:rPr>
        <w:t>. os valores das Notas fiscais ou Faturas correspondentes em valor proporcional ao inadimplemento, até que a situação seja regularizada.</w:t>
      </w:r>
    </w:p>
    <w:p>
      <w:pPr>
        <w:pStyle w:val="Normal"/>
        <w:jc w:val="both"/>
        <w:rPr>
          <w:rFonts w:ascii="Aptos Narrow" w:hAnsi="Aptos Narrow"/>
          <w:sz w:val="24"/>
        </w:rPr>
      </w:pPr>
      <w:r>
        <w:rPr>
          <w:rFonts w:ascii="Aptos Narrow" w:hAnsi="Aptos Narrow"/>
          <w:b/>
          <w:bCs/>
          <w:sz w:val="24"/>
        </w:rPr>
        <w:t>13.10</w:t>
      </w:r>
      <w:r>
        <w:rPr>
          <w:rFonts w:ascii="Aptos Narrow" w:hAnsi="Aptos Narrow"/>
          <w:sz w:val="24"/>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 3º, II, da Lei 14.133/2021).</w:t>
      </w:r>
    </w:p>
    <w:p>
      <w:pPr>
        <w:pStyle w:val="Normal"/>
        <w:jc w:val="both"/>
        <w:rPr>
          <w:rFonts w:ascii="Aptos Narrow" w:hAnsi="Aptos Narrow"/>
          <w:sz w:val="24"/>
        </w:rPr>
      </w:pPr>
      <w:r>
        <w:rPr>
          <w:rFonts w:ascii="Aptos Narrow" w:hAnsi="Aptos Narrow"/>
          <w:b/>
          <w:bCs/>
          <w:sz w:val="24"/>
        </w:rPr>
        <w:t>13.11</w:t>
      </w:r>
      <w:r>
        <w:rPr>
          <w:rFonts w:ascii="Aptos Narrow" w:hAnsi="Aptos Narrow"/>
          <w:sz w:val="24"/>
        </w:rPr>
        <w:t>. O contratante poderá ainda:</w:t>
      </w:r>
    </w:p>
    <w:p>
      <w:pPr>
        <w:pStyle w:val="Normal"/>
        <w:ind w:left="284" w:hanging="0"/>
        <w:jc w:val="both"/>
        <w:rPr>
          <w:rFonts w:ascii="Aptos Narrow" w:hAnsi="Aptos Narrow"/>
          <w:sz w:val="24"/>
        </w:rPr>
      </w:pPr>
      <w:r>
        <w:rPr>
          <w:rFonts w:ascii="Aptos Narrow" w:hAnsi="Aptos Narrow"/>
          <w:b/>
          <w:bCs/>
          <w:sz w:val="24"/>
        </w:rPr>
        <w:t>13.11.1</w:t>
      </w:r>
      <w:r>
        <w:rPr>
          <w:rFonts w:ascii="Aptos Narrow" w:hAnsi="Aptos Narrow"/>
          <w:sz w:val="24"/>
        </w:rPr>
        <w:t>. nos casos de obrigação de pagamento de multa pelo contratado, reter a garantia prestada a ser executada (art. 139, III, “c”, da Lei 14.133/2021), conforme legislação que rege a matéria; e</w:t>
      </w:r>
    </w:p>
    <w:p>
      <w:pPr>
        <w:pStyle w:val="Normal"/>
        <w:ind w:left="284" w:hanging="0"/>
        <w:jc w:val="both"/>
        <w:rPr>
          <w:rFonts w:ascii="Aptos Narrow" w:hAnsi="Aptos Narrow"/>
          <w:sz w:val="24"/>
        </w:rPr>
      </w:pPr>
      <w:r>
        <w:rPr>
          <w:rFonts w:ascii="Aptos Narrow" w:hAnsi="Aptos Narrow"/>
          <w:b/>
          <w:bCs/>
          <w:sz w:val="24"/>
        </w:rPr>
        <w:t>13.11.2</w:t>
      </w:r>
      <w:r>
        <w:rPr>
          <w:rFonts w:ascii="Aptos Narrow" w:hAnsi="Aptos Narrow"/>
          <w:sz w:val="24"/>
        </w:rPr>
        <w:t>. nos casos em que houver necessidade de ressarcimento de prejuízos causados à Administração, nos termos do inciso IV do art. 139 da Lei 14.133/2021, reter os eventuais créditos existentes em favor do contratado decorrentes do contrato.</w:t>
      </w:r>
    </w:p>
    <w:p>
      <w:pPr>
        <w:pStyle w:val="Normal"/>
        <w:jc w:val="both"/>
        <w:rPr>
          <w:rFonts w:ascii="Aptos Narrow" w:hAnsi="Aptos Narrow"/>
          <w:sz w:val="24"/>
        </w:rPr>
      </w:pPr>
      <w:r>
        <w:rPr>
          <w:rFonts w:ascii="Aptos Narrow" w:hAnsi="Aptos Narrow"/>
          <w:b/>
          <w:bCs/>
          <w:sz w:val="24"/>
        </w:rPr>
        <w:t>13.12</w:t>
      </w:r>
      <w:r>
        <w:rPr>
          <w:rFonts w:ascii="Aptos Narrow" w:hAnsi="Aptos Narrow"/>
          <w:sz w:val="24"/>
        </w:rPr>
        <w:t>.</w:t>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highlight w:val="none"/>
          <w:shd w:fill="FFFF00" w:val="clear"/>
        </w:rPr>
      </w:pPr>
      <w:r>
        <w:rPr>
          <w:shd w:fill="FFFF00" w:val="clear"/>
        </w:rPr>
      </w:r>
    </w:p>
    <w:p>
      <w:pPr>
        <w:pStyle w:val="Normal"/>
        <w:jc w:val="center"/>
        <w:rPr>
          <w:rFonts w:ascii="Aptos Narrow" w:hAnsi="Aptos Narrow"/>
          <w:b/>
          <w:b/>
          <w:bCs/>
          <w:sz w:val="24"/>
        </w:rPr>
      </w:pPr>
      <w:r>
        <w:rPr>
          <w:rFonts w:eastAsia="Calibri" w:cs="" w:cstheme="minorBidi" w:eastAsiaTheme="minorHAnsi"/>
          <w:b/>
          <w:bCs/>
          <w:sz w:val="24"/>
          <w:shd w:fill="FFFF00" w:val="clear"/>
        </w:rPr>
        <w:t>xxxxxxx</w:t>
      </w:r>
    </w:p>
    <w:p>
      <w:pPr>
        <w:pStyle w:val="Normal"/>
        <w:jc w:val="center"/>
        <w:rPr>
          <w:highlight w:val="none"/>
          <w:shd w:fill="FFFF00" w:val="clear"/>
        </w:rPr>
      </w:pPr>
      <w:r>
        <w:rPr>
          <w:rFonts w:eastAsia="Calibri" w:cs="" w:cstheme="minorBidi" w:eastAsiaTheme="minorHAnsi"/>
          <w:sz w:val="24"/>
          <w:shd w:fill="FFFF00" w:val="clear"/>
        </w:rPr>
        <w:t>Secretário de Município xxxxxx</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b/>
          <w:bCs/>
          <w:sz w:val="24"/>
        </w:rPr>
        <w:t>Leandro Pereira Cardozo</w:t>
      </w:r>
    </w:p>
    <w:p>
      <w:pPr>
        <w:pStyle w:val="Normal"/>
        <w:jc w:val="center"/>
        <w:rPr>
          <w:rFonts w:ascii="Aptos Narrow" w:hAnsi="Aptos Narrow"/>
          <w:sz w:val="24"/>
        </w:rPr>
      </w:pPr>
      <w:r>
        <w:rPr>
          <w:rFonts w:ascii="Aptos Narrow" w:hAnsi="Aptos Narrow"/>
          <w:sz w:val="24"/>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xx/2025</w:t>
      </w:r>
    </w:p>
    <w:p>
      <w:pPr>
        <w:pStyle w:val="Normal"/>
        <w:spacing w:lineRule="auto" w:line="360"/>
        <w:ind w:left="1416" w:right="0" w:hanging="0"/>
        <w:jc w:val="center"/>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left="1416" w:right="0" w:hanging="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left="0"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left="0"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color w:val="000000"/>
          <w:kern w:val="0"/>
          <w:sz w:val="24"/>
          <w:szCs w:val="24"/>
          <w:shd w:fill="FFFF00" w:val="clear"/>
          <w:lang w:val="pt-PT" w:eastAsia="zh-CN" w:bidi="ar-SA"/>
        </w:rPr>
        <w:t>xxxxxx</w:t>
      </w:r>
    </w:p>
    <w:p>
      <w:pPr>
        <w:pStyle w:val="Normal"/>
        <w:jc w:val="center"/>
        <w:rPr>
          <w:rFonts w:ascii="Aptos Narrow" w:hAnsi="Aptos Narrow" w:eastAsia="HG Mincho Light J" w:cs="Times New Roman"/>
          <w:b/>
          <w:b/>
          <w:bCs/>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color w:val="000000"/>
          <w:kern w:val="0"/>
          <w:sz w:val="24"/>
          <w:szCs w:val="24"/>
          <w:shd w:fill="FFFF00" w:val="clear"/>
          <w:lang w:val="pt-PT" w:eastAsia="zh-CN" w:bidi="ar-SA"/>
        </w:rPr>
        <w:t>Secretário de Município xxxxx</w:t>
      </w:r>
    </w:p>
    <w:p>
      <w:pPr>
        <w:pStyle w:val="WWPadro"/>
        <w:ind w:left="0"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left="0" w:right="0" w:hanging="0"/>
        <w:jc w:val="center"/>
        <w:rPr>
          <w:b/>
          <w:b/>
          <w:bCs/>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left="1416" w:right="0" w:hanging="0"/>
        <w:rPr>
          <w:i w:val="false"/>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left="1416" w:right="0" w:hanging="0"/>
        <w:rPr>
          <w:rFonts w:ascii="Aptos Narrow" w:hAnsi="Aptos Narrow" w:eastAsia="HG Mincho Light J" w:cs="Times New Roman"/>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left="0"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left="1416" w:right="0" w:hanging="0"/>
        <w:rPr>
          <w:rFonts w:ascii="Aptos Narrow" w:hAnsi="Aptos Narrow" w:eastAsia="HG Mincho Light J" w:cs="Times New Roman"/>
          <w:b/>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left="0"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xxxx/202x</w:t>
      </w:r>
    </w:p>
    <w:p>
      <w:pPr>
        <w:pStyle w:val="Normal"/>
        <w:ind w:left="1416" w:right="0" w:hanging="0"/>
        <w:rPr>
          <w:rFonts w:ascii="Aptos Narrow" w:hAnsi="Aptos Narrow" w:eastAsia="HG Mincho Light J" w:cs="Times New Roman"/>
          <w:b/>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left="0"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xxxx/202x</w:t>
      </w:r>
    </w:p>
    <w:p>
      <w:pPr>
        <w:pStyle w:val="Normal"/>
        <w:ind w:left="1416" w:right="0" w:hanging="0"/>
        <w:jc w:val="both"/>
        <w:rPr>
          <w:rFonts w:ascii="Aptos Narrow" w:hAnsi="Aptos Narrow" w:eastAsia="HG Mincho Light J" w:cs="Times New Roman"/>
          <w:b/>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left="0" w:right="0" w:hanging="0"/>
        <w:jc w:val="both"/>
        <w:rPr>
          <w:highlight w:val="none"/>
          <w:shd w:fill="FFFF00" w:val="clear"/>
        </w:rPr>
      </w:pPr>
      <w:r>
        <w:rPr>
          <w:rFonts w:eastAsia="HG Mincho Light J" w:cs="Times New Roman" w:ascii="Aptos Narrow" w:hAnsi="Aptos Narrow"/>
          <w:b/>
          <w:bCs/>
          <w:i w:val="false"/>
          <w:iCs w:val="false"/>
          <w:color w:val="000000"/>
          <w:kern w:val="0"/>
          <w:sz w:val="24"/>
          <w:szCs w:val="24"/>
          <w:shd w:fill="FFFF00" w:val="clear"/>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shd w:fill="FFFF00" w:val="clear"/>
          <w:lang w:val="pt-PT" w:eastAsia="zh-CN" w:bidi="ar-SA"/>
        </w:rPr>
        <w:t xml:space="preserve"> xxxxxx</w:t>
      </w:r>
    </w:p>
    <w:p>
      <w:pPr>
        <w:pStyle w:val="Normal"/>
        <w:ind w:left="1416" w:right="0" w:hanging="0"/>
        <w:rPr>
          <w:rFonts w:ascii="Aptos Narrow" w:hAnsi="Aptos Narrow" w:eastAsia="HG Mincho Light J" w:cs="Times New Roman"/>
          <w:b/>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left="0"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left="1416"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left="1416" w:right="0" w:hanging="0"/>
        <w:rPr>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left="1416" w:right="0" w:hanging="0"/>
        <w:jc w:val="both"/>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left="1416" w:right="0" w:hanging="0"/>
        <w:jc w:val="both"/>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left="0" w:right="0" w:hanging="0"/>
        <w:jc w:val="center"/>
        <w:rPr>
          <w:rFonts w:ascii="Aptos Narrow" w:hAnsi="Aptos Narrow" w:eastAsia="HG Mincho Light J" w:cs="Times New Roman"/>
          <w:b/>
          <w:b/>
          <w:bCs/>
          <w:i w:val="false"/>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left="0" w:right="0" w:hanging="0"/>
        <w:jc w:val="center"/>
        <w:rPr>
          <w:rFonts w:ascii="Aptos Narrow" w:hAnsi="Aptos Narrow" w:eastAsia="HG Mincho Light J" w:cs="Times New Roman"/>
          <w:b/>
          <w:b/>
          <w:bCs/>
          <w:i w:val="false"/>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left="1416" w:right="0" w:hanging="0"/>
        <w:jc w:val="center"/>
        <w:rPr>
          <w:rFonts w:ascii="Aptos Narrow" w:hAnsi="Aptos Narrow" w:eastAsia="HG Mincho Light J" w:cs="Times New Roman"/>
          <w:b/>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left="0" w:right="0" w:hanging="0"/>
        <w:jc w:val="center"/>
        <w:rPr>
          <w:rFonts w:ascii="Aptos Narrow" w:hAnsi="Aptos Narrow" w:eastAsia="HG Mincho Light J" w:cs="Times New Roman"/>
          <w:b/>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left="1416" w:right="0" w:hanging="0"/>
        <w:jc w:val="center"/>
        <w:rPr>
          <w:rFonts w:ascii="Aptos Narrow" w:hAnsi="Aptos Narrow" w:eastAsia="HG Mincho Light J" w:cs="Times New Roman"/>
          <w:b/>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left="1416" w:right="0" w:hanging="0"/>
        <w:jc w:val="center"/>
        <w:rPr>
          <w:rFonts w:ascii="Aptos Narrow" w:hAnsi="Aptos Narrow" w:eastAsia="HG Mincho Light J" w:cs="Times New Roman"/>
          <w:b/>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left="0" w:right="0" w:hanging="0"/>
        <w:jc w:val="center"/>
        <w:rPr>
          <w:rFonts w:ascii="Aptos Narrow" w:hAnsi="Aptos Narrow" w:eastAsia="HG Mincho Light J" w:cs="Times New Roman"/>
          <w:b/>
          <w:b/>
          <w:bCs/>
          <w:i w:val="false"/>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left="0" w:right="0" w:hanging="0"/>
        <w:jc w:val="center"/>
        <w:rPr>
          <w:rFonts w:ascii="Aptos Narrow" w:hAnsi="Aptos Narrow" w:eastAsia="HG Mincho Light J" w:cs="Times New Roman"/>
          <w:b/>
          <w:b/>
          <w:i w:val="false"/>
          <w:i w:val="false"/>
          <w:iCs w:val="false"/>
          <w:color w:val="000000"/>
          <w:kern w:val="0"/>
          <w:sz w:val="24"/>
          <w:szCs w:val="24"/>
          <w:lang w:val="pt-PT" w:eastAsia="zh-CN" w:bidi="ar-SA"/>
        </w:rPr>
      </w:pPr>
      <w:r>
        <w:rPr>
          <w:rFonts w:eastAsia="HG Mincho Light J" w:cs="Times New Roman" w:ascii="Aptos Narrow" w:hAnsi="Aptos Narrow"/>
          <w:b/>
          <w:i w:val="false"/>
          <w:iCs w:val="false"/>
          <w:color w:val="000000"/>
          <w:kern w:val="0"/>
          <w:sz w:val="24"/>
          <w:szCs w:val="24"/>
          <w:shd w:fill="FFFF00" w:val="clear"/>
          <w:lang w:val="pt-PT" w:eastAsia="zh-CN" w:bidi="ar-SA"/>
        </w:rPr>
        <w:t>xxxxxxxxxx</w:t>
      </w:r>
    </w:p>
    <w:p>
      <w:pPr>
        <w:pStyle w:val="WWPadro"/>
        <w:ind w:left="0" w:right="0" w:hanging="0"/>
        <w:jc w:val="center"/>
        <w:rPr>
          <w:rFonts w:ascii="Aptos Narrow" w:hAnsi="Aptos Narrow" w:eastAsia="HG Mincho Light J" w:cs="Times New Roman"/>
          <w:i w:val="false"/>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i w:val="false"/>
          <w:iCs w:val="false"/>
          <w:color w:val="000000"/>
          <w:kern w:val="0"/>
          <w:sz w:val="24"/>
          <w:szCs w:val="24"/>
          <w:shd w:fill="FFFF00" w:val="clear"/>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left="1416" w:right="0" w:hanging="0"/>
        <w:jc w:val="center"/>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
    </w:p>
    <w:sectPr>
      <w:headerReference w:type="default" r:id="rId2"/>
      <w:footerReference w:type="default" r:id="rId3"/>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73" wp14:anchorId="69ADF8BA">
              <wp:simplePos x="0" y="0"/>
              <wp:positionH relativeFrom="column">
                <wp:posOffset>5817870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8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rPr>
        <w:b/>
        <w:bCs/>
        <w:color w:val="767171" w:themeColor="background2" w:themeShade="80"/>
      </w:rPr>
      <w:t xml:space="preserve"> </w:t>
    </w:r>
    <w:r>
      <w:drawing>
        <wp:anchor behindDoc="1" distT="0" distB="0" distL="0" distR="0" simplePos="0" locked="0" layoutInCell="0" allowOverlap="1" relativeHeight="127">
          <wp:simplePos x="0" y="0"/>
          <wp:positionH relativeFrom="column">
            <wp:posOffset>-187960</wp:posOffset>
          </wp:positionH>
          <wp:positionV relativeFrom="paragraph">
            <wp:posOffset>217170</wp:posOffset>
          </wp:positionV>
          <wp:extent cx="129540" cy="129540"/>
          <wp:effectExtent l="0" t="0" r="0" b="0"/>
          <wp:wrapNone/>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2"/>
                  <a:stretch>
                    <a:fillRect/>
                  </a:stretch>
                </pic:blipFill>
                <pic:spPr bwMode="auto">
                  <a:xfrm>
                    <a:off x="0" y="0"/>
                    <a:ext cx="129540" cy="129540"/>
                  </a:xfrm>
                  <a:prstGeom prst="rect">
                    <a:avLst/>
                  </a:prstGeom>
                </pic:spPr>
              </pic:pic>
            </a:graphicData>
          </a:graphic>
        </wp:anchor>
      </w:drawing>
    </w:r>
    <w:r>
      <w:rPr>
        <w:b/>
        <w:bCs/>
        <w:color w:val="767171" w:themeColor="background2" w:themeShade="80"/>
      </w:rPr>
      <w:t>RUA REPÚBLICA DO LÍBANO Nº 88, CENTRO</w:t>
    </w:r>
  </w:p>
  <w:p>
    <w:pPr>
      <w:pStyle w:val="Rodap"/>
      <w:rPr>
        <w:b/>
        <w:b/>
        <w:bCs/>
        <w:color w:val="767171"/>
      </w:rPr>
    </w:pPr>
    <w:r>
      <w:drawing>
        <wp:anchor behindDoc="1" distT="0" distB="0" distL="0" distR="0" simplePos="0" locked="0" layoutInCell="0" allowOverlap="1" relativeHeight="163">
          <wp:simplePos x="0" y="0"/>
          <wp:positionH relativeFrom="column">
            <wp:posOffset>-189865</wp:posOffset>
          </wp:positionH>
          <wp:positionV relativeFrom="paragraph">
            <wp:posOffset>215900</wp:posOffset>
          </wp:positionV>
          <wp:extent cx="130175" cy="130175"/>
          <wp:effectExtent l="0" t="0" r="0" b="0"/>
          <wp:wrapNone/>
          <wp:docPr id="7"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3" descr=""/>
                  <pic:cNvPicPr>
                    <a:picLocks noChangeAspect="1" noChangeArrowheads="1"/>
                  </pic:cNvPicPr>
                </pic:nvPicPr>
                <pic:blipFill>
                  <a:blip r:embed="rId3"/>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145">
          <wp:simplePos x="0" y="0"/>
          <wp:positionH relativeFrom="column">
            <wp:posOffset>-191770</wp:posOffset>
          </wp:positionH>
          <wp:positionV relativeFrom="paragraph">
            <wp:posOffset>224155</wp:posOffset>
          </wp:positionV>
          <wp:extent cx="133350" cy="116840"/>
          <wp:effectExtent l="0" t="0" r="0" b="0"/>
          <wp:wrapNone/>
          <wp:docPr id="8"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 descr=""/>
                  <pic:cNvPicPr>
                    <a:picLocks noChangeAspect="1" noChangeArrowheads="1"/>
                  </pic:cNvPicPr>
                </pic:nvPicPr>
                <pic:blipFill>
                  <a:blip r:embed="rId4"/>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9" wp14:anchorId="154B6775">
              <wp:simplePos x="0" y="0"/>
              <wp:positionH relativeFrom="column">
                <wp:posOffset>-6112510</wp:posOffset>
              </wp:positionH>
              <wp:positionV relativeFrom="paragraph">
                <wp:posOffset>2882265</wp:posOffset>
              </wp:positionV>
              <wp:extent cx="9029065" cy="1235710"/>
              <wp:effectExtent l="0" t="635" r="0" b="0"/>
              <wp:wrapNone/>
              <wp:docPr id="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3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108" wp14:anchorId="76B9F30E">
              <wp:simplePos x="0" y="0"/>
              <wp:positionH relativeFrom="column">
                <wp:posOffset>3575685</wp:posOffset>
              </wp:positionH>
              <wp:positionV relativeFrom="paragraph">
                <wp:posOffset>407670</wp:posOffset>
              </wp:positionV>
              <wp:extent cx="3412490" cy="1088390"/>
              <wp:effectExtent l="79375" t="377190" r="79375" b="377825"/>
              <wp:wrapNone/>
              <wp:docPr id="1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0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37">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55" wp14:anchorId="3F7DB15E">
              <wp:simplePos x="0" y="0"/>
              <wp:positionH relativeFrom="column">
                <wp:posOffset>-4059555</wp:posOffset>
              </wp:positionH>
              <wp:positionV relativeFrom="paragraph">
                <wp:posOffset>-2070100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0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sz w:val="32"/>
        <w:szCs w:val="32"/>
      </w:rPr>
    </w:pPr>
    <w:r>
      <w:rPr>
        <w:b/>
        <w:bCs/>
        <w:color w:val="767171" w:themeColor="background2" w:themeShade="80"/>
        <w:sz w:val="32"/>
        <w:szCs w:val="32"/>
      </w:rPr>
      <w:t>Secretaria de Município de Compras e Licitações</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99"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909</TotalTime>
  <Application>LibreOffice/7.4.3.2$Windows_X86_64 LibreOffice_project/1048a8393ae2eeec98dff31b5c133c5f1d08b890</Application>
  <AppVersion>15.0000</AppVersion>
  <Pages>18</Pages>
  <Words>5984</Words>
  <Characters>34248</Characters>
  <CharactersWithSpaces>39995</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2025-07-14T14:33:03Z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