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cs="Times New Roman"/>
        </w:rPr>
      </w:pPr>
      <w:r>
        <w:rPr>
          <w:rFonts w:cs="Times New Roman"/>
          <w:sz w:val="22"/>
          <w:szCs w:val="22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2"/>
          <w:szCs w:val="22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2"/>
          <w:szCs w:val="22"/>
          <w:u w:val="none"/>
          <w:lang w:val="pt-BR" w:eastAsia="zxx" w:bidi="ar-SA"/>
        </w:rPr>
        <w:t xml:space="preserve"> </w:t>
      </w:r>
      <w:r>
        <w:rPr>
          <w:rFonts w:eastAsia="Calibri" w:cs="Times New Roman" w:eastAsiaTheme="minorHAnsi"/>
          <w:b/>
          <w:bCs/>
          <w:color w:val="auto"/>
          <w:kern w:val="0"/>
          <w:sz w:val="22"/>
          <w:szCs w:val="22"/>
          <w:u w:val="none"/>
          <w:lang w:val="pt-BR" w:eastAsia="zxx" w:bidi="ar-SA"/>
        </w:rPr>
        <w:t>s</w:t>
      </w:r>
      <w:r>
        <w:rPr>
          <w:rFonts w:eastAsia="Calibri" w:cs="Calibri Light" w:cstheme="majorHAnsi"/>
          <w:b/>
          <w:bCs/>
          <w:strike w:val="false"/>
          <w:dstrike w:val="false"/>
          <w:color w:val="auto"/>
          <w:kern w:val="0"/>
          <w:sz w:val="22"/>
          <w:szCs w:val="22"/>
          <w:u w:val="none"/>
          <w:lang w:val="pt-BR" w:eastAsia="en-US" w:bidi="ar-SA"/>
        </w:rPr>
        <w:t>erviço de Manutenção no sistema de radiocomunicação do departamento de tr</w:t>
      </w:r>
      <w:r>
        <w:rPr>
          <w:rFonts w:eastAsia="Calibri" w:cs="Calibri Light" w:cstheme="majorHAnsi"/>
          <w:b/>
          <w:bCs/>
          <w:strike w:val="false"/>
          <w:dstrike w:val="false"/>
          <w:color w:val="auto"/>
          <w:kern w:val="0"/>
          <w:sz w:val="22"/>
          <w:szCs w:val="22"/>
          <w:u w:val="none"/>
          <w:lang w:val="pt-BR" w:eastAsia="en-US" w:bidi="ar-SA"/>
        </w:rPr>
        <w:t>â</w:t>
      </w:r>
      <w:r>
        <w:rPr>
          <w:rFonts w:eastAsia="Calibri" w:cs="Calibri Light" w:cstheme="majorHAnsi"/>
          <w:b/>
          <w:bCs/>
          <w:strike w:val="false"/>
          <w:dstrike w:val="false"/>
          <w:color w:val="auto"/>
          <w:kern w:val="0"/>
          <w:sz w:val="22"/>
          <w:szCs w:val="22"/>
          <w:u w:val="none"/>
          <w:lang w:val="pt-BR" w:eastAsia="en-US" w:bidi="ar-SA"/>
        </w:rPr>
        <w:t>nsito e da guarda municipal, reinstalação da Antena da Repetidora de radiocomunicação localizada na TV Farol com troca de suporte e aferição e regulagem da antena</w:t>
      </w:r>
      <w:r>
        <w:rPr>
          <w:rFonts w:eastAsia="Calibri" w:cs="Times New Roman" w:eastAsiaTheme="minorHAnsi"/>
          <w:strike w:val="false"/>
          <w:dstrike w:val="false"/>
          <w:color w:val="auto"/>
          <w:kern w:val="0"/>
          <w:sz w:val="22"/>
          <w:szCs w:val="22"/>
          <w:u w:val="none"/>
          <w:lang w:val="pt-BR" w:eastAsia="zxx" w:bidi="ar-SA"/>
        </w:rPr>
        <w:t>,</w:t>
      </w:r>
      <w:r>
        <w:rPr>
          <w:rFonts w:eastAsia="Calibri" w:cs="Times New Roman" w:eastAsiaTheme="minorHAnsi"/>
          <w:color w:val="auto"/>
          <w:kern w:val="0"/>
          <w:sz w:val="22"/>
          <w:szCs w:val="22"/>
          <w:u w:val="none"/>
          <w:lang w:val="pt-BR" w:eastAsia="zxx" w:bidi="ar-SA"/>
        </w:rPr>
        <w:t xml:space="preserve"> </w:t>
      </w:r>
      <w:r>
        <w:rPr>
          <w:rStyle w:val="LinkdaInternet"/>
          <w:rFonts w:eastAsia="Calibri" w:cs="Calibri Light" w:cstheme="majorHAnsi"/>
          <w:b w:val="false"/>
          <w:bCs w:val="false"/>
          <w:color w:val="auto"/>
          <w:kern w:val="0"/>
          <w:sz w:val="22"/>
          <w:szCs w:val="22"/>
          <w:u w:val="none"/>
          <w:lang w:val="pt-BR" w:eastAsia="en-US" w:bidi="ar-SA"/>
        </w:rPr>
        <w:t>conforme termo de referência</w:t>
      </w:r>
      <w:r>
        <w:rPr>
          <w:rFonts w:eastAsia="Calibri" w:cs="Times New Roman" w:eastAsiaTheme="minorHAnsi"/>
          <w:color w:val="auto"/>
          <w:kern w:val="0"/>
          <w:sz w:val="22"/>
          <w:szCs w:val="22"/>
          <w:u w:val="none"/>
          <w:lang w:val="pt-BR" w:eastAsia="zxx" w:bidi="ar-SA"/>
        </w:rPr>
        <w:t>, pelos preços orçados conforme segue abaixo, nos termos do Aviso de Dispensa e seus Ane</w:t>
      </w:r>
      <w:r>
        <w:rPr>
          <w:rFonts w:cs="Times New Roman"/>
          <w:sz w:val="22"/>
          <w:szCs w:val="22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2"/>
          <w:szCs w:val="22"/>
          <w:shd w:fill="auto" w:val="clear"/>
          <w:lang w:eastAsia="zxx"/>
        </w:rPr>
        <w:t>Dispensa Eletrônica</w:t>
      </w:r>
      <w:r>
        <w:rPr>
          <w:rFonts w:cs="Times New Roman"/>
          <w:sz w:val="22"/>
          <w:szCs w:val="22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2"/>
          <w:szCs w:val="22"/>
          <w:shd w:fill="auto" w:val="clear"/>
          <w:lang w:eastAsia="zxx"/>
        </w:rPr>
        <w:t xml:space="preserve">nº 136/2025. </w:t>
      </w:r>
      <w:r>
        <w:rPr>
          <w:rFonts w:cs="Times New Roman"/>
          <w:sz w:val="22"/>
          <w:szCs w:val="22"/>
          <w:lang w:eastAsia="zxx"/>
        </w:rPr>
        <w:t>O prazo de validade da proposta de preços é de 60 (sessenta) dias corridos, contados da data da abertura da dispensa.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cs="Calibri Light"/>
          <w:lang w:val="pt-BR" w:eastAsia="zxx"/>
        </w:rPr>
      </w:pPr>
      <w:r>
        <w:rPr>
          <w:rFonts w:cs="Calibri Light" w:cstheme="majorHAnsi"/>
          <w:sz w:val="22"/>
          <w:szCs w:val="22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spacing w:lineRule="auto" w:line="240"/>
        <w:jc w:val="both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left="720" w:right="0" w:hanging="0"/>
        <w:rPr>
          <w:rFonts w:ascii="Calibri" w:hAnsi="Calibri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cs="Times New Roman"/>
          <w:b/>
          <w:b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cs="Times New Roman"/>
          <w:b/>
          <w:b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 w:hanging="0"/>
        <w:rPr>
          <w:rFonts w:ascii="Calibri" w:hAnsi="Calibri" w:cs="Times New Roman"/>
          <w:b/>
          <w:b/>
          <w:sz w:val="22"/>
          <w:szCs w:val="22"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2"/>
          <w:szCs w:val="22"/>
          <w:lang w:eastAsia="zxx"/>
        </w:rPr>
      </w:pPr>
      <w:r>
        <w:rPr>
          <w:rFonts w:cs="Times New Roman"/>
          <w:color w:val="FF0000"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cs="Times New Roman"/>
          <w:b/>
          <w:b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 w:hanging="0"/>
        <w:rPr>
          <w:rFonts w:ascii="Calibri" w:hAnsi="Calibri" w:cs="Times New Roman"/>
          <w:b/>
          <w:b/>
          <w:sz w:val="22"/>
          <w:szCs w:val="22"/>
          <w:lang w:eastAsia="zxx"/>
        </w:rPr>
      </w:pPr>
      <w:r>
        <w:rPr>
          <w:rFonts w:cs="Times New Roman"/>
          <w:b/>
          <w:sz w:val="22"/>
          <w:szCs w:val="22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tbl>
      <w:tblPr>
        <w:tblW w:w="8500" w:type="dxa"/>
        <w:jc w:val="left"/>
        <w:tblInd w:w="70" w:type="dxa"/>
        <w:tblLayout w:type="fixed"/>
        <w:tblCellMar>
          <w:top w:w="55" w:type="dxa"/>
          <w:left w:w="70" w:type="dxa"/>
          <w:bottom w:w="55" w:type="dxa"/>
          <w:right w:w="70" w:type="dxa"/>
        </w:tblCellMar>
      </w:tblPr>
      <w:tblGrid>
        <w:gridCol w:w="476"/>
        <w:gridCol w:w="1074"/>
        <w:gridCol w:w="1137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  <w:shadow/>
                <w:lang w:val="en-US"/>
              </w:rPr>
            </w:pPr>
            <w:r>
              <w:rPr>
                <w:rFonts w:cs="Times New Roman"/>
                <w:b/>
                <w:bCs/>
                <w:shadow/>
                <w:sz w:val="22"/>
                <w:szCs w:val="22"/>
                <w:lang w:val="en-US"/>
              </w:rPr>
              <w:t>Nº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  <w:shadow/>
                <w:lang w:val="en-US"/>
              </w:rPr>
            </w:pPr>
            <w:r>
              <w:rPr>
                <w:rFonts w:cs="Times New Roman"/>
                <w:b/>
                <w:bCs/>
                <w:shadow/>
                <w:sz w:val="22"/>
                <w:szCs w:val="22"/>
                <w:lang w:val="en-US"/>
              </w:rPr>
              <w:t>UNID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QUANT</w:t>
            </w:r>
          </w:p>
          <w:p>
            <w:pPr>
              <w:pStyle w:val="Normal"/>
              <w:widowControl w:val="false"/>
              <w:spacing w:lineRule="auto" w:line="240"/>
              <w:jc w:val="center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DESCRIÇÃO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/>
              <w:jc w:val="center"/>
              <w:rPr>
                <w:rFonts w:cs="Times New Roman"/>
                <w:b/>
                <w:b/>
                <w:bCs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right"/>
              <w:rPr>
                <w:rFonts w:eastAsia="Calibri" w:cs="Times New Roman"/>
                <w:b w:val="false"/>
                <w:b w:val="false"/>
                <w:bCs w:val="false"/>
                <w:color w:val="auto"/>
                <w:kern w:val="0"/>
                <w:u w:val="none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2"/>
                <w:szCs w:val="22"/>
                <w:u w:val="none"/>
                <w:lang w:val="pt-BR" w:eastAsia="zxx" w:bidi="ar-SA"/>
              </w:rPr>
              <w:t>1</w:t>
            </w:r>
          </w:p>
        </w:tc>
        <w:tc>
          <w:tcPr>
            <w:tcW w:w="10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ind w:left="0" w:right="0" w:hanging="0"/>
              <w:jc w:val="center"/>
              <w:rPr>
                <w:rFonts w:eastAsia="Calibri" w:cs="Times New Roman"/>
                <w:color w:val="auto"/>
                <w:kern w:val="0"/>
                <w:u w:val="none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2"/>
                <w:szCs w:val="22"/>
                <w:u w:val="none"/>
                <w:lang w:val="pt-BR" w:eastAsia="zxx" w:bidi="ar-SA"/>
              </w:rPr>
              <w:t>1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ind w:left="0" w:right="0" w:hanging="0"/>
              <w:jc w:val="center"/>
              <w:rPr>
                <w:rFonts w:eastAsia="Calibri" w:cs="Times New Roman"/>
                <w:color w:val="auto"/>
                <w:kern w:val="0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2"/>
                <w:szCs w:val="22"/>
                <w:lang w:val="pt-BR" w:eastAsia="zxx" w:bidi="ar-SA"/>
              </w:rPr>
              <w:t>un</w:t>
            </w:r>
          </w:p>
        </w:tc>
        <w:tc>
          <w:tcPr>
            <w:tcW w:w="28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rFonts w:eastAsia="Calibri" w:cs="Calibri Light"/>
                <w:b w:val="false"/>
                <w:b w:val="false"/>
                <w:bCs w:val="false"/>
                <w:strike w:val="false"/>
                <w:dstrike w:val="false"/>
                <w:color w:val="auto"/>
                <w:kern w:val="0"/>
                <w:sz w:val="22"/>
                <w:szCs w:val="22"/>
                <w:u w:val="none"/>
                <w:lang w:val="pt-BR" w:eastAsia="en-US" w:bidi="ar-SA"/>
              </w:rPr>
            </w:pPr>
            <w:r>
              <w:rPr>
                <w:rFonts w:eastAsia="Calibri" w:cs="Calibri Light" w:cstheme="majorHAnsi"/>
                <w:b w:val="false"/>
                <w:bCs w:val="false"/>
                <w:strike w:val="false"/>
                <w:dstrike w:val="false"/>
                <w:color w:val="auto"/>
                <w:kern w:val="0"/>
                <w:sz w:val="22"/>
                <w:szCs w:val="22"/>
                <w:u w:val="none"/>
                <w:lang w:val="pt-BR" w:eastAsia="en-US" w:bidi="ar-SA"/>
              </w:rPr>
              <w:t>Serviço de Manutenção no sistema de radiocomunicação do departamento de trânsito e da guarda municipal, reinstalação da Antena da Repetidora de radiocomunicação localizada na TV Farol com troca de suporte e aferição e regulagem da antena.</w:t>
            </w:r>
          </w:p>
        </w:tc>
        <w:tc>
          <w:tcPr>
            <w:tcW w:w="15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  <w:tc>
          <w:tcPr>
            <w:tcW w:w="1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left="5499" w:right="113" w:hanging="0"/>
              <w:jc w:val="left"/>
              <w:rPr>
                <w:rFonts w:eastAsia="Calibri" w:cs="Times New Roman"/>
                <w:b/>
                <w:b/>
                <w:bCs/>
                <w:color w:val="000000"/>
                <w:kern w:val="0"/>
                <w:lang w:val="pt-BR" w:eastAsia="en-US" w:bidi="ar-SA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2"/>
                <w:szCs w:val="22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left="5499" w:right="113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>
            <w:pPr>
              <w:pStyle w:val="Contedodatabela"/>
              <w:widowControl w:val="false"/>
              <w:suppressLineNumbers/>
              <w:suppressAutoHyphens w:val="true"/>
              <w:bidi w:val="0"/>
              <w:spacing w:before="0" w:after="0"/>
              <w:ind w:left="5499" w:right="113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jc w:val="center"/>
        <w:textAlignment w:val="baseline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(Município), (Estado), ___ de ______ de 2025.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2"/>
          <w:szCs w:val="22"/>
          <w:lang w:eastAsia="zxx"/>
        </w:rPr>
      </w:pPr>
      <w:r>
        <w:rPr>
          <w:rFonts w:cs="Times New Roman"/>
          <w:sz w:val="22"/>
          <w:szCs w:val="22"/>
          <w:lang w:eastAsia="zxx"/>
        </w:rPr>
      </w:r>
    </w:p>
    <w:p>
      <w:pPr>
        <w:pStyle w:val="Normal"/>
        <w:jc w:val="center"/>
        <w:textAlignment w:val="baseline"/>
        <w:rPr>
          <w:rFonts w:cs="Times New Roman"/>
          <w:lang w:eastAsia="zxx"/>
        </w:rPr>
      </w:pPr>
      <w:r>
        <w:rPr>
          <w:rFonts w:cs="Times New Roman"/>
          <w:sz w:val="22"/>
          <w:szCs w:val="22"/>
          <w:lang w:eastAsia="zxx"/>
        </w:rPr>
        <w:t>___________________________________</w:t>
      </w:r>
    </w:p>
    <w:p>
      <w:pPr>
        <w:pStyle w:val="Normal"/>
        <w:rPr>
          <w:sz w:val="22"/>
          <w:szCs w:val="22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>
        <w:b/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0" allowOverlap="1" relativeHeight="9" wp14:anchorId="69ADF8BA">
              <wp:simplePos x="0" y="0"/>
              <wp:positionH relativeFrom="column">
                <wp:posOffset>5786120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5.6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 REPÚBLICA DO LÍBANO,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-6128385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2.5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391795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0.8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-2054225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1.8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Compras e Licitações - SMCLIC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"/>
    <w:next w:val="Corpodotexto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3z8">
    <w:name w:val="WW8Num3z8"/>
    <w:qFormat/>
    <w:rPr>
      <w:rFonts w:ascii="Arial" w:hAnsi="Arial" w:cs="Arial"/>
    </w:rPr>
  </w:style>
  <w:style w:type="character" w:styleId="WW8Num2z8">
    <w:name w:val="WW8Num2z8"/>
    <w:qFormat/>
    <w:rPr>
      <w:rFonts w:ascii="Arial" w:hAnsi="Arial" w:cs="Aria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 w:hanging="0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Ttulo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left="3841" w:hanging="0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Ttulo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Corpo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 w:hanging="0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color w:val="000000"/>
    </w:rPr>
  </w:style>
  <w:style w:type="paragraph" w:styleId="WW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0" w:cs="0"/>
      <w:color w:val="000000"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1015</TotalTime>
  <Application>LibreOffice/7.4.4.2$Windows_X86_64 LibreOffice_project/85569322deea74ec9134968a29af2df5663baa21</Application>
  <AppVersion>15.0000</AppVersion>
  <Pages>2</Pages>
  <Words>445</Words>
  <Characters>3414</Characters>
  <CharactersWithSpaces>3791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2025-08-18T11:09:00Z</dcterms:created>
  <dc:creator>Maria Teresa F Corrêa</dc:creator>
  <dc:description/>
  <dc:language>pt-BR</dc:language>
  <cp:lastModifiedBy/>
  <dcterms:modified xsi:type="dcterms:W3CDTF">2025-10-31T09:29:55Z</dcterms:modified>
  <cp:revision>139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