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11"/>
        <w:keepNext w:val="false"/>
        <w:keepLines w:val="false"/>
        <w:pageBreakBefore w:val="false"/>
        <w:widowControl w:val="false"/>
        <w:shd w:val="clear" w:fill="auto"/>
        <w:spacing w:lineRule="auto" w:line="276" w:before="0" w:after="0"/>
        <w:ind w:left="0" w:right="0" w:hanging="0"/>
        <w:jc w:val="left"/>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tbl>
      <w:tblPr>
        <w:tblStyle w:val="Table1"/>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vAlign w:val="center"/>
          </w:tcPr>
          <w:p>
            <w:pPr>
              <w:pStyle w:val="LOnormal11"/>
              <w:widowControl w:val="false"/>
              <w:spacing w:lineRule="auto" w:line="240" w:before="0" w:after="0"/>
              <w:jc w:val="center"/>
              <w:rPr>
                <w:rFonts w:ascii="Aptos Narrow" w:hAnsi="Aptos Narrow" w:eastAsia="Aptos Narrow" w:cs="Aptos Narrow"/>
                <w:b/>
                <w:b/>
                <w:sz w:val="32"/>
                <w:szCs w:val="32"/>
              </w:rPr>
            </w:pPr>
            <w:r>
              <w:rPr>
                <w:rFonts w:eastAsia="Aptos Narrow" w:cs="Aptos Narrow" w:ascii="Aptos Narrow" w:hAnsi="Aptos Narrow"/>
                <w:b/>
                <w:sz w:val="32"/>
                <w:szCs w:val="32"/>
              </w:rPr>
            </w:r>
          </w:p>
          <w:p>
            <w:pPr>
              <w:pStyle w:val="LOnormal11"/>
              <w:widowControl w:val="false"/>
              <w:spacing w:lineRule="auto" w:line="240" w:before="0" w:after="0"/>
              <w:jc w:val="center"/>
              <w:rPr>
                <w:rFonts w:ascii="Aptos Narrow" w:hAnsi="Aptos Narrow" w:eastAsia="Aptos Narrow" w:cs="Aptos Narrow"/>
                <w:b/>
                <w:b/>
                <w:sz w:val="32"/>
                <w:szCs w:val="32"/>
              </w:rPr>
            </w:pPr>
            <w:r>
              <w:rPr>
                <w:rFonts w:eastAsia="Aptos Narrow" w:cs="Aptos Narrow" w:ascii="Aptos Narrow" w:hAnsi="Aptos Narrow"/>
                <w:b/>
                <w:sz w:val="32"/>
                <w:szCs w:val="32"/>
              </w:rPr>
              <w:t xml:space="preserve">ATA DE REGISTRO DE PREÇOS Nº </w:t>
            </w:r>
            <w:r>
              <w:rPr>
                <w:rFonts w:eastAsia="Aptos Narrow" w:cs="Aptos Narrow" w:ascii="Aptos Narrow" w:hAnsi="Aptos Narrow"/>
                <w:b/>
                <w:sz w:val="32"/>
                <w:szCs w:val="32"/>
                <w:shd w:fill="FFFF00" w:val="clear"/>
              </w:rPr>
              <w:t>xxx</w:t>
            </w:r>
            <w:r>
              <w:rPr>
                <w:rFonts w:eastAsia="Aptos Narrow" w:cs="Aptos Narrow" w:ascii="Aptos Narrow" w:hAnsi="Aptos Narrow"/>
                <w:b/>
                <w:sz w:val="32"/>
                <w:szCs w:val="32"/>
                <w:highlight w:val="yellow"/>
              </w:rPr>
              <w:t>/2025</w:t>
            </w:r>
          </w:p>
          <w:p>
            <w:pPr>
              <w:pStyle w:val="LOnormal11"/>
              <w:widowControl w:val="false"/>
              <w:spacing w:lineRule="auto" w:line="240" w:before="0" w:after="0"/>
              <w:jc w:val="center"/>
              <w:rPr>
                <w:rFonts w:ascii="Aptos Narrow" w:hAnsi="Aptos Narrow" w:eastAsia="Aptos Narrow" w:cs="Aptos Narrow"/>
                <w:b/>
                <w:b/>
                <w:sz w:val="32"/>
                <w:szCs w:val="32"/>
              </w:rPr>
            </w:pPr>
            <w:r>
              <w:rPr>
                <w:rFonts w:eastAsia="Aptos Narrow" w:cs="Aptos Narrow" w:ascii="Aptos Narrow" w:hAnsi="Aptos Narrow"/>
                <w:b/>
                <w:sz w:val="32"/>
                <w:szCs w:val="32"/>
              </w:rPr>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t xml:space="preserve">O </w:t>
      </w:r>
      <w:r>
        <w:rPr>
          <w:rFonts w:eastAsia="Aptos Narrow" w:cs="Aptos Narrow" w:ascii="Aptos Narrow" w:hAnsi="Aptos Narrow"/>
          <w:b/>
          <w:sz w:val="24"/>
          <w:szCs w:val="24"/>
        </w:rPr>
        <w:t>MUNICÍPIO DO RIO GRANDE (RS)</w:t>
      </w:r>
      <w:r>
        <w:rPr>
          <w:rFonts w:eastAsia="Aptos Narrow" w:cs="Aptos Narrow" w:ascii="Aptos Narrow" w:hAnsi="Aptos Narrow"/>
          <w:sz w:val="24"/>
          <w:szCs w:val="24"/>
        </w:rPr>
        <w:t>, neste ato representado pelo Secretário de Município de Compras e Licitações - SMCLIC, Sr. Leandro Pereira Cardozo, CPF</w:t>
      </w:r>
      <w:r>
        <w:rPr>
          <w:rFonts w:eastAsia="Aptos Narrow" w:cs="Aptos Narrow" w:ascii="Aptos Narrow" w:hAnsi="Aptos Narrow"/>
          <w:sz w:val="24"/>
          <w:szCs w:val="24"/>
          <w:shd w:fill="auto" w:val="clear"/>
        </w:rPr>
        <w:t xml:space="preserve"> 978.764.960-91,</w:t>
      </w:r>
      <w:r>
        <w:rPr>
          <w:rFonts w:eastAsia="Aptos Narrow" w:cs="Aptos Narrow" w:ascii="Aptos Narrow" w:hAnsi="Aptos Narrow"/>
          <w:sz w:val="24"/>
          <w:szCs w:val="24"/>
        </w:rPr>
        <w:t xml:space="preserve"> considerando o julgamento da licitação na modalidade de </w:t>
      </w:r>
      <w:r>
        <w:rPr>
          <w:rFonts w:eastAsia="Aptos Narrow" w:cs="Aptos Narrow" w:ascii="Aptos Narrow" w:hAnsi="Aptos Narrow"/>
          <w:sz w:val="24"/>
          <w:szCs w:val="24"/>
          <w:shd w:fill="auto" w:val="clear"/>
        </w:rPr>
        <w:t>pregão</w:t>
      </w:r>
      <w:r>
        <w:rPr>
          <w:rFonts w:eastAsia="Aptos Narrow" w:cs="Aptos Narrow" w:ascii="Aptos Narrow" w:hAnsi="Aptos Narrow"/>
          <w:sz w:val="24"/>
          <w:szCs w:val="24"/>
        </w:rPr>
        <w:t xml:space="preserve">, na forma eletrônica, para </w:t>
      </w:r>
      <w:r>
        <w:rPr>
          <w:rFonts w:eastAsia="Aptos Narrow" w:cs="Aptos Narrow" w:ascii="Aptos Narrow" w:hAnsi="Aptos Narrow"/>
          <w:b/>
          <w:sz w:val="24"/>
          <w:szCs w:val="24"/>
        </w:rPr>
        <w:t xml:space="preserve">REGISTRO DE PREÇOS </w:t>
      </w:r>
      <w:r>
        <w:rPr>
          <w:rFonts w:eastAsia="Aptos Narrow" w:cs="Aptos Narrow" w:ascii="Aptos Narrow" w:hAnsi="Aptos Narrow"/>
          <w:b/>
          <w:sz w:val="24"/>
          <w:szCs w:val="24"/>
          <w:highlight w:val="yellow"/>
        </w:rPr>
        <w:t>000/2025</w:t>
      </w:r>
      <w:r>
        <w:rPr>
          <w:rFonts w:eastAsia="Aptos Narrow" w:cs="Aptos Narrow" w:ascii="Aptos Narrow" w:hAnsi="Aptos Narrow"/>
          <w:sz w:val="24"/>
          <w:szCs w:val="24"/>
        </w:rPr>
        <w:t xml:space="preserve">, publicada em </w:t>
      </w:r>
      <w:r>
        <w:rPr>
          <w:rFonts w:eastAsia="Aptos Narrow" w:cs="Aptos Narrow" w:ascii="Aptos Narrow" w:hAnsi="Aptos Narrow"/>
          <w:sz w:val="24"/>
          <w:szCs w:val="24"/>
          <w:highlight w:val="yellow"/>
        </w:rPr>
        <w:t>00/00/2025</w:t>
      </w:r>
      <w:r>
        <w:rPr>
          <w:rFonts w:eastAsia="Aptos Narrow" w:cs="Aptos Narrow" w:ascii="Aptos Narrow" w:hAnsi="Aptos Narrow"/>
          <w:sz w:val="24"/>
          <w:szCs w:val="24"/>
        </w:rPr>
        <w:t>, processo administrativo 43175/2025, RESOLVE registrar os preços da(s)  empresa(s) indicada(s) e qualificada(s) nesta ATA, de acordo com a classificação por ela(s) alcançada(s) e na(s) quantidade(s) cotada(s), atendendo as condições previstas no Edital de Licitação, sujeitando-se as partes às normas constantes na Lei 14.133/2021, no Decreto Municipal 19.130/2022, e em conformidade com as disposições a seguir:</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2"/>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b/>
                <w:sz w:val="24"/>
                <w:szCs w:val="24"/>
              </w:rPr>
              <w:t>1. DO OBJETO</w:t>
            </w:r>
            <w:r>
              <w:rPr>
                <w:rFonts w:eastAsia="Aptos Narrow" w:cs="Aptos Narrow" w:ascii="Aptos Narrow" w:hAnsi="Aptos Narrow"/>
                <w:sz w:val="24"/>
                <w:szCs w:val="24"/>
              </w:rPr>
              <w:t>:</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1.1</w:t>
      </w:r>
      <w:r>
        <w:rPr>
          <w:rFonts w:eastAsia="Aptos Narrow" w:cs="Aptos Narrow" w:ascii="Aptos Narrow" w:hAnsi="Aptos Narrow"/>
          <w:sz w:val="24"/>
          <w:szCs w:val="24"/>
        </w:rPr>
        <w:t>. A presente Ata tem por objeto o registro de preços para a eventual contratação de empresa para Aquisição de Equipamentos de Proteção Individual – EPI’s, via Registro de Preços, para os servidores da Prefeitura Municipal do Rio Grande, especificado(s) no(s) item(ns) 01 ao 50, conforme Termo de Referência, anexo do Edital do</w:t>
      </w:r>
      <w:r>
        <w:rPr>
          <w:rFonts w:eastAsia="Aptos Narrow" w:cs="Aptos Narrow" w:ascii="Aptos Narrow" w:hAnsi="Aptos Narrow"/>
          <w:b/>
          <w:bCs/>
          <w:sz w:val="24"/>
          <w:szCs w:val="24"/>
        </w:rPr>
        <w:t xml:space="preserve"> </w:t>
      </w:r>
      <w:r>
        <w:rPr>
          <w:rFonts w:eastAsia="Aptos Narrow" w:cs="Aptos Narrow" w:ascii="Aptos Narrow" w:hAnsi="Aptos Narrow"/>
          <w:b/>
          <w:bCs/>
          <w:sz w:val="24"/>
          <w:szCs w:val="24"/>
          <w:shd w:fill="FFFF00" w:val="clear"/>
        </w:rPr>
        <w:t xml:space="preserve">Pregão Eletrônico </w:t>
      </w:r>
      <w:r>
        <w:rPr>
          <w:rFonts w:eastAsia="Aptos Narrow" w:cs="Aptos Narrow" w:ascii="Aptos Narrow" w:hAnsi="Aptos Narrow"/>
          <w:b/>
          <w:bCs/>
          <w:sz w:val="24"/>
          <w:szCs w:val="24"/>
          <w:shd w:fill="FFFF00" w:val="clear"/>
        </w:rPr>
        <w:t>nº</w:t>
      </w:r>
      <w:r>
        <w:rPr>
          <w:rFonts w:eastAsia="Aptos Narrow" w:cs="Aptos Narrow" w:ascii="Aptos Narrow" w:hAnsi="Aptos Narrow"/>
          <w:b/>
          <w:bCs/>
          <w:sz w:val="24"/>
          <w:szCs w:val="24"/>
        </w:rPr>
        <w:t xml:space="preserve"> </w:t>
      </w:r>
      <w:r>
        <w:rPr>
          <w:rFonts w:eastAsia="Aptos Narrow" w:cs="Aptos Narrow" w:ascii="Aptos Narrow" w:hAnsi="Aptos Narrow"/>
          <w:b/>
          <w:bCs/>
          <w:sz w:val="24"/>
          <w:szCs w:val="24"/>
          <w:highlight w:val="yellow"/>
        </w:rPr>
        <w:t>000/2025</w:t>
      </w:r>
      <w:r>
        <w:rPr>
          <w:rFonts w:eastAsia="Aptos Narrow" w:cs="Aptos Narrow" w:ascii="Aptos Narrow" w:hAnsi="Aptos Narrow"/>
          <w:sz w:val="24"/>
          <w:szCs w:val="24"/>
        </w:rPr>
        <w:t>, que é parte integrante desta Ata, assim como as propostas cujos preços tenham sido registrados, independentemente de transcrição.</w:t>
      </w:r>
    </w:p>
    <w:p>
      <w:pPr>
        <w:pStyle w:val="LOnormal11"/>
        <w:jc w:val="both"/>
        <w:rPr>
          <w:rFonts w:ascii="Aptos Narrow" w:hAnsi="Aptos Narrow" w:eastAsia="Aptos Narrow" w:cs="Aptos Narrow"/>
          <w:b/>
          <w:b/>
          <w:sz w:val="24"/>
          <w:szCs w:val="24"/>
        </w:rPr>
      </w:pPr>
      <w:r>
        <w:rPr>
          <w:rFonts w:eastAsia="Aptos Narrow" w:cs="Aptos Narrow" w:ascii="Aptos Narrow" w:hAnsi="Aptos Narrow"/>
          <w:b/>
          <w:sz w:val="24"/>
          <w:szCs w:val="24"/>
        </w:rPr>
      </w:r>
    </w:p>
    <w:tbl>
      <w:tblPr>
        <w:tblStyle w:val="Table3"/>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b/>
                <w:sz w:val="24"/>
                <w:szCs w:val="24"/>
              </w:rPr>
              <w:t>2. DOS PREÇOS, ESPECIFICAÇÕES E QUANTITATIVOS</w:t>
            </w:r>
            <w:r>
              <w:rPr>
                <w:rFonts w:eastAsia="Aptos Narrow" w:cs="Aptos Narrow" w:ascii="Aptos Narrow" w:hAnsi="Aptos Narrow"/>
                <w:sz w:val="24"/>
                <w:szCs w:val="24"/>
              </w:rPr>
              <w:t>:</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2.1</w:t>
      </w:r>
      <w:r>
        <w:rPr>
          <w:rFonts w:eastAsia="Aptos Narrow" w:cs="Aptos Narrow" w:ascii="Aptos Narrow" w:hAnsi="Aptos Narrow"/>
          <w:sz w:val="24"/>
          <w:szCs w:val="24"/>
        </w:rPr>
        <w:t>. O preço registrado, as quantidades mínimas e máximas de cada item, fornecedor(es) e as demais condições ofertadas na(s) proposta(s) são as que seguem:</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4"/>
        <w:tblW w:w="8925" w:type="dxa"/>
        <w:jc w:val="left"/>
        <w:tblInd w:w="113" w:type="dxa"/>
        <w:tblLayout w:type="fixed"/>
        <w:tblCellMar>
          <w:top w:w="0" w:type="dxa"/>
          <w:left w:w="108" w:type="dxa"/>
          <w:bottom w:w="0" w:type="dxa"/>
          <w:right w:w="108" w:type="dxa"/>
        </w:tblCellMar>
        <w:tblLook w:val="0400"/>
      </w:tblPr>
      <w:tblGrid>
        <w:gridCol w:w="1268"/>
        <w:gridCol w:w="2751"/>
        <w:gridCol w:w="1186"/>
        <w:gridCol w:w="1304"/>
        <w:gridCol w:w="1369"/>
        <w:gridCol w:w="1046"/>
      </w:tblGrid>
      <w:tr>
        <w:trPr/>
        <w:tc>
          <w:tcPr>
            <w:tcW w:w="1268" w:type="dxa"/>
            <w:vMerge w:val="restart"/>
            <w:tcBorders>
              <w:top w:val="single" w:sz="4" w:space="0" w:color="000000"/>
              <w:left w:val="single" w:sz="4" w:space="0" w:color="000000"/>
              <w:bottom w:val="single" w:sz="4" w:space="0" w:color="000000"/>
              <w:right w:val="single" w:sz="4" w:space="0" w:color="000000"/>
            </w:tcBorders>
            <w:vAlign w:val="center"/>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Item</w:t>
            </w:r>
          </w:p>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do</w:t>
            </w:r>
          </w:p>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TR/PB</w:t>
            </w:r>
          </w:p>
        </w:tc>
        <w:tc>
          <w:tcPr>
            <w:tcW w:w="7656" w:type="dxa"/>
            <w:gridSpan w:val="5"/>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b/>
                <w:b/>
              </w:rPr>
            </w:pPr>
            <w:r>
              <w:rPr>
                <w:rFonts w:eastAsia="Aptos Narrow" w:cs="Aptos Narrow" w:ascii="Aptos Narrow" w:hAnsi="Aptos Narrow"/>
                <w:b/>
                <w:sz w:val="20"/>
                <w:szCs w:val="20"/>
              </w:rPr>
              <w:t>Fornecedor [</w:t>
            </w:r>
            <w:r>
              <w:rPr>
                <w:rFonts w:eastAsia="Aptos Narrow" w:cs="Aptos Narrow" w:ascii="Aptos Narrow" w:hAnsi="Aptos Narrow"/>
                <w:b/>
                <w:sz w:val="20"/>
                <w:szCs w:val="20"/>
                <w:highlight w:val="yellow"/>
              </w:rPr>
              <w:t>razão social, CNPJ, endereço, contatos, representante</w:t>
            </w:r>
            <w:r>
              <w:rPr>
                <w:rFonts w:eastAsia="Aptos Narrow" w:cs="Aptos Narrow" w:ascii="Aptos Narrow" w:hAnsi="Aptos Narrow"/>
                <w:b/>
                <w:sz w:val="20"/>
                <w:szCs w:val="20"/>
              </w:rPr>
              <w:t>]</w:t>
            </w:r>
          </w:p>
          <w:p>
            <w:pPr>
              <w:pStyle w:val="LOnormal11"/>
              <w:widowControl w:val="false"/>
              <w:spacing w:lineRule="auto" w:line="240" w:before="0" w:after="0"/>
              <w:jc w:val="both"/>
              <w:rPr>
                <w:rFonts w:ascii="Aptos Narrow" w:hAnsi="Aptos Narrow" w:eastAsia="Aptos Narrow" w:cs="Aptos Narrow"/>
                <w:b/>
                <w:b/>
              </w:rPr>
            </w:pPr>
            <w:r>
              <w:rPr>
                <w:rFonts w:eastAsia="Aptos Narrow" w:cs="Aptos Narrow" w:ascii="Aptos Narrow" w:hAnsi="Aptos Narrow"/>
                <w:b/>
              </w:rPr>
            </w:r>
          </w:p>
        </w:tc>
      </w:tr>
      <w:tr>
        <w:trPr/>
        <w:tc>
          <w:tcPr>
            <w:tcW w:w="1268" w:type="dxa"/>
            <w:vMerge w:val="continue"/>
            <w:tcBorders>
              <w:top w:val="single" w:sz="4" w:space="0" w:color="000000"/>
              <w:left w:val="single" w:sz="4" w:space="0" w:color="000000"/>
              <w:bottom w:val="single" w:sz="4" w:space="0" w:color="000000"/>
              <w:right w:val="single" w:sz="4" w:space="0" w:color="000000"/>
            </w:tcBorders>
            <w:vAlign w:val="center"/>
          </w:tcPr>
          <w:p>
            <w:pPr>
              <w:pStyle w:val="LOnormal11"/>
              <w:keepNext w:val="false"/>
              <w:keepLines w:val="false"/>
              <w:widowControl w:val="false"/>
              <w:shd w:val="clear" w:fill="auto"/>
              <w:spacing w:lineRule="auto" w:line="276" w:before="0" w:after="0"/>
              <w:ind w:left="0" w:right="0" w:hanging="0"/>
              <w:jc w:val="left"/>
              <w:rPr>
                <w:rFonts w:ascii="Aptos Narrow" w:hAnsi="Aptos Narrow" w:eastAsia="Aptos Narrow" w:cs="Aptos Narrow"/>
                <w:b/>
                <w:b/>
              </w:rPr>
            </w:pPr>
            <w:r>
              <w:rPr>
                <w:rFonts w:eastAsia="Aptos Narrow" w:cs="Aptos Narrow" w:ascii="Aptos Narrow" w:hAnsi="Aptos Narrow"/>
                <w:b/>
              </w:rPr>
            </w:r>
          </w:p>
        </w:tc>
        <w:tc>
          <w:tcPr>
            <w:tcW w:w="2751"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Especificação</w:t>
            </w:r>
          </w:p>
        </w:tc>
        <w:tc>
          <w:tcPr>
            <w:tcW w:w="118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Unidade</w:t>
            </w:r>
          </w:p>
        </w:tc>
        <w:tc>
          <w:tcPr>
            <w:tcW w:w="130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Qte. Máx.</w:t>
            </w:r>
          </w:p>
        </w:tc>
        <w:tc>
          <w:tcPr>
            <w:tcW w:w="1369"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Qte. Mín.</w:t>
            </w:r>
          </w:p>
        </w:tc>
        <w:tc>
          <w:tcPr>
            <w:tcW w:w="104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Vlr. Unit.</w:t>
            </w:r>
          </w:p>
        </w:tc>
      </w:tr>
      <w:tr>
        <w:trPr/>
        <w:tc>
          <w:tcPr>
            <w:tcW w:w="1268"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2751"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8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30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369"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04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r>
      <w:tr>
        <w:trPr/>
        <w:tc>
          <w:tcPr>
            <w:tcW w:w="1268"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2751"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8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30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369"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04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r>
      <w:tr>
        <w:trPr/>
        <w:tc>
          <w:tcPr>
            <w:tcW w:w="1268"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2751"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8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30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369"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04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b/>
          <w:bCs/>
          <w:sz w:val="24"/>
          <w:szCs w:val="24"/>
        </w:rPr>
        <w:t xml:space="preserve">Valor Total: R$ xxxx (xxx) </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2.2</w:t>
      </w:r>
      <w:r>
        <w:rPr>
          <w:rFonts w:eastAsia="Aptos Narrow" w:cs="Aptos Narrow" w:ascii="Aptos Narrow" w:hAnsi="Aptos Narrow"/>
          <w:sz w:val="24"/>
          <w:szCs w:val="24"/>
        </w:rPr>
        <w:t>. A listagem do cadastro de reserva referente ao presente registro de preços consta como anexo a esta Ata.</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5"/>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b/>
                <w:sz w:val="24"/>
                <w:szCs w:val="24"/>
              </w:rPr>
              <w:t>3. DA ADESÃO À ATA DE REGISTRO DE PREÇOS:</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3.1</w:t>
      </w:r>
      <w:r>
        <w:rPr>
          <w:rFonts w:eastAsia="Aptos Narrow" w:cs="Aptos Narrow" w:ascii="Aptos Narrow" w:hAnsi="Aptos Narrow"/>
          <w:sz w:val="24"/>
          <w:szCs w:val="24"/>
        </w:rPr>
        <w:t>. Não será admitida a adesão à ata de registro de preços decorrente desta licitação, conforme justificativa apresentada n</w:t>
      </w:r>
      <w:r>
        <w:rPr>
          <w:rFonts w:eastAsia="Aptos Narrow" w:cs="Aptos Narrow" w:ascii="Aptos Narrow" w:hAnsi="Aptos Narrow"/>
          <w:sz w:val="24"/>
          <w:szCs w:val="24"/>
          <w:shd w:fill="auto" w:val="clear"/>
        </w:rPr>
        <w:t>o Termo de Referência.</w:t>
      </w:r>
    </w:p>
    <w:p>
      <w:pPr>
        <w:pStyle w:val="LOnormal11"/>
        <w:jc w:val="both"/>
        <w:rPr>
          <w:rFonts w:ascii="Aptos Narrow" w:hAnsi="Aptos Narrow" w:eastAsia="Aptos Narrow" w:cs="Aptos Narrow"/>
          <w:b/>
          <w:b/>
          <w:sz w:val="24"/>
          <w:szCs w:val="24"/>
        </w:rPr>
      </w:pPr>
      <w:r>
        <w:rPr>
          <w:rFonts w:eastAsia="Aptos Narrow" w:cs="Aptos Narrow" w:ascii="Aptos Narrow" w:hAnsi="Aptos Narrow"/>
          <w:b/>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6"/>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b/>
                <w:sz w:val="24"/>
                <w:szCs w:val="24"/>
              </w:rPr>
              <w:t>4. DA VALIDADE, FORMALIZAÇÃO DA ATA E CADASTRO DE RESERVA:</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4.1</w:t>
      </w:r>
      <w:r>
        <w:rPr>
          <w:rFonts w:eastAsia="Aptos Narrow" w:cs="Aptos Narrow" w:ascii="Aptos Narrow" w:hAnsi="Aptos Narrow"/>
          <w:sz w:val="24"/>
          <w:szCs w:val="24"/>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4.1.1</w:t>
      </w:r>
      <w:r>
        <w:rPr>
          <w:rFonts w:eastAsia="Aptos Narrow" w:cs="Aptos Narrow" w:ascii="Aptos Narrow" w:hAnsi="Aptos Narrow"/>
          <w:sz w:val="24"/>
          <w:szCs w:val="24"/>
        </w:rPr>
        <w:t>. O contrato decorrente da ata de registro de preços terá sua vigência estabelecida no próprio instrumento contratual e observará no momento da contratação e a cada exercício financeiro a disponibilidade de créditos orçamentários.</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4.1.2</w:t>
      </w:r>
      <w:r>
        <w:rPr>
          <w:rFonts w:eastAsia="Aptos Narrow" w:cs="Aptos Narrow" w:ascii="Aptos Narrow" w:hAnsi="Aptos Narrow"/>
          <w:sz w:val="24"/>
          <w:szCs w:val="24"/>
        </w:rPr>
        <w:t>. Na formalização do contrato ou do instrumento substituto deverá haver a indicação da disponibilidade dos créditos orçamentários respectivos.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4.2</w:t>
      </w:r>
      <w:r>
        <w:rPr>
          <w:rFonts w:eastAsia="Aptos Narrow" w:cs="Aptos Narrow" w:ascii="Aptos Narrow" w:hAnsi="Aptos Narrow"/>
          <w:sz w:val="24"/>
          <w:szCs w:val="24"/>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14.133/2021.</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4.2.1</w:t>
      </w:r>
      <w:r>
        <w:rPr>
          <w:rFonts w:eastAsia="Aptos Narrow" w:cs="Aptos Narrow" w:ascii="Aptos Narrow" w:hAnsi="Aptos Narrow"/>
          <w:sz w:val="24"/>
          <w:szCs w:val="24"/>
        </w:rPr>
        <w:t>. O instrumento contratual deverá ser assinado, no prazo de validade da ata de registro de preços.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4.3</w:t>
      </w:r>
      <w:r>
        <w:rPr>
          <w:rFonts w:eastAsia="Aptos Narrow" w:cs="Aptos Narrow" w:ascii="Aptos Narrow" w:hAnsi="Aptos Narrow"/>
          <w:sz w:val="24"/>
          <w:szCs w:val="24"/>
        </w:rPr>
        <w:t>. Os contratos decorrentes do sistema de registro de preços poderão ser alterados, observado o art. 124 da Lei 14.133/2021.</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4.4</w:t>
      </w:r>
      <w:r>
        <w:rPr>
          <w:rFonts w:eastAsia="Aptos Narrow" w:cs="Aptos Narrow" w:ascii="Aptos Narrow" w:hAnsi="Aptos Narrow"/>
          <w:sz w:val="24"/>
          <w:szCs w:val="24"/>
        </w:rPr>
        <w:t>. Após a homologação da licitação, deverão ser observadas as seguintes condições para formalização da ata de registro de preços:</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4.4.1</w:t>
      </w:r>
      <w:r>
        <w:rPr>
          <w:rFonts w:eastAsia="Aptos Narrow" w:cs="Aptos Narrow" w:ascii="Aptos Narrow" w:hAnsi="Aptos Narrow"/>
          <w:sz w:val="24"/>
          <w:szCs w:val="24"/>
        </w:rPr>
        <w:t>. Serão registrados na ata os preços e os quantitativos do adjudicatário, devendo ser observada a possibilidade de o licitante oferecer ou não proposta em quantitativo inferior ao máximo previsto no edital e se obrigar nos limites dela;</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4.4.2</w:t>
      </w:r>
      <w:r>
        <w:rPr>
          <w:rFonts w:eastAsia="Aptos Narrow" w:cs="Aptos Narrow" w:ascii="Aptos Narrow" w:hAnsi="Aptos Narrow"/>
          <w:sz w:val="24"/>
          <w:szCs w:val="24"/>
        </w:rPr>
        <w:t>. Será incluído na ata, na forma de anexo, o registro dos licitantes ou dos fornecedores que:</w:t>
      </w:r>
    </w:p>
    <w:p>
      <w:pPr>
        <w:pStyle w:val="LOnormal1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4.4.2.1</w:t>
      </w:r>
      <w:r>
        <w:rPr>
          <w:rFonts w:eastAsia="Aptos Narrow" w:cs="Aptos Narrow" w:ascii="Aptos Narrow" w:hAnsi="Aptos Narrow"/>
          <w:sz w:val="24"/>
          <w:szCs w:val="24"/>
        </w:rPr>
        <w:t xml:space="preserve">. aceitarem cotar os bens, as obras ou os serviços com preços iguais aos do adjudicatário, observada a classificação da licitação; e </w:t>
      </w:r>
    </w:p>
    <w:p>
      <w:pPr>
        <w:pStyle w:val="LOnormal1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4.4.2.2</w:t>
      </w:r>
      <w:r>
        <w:rPr>
          <w:rFonts w:eastAsia="Aptos Narrow" w:cs="Aptos Narrow" w:ascii="Aptos Narrow" w:hAnsi="Aptos Narrow"/>
          <w:sz w:val="24"/>
          <w:szCs w:val="24"/>
        </w:rPr>
        <w:t xml:space="preserve">. mantiverem sua proposta original. </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4.4.3</w:t>
      </w:r>
      <w:r>
        <w:rPr>
          <w:rFonts w:eastAsia="Aptos Narrow" w:cs="Aptos Narrow" w:ascii="Aptos Narrow" w:hAnsi="Aptos Narrow"/>
          <w:sz w:val="24"/>
          <w:szCs w:val="24"/>
        </w:rPr>
        <w:t>. Será respeitada, nas contratações, a ordem de classificação dos licitantes ou dos fornecedores registrados na ata.</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4.5</w:t>
      </w:r>
      <w:r>
        <w:rPr>
          <w:rFonts w:eastAsia="Aptos Narrow" w:cs="Aptos Narrow" w:ascii="Aptos Narrow" w:hAnsi="Aptos Narrow"/>
          <w:sz w:val="24"/>
          <w:szCs w:val="24"/>
        </w:rPr>
        <w:t>. O registro a que se refere o item 4.4.2 tem por objetivo a formação de cadastro de reserva para o caso de impossibilidade de atendimento pelo signatário da ata.</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4.6</w:t>
      </w:r>
      <w:r>
        <w:rPr>
          <w:rFonts w:eastAsia="Aptos Narrow" w:cs="Aptos Narrow" w:ascii="Aptos Narrow" w:hAnsi="Aptos Narrow"/>
          <w:sz w:val="24"/>
          <w:szCs w:val="24"/>
        </w:rPr>
        <w:t>. Para fins da ordem de classificação, os licitantes ou fornecedores que aceitarem reduzir suas propostas para o preço do adjudicatário antecederão aqueles que mantiverem sua proposta original.</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4.7</w:t>
      </w:r>
      <w:r>
        <w:rPr>
          <w:rFonts w:eastAsia="Aptos Narrow" w:cs="Aptos Narrow" w:ascii="Aptos Narrow" w:hAnsi="Aptos Narrow"/>
          <w:sz w:val="24"/>
          <w:szCs w:val="24"/>
        </w:rPr>
        <w:t>. A habilitação dos licitantes que comporão o cadastro de reserva a que se refere o item 4.4.2.2 somente será efetuada quando houver necessidade de contratação dos licitantes remanescentes, nas seguintes hipóteses:</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4.7.1</w:t>
      </w:r>
      <w:r>
        <w:rPr>
          <w:rFonts w:eastAsia="Aptos Narrow" w:cs="Aptos Narrow" w:ascii="Aptos Narrow" w:hAnsi="Aptos Narrow"/>
          <w:sz w:val="24"/>
          <w:szCs w:val="24"/>
        </w:rPr>
        <w:t>. Quando o licitante vencedor não assinar a ata de registro de preços, no prazo e nas condições estabelecidos no edital; e</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4.7.2</w:t>
      </w:r>
      <w:r>
        <w:rPr>
          <w:rFonts w:eastAsia="Aptos Narrow" w:cs="Aptos Narrow" w:ascii="Aptos Narrow" w:hAnsi="Aptos Narrow"/>
          <w:sz w:val="24"/>
          <w:szCs w:val="24"/>
        </w:rPr>
        <w:t>. Quando houver o cancelamento do registro do licitante ou do registro de preços nas hipóteses previstas no edital.</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4.8</w:t>
      </w:r>
      <w:r>
        <w:rPr>
          <w:rFonts w:eastAsia="Aptos Narrow" w:cs="Aptos Narrow" w:ascii="Aptos Narrow" w:hAnsi="Aptos Narrow"/>
          <w:sz w:val="24"/>
          <w:szCs w:val="24"/>
        </w:rPr>
        <w:t>. O preço registrado com indicação dos licitantes e fornecedores será divulgado no PNCP e ficará disponibilizado durante a vigência da ata de registro de preços.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4.9</w:t>
      </w:r>
      <w:r>
        <w:rPr>
          <w:rFonts w:eastAsia="Aptos Narrow" w:cs="Aptos Narrow" w:ascii="Aptos Narrow" w:hAnsi="Aptos Narrow"/>
          <w:sz w:val="24"/>
          <w:szCs w:val="24"/>
        </w:rPr>
        <w:t>. Após a homologação da licitação, o licitante mais bem classificado, será convocado para assinar a ata de registro de preços, no prazo e nas condições estabelecidos no edital de licitação, sob pena de decair o direito, sem prejuízo das sanções previstas na Lei 14.133/2021.</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4.9.1</w:t>
      </w:r>
      <w:r>
        <w:rPr>
          <w:rFonts w:eastAsia="Aptos Narrow" w:cs="Aptos Narrow" w:ascii="Aptos Narrow" w:hAnsi="Aptos Narrow"/>
          <w:sz w:val="24"/>
          <w:szCs w:val="24"/>
        </w:rPr>
        <w:t>. O prazo de convocação poderá ser prorrogado 1 (uma) vez, por igual período, mediante solicitação do licitante, desde que apresentada dentro do prazo, devidamente justificada, e que a justificativa seja aceita pela Administração.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4.10</w:t>
      </w:r>
      <w:r>
        <w:rPr>
          <w:rFonts w:eastAsia="Aptos Narrow" w:cs="Aptos Narrow" w:ascii="Aptos Narrow" w:hAnsi="Aptos Narrow"/>
          <w:sz w:val="24"/>
          <w:szCs w:val="24"/>
        </w:rPr>
        <w:t>. A ata de registro de preços será assinada por meio de assinatura digital e disponibilizada no Sistema de Registro de Preços.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4.11</w:t>
      </w:r>
      <w:r>
        <w:rPr>
          <w:rFonts w:eastAsia="Aptos Narrow" w:cs="Aptos Narrow" w:ascii="Aptos Narrow" w:hAnsi="Aptos Narrow"/>
          <w:sz w:val="24"/>
          <w:szCs w:val="24"/>
        </w:rPr>
        <w:t>. 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4.12</w:t>
      </w:r>
      <w:r>
        <w:rPr>
          <w:rFonts w:eastAsia="Aptos Narrow" w:cs="Aptos Narrow" w:ascii="Aptos Narrow" w:hAnsi="Aptos Narrow"/>
          <w:sz w:val="24"/>
          <w:szCs w:val="24"/>
        </w:rPr>
        <w:t>. Na hipótese de nenhum dos licitantes que trata o item 4.4.2.1, aceitar a contratação nos termos do item anterior, a Administração, observados o valor estimado e sua eventual atualização nos termos do edital, poderá:</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4.12.1</w:t>
      </w:r>
      <w:r>
        <w:rPr>
          <w:rFonts w:eastAsia="Aptos Narrow" w:cs="Aptos Narrow" w:ascii="Aptos Narrow" w:hAnsi="Aptos Narrow"/>
          <w:sz w:val="24"/>
          <w:szCs w:val="24"/>
        </w:rPr>
        <w:t>. Convocar para negociação os demais licitantes ou fornecedores remanescentes cujos preços foram registrados sem redução, observada a ordem de classificação, com vistas à obtenção de preço melhor, mesmo que acima do preço do adjudicatário; ou</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4.12.2</w:t>
      </w:r>
      <w:r>
        <w:rPr>
          <w:rFonts w:eastAsia="Aptos Narrow" w:cs="Aptos Narrow" w:ascii="Aptos Narrow" w:hAnsi="Aptos Narrow"/>
          <w:sz w:val="24"/>
          <w:szCs w:val="24"/>
        </w:rPr>
        <w:t>. Adjudicar e firmar o contrato nas condições ofertadas pelos licitantes ou fornecedores remanescentes, atendida a ordem classificatória, quando frustrada a negociação de melhor condição.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4.13</w:t>
      </w:r>
      <w:r>
        <w:rPr>
          <w:rFonts w:eastAsia="Aptos Narrow" w:cs="Aptos Narrow" w:ascii="Aptos Narrow" w:hAnsi="Aptos Narrow"/>
          <w:sz w:val="24"/>
          <w:szCs w:val="24"/>
        </w:rPr>
        <w:t>.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7"/>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b/>
                <w:sz w:val="24"/>
                <w:szCs w:val="24"/>
              </w:rPr>
              <w:t>5. DA ALTERAÇÃO OU ATUALIZAÇÃO DOS PREÇOS REGISTRADOS:</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5.1</w:t>
      </w:r>
      <w:r>
        <w:rPr>
          <w:rFonts w:eastAsia="Aptos Narrow" w:cs="Aptos Narrow" w:ascii="Aptos Narrow" w:hAnsi="Aptos Narrow"/>
          <w:sz w:val="24"/>
          <w:szCs w:val="24"/>
        </w:rPr>
        <w:t>. Os preços registrados poderão ser alterados ou atualizados em decorrência de eventual redução dos preços praticados no mercado ou de fato que eleve o custo dos bens, das obras ou dos serviços registrados, nas seguintes situações:</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5.1.1</w:t>
      </w:r>
      <w:r>
        <w:rPr>
          <w:rFonts w:eastAsia="Aptos Narrow" w:cs="Aptos Narrow" w:ascii="Aptos Narrow" w:hAnsi="Aptos Narrow"/>
          <w:sz w:val="24"/>
          <w:szCs w:val="24"/>
        </w:rPr>
        <w:t>. Em caso de força maior, caso fortuito ou fato do príncipe ou em decorrência de fatos imprevisíveis ou previsíveis de consequências incalculáveis, que inviabilizem a execução da ata tal como pactuada, nos termos da alínea “d” do inc. II do caput do art. 124 da Lei 14.133/2021;</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5.1.2</w:t>
      </w:r>
      <w:r>
        <w:rPr>
          <w:rFonts w:eastAsia="Aptos Narrow" w:cs="Aptos Narrow" w:ascii="Aptos Narrow" w:hAnsi="Aptos Narrow"/>
          <w:sz w:val="24"/>
          <w:szCs w:val="24"/>
        </w:rPr>
        <w:t>. Em caso de criação, alteração ou extinção de quaisquer tributos ou encargos legais ou a superveniência de disposições legais, com comprovada repercussão sobre os preços registrados;</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5.1.3</w:t>
      </w:r>
      <w:r>
        <w:rPr>
          <w:rFonts w:eastAsia="Aptos Narrow" w:cs="Aptos Narrow" w:ascii="Aptos Narrow" w:hAnsi="Aptos Narrow"/>
          <w:sz w:val="24"/>
          <w:szCs w:val="24"/>
        </w:rPr>
        <w:t>. Na hipótese de previsão no edital de cláusula de reajustamento ou repactuação sobre os preços registrados, nos termos da Lei 14.133/2021.</w:t>
      </w:r>
    </w:p>
    <w:p>
      <w:pPr>
        <w:pStyle w:val="LOnormal1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5.1.3.1</w:t>
      </w:r>
      <w:r>
        <w:rPr>
          <w:rFonts w:eastAsia="Aptos Narrow" w:cs="Aptos Narrow" w:ascii="Aptos Narrow" w:hAnsi="Aptos Narrow"/>
          <w:sz w:val="24"/>
          <w:szCs w:val="24"/>
        </w:rPr>
        <w:t xml:space="preserve">. No caso do reajustamento, deverá ser respeitada a contagem da anualidade e o índice previstos para a contratação;  </w:t>
      </w:r>
    </w:p>
    <w:p>
      <w:pPr>
        <w:pStyle w:val="LOnormal1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5.1.3.2</w:t>
      </w:r>
      <w:r>
        <w:rPr>
          <w:rFonts w:eastAsia="Aptos Narrow" w:cs="Aptos Narrow" w:ascii="Aptos Narrow" w:hAnsi="Aptos Narrow"/>
          <w:sz w:val="24"/>
          <w:szCs w:val="24"/>
        </w:rPr>
        <w:t>. No caso da repactuação, poderá ser a pedido do interessado, conforme critérios definidos para a contratação.</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8"/>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b/>
                <w:sz w:val="24"/>
                <w:szCs w:val="24"/>
              </w:rPr>
              <w:t>6. DA NEGOCIAÇÃO DE PREÇOS REGISTRADOS:</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6.1</w:t>
      </w:r>
      <w:r>
        <w:rPr>
          <w:rFonts w:eastAsia="Aptos Narrow" w:cs="Aptos Narrow" w:ascii="Aptos Narrow" w:hAnsi="Aptos Narrow"/>
          <w:sz w:val="24"/>
          <w:szCs w:val="24"/>
        </w:rPr>
        <w:t>. Na hipótese de o preço registrado tornar-se superior ao preço praticado no mercado por motivo superveniente, o órgão ou entidade gerenciadora convocará o fornecedor para negociar a redução do preço registrado.</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6.1.1</w:t>
      </w:r>
      <w:r>
        <w:rPr>
          <w:rFonts w:eastAsia="Aptos Narrow" w:cs="Aptos Narrow" w:ascii="Aptos Narrow" w:hAnsi="Aptos Narrow"/>
          <w:sz w:val="24"/>
          <w:szCs w:val="24"/>
        </w:rPr>
        <w:t>. Caso não aceite reduzir seu preço aos valores praticados pelo mercado, o fornecedor será liberado do compromisso assumido quanto ao item registrado, sem aplicação de penalidades administrativas.</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6.1.2</w:t>
      </w:r>
      <w:r>
        <w:rPr>
          <w:rFonts w:eastAsia="Aptos Narrow" w:cs="Aptos Narrow" w:ascii="Aptos Narrow" w:hAnsi="Aptos Narrow"/>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6.1.3</w:t>
      </w:r>
      <w:r>
        <w:rPr>
          <w:rFonts w:eastAsia="Aptos Narrow" w:cs="Aptos Narrow" w:ascii="Aptos Narrow" w:hAnsi="Aptos Narrow"/>
          <w:sz w:val="24"/>
          <w:szCs w:val="24"/>
        </w:rPr>
        <w:t>. Se não obtiver êxito nas negociações, o órgão ou entidade gerenciadora procederá ao cancelamento da ata de registro de preços, adotando as medidas cabíveis para obtenção de contratação mais vantajosa.</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6.1.4</w:t>
      </w:r>
      <w:r>
        <w:rPr>
          <w:rFonts w:eastAsia="Aptos Narrow" w:cs="Aptos Narrow" w:ascii="Aptos Narrow" w:hAnsi="Aptos Narrow"/>
          <w:sz w:val="24"/>
          <w:szCs w:val="24"/>
        </w:rPr>
        <w:t>.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14.133/2021.</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6.2</w:t>
      </w:r>
      <w:r>
        <w:rPr>
          <w:rFonts w:eastAsia="Aptos Narrow" w:cs="Aptos Narrow" w:ascii="Aptos Narrow" w:hAnsi="Aptos Narrow"/>
          <w:sz w:val="24"/>
          <w:szCs w:val="24"/>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6.2.1</w:t>
      </w:r>
      <w:r>
        <w:rPr>
          <w:rFonts w:eastAsia="Aptos Narrow" w:cs="Aptos Narrow" w:ascii="Aptos Narrow" w:hAnsi="Aptos Narrow"/>
          <w:sz w:val="24"/>
          <w:szCs w:val="24"/>
        </w:rPr>
        <w:t>. Neste caso, o fornecedor encaminhará, juntamente com o pedido de alteração, a documentação comprobatória ou a planilha de custos que demonstre a inviabilidade do preço registrado em relação às condições inicialmente pactuadas.</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6.2.2</w:t>
      </w:r>
      <w:r>
        <w:rPr>
          <w:rFonts w:eastAsia="Aptos Narrow" w:cs="Aptos Narrow" w:ascii="Aptos Narrow" w:hAnsi="Aptos Narrow"/>
          <w:sz w:val="24"/>
          <w:szCs w:val="24"/>
        </w:rPr>
        <w:t>.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14.133/2021, e na legislação aplicável.</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6.2.3</w:t>
      </w:r>
      <w:r>
        <w:rPr>
          <w:rFonts w:eastAsia="Aptos Narrow" w:cs="Aptos Narrow" w:ascii="Aptos Narrow" w:hAnsi="Aptos Narrow"/>
          <w:sz w:val="24"/>
          <w:szCs w:val="24"/>
        </w:rPr>
        <w:t>. Na hipótese de cancelamento do registro do fornecedor, nos termos do item anterior, o gerenciador convocará os fornecedores do cadastro de reserva, na ordem de classificação, para verificar se aceitam manter seus preços registrados.</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6.2.4</w:t>
      </w:r>
      <w:r>
        <w:rPr>
          <w:rFonts w:eastAsia="Aptos Narrow" w:cs="Aptos Narrow" w:ascii="Aptos Narrow" w:hAnsi="Aptos Narrow"/>
          <w:sz w:val="24"/>
          <w:szCs w:val="24"/>
        </w:rPr>
        <w:t>. Se não obtiver êxito nas negociações, o órgão ou entidade gerenciadora procederá ao cancelamento da ata de registro de preços, e adotará as medidas cabíveis para a obtenção da contratação mais vantajosa.</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6.2.5</w:t>
      </w:r>
      <w:r>
        <w:rPr>
          <w:rFonts w:eastAsia="Aptos Narrow" w:cs="Aptos Narrow" w:ascii="Aptos Narrow" w:hAnsi="Aptos Narrow"/>
          <w:sz w:val="24"/>
          <w:szCs w:val="24"/>
        </w:rPr>
        <w:t>. 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9"/>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b/>
                <w:sz w:val="24"/>
                <w:szCs w:val="24"/>
              </w:rPr>
              <w:t>7. DO CANCELAMENTO DO REGISTRO DO VENCEDOR E DOS PREÇOS REGISTRADOS:</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7.1</w:t>
      </w:r>
      <w:r>
        <w:rPr>
          <w:rFonts w:eastAsia="Aptos Narrow" w:cs="Aptos Narrow" w:ascii="Aptos Narrow" w:hAnsi="Aptos Narrow"/>
          <w:sz w:val="24"/>
          <w:szCs w:val="24"/>
        </w:rPr>
        <w:t>. O registro do fornecedor será cancelado pelo gerenciador, quando o fornecedor:</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7.1.1</w:t>
      </w:r>
      <w:r>
        <w:rPr>
          <w:rFonts w:eastAsia="Aptos Narrow" w:cs="Aptos Narrow" w:ascii="Aptos Narrow" w:hAnsi="Aptos Narrow"/>
          <w:sz w:val="24"/>
          <w:szCs w:val="24"/>
        </w:rPr>
        <w:t>. Descumprir as condições da ata de registro de preços, sem motivo justificado;</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7.1.2</w:t>
      </w:r>
      <w:r>
        <w:rPr>
          <w:rFonts w:eastAsia="Aptos Narrow" w:cs="Aptos Narrow" w:ascii="Aptos Narrow" w:hAnsi="Aptos Narrow"/>
          <w:sz w:val="24"/>
          <w:szCs w:val="24"/>
        </w:rPr>
        <w:t>. Não retirar a nota de empenho, ou instrumento equivalente, no prazo estabelecido pela Administração sem justificativa razoável;</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7.1.3</w:t>
      </w:r>
      <w:r>
        <w:rPr>
          <w:rFonts w:eastAsia="Aptos Narrow" w:cs="Aptos Narrow" w:ascii="Aptos Narrow" w:hAnsi="Aptos Narrow"/>
          <w:sz w:val="24"/>
          <w:szCs w:val="24"/>
        </w:rPr>
        <w:t>. Não aceitar manter seu preço registrado, na hipótese prevista no art. 20, inc. III do Decreto Municipal 19.130/2022; ou</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7.1.4</w:t>
      </w:r>
      <w:r>
        <w:rPr>
          <w:rFonts w:eastAsia="Aptos Narrow" w:cs="Aptos Narrow" w:ascii="Aptos Narrow" w:hAnsi="Aptos Narrow"/>
          <w:sz w:val="24"/>
          <w:szCs w:val="24"/>
        </w:rPr>
        <w:t>. Sofrer sanção prevista nos incs. III ou IV do caput do art. 156 da Lei 14.133/2021.</w:t>
      </w:r>
    </w:p>
    <w:p>
      <w:pPr>
        <w:pStyle w:val="LOnormal11"/>
        <w:ind w:left="567" w:hanging="0"/>
        <w:jc w:val="both"/>
        <w:rPr>
          <w:rFonts w:ascii="Aptos Narrow" w:hAnsi="Aptos Narrow" w:eastAsia="Aptos Narrow" w:cs="Aptos Narrow"/>
          <w:sz w:val="24"/>
          <w:szCs w:val="24"/>
        </w:rPr>
      </w:pPr>
      <w:r>
        <w:rPr>
          <w:rFonts w:eastAsia="Aptos Narrow" w:cs="Aptos Narrow" w:ascii="Aptos Narrow" w:hAnsi="Aptos Narrow"/>
          <w:b/>
          <w:sz w:val="24"/>
          <w:szCs w:val="24"/>
        </w:rPr>
        <w:t>7.1.4.1</w:t>
      </w:r>
      <w:r>
        <w:rPr>
          <w:rFonts w:eastAsia="Aptos Narrow" w:cs="Aptos Narrow" w:ascii="Aptos Narrow" w:hAnsi="Aptos Narrow"/>
          <w:sz w:val="24"/>
          <w:szCs w:val="24"/>
        </w:rPr>
        <w:t>. Na hipótese de aplicação de sanção prevista nos incs. III ou IV do caput do art. 156 da Lei 14.133/2021,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7.2</w:t>
      </w:r>
      <w:r>
        <w:rPr>
          <w:rFonts w:eastAsia="Aptos Narrow" w:cs="Aptos Narrow" w:ascii="Aptos Narrow" w:hAnsi="Aptos Narrow"/>
          <w:sz w:val="24"/>
          <w:szCs w:val="24"/>
        </w:rPr>
        <w:t>. O cancelamento de registros nas hipóteses previstas no item 7.1 será formalizado por despacho do órgão ou da entidade gerenciadora, garantidos os princípios do contraditório e da ampla defesa.</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7.3</w:t>
      </w:r>
      <w:r>
        <w:rPr>
          <w:rFonts w:eastAsia="Aptos Narrow" w:cs="Aptos Narrow" w:ascii="Aptos Narrow" w:hAnsi="Aptos Narrow"/>
          <w:sz w:val="24"/>
          <w:szCs w:val="24"/>
        </w:rPr>
        <w:t>. Na hipótese de cancelamento do registro do fornecedor, o órgão ou a entidade gerenciadora poderá convocar os licitantes que compõem o cadastro de reserva, observada a ordem de classificação.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7.4</w:t>
      </w:r>
      <w:r>
        <w:rPr>
          <w:rFonts w:eastAsia="Aptos Narrow" w:cs="Aptos Narrow" w:ascii="Aptos Narrow" w:hAnsi="Aptos Narrow"/>
          <w:sz w:val="24"/>
          <w:szCs w:val="24"/>
        </w:rPr>
        <w:t xml:space="preserve">. O cancelamento dos preços registrados poderá ser realizado pelo gerenciador, em determinada ata de registro de preços, total ou parcialmente, nas seguintes hipóteses, desde que devidamente comprovadas e justificadas: </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7.4.1</w:t>
      </w:r>
      <w:r>
        <w:rPr>
          <w:rFonts w:eastAsia="Aptos Narrow" w:cs="Aptos Narrow" w:ascii="Aptos Narrow" w:hAnsi="Aptos Narrow"/>
          <w:sz w:val="24"/>
          <w:szCs w:val="24"/>
        </w:rPr>
        <w:t>. Por razão de interesse público;</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7.4.2</w:t>
      </w:r>
      <w:r>
        <w:rPr>
          <w:rFonts w:eastAsia="Aptos Narrow" w:cs="Aptos Narrow" w:ascii="Aptos Narrow" w:hAnsi="Aptos Narrow"/>
          <w:sz w:val="24"/>
          <w:szCs w:val="24"/>
        </w:rPr>
        <w:t>. A pedido do fornecedor, decorrente de caso fortuito ou força maior; ou</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7.4.3</w:t>
      </w:r>
      <w:r>
        <w:rPr>
          <w:rFonts w:eastAsia="Aptos Narrow" w:cs="Aptos Narrow" w:ascii="Aptos Narrow" w:hAnsi="Aptos Narrow"/>
          <w:sz w:val="24"/>
          <w:szCs w:val="24"/>
        </w:rPr>
        <w:t>. Se não houver êxito nas negociações, nas hipóteses em que o preço de mercado se tornar superior ou inferior ao preço registrado, nos termos do art. 20, inc. III do Decreto Municipal 19.130/2022.</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0"/>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b/>
                <w:sz w:val="24"/>
                <w:szCs w:val="24"/>
              </w:rPr>
              <w:t>8. DAS PENALIDADES:</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8.1</w:t>
      </w:r>
      <w:r>
        <w:rPr>
          <w:rFonts w:eastAsia="Aptos Narrow" w:cs="Aptos Narrow" w:ascii="Aptos Narrow" w:hAnsi="Aptos Narrow"/>
          <w:sz w:val="24"/>
          <w:szCs w:val="24"/>
        </w:rPr>
        <w:t>. O descumprimento da Ata de Registro de Preços ensejará aplicação das seguintes penalidades estabelecidas no edital</w:t>
      </w:r>
      <w:r>
        <w:rPr>
          <w:rFonts w:eastAsia="Aptos Narrow" w:cs="Aptos Narrow" w:ascii="Aptos Narrow" w:hAnsi="Aptos Narrow"/>
          <w:sz w:val="24"/>
          <w:szCs w:val="24"/>
          <w:shd w:fill="auto" w:val="clear"/>
        </w:rPr>
        <w:t xml:space="preserve"> ou na minuta de contrato.</w:t>
      </w:r>
    </w:p>
    <w:p>
      <w:pPr>
        <w:pStyle w:val="LOnormal11"/>
        <w:ind w:left="284" w:hanging="0"/>
        <w:jc w:val="both"/>
        <w:rPr>
          <w:rFonts w:ascii="Aptos Narrow" w:hAnsi="Aptos Narrow" w:eastAsia="Aptos Narrow" w:cs="Aptos Narrow"/>
          <w:sz w:val="24"/>
          <w:szCs w:val="24"/>
        </w:rPr>
      </w:pPr>
      <w:r>
        <w:rPr>
          <w:rFonts w:eastAsia="Aptos Narrow" w:cs="Aptos Narrow" w:ascii="Aptos Narrow" w:hAnsi="Aptos Narrow"/>
          <w:b/>
          <w:sz w:val="24"/>
          <w:szCs w:val="24"/>
        </w:rPr>
        <w:t>8.1.1</w:t>
      </w:r>
      <w:r>
        <w:rPr>
          <w:rFonts w:eastAsia="Aptos Narrow" w:cs="Aptos Narrow" w:ascii="Aptos Narrow" w:hAnsi="Aptos Narrow"/>
          <w:sz w:val="24"/>
          <w:szCs w:val="24"/>
        </w:rPr>
        <w:t xml:space="preserve">. As sanções também se aplicam aos integrantes do cadastro de reserva no registro de preços que, convocados, não honrarem o compromisso assumido injustificadamente após terem assinado a ata. </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8.2</w:t>
      </w:r>
      <w:r>
        <w:rPr>
          <w:rFonts w:eastAsia="Aptos Narrow" w:cs="Aptos Narrow" w:ascii="Aptos Narrow" w:hAnsi="Aptos Narrow"/>
          <w:sz w:val="24"/>
          <w:szCs w:val="24"/>
        </w:rPr>
        <w:t>.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(art. 22, § 8º do Decreto Municipal 19.130/2022).</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8.3</w:t>
      </w:r>
      <w:r>
        <w:rPr>
          <w:rFonts w:eastAsia="Aptos Narrow" w:cs="Aptos Narrow" w:ascii="Aptos Narrow" w:hAnsi="Aptos Narrow"/>
          <w:sz w:val="24"/>
          <w:szCs w:val="24"/>
        </w:rPr>
        <w:t>. O órgão ou entidade participante deverá comunicar ao órgão gerenciador qualquer das ocorrências previstas no item 7.1 (art. 22, § 8º do Decreto Municipal 19.130/2022).</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1"/>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b/>
                <w:sz w:val="24"/>
                <w:szCs w:val="24"/>
              </w:rPr>
              <w:t>9. DO PAGAMENTO:</w:t>
            </w:r>
          </w:p>
        </w:tc>
      </w:tr>
    </w:tbl>
    <w:p>
      <w:pPr>
        <w:pStyle w:val="LOnormal11"/>
        <w:jc w:val="both"/>
        <w:rPr>
          <w:highlight w:val="none"/>
          <w:shd w:fill="auto" w:val="clear"/>
        </w:rPr>
      </w:pPr>
      <w:r>
        <w:rPr>
          <w:rFonts w:eastAsia="Aptos Narrow" w:cs="Aptos Narrow" w:ascii="Aptos Narrow" w:hAnsi="Aptos Narrow"/>
          <w:b/>
          <w:sz w:val="24"/>
          <w:szCs w:val="24"/>
          <w:shd w:fill="auto" w:val="clear"/>
        </w:rPr>
        <w:t xml:space="preserve">9.1. </w:t>
      </w:r>
      <w:r>
        <w:rPr>
          <w:rFonts w:eastAsia="Aptos Narrow" w:cs="Aptos Narrow" w:ascii="Aptos Narrow" w:hAnsi="Aptos Narrow"/>
          <w:b w:val="false"/>
          <w:bCs w:val="false"/>
          <w:sz w:val="24"/>
          <w:szCs w:val="24"/>
          <w:shd w:fill="auto" w:val="clear"/>
        </w:rPr>
        <w:t>O pagamento será realizado através de ordem bancária, para crédito em banco, agência e conta corrente indicados pelo contratado.</w:t>
      </w:r>
    </w:p>
    <w:p>
      <w:pPr>
        <w:pStyle w:val="LOnormal11"/>
        <w:jc w:val="both"/>
        <w:rPr>
          <w:highlight w:val="none"/>
          <w:shd w:fill="auto" w:val="clear"/>
        </w:rPr>
      </w:pPr>
      <w:r>
        <w:rPr>
          <w:rFonts w:eastAsia="Aptos Narrow" w:cs="Aptos Narrow" w:ascii="Aptos Narrow" w:hAnsi="Aptos Narrow"/>
          <w:b/>
          <w:sz w:val="24"/>
          <w:szCs w:val="24"/>
          <w:shd w:fill="auto" w:val="clear"/>
        </w:rPr>
        <w:t>9.2</w:t>
      </w:r>
      <w:r>
        <w:rPr>
          <w:rFonts w:eastAsia="Aptos Narrow" w:cs="Aptos Narrow" w:ascii="Aptos Narrow" w:hAnsi="Aptos Narrow"/>
          <w:sz w:val="24"/>
          <w:szCs w:val="24"/>
          <w:shd w:fill="auto" w:val="clear"/>
        </w:rPr>
        <w:t>. Será considerada data do pagamento o dia em que constar como emitida a ordem bancária para pagamento.</w:t>
      </w:r>
    </w:p>
    <w:p>
      <w:pPr>
        <w:pStyle w:val="LOnormal11"/>
        <w:jc w:val="both"/>
        <w:rPr>
          <w:highlight w:val="none"/>
          <w:shd w:fill="auto" w:val="clear"/>
        </w:rPr>
      </w:pPr>
      <w:r>
        <w:rPr>
          <w:rFonts w:eastAsia="Aptos Narrow" w:cs="Aptos Narrow" w:ascii="Aptos Narrow" w:hAnsi="Aptos Narrow"/>
          <w:b/>
          <w:sz w:val="24"/>
          <w:szCs w:val="24"/>
          <w:shd w:fill="auto" w:val="clear"/>
        </w:rPr>
        <w:t>9.3</w:t>
      </w:r>
      <w:r>
        <w:rPr>
          <w:rFonts w:eastAsia="Aptos Narrow" w:cs="Aptos Narrow" w:ascii="Aptos Narrow" w:hAnsi="Aptos Narrow"/>
          <w:sz w:val="24"/>
          <w:szCs w:val="24"/>
          <w:shd w:fill="auto" w:val="clear"/>
        </w:rPr>
        <w:t>.  A liquidação e o pagamento se dará na forma do art 1°, VIII da Ordem de Serviço n° 001, de 14 de fevereiro de 2025 do Gabinete da Prefeita.</w:t>
      </w:r>
    </w:p>
    <w:p>
      <w:pPr>
        <w:pStyle w:val="LOnormal11"/>
        <w:jc w:val="both"/>
        <w:rPr>
          <w:highlight w:val="none"/>
          <w:shd w:fill="auto" w:val="clear"/>
        </w:rPr>
      </w:pPr>
      <w:r>
        <w:rPr>
          <w:rFonts w:eastAsia="Aptos Narrow" w:cs="Aptos Narrow" w:ascii="Aptos Narrow" w:hAnsi="Aptos Narrow"/>
          <w:b/>
          <w:sz w:val="24"/>
          <w:szCs w:val="24"/>
          <w:shd w:fill="auto" w:val="clear"/>
        </w:rPr>
        <w:t xml:space="preserve">9.4. </w:t>
      </w:r>
      <w:r>
        <w:rPr>
          <w:rFonts w:eastAsia="Aptos Narrow" w:cs="Aptos Narrow" w:ascii="Aptos Narrow" w:hAnsi="Aptos Narrow"/>
          <w:b w:val="false"/>
          <w:bCs w:val="false"/>
          <w:sz w:val="24"/>
          <w:szCs w:val="24"/>
          <w:shd w:fill="auto" w:val="clear"/>
        </w:rPr>
        <w:t>Considera-se ocorrido o recebimento da nota fiscal ou fatura quando o órgão Contratante atestar a execução do objeto do contrato.</w:t>
      </w:r>
    </w:p>
    <w:p>
      <w:pPr>
        <w:pStyle w:val="LOnormal11"/>
        <w:jc w:val="both"/>
        <w:rPr>
          <w:highlight w:val="none"/>
          <w:shd w:fill="auto" w:val="clear"/>
        </w:rPr>
      </w:pPr>
      <w:r>
        <w:rPr>
          <w:rFonts w:eastAsia="Aptos Narrow" w:cs="Aptos Narrow" w:ascii="Aptos Narrow" w:hAnsi="Aptos Narrow"/>
          <w:b/>
          <w:sz w:val="24"/>
          <w:szCs w:val="24"/>
          <w:shd w:fill="auto" w:val="clear"/>
        </w:rPr>
        <w:t>9.5</w:t>
      </w:r>
      <w:r>
        <w:rPr>
          <w:rFonts w:eastAsia="Aptos Narrow" w:cs="Aptos Narrow" w:ascii="Aptos Narrow" w:hAnsi="Aptos Narrow"/>
          <w:sz w:val="24"/>
          <w:szCs w:val="24"/>
          <w:shd w:fill="auto" w:val="clear"/>
        </w:rPr>
        <w:t>. A emissão da Nota Fiscal/Fatura será precedida do recebimento do objeto da contratação, conforme disposto no Termo de Referência.</w:t>
      </w:r>
    </w:p>
    <w:p>
      <w:pPr>
        <w:pStyle w:val="LOnormal11"/>
        <w:jc w:val="both"/>
        <w:rPr>
          <w:highlight w:val="none"/>
          <w:shd w:fill="auto" w:val="clear"/>
        </w:rPr>
      </w:pPr>
      <w:r>
        <w:rPr>
          <w:rFonts w:eastAsia="Aptos Narrow" w:cs="Aptos Narrow" w:ascii="Aptos Narrow" w:hAnsi="Aptos Narrow"/>
          <w:b/>
          <w:sz w:val="24"/>
          <w:szCs w:val="24"/>
          <w:shd w:fill="auto" w:val="clear"/>
        </w:rPr>
        <w:t>9.6</w:t>
      </w:r>
      <w:r>
        <w:rPr>
          <w:rFonts w:eastAsia="Aptos Narrow" w:cs="Aptos Narrow" w:ascii="Aptos Narrow" w:hAnsi="Aptos Narrow"/>
          <w:sz w:val="24"/>
          <w:szCs w:val="24"/>
          <w:shd w:fill="auto" w:val="clear"/>
        </w:rPr>
        <w:t>.  Quando houver glosa parcial do objeto, a Contratante comunicará a empresa para que emita a nota fiscal ou fatura com o valor exato dimensionado.</w:t>
      </w:r>
    </w:p>
    <w:p>
      <w:pPr>
        <w:pStyle w:val="LOnormal11"/>
        <w:jc w:val="both"/>
        <w:rPr>
          <w:highlight w:val="none"/>
          <w:shd w:fill="auto" w:val="clear"/>
        </w:rPr>
      </w:pPr>
      <w:r>
        <w:rPr>
          <w:rFonts w:eastAsia="Aptos Narrow" w:cs="Aptos Narrow" w:ascii="Aptos Narrow" w:hAnsi="Aptos Narrow"/>
          <w:b/>
          <w:sz w:val="24"/>
          <w:szCs w:val="24"/>
          <w:shd w:fill="auto" w:val="clear"/>
        </w:rPr>
        <w:t>9.7</w:t>
      </w:r>
      <w:r>
        <w:rPr>
          <w:rFonts w:eastAsia="Aptos Narrow" w:cs="Aptos Narrow" w:ascii="Aptos Narrow" w:hAnsi="Aptos Narrow"/>
          <w:sz w:val="24"/>
          <w:szCs w:val="24"/>
          <w:shd w:fill="auto" w:val="clea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Onormal11"/>
        <w:jc w:val="both"/>
        <w:rPr>
          <w:highlight w:val="none"/>
          <w:shd w:fill="auto" w:val="clear"/>
        </w:rPr>
      </w:pPr>
      <w:r>
        <w:rPr>
          <w:rFonts w:eastAsia="Aptos Narrow" w:cs="Aptos Narrow" w:ascii="Aptos Narrow" w:hAnsi="Aptos Narrow"/>
          <w:b/>
          <w:sz w:val="24"/>
          <w:szCs w:val="24"/>
          <w:shd w:fill="auto" w:val="clear"/>
        </w:rPr>
        <w:t>9.8</w:t>
      </w:r>
      <w:r>
        <w:rPr>
          <w:rFonts w:eastAsia="Aptos Narrow" w:cs="Aptos Narrow" w:ascii="Aptos Narrow" w:hAnsi="Aptos Narrow"/>
          <w:sz w:val="24"/>
          <w:szCs w:val="24"/>
          <w:shd w:fill="auto" w:val="clea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LOnormal11"/>
        <w:ind w:left="284" w:hanging="0"/>
        <w:jc w:val="both"/>
        <w:rPr>
          <w:highlight w:val="none"/>
          <w:shd w:fill="auto" w:val="clear"/>
        </w:rPr>
      </w:pPr>
      <w:r>
        <w:rPr>
          <w:rFonts w:eastAsia="Aptos Narrow" w:cs="Aptos Narrow" w:ascii="Aptos Narrow" w:hAnsi="Aptos Narrow"/>
          <w:b/>
          <w:sz w:val="24"/>
          <w:szCs w:val="24"/>
          <w:shd w:fill="auto" w:val="clear"/>
        </w:rPr>
        <w:t>9.8.1</w:t>
      </w:r>
      <w:r>
        <w:rPr>
          <w:rFonts w:eastAsia="Aptos Narrow" w:cs="Aptos Narrow" w:ascii="Aptos Narrow" w:hAnsi="Aptos Narrow"/>
          <w:sz w:val="24"/>
          <w:szCs w:val="24"/>
          <w:shd w:fill="auto" w:val="clear"/>
        </w:rPr>
        <w:t xml:space="preserve">. Previamente à emissão de nota de empenho e a cada pagamento, a Administração deverá realizar consulta ao SICAF para: </w:t>
      </w:r>
    </w:p>
    <w:p>
      <w:pPr>
        <w:pStyle w:val="LOnormal11"/>
        <w:ind w:left="567" w:hanging="0"/>
        <w:jc w:val="both"/>
        <w:rPr>
          <w:highlight w:val="none"/>
          <w:shd w:fill="auto" w:val="clear"/>
        </w:rPr>
      </w:pPr>
      <w:r>
        <w:rPr>
          <w:rFonts w:eastAsia="Aptos Narrow" w:cs="Aptos Narrow" w:ascii="Aptos Narrow" w:hAnsi="Aptos Narrow"/>
          <w:b/>
          <w:sz w:val="24"/>
          <w:szCs w:val="24"/>
          <w:shd w:fill="auto" w:val="clear"/>
        </w:rPr>
        <w:t>a</w:t>
      </w:r>
      <w:r>
        <w:rPr>
          <w:rFonts w:eastAsia="Aptos Narrow" w:cs="Aptos Narrow" w:ascii="Aptos Narrow" w:hAnsi="Aptos Narrow"/>
          <w:sz w:val="24"/>
          <w:szCs w:val="24"/>
          <w:shd w:fill="auto" w:val="clear"/>
        </w:rPr>
        <w:t xml:space="preserve">) verificar a manutenção das condições de habilitação exigidas; </w:t>
      </w:r>
    </w:p>
    <w:p>
      <w:pPr>
        <w:pStyle w:val="LOnormal11"/>
        <w:ind w:left="567" w:hanging="0"/>
        <w:jc w:val="both"/>
        <w:rPr>
          <w:highlight w:val="none"/>
          <w:shd w:fill="auto" w:val="clear"/>
        </w:rPr>
      </w:pPr>
      <w:r>
        <w:rPr>
          <w:rFonts w:eastAsia="Aptos Narrow" w:cs="Aptos Narrow" w:ascii="Aptos Narrow" w:hAnsi="Aptos Narrow"/>
          <w:b/>
          <w:sz w:val="24"/>
          <w:szCs w:val="24"/>
          <w:shd w:fill="auto" w:val="clear"/>
        </w:rPr>
        <w:t>b</w:t>
      </w:r>
      <w:r>
        <w:rPr>
          <w:rFonts w:eastAsia="Aptos Narrow" w:cs="Aptos Narrow" w:ascii="Aptos Narrow" w:hAnsi="Aptos Narrow"/>
          <w:sz w:val="24"/>
          <w:szCs w:val="24"/>
          <w:shd w:fill="auto" w:val="clear"/>
        </w:rPr>
        <w:t>) identificar possível razão que impeça a participação em licitação, no âmbito do órgão ou entidade, proibição de contratar com o Poder Público, bem como ocorrências impeditivas indiretas.</w:t>
      </w:r>
    </w:p>
    <w:p>
      <w:pPr>
        <w:pStyle w:val="LOnormal11"/>
        <w:ind w:left="284" w:hanging="0"/>
        <w:jc w:val="both"/>
        <w:rPr>
          <w:highlight w:val="none"/>
          <w:shd w:fill="auto" w:val="clear"/>
        </w:rPr>
      </w:pPr>
      <w:r>
        <w:rPr>
          <w:rFonts w:eastAsia="Aptos Narrow" w:cs="Aptos Narrow" w:ascii="Aptos Narrow" w:hAnsi="Aptos Narrow"/>
          <w:b/>
          <w:sz w:val="24"/>
          <w:szCs w:val="24"/>
          <w:shd w:fill="auto" w:val="clear"/>
        </w:rPr>
        <w:t>9.8.2</w:t>
      </w:r>
      <w:r>
        <w:rPr>
          <w:rFonts w:eastAsia="Aptos Narrow" w:cs="Aptos Narrow" w:ascii="Aptos Narrow" w:hAnsi="Aptos Narrow"/>
          <w:sz w:val="24"/>
          <w:szCs w:val="24"/>
          <w:shd w:fill="auto" w:val="clea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LOnormal11"/>
        <w:ind w:left="567" w:hanging="0"/>
        <w:jc w:val="both"/>
        <w:rPr>
          <w:highlight w:val="none"/>
          <w:shd w:fill="auto" w:val="clear"/>
        </w:rPr>
      </w:pPr>
      <w:r>
        <w:rPr>
          <w:rFonts w:eastAsia="Aptos Narrow" w:cs="Aptos Narrow" w:ascii="Aptos Narrow" w:hAnsi="Aptos Narrow"/>
          <w:b/>
          <w:sz w:val="24"/>
          <w:szCs w:val="24"/>
          <w:shd w:fill="auto" w:val="clear"/>
        </w:rPr>
        <w:t>9.8.2.1</w:t>
      </w:r>
      <w:r>
        <w:rPr>
          <w:rFonts w:eastAsia="Aptos Narrow" w:cs="Aptos Narrow" w:ascii="Aptos Narrow" w:hAnsi="Aptos Narrow"/>
          <w:sz w:val="24"/>
          <w:szCs w:val="24"/>
          <w:shd w:fill="auto" w:val="clear"/>
        </w:rPr>
        <w:t xml:space="preserve">. Não havendo regularização ou sendo a defesa considerada improcedente, a Contratante deverá comunicar aos órgãos responsáveis pela fiscalização da regularidade quanto à inadimplência do Contratado, bem como quanto à existência de pagamento a ser efetuado, para que sejam acionados os meios pertinentes e necessários para garantir o recebimento de seus créditos.  </w:t>
      </w:r>
    </w:p>
    <w:p>
      <w:pPr>
        <w:pStyle w:val="LOnormal11"/>
        <w:ind w:left="567" w:hanging="0"/>
        <w:jc w:val="both"/>
        <w:rPr>
          <w:highlight w:val="none"/>
          <w:shd w:fill="auto" w:val="clear"/>
        </w:rPr>
      </w:pPr>
      <w:r>
        <w:rPr>
          <w:rFonts w:eastAsia="Aptos Narrow" w:cs="Aptos Narrow" w:ascii="Aptos Narrow" w:hAnsi="Aptos Narrow"/>
          <w:b/>
          <w:sz w:val="24"/>
          <w:szCs w:val="24"/>
          <w:shd w:fill="auto" w:val="clear"/>
        </w:rPr>
        <w:t>9.8.2.2</w:t>
      </w:r>
      <w:r>
        <w:rPr>
          <w:rFonts w:eastAsia="Aptos Narrow" w:cs="Aptos Narrow" w:ascii="Aptos Narrow" w:hAnsi="Aptos Narrow"/>
          <w:sz w:val="24"/>
          <w:szCs w:val="24"/>
          <w:shd w:fill="auto" w:val="clear"/>
        </w:rPr>
        <w:t xml:space="preserve">. Persistindo a irregularidade, a Contratante deverá adotar as medidas necessárias à rescisão contratual nos autos do processo administrativo correspondente, assegurada ao Contratado a ampla defesa. </w:t>
      </w:r>
    </w:p>
    <w:p>
      <w:pPr>
        <w:pStyle w:val="LOnormal11"/>
        <w:ind w:left="567" w:hanging="0"/>
        <w:jc w:val="both"/>
        <w:rPr>
          <w:highlight w:val="none"/>
          <w:shd w:fill="auto" w:val="clear"/>
        </w:rPr>
      </w:pPr>
      <w:r>
        <w:rPr>
          <w:rFonts w:eastAsia="Aptos Narrow" w:cs="Aptos Narrow" w:ascii="Aptos Narrow" w:hAnsi="Aptos Narrow"/>
          <w:b/>
          <w:sz w:val="24"/>
          <w:szCs w:val="24"/>
          <w:shd w:fill="auto" w:val="clear"/>
        </w:rPr>
        <w:t>9.8.2.3</w:t>
      </w:r>
      <w:r>
        <w:rPr>
          <w:rFonts w:eastAsia="Aptos Narrow" w:cs="Aptos Narrow" w:ascii="Aptos Narrow" w:hAnsi="Aptos Narrow"/>
          <w:sz w:val="24"/>
          <w:szCs w:val="24"/>
          <w:shd w:fill="auto" w:val="clear"/>
        </w:rPr>
        <w:t xml:space="preserve">. Havendo a efetiva execução do objeto, os pagamentos serão realizados normalmente, até que se decida pela rescisão do contrato, caso o Contratado não regularize sua situação junto ao SICAF.  </w:t>
      </w:r>
    </w:p>
    <w:p>
      <w:pPr>
        <w:pStyle w:val="LOnormal11"/>
        <w:ind w:left="284" w:hanging="0"/>
        <w:jc w:val="both"/>
        <w:rPr>
          <w:highlight w:val="none"/>
          <w:shd w:fill="auto" w:val="clear"/>
        </w:rPr>
      </w:pPr>
      <w:r>
        <w:rPr>
          <w:rFonts w:eastAsia="Aptos Narrow" w:cs="Aptos Narrow" w:ascii="Aptos Narrow" w:hAnsi="Aptos Narrow"/>
          <w:b/>
          <w:sz w:val="24"/>
          <w:szCs w:val="24"/>
          <w:shd w:fill="auto" w:val="clear"/>
        </w:rPr>
        <w:t>9.8.3</w:t>
      </w:r>
      <w:r>
        <w:rPr>
          <w:rFonts w:eastAsia="Aptos Narrow" w:cs="Aptos Narrow" w:ascii="Aptos Narrow" w:hAnsi="Aptos Narrow"/>
          <w:sz w:val="24"/>
          <w:szCs w:val="24"/>
          <w:shd w:fill="auto" w:val="clear"/>
        </w:rPr>
        <w:t>. Quando do pagamento, será efetuada a retenção tributária prevista na legislação aplicável.</w:t>
      </w:r>
    </w:p>
    <w:p>
      <w:pPr>
        <w:pStyle w:val="LOnormal11"/>
        <w:ind w:left="567" w:hanging="0"/>
        <w:jc w:val="both"/>
        <w:rPr>
          <w:highlight w:val="none"/>
          <w:shd w:fill="auto" w:val="clear"/>
        </w:rPr>
      </w:pPr>
      <w:r>
        <w:rPr>
          <w:rFonts w:eastAsia="Aptos Narrow" w:cs="Aptos Narrow" w:ascii="Aptos Narrow" w:hAnsi="Aptos Narrow"/>
          <w:b/>
          <w:sz w:val="24"/>
          <w:szCs w:val="24"/>
          <w:shd w:fill="auto" w:val="clear"/>
        </w:rPr>
        <w:t>9.8.3.1</w:t>
      </w:r>
      <w:r>
        <w:rPr>
          <w:rFonts w:eastAsia="Aptos Narrow" w:cs="Aptos Narrow" w:ascii="Aptos Narrow" w:hAnsi="Aptos Narrow"/>
          <w:sz w:val="24"/>
          <w:szCs w:val="24"/>
          <w:shd w:fill="auto" w:val="clear"/>
        </w:rPr>
        <w:t>. Independentemente do percentual de tributo inserido na planilha, no pagamento serão retidos na fonte os percentuais estabelecidos na legislação vigente.</w:t>
      </w:r>
    </w:p>
    <w:p>
      <w:pPr>
        <w:pStyle w:val="LOnormal11"/>
        <w:ind w:left="567" w:hanging="0"/>
        <w:jc w:val="both"/>
        <w:rPr>
          <w:highlight w:val="none"/>
          <w:shd w:fill="auto" w:val="clear"/>
        </w:rPr>
      </w:pPr>
      <w:r>
        <w:rPr>
          <w:rFonts w:eastAsia="Aptos Narrow" w:cs="Aptos Narrow" w:ascii="Aptos Narrow" w:hAnsi="Aptos Narrow"/>
          <w:b/>
          <w:sz w:val="24"/>
          <w:szCs w:val="24"/>
          <w:shd w:fill="auto" w:val="clear"/>
        </w:rPr>
        <w:t xml:space="preserve">9.8.3.2. </w:t>
      </w:r>
      <w:r>
        <w:rPr>
          <w:rFonts w:eastAsia="Aptos Narrow" w:cs="Aptos Narrow" w:ascii="Aptos Narrow" w:hAnsi="Aptos Narrow"/>
          <w:b w:val="false"/>
          <w:bCs w:val="false"/>
          <w:sz w:val="24"/>
          <w:szCs w:val="24"/>
          <w:shd w:fill="auto" w:val="clear"/>
        </w:rPr>
        <w:t>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Onormal11"/>
        <w:jc w:val="both"/>
        <w:rPr>
          <w:rFonts w:ascii="Aptos Narrow" w:hAnsi="Aptos Narrow" w:eastAsia="Aptos Narrow" w:cs="Aptos Narrow"/>
          <w:b/>
          <w:b/>
          <w:sz w:val="24"/>
          <w:szCs w:val="24"/>
        </w:rPr>
      </w:pPr>
      <w:r>
        <w:rPr>
          <w:rFonts w:eastAsia="Aptos Narrow" w:cs="Aptos Narrow" w:ascii="Aptos Narrow" w:hAnsi="Aptos Narrow"/>
          <w:b/>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2"/>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b/>
                <w:sz w:val="24"/>
                <w:szCs w:val="24"/>
              </w:rPr>
              <w:t>10. DAS CONDIÇÕES GERAIS:</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10.1</w:t>
      </w:r>
      <w:r>
        <w:rPr>
          <w:rFonts w:eastAsia="Aptos Narrow" w:cs="Aptos Narrow" w:ascii="Aptos Narrow" w:hAnsi="Aptos Narrow"/>
          <w:sz w:val="24"/>
          <w:szCs w:val="24"/>
        </w:rPr>
        <w:t>. As condições gerais de execução do objeto, tais como os prazos para entrega e recebimento, as obrigações da Administração e do fornecedor registrado, penalidades e demais condições do ajuste, encontram-se definidos na Minuta de Contrato anexo ao Edital.</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10.2</w:t>
      </w:r>
      <w:r>
        <w:rPr>
          <w:rFonts w:eastAsia="Aptos Narrow" w:cs="Aptos Narrow" w:ascii="Aptos Narrow" w:hAnsi="Aptos Narrow"/>
          <w:sz w:val="24"/>
          <w:szCs w:val="24"/>
        </w:rPr>
        <w:t>. No caso de adjudicação por preço global de grupo de itens, só será admitida a contratação de parte de itens do grupo se houver prévia pesquisa de mercado e demonstração de sua vantagem para o órgão ou a entidade.</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t>Para firmeza e validade do pactuado, a presente Ata foi lavrada em 03 (três) vias de igual teor, que, depois de lida e achada em ordem, vai assinada pelas partes e encaminhada cópia aos demais órgãos participantes (se houver).</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right"/>
        <w:rPr>
          <w:rFonts w:ascii="Aptos Narrow" w:hAnsi="Aptos Narrow" w:eastAsia="Aptos Narrow" w:cs="Aptos Narrow"/>
          <w:sz w:val="24"/>
          <w:szCs w:val="24"/>
        </w:rPr>
      </w:pPr>
      <w:r>
        <w:rPr>
          <w:rFonts w:eastAsia="Aptos Narrow" w:cs="Aptos Narrow" w:ascii="Aptos Narrow" w:hAnsi="Aptos Narrow"/>
          <w:b/>
          <w:bCs/>
          <w:sz w:val="24"/>
          <w:szCs w:val="24"/>
        </w:rPr>
        <w:t xml:space="preserve">Rio Grande, xx de  xxxx de 202x. </w:t>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b/>
          <w:bCs/>
          <w:sz w:val="24"/>
          <w:szCs w:val="24"/>
          <w:shd w:fill="FFFF00" w:val="clear"/>
        </w:rPr>
        <w:t>XXXX</w:t>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t>Representante(s) legal(is) do(s) fornecedor(s) registrado(s)</w:t>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b/>
          <w:b/>
          <w:bCs/>
          <w:sz w:val="24"/>
          <w:szCs w:val="24"/>
        </w:rPr>
      </w:pPr>
      <w:r>
        <w:rPr>
          <w:rFonts w:eastAsia="Aptos Narrow" w:cs="Aptos Narrow" w:ascii="Aptos Narrow" w:hAnsi="Aptos Narrow"/>
          <w:b/>
          <w:bCs/>
          <w:sz w:val="24"/>
          <w:szCs w:val="24"/>
          <w:shd w:fill="auto" w:val="clear"/>
        </w:rPr>
        <w:t xml:space="preserve">Ricardo de Biasi Amaral </w:t>
      </w:r>
    </w:p>
    <w:p>
      <w:pPr>
        <w:pStyle w:val="LOnormal11"/>
        <w:jc w:val="center"/>
        <w:rPr>
          <w:highlight w:val="none"/>
          <w:shd w:fill="auto" w:val="clear"/>
        </w:rPr>
      </w:pPr>
      <w:r>
        <w:rPr>
          <w:rFonts w:eastAsia="Aptos Narrow" w:cs="Aptos Narrow" w:ascii="Aptos Narrow" w:hAnsi="Aptos Narrow"/>
          <w:sz w:val="24"/>
          <w:szCs w:val="24"/>
          <w:shd w:fill="auto" w:val="clear"/>
        </w:rPr>
        <w:t>Secretário de Município de Gestão Administrativa</w:t>
      </w:r>
    </w:p>
    <w:p>
      <w:pPr>
        <w:pStyle w:val="LOnormal11"/>
        <w:jc w:val="center"/>
        <w:rPr>
          <w:highlight w:val="none"/>
          <w:shd w:fill="auto" w:val="clear"/>
        </w:rPr>
      </w:pPr>
      <w:r>
        <w:rPr>
          <w:shd w:fill="auto" w:val="clear"/>
        </w:rPr>
      </w:r>
    </w:p>
    <w:p>
      <w:pPr>
        <w:pStyle w:val="LOnormal11"/>
        <w:jc w:val="center"/>
        <w:rPr>
          <w:highlight w:val="none"/>
          <w:shd w:fill="auto" w:val="clear"/>
        </w:rPr>
      </w:pPr>
      <w:r>
        <w:rPr>
          <w:shd w:fill="auto" w:val="clear"/>
        </w:rPr>
      </w:r>
    </w:p>
    <w:p>
      <w:pPr>
        <w:pStyle w:val="LOnormal11"/>
        <w:jc w:val="center"/>
        <w:rPr>
          <w:highlight w:val="none"/>
          <w:shd w:fill="auto" w:val="clear"/>
        </w:rPr>
      </w:pPr>
      <w:r>
        <w:rPr>
          <w:rFonts w:eastAsia="Aptos Narrow" w:cs="Aptos Narrow" w:ascii="Aptos Narrow" w:hAnsi="Aptos Narrow"/>
          <w:b/>
          <w:bCs/>
          <w:color w:val="000000"/>
          <w:sz w:val="24"/>
          <w:szCs w:val="24"/>
          <w:shd w:fill="auto" w:val="clear"/>
        </w:rPr>
        <w:t xml:space="preserve">Juliana Acosta Santorum </w:t>
      </w:r>
    </w:p>
    <w:p>
      <w:pPr>
        <w:pStyle w:val="LOnormal11"/>
        <w:jc w:val="center"/>
        <w:rPr>
          <w:highlight w:val="none"/>
          <w:shd w:fill="auto" w:val="clear"/>
        </w:rPr>
      </w:pPr>
      <w:r>
        <w:rPr>
          <w:rFonts w:eastAsia="Aptos Narrow" w:cs="Aptos Narrow" w:ascii="Aptos Narrow" w:hAnsi="Aptos Narrow"/>
          <w:color w:val="000000"/>
          <w:sz w:val="24"/>
          <w:szCs w:val="24"/>
        </w:rPr>
        <w:t xml:space="preserve">Secretária de Município da Saúde </w:t>
      </w:r>
    </w:p>
    <w:p>
      <w:pPr>
        <w:pStyle w:val="Normal"/>
        <w:jc w:val="center"/>
        <w:rPr>
          <w:highlight w:val="none"/>
          <w:shd w:fill="auto" w:val="clear"/>
        </w:rPr>
      </w:pPr>
      <w:r>
        <w:rPr>
          <w:shd w:fill="auto" w:val="clear"/>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b/>
          <w:bCs/>
          <w:sz w:val="24"/>
          <w:szCs w:val="24"/>
        </w:rPr>
        <w:t>Leandro Pereira Cardozo</w:t>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t>Secretário de Município de Compras e Licitações</w:t>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b/>
          <w:smallCaps/>
          <w:sz w:val="24"/>
          <w:szCs w:val="24"/>
        </w:rPr>
        <w:t>ANEXO</w:t>
      </w:r>
      <w:r>
        <w:rPr>
          <w:rFonts w:eastAsia="Aptos Narrow" w:cs="Aptos Narrow" w:ascii="Aptos Narrow" w:hAnsi="Aptos Narrow"/>
          <w:sz w:val="24"/>
          <w:szCs w:val="24"/>
        </w:rPr>
        <w:t>:</w:t>
      </w:r>
    </w:p>
    <w:p>
      <w:pPr>
        <w:pStyle w:val="LOnormal11"/>
        <w:jc w:val="both"/>
        <w:rPr>
          <w:rFonts w:ascii="Aptos Narrow" w:hAnsi="Aptos Narrow" w:eastAsia="Aptos Narrow" w:cs="Aptos Narrow"/>
          <w:b/>
          <w:b/>
          <w:smallCaps/>
          <w:sz w:val="24"/>
          <w:szCs w:val="24"/>
        </w:rPr>
      </w:pPr>
      <w:r>
        <w:rPr>
          <w:rFonts w:eastAsia="Aptos Narrow" w:cs="Aptos Narrow" w:ascii="Aptos Narrow" w:hAnsi="Aptos Narrow"/>
          <w:b/>
          <w:smallCaps/>
          <w:sz w:val="24"/>
          <w:szCs w:val="24"/>
        </w:rPr>
        <w:t>Cadastro Reserva</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t>Seguindo a ordem de classificação, segue relação de fornecedores que aceitaram cotar os itens com preços iguais ao adjudicatário:</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3"/>
        <w:tblW w:w="9165" w:type="dxa"/>
        <w:jc w:val="left"/>
        <w:tblInd w:w="113" w:type="dxa"/>
        <w:tblLayout w:type="fixed"/>
        <w:tblCellMar>
          <w:top w:w="0" w:type="dxa"/>
          <w:left w:w="108" w:type="dxa"/>
          <w:bottom w:w="0" w:type="dxa"/>
          <w:right w:w="108" w:type="dxa"/>
        </w:tblCellMar>
        <w:tblLook w:val="0400"/>
      </w:tblPr>
      <w:tblGrid>
        <w:gridCol w:w="954"/>
        <w:gridCol w:w="3291"/>
        <w:gridCol w:w="900"/>
        <w:gridCol w:w="1199"/>
        <w:gridCol w:w="1126"/>
        <w:gridCol w:w="1694"/>
      </w:tblGrid>
      <w:tr>
        <w:trPr/>
        <w:tc>
          <w:tcPr>
            <w:tcW w:w="954" w:type="dxa"/>
            <w:vMerge w:val="restart"/>
            <w:tcBorders>
              <w:top w:val="single" w:sz="4" w:space="0" w:color="000000"/>
              <w:left w:val="single" w:sz="4" w:space="0" w:color="000000"/>
              <w:bottom w:val="single" w:sz="4" w:space="0" w:color="000000"/>
              <w:right w:val="single" w:sz="4" w:space="0" w:color="000000"/>
            </w:tcBorders>
            <w:vAlign w:val="center"/>
          </w:tcPr>
          <w:p>
            <w:pPr>
              <w:pStyle w:val="LOnormal11"/>
              <w:widowControl w:val="false"/>
              <w:spacing w:lineRule="auto" w:line="240" w:before="0" w:after="0"/>
              <w:jc w:val="left"/>
              <w:rPr>
                <w:rFonts w:ascii="Aptos Narrow" w:hAnsi="Aptos Narrow" w:eastAsia="Aptos Narrow" w:cs="Aptos Narrow"/>
                <w:b/>
                <w:b/>
              </w:rPr>
            </w:pPr>
            <w:r>
              <w:rPr>
                <w:rFonts w:eastAsia="Aptos Narrow" w:cs="Aptos Narrow" w:ascii="Aptos Narrow" w:hAnsi="Aptos Narrow"/>
                <w:b/>
                <w:sz w:val="20"/>
                <w:szCs w:val="20"/>
              </w:rPr>
              <w:t>Item</w:t>
            </w:r>
          </w:p>
          <w:p>
            <w:pPr>
              <w:pStyle w:val="LOnormal11"/>
              <w:widowControl w:val="false"/>
              <w:spacing w:lineRule="auto" w:line="240" w:before="0" w:after="0"/>
              <w:jc w:val="left"/>
              <w:rPr>
                <w:rFonts w:ascii="Aptos Narrow" w:hAnsi="Aptos Narrow" w:eastAsia="Aptos Narrow" w:cs="Aptos Narrow"/>
                <w:b/>
                <w:b/>
              </w:rPr>
            </w:pPr>
            <w:r>
              <w:rPr>
                <w:rFonts w:eastAsia="Aptos Narrow" w:cs="Aptos Narrow" w:ascii="Aptos Narrow" w:hAnsi="Aptos Narrow"/>
                <w:b/>
                <w:sz w:val="20"/>
                <w:szCs w:val="20"/>
              </w:rPr>
              <w:t>do TR</w:t>
            </w:r>
          </w:p>
        </w:tc>
        <w:tc>
          <w:tcPr>
            <w:tcW w:w="8210" w:type="dxa"/>
            <w:gridSpan w:val="5"/>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b/>
                <w:b/>
              </w:rPr>
            </w:pPr>
            <w:r>
              <w:rPr>
                <w:rFonts w:eastAsia="Aptos Narrow" w:cs="Aptos Narrow" w:ascii="Aptos Narrow" w:hAnsi="Aptos Narrow"/>
                <w:b/>
                <w:sz w:val="20"/>
                <w:szCs w:val="20"/>
              </w:rPr>
              <w:t>Fornecedor [</w:t>
            </w:r>
            <w:r>
              <w:rPr>
                <w:rFonts w:eastAsia="Aptos Narrow" w:cs="Aptos Narrow" w:ascii="Aptos Narrow" w:hAnsi="Aptos Narrow"/>
                <w:b/>
                <w:sz w:val="20"/>
                <w:szCs w:val="20"/>
                <w:highlight w:val="yellow"/>
              </w:rPr>
              <w:t>razão social, CNPJ, endereço, contatos, representante</w:t>
            </w:r>
            <w:r>
              <w:rPr>
                <w:rFonts w:eastAsia="Aptos Narrow" w:cs="Aptos Narrow" w:ascii="Aptos Narrow" w:hAnsi="Aptos Narrow"/>
                <w:b/>
                <w:sz w:val="20"/>
                <w:szCs w:val="20"/>
              </w:rPr>
              <w:t>]</w:t>
            </w:r>
          </w:p>
          <w:p>
            <w:pPr>
              <w:pStyle w:val="LOnormal11"/>
              <w:widowControl w:val="false"/>
              <w:spacing w:lineRule="auto" w:line="240" w:before="0" w:after="0"/>
              <w:jc w:val="both"/>
              <w:rPr>
                <w:rFonts w:ascii="Aptos Narrow" w:hAnsi="Aptos Narrow" w:eastAsia="Aptos Narrow" w:cs="Aptos Narrow"/>
                <w:b/>
                <w:b/>
              </w:rPr>
            </w:pPr>
            <w:r>
              <w:rPr>
                <w:rFonts w:eastAsia="Aptos Narrow" w:cs="Aptos Narrow" w:ascii="Aptos Narrow" w:hAnsi="Aptos Narrow"/>
                <w:b/>
              </w:rPr>
            </w:r>
          </w:p>
        </w:tc>
      </w:tr>
      <w:tr>
        <w:trPr/>
        <w:tc>
          <w:tcPr>
            <w:tcW w:w="954" w:type="dxa"/>
            <w:vMerge w:val="continue"/>
            <w:tcBorders>
              <w:top w:val="single" w:sz="4" w:space="0" w:color="000000"/>
              <w:left w:val="single" w:sz="4" w:space="0" w:color="000000"/>
              <w:bottom w:val="single" w:sz="4" w:space="0" w:color="000000"/>
              <w:right w:val="single" w:sz="4" w:space="0" w:color="000000"/>
            </w:tcBorders>
            <w:vAlign w:val="center"/>
          </w:tcPr>
          <w:p>
            <w:pPr>
              <w:pStyle w:val="LOnormal11"/>
              <w:keepNext w:val="false"/>
              <w:keepLines w:val="false"/>
              <w:widowControl w:val="false"/>
              <w:shd w:val="clear" w:fill="auto"/>
              <w:spacing w:lineRule="auto" w:line="276" w:before="0" w:after="0"/>
              <w:ind w:left="0" w:right="0" w:hanging="0"/>
              <w:jc w:val="left"/>
              <w:rPr>
                <w:rFonts w:ascii="Aptos Narrow" w:hAnsi="Aptos Narrow" w:eastAsia="Aptos Narrow" w:cs="Aptos Narrow"/>
                <w:b/>
                <w:b/>
              </w:rPr>
            </w:pPr>
            <w:r>
              <w:rPr>
                <w:rFonts w:eastAsia="Aptos Narrow" w:cs="Aptos Narrow" w:ascii="Aptos Narrow" w:hAnsi="Aptos Narrow"/>
                <w:b/>
              </w:rPr>
            </w:r>
          </w:p>
        </w:tc>
        <w:tc>
          <w:tcPr>
            <w:tcW w:w="3291"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Especificação</w:t>
            </w:r>
          </w:p>
        </w:tc>
        <w:tc>
          <w:tcPr>
            <w:tcW w:w="900"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Unidade</w:t>
            </w:r>
          </w:p>
        </w:tc>
        <w:tc>
          <w:tcPr>
            <w:tcW w:w="1199"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Qte. Máx.</w:t>
            </w:r>
          </w:p>
        </w:tc>
        <w:tc>
          <w:tcPr>
            <w:tcW w:w="112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Qte. Mín.</w:t>
            </w:r>
          </w:p>
        </w:tc>
        <w:tc>
          <w:tcPr>
            <w:tcW w:w="169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Vlr. Unit.</w:t>
            </w:r>
          </w:p>
        </w:tc>
      </w:tr>
      <w:tr>
        <w:trPr/>
        <w:tc>
          <w:tcPr>
            <w:tcW w:w="95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3291"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900"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99"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2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69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r>
      <w:tr>
        <w:trPr/>
        <w:tc>
          <w:tcPr>
            <w:tcW w:w="95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3291"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900"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99"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2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69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r>
      <w:tr>
        <w:trPr/>
        <w:tc>
          <w:tcPr>
            <w:tcW w:w="95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3291"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900"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99"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2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69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t>Seguindo a ordem de classificação, segue relação de fornecedores que mantiveram sua proposta original:</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3"/>
        <w:tblW w:w="9165" w:type="dxa"/>
        <w:jc w:val="left"/>
        <w:tblInd w:w="113" w:type="dxa"/>
        <w:tblLayout w:type="fixed"/>
        <w:tblCellMar>
          <w:top w:w="0" w:type="dxa"/>
          <w:left w:w="108" w:type="dxa"/>
          <w:bottom w:w="0" w:type="dxa"/>
          <w:right w:w="108" w:type="dxa"/>
        </w:tblCellMar>
        <w:tblLook w:val="0400"/>
      </w:tblPr>
      <w:tblGrid>
        <w:gridCol w:w="954"/>
        <w:gridCol w:w="3291"/>
        <w:gridCol w:w="900"/>
        <w:gridCol w:w="1199"/>
        <w:gridCol w:w="1126"/>
        <w:gridCol w:w="1694"/>
      </w:tblGrid>
      <w:tr>
        <w:trPr/>
        <w:tc>
          <w:tcPr>
            <w:tcW w:w="954" w:type="dxa"/>
            <w:vMerge w:val="restart"/>
            <w:tcBorders>
              <w:top w:val="single" w:sz="4" w:space="0" w:color="000000"/>
              <w:left w:val="single" w:sz="4" w:space="0" w:color="000000"/>
              <w:bottom w:val="single" w:sz="4" w:space="0" w:color="000000"/>
              <w:right w:val="single" w:sz="4" w:space="0" w:color="000000"/>
            </w:tcBorders>
            <w:vAlign w:val="center"/>
          </w:tcPr>
          <w:p>
            <w:pPr>
              <w:pStyle w:val="LOnormal11"/>
              <w:widowControl w:val="false"/>
              <w:spacing w:lineRule="auto" w:line="240" w:before="0" w:after="0"/>
              <w:jc w:val="left"/>
              <w:rPr>
                <w:rFonts w:ascii="Aptos Narrow" w:hAnsi="Aptos Narrow" w:eastAsia="Aptos Narrow" w:cs="Aptos Narrow"/>
                <w:b/>
                <w:b/>
              </w:rPr>
            </w:pPr>
            <w:r>
              <w:rPr>
                <w:rFonts w:eastAsia="Aptos Narrow" w:cs="Aptos Narrow" w:ascii="Aptos Narrow" w:hAnsi="Aptos Narrow"/>
                <w:b/>
                <w:sz w:val="20"/>
                <w:szCs w:val="20"/>
              </w:rPr>
              <w:t>Item</w:t>
            </w:r>
          </w:p>
          <w:p>
            <w:pPr>
              <w:pStyle w:val="LOnormal11"/>
              <w:widowControl w:val="false"/>
              <w:spacing w:lineRule="auto" w:line="240" w:before="0" w:after="0"/>
              <w:jc w:val="left"/>
              <w:rPr>
                <w:rFonts w:ascii="Aptos Narrow" w:hAnsi="Aptos Narrow" w:eastAsia="Aptos Narrow" w:cs="Aptos Narrow"/>
                <w:b/>
                <w:b/>
              </w:rPr>
            </w:pPr>
            <w:r>
              <w:rPr>
                <w:rFonts w:eastAsia="Aptos Narrow" w:cs="Aptos Narrow" w:ascii="Aptos Narrow" w:hAnsi="Aptos Narrow"/>
                <w:b/>
                <w:sz w:val="20"/>
                <w:szCs w:val="20"/>
              </w:rPr>
              <w:t>do TR</w:t>
            </w:r>
          </w:p>
        </w:tc>
        <w:tc>
          <w:tcPr>
            <w:tcW w:w="8210" w:type="dxa"/>
            <w:gridSpan w:val="5"/>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b/>
                <w:b/>
              </w:rPr>
            </w:pPr>
            <w:r>
              <w:rPr>
                <w:rFonts w:eastAsia="Aptos Narrow" w:cs="Aptos Narrow" w:ascii="Aptos Narrow" w:hAnsi="Aptos Narrow"/>
                <w:b/>
                <w:sz w:val="20"/>
                <w:szCs w:val="20"/>
              </w:rPr>
              <w:t>Fornecedor [</w:t>
            </w:r>
            <w:r>
              <w:rPr>
                <w:rFonts w:eastAsia="Aptos Narrow" w:cs="Aptos Narrow" w:ascii="Aptos Narrow" w:hAnsi="Aptos Narrow"/>
                <w:b/>
                <w:sz w:val="20"/>
                <w:szCs w:val="20"/>
                <w:highlight w:val="yellow"/>
              </w:rPr>
              <w:t>razão social, CNPJ, endereço, contatos, representante</w:t>
            </w:r>
            <w:r>
              <w:rPr>
                <w:rFonts w:eastAsia="Aptos Narrow" w:cs="Aptos Narrow" w:ascii="Aptos Narrow" w:hAnsi="Aptos Narrow"/>
                <w:b/>
                <w:sz w:val="20"/>
                <w:szCs w:val="20"/>
              </w:rPr>
              <w:t>]</w:t>
            </w:r>
          </w:p>
          <w:p>
            <w:pPr>
              <w:pStyle w:val="LOnormal11"/>
              <w:widowControl w:val="false"/>
              <w:spacing w:lineRule="auto" w:line="240" w:before="0" w:after="0"/>
              <w:jc w:val="both"/>
              <w:rPr>
                <w:rFonts w:ascii="Aptos Narrow" w:hAnsi="Aptos Narrow" w:eastAsia="Aptos Narrow" w:cs="Aptos Narrow"/>
                <w:b/>
                <w:b/>
              </w:rPr>
            </w:pPr>
            <w:r>
              <w:rPr>
                <w:rFonts w:eastAsia="Aptos Narrow" w:cs="Aptos Narrow" w:ascii="Aptos Narrow" w:hAnsi="Aptos Narrow"/>
                <w:b/>
              </w:rPr>
            </w:r>
          </w:p>
        </w:tc>
      </w:tr>
      <w:tr>
        <w:trPr/>
        <w:tc>
          <w:tcPr>
            <w:tcW w:w="954" w:type="dxa"/>
            <w:vMerge w:val="continue"/>
            <w:tcBorders>
              <w:top w:val="single" w:sz="4" w:space="0" w:color="000000"/>
              <w:left w:val="single" w:sz="4" w:space="0" w:color="000000"/>
              <w:bottom w:val="single" w:sz="4" w:space="0" w:color="000000"/>
              <w:right w:val="single" w:sz="4" w:space="0" w:color="000000"/>
            </w:tcBorders>
            <w:vAlign w:val="center"/>
          </w:tcPr>
          <w:p>
            <w:pPr>
              <w:pStyle w:val="LOnormal11"/>
              <w:keepNext w:val="false"/>
              <w:keepLines w:val="false"/>
              <w:widowControl w:val="false"/>
              <w:shd w:val="clear" w:fill="auto"/>
              <w:spacing w:lineRule="auto" w:line="276" w:before="0" w:after="0"/>
              <w:ind w:left="0" w:right="0" w:hanging="0"/>
              <w:jc w:val="left"/>
              <w:rPr>
                <w:rFonts w:ascii="Aptos Narrow" w:hAnsi="Aptos Narrow" w:eastAsia="Aptos Narrow" w:cs="Aptos Narrow"/>
                <w:b/>
                <w:b/>
              </w:rPr>
            </w:pPr>
            <w:r>
              <w:rPr>
                <w:rFonts w:eastAsia="Aptos Narrow" w:cs="Aptos Narrow" w:ascii="Aptos Narrow" w:hAnsi="Aptos Narrow"/>
                <w:b/>
              </w:rPr>
            </w:r>
          </w:p>
        </w:tc>
        <w:tc>
          <w:tcPr>
            <w:tcW w:w="3291"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Especificação</w:t>
            </w:r>
          </w:p>
        </w:tc>
        <w:tc>
          <w:tcPr>
            <w:tcW w:w="900"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Unidade</w:t>
            </w:r>
          </w:p>
        </w:tc>
        <w:tc>
          <w:tcPr>
            <w:tcW w:w="1199"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Qte. Máx.</w:t>
            </w:r>
          </w:p>
        </w:tc>
        <w:tc>
          <w:tcPr>
            <w:tcW w:w="112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Qte. Mín.</w:t>
            </w:r>
          </w:p>
        </w:tc>
        <w:tc>
          <w:tcPr>
            <w:tcW w:w="169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center"/>
              <w:rPr>
                <w:rFonts w:ascii="Aptos Narrow" w:hAnsi="Aptos Narrow" w:eastAsia="Aptos Narrow" w:cs="Aptos Narrow"/>
                <w:b/>
                <w:b/>
              </w:rPr>
            </w:pPr>
            <w:r>
              <w:rPr>
                <w:rFonts w:eastAsia="Aptos Narrow" w:cs="Aptos Narrow" w:ascii="Aptos Narrow" w:hAnsi="Aptos Narrow"/>
                <w:b/>
                <w:sz w:val="20"/>
                <w:szCs w:val="20"/>
              </w:rPr>
              <w:t>Vlr. Unit.</w:t>
            </w:r>
          </w:p>
        </w:tc>
      </w:tr>
      <w:tr>
        <w:trPr/>
        <w:tc>
          <w:tcPr>
            <w:tcW w:w="95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3291"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900"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99"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2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69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r>
      <w:tr>
        <w:trPr/>
        <w:tc>
          <w:tcPr>
            <w:tcW w:w="95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3291"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900"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99"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2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69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r>
      <w:tr>
        <w:trPr/>
        <w:tc>
          <w:tcPr>
            <w:tcW w:w="95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3291"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900"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99"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126"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c>
          <w:tcPr>
            <w:tcW w:w="1694"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sz w:val="24"/>
                <w:szCs w:val="24"/>
              </w:rPr>
            </w:r>
          </w:p>
        </w:tc>
      </w:tr>
    </w:tbl>
    <w:p>
      <w:pPr>
        <w:pStyle w:val="Normal"/>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
    </w:p>
    <w:sectPr>
      <w:headerReference w:type="default" r:id="rId2"/>
      <w:footerReference w:type="default" r:id="rId3"/>
      <w:type w:val="nextPage"/>
      <w:pgSz w:w="11906" w:h="16838"/>
      <w:pgMar w:left="1701" w:right="1701" w:gutter="0" w:header="708" w:top="1417" w:footer="708" w:bottom="141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Arial">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right="360" w:hanging="0"/>
      <w:rPr/>
    </w:pPr>
    <w:r>
      <w:rPr/>
      <mc:AlternateContent>
        <mc:Choice Requires="wps">
          <w:drawing>
            <wp:anchor behindDoc="1" distT="165100" distB="165100" distL="542290" distR="543560" simplePos="0" locked="0" layoutInCell="0" allowOverlap="1" relativeHeight="37" wp14:anchorId="69ADF8BA">
              <wp:simplePos x="0" y="0"/>
              <wp:positionH relativeFrom="column">
                <wp:posOffset>5812790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7.7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0" allowOverlap="1" relativeHeight="9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Rodap"/>
      <w:ind w:right="360" w:hanging="0"/>
      <w:rPr>
        <w:b/>
        <w:b/>
        <w:bCs/>
        <w:color w:val="767171"/>
      </w:rPr>
    </w:pPr>
    <w:r>
      <w:rPr>
        <w:b/>
        <w:bCs/>
        <w:color w:val="767171" w:themeColor="background2" w:themeShade="80"/>
      </w:rPr>
      <w:t xml:space="preserve"> </w:t>
    </w:r>
    <w:r>
      <w:drawing>
        <wp:anchor behindDoc="1" distT="0" distB="0" distL="0" distR="0" simplePos="0" locked="0" layoutInCell="0" allowOverlap="1" relativeHeight="64">
          <wp:simplePos x="0" y="0"/>
          <wp:positionH relativeFrom="column">
            <wp:posOffset>-187960</wp:posOffset>
          </wp:positionH>
          <wp:positionV relativeFrom="paragraph">
            <wp:posOffset>217170</wp:posOffset>
          </wp:positionV>
          <wp:extent cx="129540" cy="129540"/>
          <wp:effectExtent l="0" t="0" r="0" b="0"/>
          <wp:wrapNone/>
          <wp:docPr id="6"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0" descr=""/>
                  <pic:cNvPicPr>
                    <a:picLocks noChangeAspect="1" noChangeArrowheads="1"/>
                  </pic:cNvPicPr>
                </pic:nvPicPr>
                <pic:blipFill>
                  <a:blip r:embed="rId2"/>
                  <a:stretch>
                    <a:fillRect/>
                  </a:stretch>
                </pic:blipFill>
                <pic:spPr bwMode="auto">
                  <a:xfrm>
                    <a:off x="0" y="0"/>
                    <a:ext cx="129540" cy="129540"/>
                  </a:xfrm>
                  <a:prstGeom prst="rect">
                    <a:avLst/>
                  </a:prstGeom>
                </pic:spPr>
              </pic:pic>
            </a:graphicData>
          </a:graphic>
        </wp:anchor>
      </w:drawing>
    </w:r>
    <w:r>
      <w:rPr>
        <w:b/>
        <w:bCs/>
        <w:color w:val="767171" w:themeColor="background2" w:themeShade="80"/>
      </w:rPr>
      <w:t>RUA REPÚBLICA DO LÍBANO Nº 88, CENTRO</w:t>
    </w:r>
  </w:p>
  <w:p>
    <w:pPr>
      <w:pStyle w:val="Rodap"/>
      <w:rPr>
        <w:b/>
        <w:b/>
        <w:bCs/>
        <w:color w:val="767171"/>
      </w:rPr>
    </w:pPr>
    <w:r>
      <w:drawing>
        <wp:anchor behindDoc="1" distT="0" distB="0" distL="0" distR="0" simplePos="0" locked="0" layoutInCell="0" allowOverlap="1" relativeHeight="82">
          <wp:simplePos x="0" y="0"/>
          <wp:positionH relativeFrom="column">
            <wp:posOffset>-189865</wp:posOffset>
          </wp:positionH>
          <wp:positionV relativeFrom="paragraph">
            <wp:posOffset>215900</wp:posOffset>
          </wp:positionV>
          <wp:extent cx="130175" cy="130175"/>
          <wp:effectExtent l="0" t="0" r="0" b="0"/>
          <wp:wrapNone/>
          <wp:docPr id="7"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3" descr=""/>
                  <pic:cNvPicPr>
                    <a:picLocks noChangeAspect="1" noChangeArrowheads="1"/>
                  </pic:cNvPicPr>
                </pic:nvPicPr>
                <pic:blipFill>
                  <a:blip r:embed="rId3"/>
                  <a:stretch>
                    <a:fillRect/>
                  </a:stretch>
                </pic:blipFill>
                <pic:spPr bwMode="auto">
                  <a:xfrm>
                    <a:off x="0" y="0"/>
                    <a:ext cx="130175" cy="130175"/>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PREFEITURAMUNICIPALDORG</w:t>
    </w:r>
  </w:p>
  <w:p>
    <w:pPr>
      <w:pStyle w:val="Rodap"/>
      <w:rPr>
        <w:b/>
        <w:b/>
        <w:bCs/>
        <w:color w:val="767171"/>
      </w:rPr>
    </w:pPr>
    <w:r>
      <w:drawing>
        <wp:anchor behindDoc="1" distT="0" distB="0" distL="0" distR="0" simplePos="0" locked="0" layoutInCell="0" allowOverlap="1" relativeHeight="73">
          <wp:simplePos x="0" y="0"/>
          <wp:positionH relativeFrom="column">
            <wp:posOffset>-191770</wp:posOffset>
          </wp:positionH>
          <wp:positionV relativeFrom="paragraph">
            <wp:posOffset>224155</wp:posOffset>
          </wp:positionV>
          <wp:extent cx="133350" cy="116840"/>
          <wp:effectExtent l="0" t="0" r="0" b="0"/>
          <wp:wrapNone/>
          <wp:docPr id="8"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1" descr=""/>
                  <pic:cNvPicPr>
                    <a:picLocks noChangeAspect="1" noChangeArrowheads="1"/>
                  </pic:cNvPicPr>
                </pic:nvPicPr>
                <pic:blipFill>
                  <a:blip r:embed="rId4"/>
                  <a:stretch>
                    <a:fillRect/>
                  </a:stretch>
                </pic:blipFill>
                <pic:spPr bwMode="auto">
                  <a:xfrm>
                    <a:off x="0" y="0"/>
                    <a:ext cx="133350" cy="116840"/>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PREFEITURADORIOGRANDE</w:t>
    </w:r>
  </w:p>
  <w:p>
    <w:pPr>
      <w:pStyle w:val="Rodap"/>
      <w:rPr>
        <w:b/>
        <w:b/>
        <w:bCs/>
        <w:color w:val="767171"/>
      </w:rPr>
    </w:pPr>
    <w:r>
      <mc:AlternateContent>
        <mc:Choice Requires="wps">
          <w:drawing>
            <wp:anchor behindDoc="1" distT="635" distB="0" distL="0" distR="0" simplePos="0" locked="0" layoutInCell="0" allowOverlap="1" relativeHeight="10" wp14:anchorId="154B6775">
              <wp:simplePos x="0" y="0"/>
              <wp:positionH relativeFrom="column">
                <wp:posOffset>-6115050</wp:posOffset>
              </wp:positionH>
              <wp:positionV relativeFrom="paragraph">
                <wp:posOffset>2882265</wp:posOffset>
              </wp:positionV>
              <wp:extent cx="9029065" cy="1235710"/>
              <wp:effectExtent l="0" t="635" r="0" b="0"/>
              <wp:wrapNone/>
              <wp:docPr id="9"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0" allowOverlap="1" relativeHeight="54" wp14:anchorId="76B9F30E">
              <wp:simplePos x="0" y="0"/>
              <wp:positionH relativeFrom="column">
                <wp:posOffset>3575685</wp:posOffset>
              </wp:positionH>
              <wp:positionV relativeFrom="paragraph">
                <wp:posOffset>405130</wp:posOffset>
              </wp:positionV>
              <wp:extent cx="3412490" cy="1088390"/>
              <wp:effectExtent l="79375" t="377190" r="79375" b="377825"/>
              <wp:wrapNone/>
              <wp:docPr id="10"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1.8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val="767171" w:themeColor="background2" w:themeShade="80"/>
      </w:rPr>
      <w:t xml:space="preserve"> </w:t>
    </w:r>
    <w:r>
      <w:rPr>
        <w:b/>
        <w:bCs/>
        <w:color w:val="767171" w:themeColor="background2" w:themeShade="80"/>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firstLine="1276"/>
      <w:jc w:val="center"/>
      <w:rPr>
        <w:b/>
        <w:b/>
        <w:bCs/>
        <w:sz w:val="32"/>
        <w:szCs w:val="32"/>
      </w:rPr>
    </w:pPr>
    <w:r>
      <w:drawing>
        <wp:anchor behindDoc="1" distT="0" distB="0" distL="0" distR="0" simplePos="0" locked="0" layoutInCell="0" allowOverlap="1" relativeHeight="19">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0" allowOverlap="1" relativeHeight="28" wp14:anchorId="3F7DB15E">
              <wp:simplePos x="0" y="0"/>
              <wp:positionH relativeFrom="column">
                <wp:posOffset>-4059555</wp:posOffset>
              </wp:positionH>
              <wp:positionV relativeFrom="paragraph">
                <wp:posOffset>-2067560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2.8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Cabealho"/>
      <w:ind w:firstLine="1276"/>
      <w:jc w:val="center"/>
      <w:rPr>
        <w:b/>
        <w:b/>
        <w:bCs/>
        <w:sz w:val="32"/>
        <w:szCs w:val="32"/>
      </w:rPr>
    </w:pPr>
    <w:r>
      <w:rPr>
        <w:b/>
        <w:bCs/>
        <w:color w:val="767171" w:themeColor="background2" w:themeShade="80"/>
        <w:sz w:val="32"/>
        <w:szCs w:val="32"/>
      </w:rPr>
      <w:t>Secretaria de Município de Compras e Licitações</w:t>
    </w:r>
  </w:p>
  <w:p>
    <w:pPr>
      <w:pStyle w:val="Cabealho"/>
      <w:ind w:firstLine="2268"/>
      <w:rPr>
        <w:b/>
        <w:b/>
        <w:bCs/>
        <w:sz w:val="32"/>
        <w:szCs w:val="32"/>
      </w:rPr>
    </w:pPr>
    <w:r>
      <w:rPr>
        <w:b/>
        <w:bCs/>
        <w:sz w:val="32"/>
        <w:szCs w:val="32"/>
      </w:rPr>
      <mc:AlternateContent>
        <mc:Choice Requires="wps">
          <w:drawing>
            <wp:anchor behindDoc="1" distT="0" distB="0" distL="0" distR="635" simplePos="0" locked="0" layoutInCell="0" allowOverlap="1" relativeHeight="100"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LinkdaInternet">
    <w:name w:val="Hyperlink"/>
    <w:basedOn w:val="DefaultParagraphFont"/>
    <w:uiPriority w:val="99"/>
    <w:unhideWhenUsed/>
    <w:rsid w:val="003c4897"/>
    <w:rPr>
      <w:color w:val="0563C1" w:themeColor="hyperlink"/>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5733d"/>
    <w:pPr>
      <w:tabs>
        <w:tab w:val="clear" w:pos="708"/>
        <w:tab w:val="center" w:pos="4252" w:leader="none"/>
        <w:tab w:val="right" w:pos="8504" w:leader="none"/>
      </w:tabs>
    </w:pPr>
    <w:rPr/>
  </w:style>
  <w:style w:type="paragraph" w:styleId="Rodap">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LOnormal11">
    <w:name w:val="LO-normal1"/>
    <w:qFormat/>
    <w:pPr>
      <w:widowControl/>
      <w:suppressAutoHyphens w:val="true"/>
      <w:bidi w:val="0"/>
      <w:spacing w:before="0" w:after="0"/>
      <w:jc w:val="left"/>
    </w:pPr>
    <w:rPr>
      <w:rFonts w:ascii="Times New Roman" w:hAnsi="Times New Roman" w:eastAsia="NSimSun" w:cs="Lucida Sans"/>
      <w:color w:val="auto"/>
      <w:kern w:val="0"/>
      <w:sz w:val="20"/>
      <w:szCs w:val="20"/>
      <w:lang w:val="pt-BR" w:eastAsia="zh-CN" w:bidi="hi-IN"/>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917</TotalTime>
  <Application>LibreOffice/7.4.4.2$Windows_X86_64 LibreOffice_project/85569322deea74ec9134968a29af2df5663baa21</Application>
  <AppVersion>15.0000</AppVersion>
  <Pages>9</Pages>
  <Words>2881</Words>
  <Characters>16270</Characters>
  <CharactersWithSpaces>19045</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description/>
  <dc:language>pt-BR</dc:language>
  <cp:lastModifiedBy/>
  <dcterms:modified xsi:type="dcterms:W3CDTF">2025-11-28T11:04:49Z</dcterms:modified>
  <cp:revision>113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