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ind w:hanging="0" w:left="5103"/>
        <w:jc w:val="both"/>
        <w:rPr>
          <w:rFonts w:ascii="Calibri" w:hAnsi="Calibri"/>
          <w:sz w:val="24"/>
          <w:szCs w:val="24"/>
        </w:rPr>
      </w:pPr>
      <w:r>
        <w:rPr>
          <w:rFonts w:ascii="Calibri" w:hAnsi="Calibri"/>
          <w:b/>
          <w:bCs/>
          <w:sz w:val="24"/>
          <w:szCs w:val="24"/>
        </w:rPr>
        <w:t xml:space="preserve">CONTRATO ADMINISTRATIVO </w:t>
      </w:r>
      <w:r>
        <w:rPr>
          <w:rFonts w:ascii="Calibri" w:hAnsi="Calibri"/>
          <w:b/>
          <w:bCs/>
          <w:sz w:val="24"/>
          <w:szCs w:val="24"/>
          <w:highlight w:val="yellow"/>
        </w:rPr>
        <w:t>000/2026</w:t>
      </w:r>
      <w:r>
        <w:rPr>
          <w:rFonts w:ascii="Calibri" w:hAnsi="Calibri"/>
          <w:b/>
          <w:bCs/>
          <w:sz w:val="24"/>
          <w:szCs w:val="24"/>
        </w:rPr>
        <w:t>, FIRMADO ENTRE O MUNICÍPIO DO RIO GRANDE/RS, POR INTERMÉDIO DA SECRETARIA DE MUNICÍPIO DE COMPRAS E LICITAÇÕES E [</w:t>
      </w:r>
      <w:r>
        <w:rPr>
          <w:rFonts w:ascii="Calibri" w:hAnsi="Calibri"/>
          <w:b/>
          <w:bCs/>
          <w:sz w:val="24"/>
          <w:szCs w:val="24"/>
          <w:highlight w:val="yellow"/>
        </w:rPr>
        <w:t>NOME DO CONTRATADO</w:t>
      </w:r>
      <w:r>
        <w:rPr>
          <w:rFonts w:ascii="Calibri" w:hAnsi="Calibri"/>
          <w:b/>
          <w:bCs/>
          <w:sz w:val="24"/>
          <w:szCs w:val="24"/>
        </w:rPr>
        <w:t xml:space="preserve">], DE ACORDO COM O </w:t>
      </w:r>
      <w:r>
        <w:rPr>
          <w:rFonts w:ascii="Calibri" w:hAnsi="Calibri"/>
          <w:b/>
          <w:bCs/>
          <w:sz w:val="24"/>
          <w:szCs w:val="24"/>
          <w:shd w:fill="auto" w:val="clear"/>
        </w:rPr>
        <w:t>PREGÃO 0</w:t>
      </w:r>
      <w:r>
        <w:rPr>
          <w:rFonts w:ascii="Calibri" w:hAnsi="Calibri"/>
          <w:b/>
          <w:bCs/>
          <w:sz w:val="24"/>
          <w:szCs w:val="24"/>
          <w:shd w:fill="auto" w:val="clear"/>
        </w:rPr>
        <w:t>36</w:t>
      </w:r>
      <w:r>
        <w:rPr>
          <w:rFonts w:ascii="Calibri" w:hAnsi="Calibri"/>
          <w:b/>
          <w:bCs/>
          <w:sz w:val="24"/>
          <w:szCs w:val="24"/>
          <w:shd w:fill="FFFFFF" w:val="clear"/>
        </w:rPr>
        <w:t>/2026</w:t>
      </w:r>
      <w:r>
        <w:rPr>
          <w:rFonts w:ascii="Calibri" w:hAnsi="Calibri"/>
          <w:b/>
          <w:bCs/>
          <w:sz w:val="24"/>
          <w:szCs w:val="24"/>
          <w:shd w:fill="auto" w:val="clear"/>
        </w:rPr>
        <w:t>, SOB A FORMA ELETRÔNICA - SRP,</w:t>
      </w:r>
      <w:r>
        <w:rPr>
          <w:rFonts w:ascii="Calibri" w:hAnsi="Calibri"/>
          <w:b/>
          <w:bCs/>
          <w:sz w:val="24"/>
          <w:szCs w:val="24"/>
        </w:rPr>
        <w:t xml:space="preserve"> PARA </w:t>
      </w:r>
      <w:r>
        <w:rPr>
          <w:rFonts w:eastAsia="Calibri" w:cs="Times New Roman" w:ascii="Calibri" w:hAnsi="Calibri"/>
          <w:b/>
          <w:bCs/>
          <w:color w:val="000000"/>
          <w:kern w:val="0"/>
          <w:sz w:val="24"/>
          <w:szCs w:val="24"/>
          <w:shd w:fill="auto" w:val="clear"/>
          <w:lang w:val="pt-BR" w:eastAsia="en-US" w:bidi="ar-SA"/>
        </w:rPr>
        <w:t xml:space="preserve">AQUISIÇÃO </w:t>
      </w:r>
      <w:r>
        <w:rPr>
          <w:rFonts w:eastAsia="HG Mincho Light J" w:cs="Times New Roman" w:ascii="Calibri" w:hAnsi="Calibri"/>
          <w:b/>
          <w:bCs/>
          <w:i w:val="false"/>
          <w:caps w:val="false"/>
          <w:smallCaps w:val="false"/>
          <w:strike w:val="false"/>
          <w:dstrike w:val="false"/>
          <w:color w:val="000000"/>
          <w:kern w:val="0"/>
          <w:position w:val="0"/>
          <w:sz w:val="24"/>
          <w:szCs w:val="24"/>
          <w:u w:val="none"/>
          <w:shd w:fill="auto" w:val="clear"/>
          <w:vertAlign w:val="baseline"/>
          <w:lang w:val="pt-PT" w:eastAsia="zh-CN" w:bidi="ar-SA"/>
        </w:rPr>
        <w:t>DE  MATERIAL ELÉTRICO PARA A SECRETARIAS – SMED, SMS, SMMAS, SMPLANH E SMC – RIO GRANDE/RS</w:t>
      </w:r>
    </w:p>
    <w:p>
      <w:pPr>
        <w:pStyle w:val="Default"/>
        <w:widowControl w:val="false"/>
        <w:rPr>
          <w:strike w:val="false"/>
          <w:dstrike w:val="false"/>
          <w:sz w:val="22"/>
          <w:u w:val="none"/>
        </w:rPr>
      </w:pPr>
      <w:r>
        <w:rPr>
          <w:strike w:val="false"/>
          <w:dstrike w:val="false"/>
          <w:sz w:val="22"/>
          <w:u w:val="none"/>
        </w:rPr>
      </w:r>
    </w:p>
    <w:p>
      <w:pPr>
        <w:pStyle w:val="Normal"/>
        <w:spacing w:lineRule="auto" w:line="240"/>
        <w:jc w:val="both"/>
        <w:rPr>
          <w:rFonts w:ascii="Calibri" w:hAnsi="Calibri"/>
        </w:rPr>
      </w:pPr>
      <w:r>
        <w:rPr>
          <w:rFonts w:ascii="Calibri" w:hAnsi="Calibri"/>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CONTRATANTE</w:t>
      </w:r>
      <w:r>
        <w:rPr>
          <w:rFonts w:ascii="Calibri" w:hAnsi="Calibri"/>
          <w:sz w:val="24"/>
          <w:szCs w:val="24"/>
        </w:rPr>
        <w:t>: MUNICÍPIO DO RIO GRANDE, com sede administrativa, sito Largo Eng. João Fernandes Moreira, s/n, inscrito no CNPJ nº 88.566.872/0001-62, neste ato representado, conforme declaração de competência pelo Secretário de Município de Compras e Licitações – SMCLIC, Sr. Leandro Pereira Cardozo Amaral, inscrito no CPF 978 764960 91</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CONTRATADO(A)</w:t>
      </w:r>
      <w:r>
        <w:rPr>
          <w:rFonts w:ascii="Calibri" w:hAnsi="Calibri"/>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t xml:space="preserve">Tendo em vista o que consta no Processo Administrativo Digital </w:t>
      </w:r>
      <w:r>
        <w:rPr>
          <w:rFonts w:ascii="Calibri" w:hAnsi="Calibri"/>
          <w:b/>
          <w:bCs/>
          <w:sz w:val="24"/>
          <w:szCs w:val="24"/>
        </w:rPr>
        <w:t>8097</w:t>
      </w:r>
      <w:r>
        <w:rPr>
          <w:rFonts w:ascii="Calibri" w:hAnsi="Calibri"/>
          <w:b/>
          <w:bCs/>
          <w:sz w:val="24"/>
          <w:szCs w:val="24"/>
          <w:shd w:fill="auto" w:val="clear"/>
        </w:rPr>
        <w:t>/2026</w:t>
      </w:r>
      <w:r>
        <w:rPr>
          <w:rFonts w:ascii="Calibri" w:hAnsi="Calibri"/>
          <w:sz w:val="24"/>
          <w:szCs w:val="24"/>
          <w:shd w:fill="auto" w:val="clear"/>
        </w:rPr>
        <w:t xml:space="preserve"> </w:t>
      </w:r>
      <w:r>
        <w:rPr>
          <w:rFonts w:ascii="Calibri" w:hAnsi="Calibri"/>
          <w:sz w:val="24"/>
          <w:szCs w:val="24"/>
        </w:rPr>
        <w:t xml:space="preserve">e em observância às disposições da Lei 14.133, de 1º de abril de 2021, dos Decretos  Municipais 19.706, 19.707, ambos de 19/01/2023 e 19.710, de 24/01/2023; resolvem celebrar o presente, decorrente do </w:t>
      </w:r>
      <w:r>
        <w:rPr>
          <w:rFonts w:ascii="Calibri" w:hAnsi="Calibri"/>
          <w:b/>
          <w:bCs/>
          <w:sz w:val="24"/>
          <w:szCs w:val="24"/>
          <w:shd w:fill="auto" w:val="clear"/>
        </w:rPr>
        <w:t xml:space="preserve">Pregão Eletrônico </w:t>
      </w:r>
      <w:r>
        <w:rPr>
          <w:rFonts w:ascii="Calibri" w:hAnsi="Calibri"/>
          <w:sz w:val="24"/>
          <w:szCs w:val="24"/>
          <w:shd w:fill="FFFFFF" w:val="clear"/>
        </w:rPr>
        <w:t xml:space="preserve"> </w:t>
      </w:r>
      <w:r>
        <w:rPr>
          <w:rFonts w:ascii="Calibri" w:hAnsi="Calibri"/>
          <w:b/>
          <w:bCs/>
          <w:sz w:val="24"/>
          <w:szCs w:val="24"/>
          <w:shd w:fill="FFFFFF" w:val="clear"/>
        </w:rPr>
        <w:t>0</w:t>
      </w:r>
      <w:r>
        <w:rPr>
          <w:rFonts w:ascii="Calibri" w:hAnsi="Calibri"/>
          <w:b/>
          <w:bCs/>
          <w:sz w:val="24"/>
          <w:szCs w:val="24"/>
          <w:shd w:fill="FFFFFF" w:val="clear"/>
        </w:rPr>
        <w:t>36</w:t>
      </w:r>
      <w:r>
        <w:rPr>
          <w:rFonts w:ascii="Calibri" w:hAnsi="Calibri"/>
          <w:b/>
          <w:bCs/>
          <w:sz w:val="24"/>
          <w:szCs w:val="24"/>
          <w:shd w:fill="FFFFFF" w:val="clear"/>
        </w:rPr>
        <w:t>/2026</w:t>
      </w:r>
      <w:r>
        <w:rPr>
          <w:rFonts w:ascii="Calibri" w:hAnsi="Calibri"/>
          <w:sz w:val="24"/>
          <w:szCs w:val="24"/>
          <w:shd w:fill="FFFFFF" w:val="clear"/>
        </w:rPr>
        <w:t>,</w:t>
      </w:r>
      <w:r>
        <w:rPr>
          <w:rFonts w:ascii="Calibri" w:hAnsi="Calibri"/>
          <w:sz w:val="24"/>
          <w:szCs w:val="24"/>
          <w:shd w:fill="auto" w:val="clear"/>
        </w:rPr>
        <w:t xml:space="preserve"> </w:t>
      </w:r>
      <w:r>
        <w:rPr>
          <w:rFonts w:ascii="Calibri" w:hAnsi="Calibri"/>
          <w:sz w:val="24"/>
          <w:szCs w:val="24"/>
        </w:rPr>
        <w:t>mediante as cláusulas e condições seguintes: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PRIMEIRA - DO OBJETO: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1.1</w:t>
      </w:r>
      <w:r>
        <w:rPr>
          <w:rFonts w:ascii="Calibri" w:hAnsi="Calibri"/>
          <w:sz w:val="24"/>
          <w:szCs w:val="24"/>
        </w:rPr>
        <w:t>. Constitui objeto deste contrato a aquisição de material elétrico, com fornecimento parcelado, conforme especificações constantes no Termo de Referência (Anexo I), na forma abaixo descrita: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95"/>
        <w:gridCol w:w="4829"/>
        <w:gridCol w:w="1129"/>
        <w:gridCol w:w="1185"/>
        <w:gridCol w:w="1275"/>
        <w:gridCol w:w="1423"/>
      </w:tblGrid>
      <w:tr>
        <w:trPr/>
        <w:tc>
          <w:tcPr>
            <w:tcW w:w="69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Item</w:t>
            </w:r>
          </w:p>
        </w:tc>
        <w:tc>
          <w:tcPr>
            <w:tcW w:w="4829"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Descrição</w:t>
            </w:r>
          </w:p>
        </w:tc>
        <w:tc>
          <w:tcPr>
            <w:tcW w:w="1129"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Unidade de medida</w:t>
            </w:r>
          </w:p>
        </w:tc>
        <w:tc>
          <w:tcPr>
            <w:tcW w:w="118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Quantidade</w:t>
            </w:r>
          </w:p>
        </w:tc>
        <w:tc>
          <w:tcPr>
            <w:tcW w:w="127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Unit.</w:t>
            </w:r>
          </w:p>
        </w:tc>
        <w:tc>
          <w:tcPr>
            <w:tcW w:w="1423"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Total</w:t>
            </w:r>
          </w:p>
        </w:tc>
      </w:tr>
      <w:tr>
        <w:trPr/>
        <w:tc>
          <w:tcPr>
            <w:tcW w:w="69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4829"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129"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18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27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423"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r>
    </w:tbl>
    <w:p>
      <w:pPr>
        <w:pStyle w:val="Normal"/>
        <w:jc w:val="both"/>
        <w:rPr>
          <w:rFonts w:ascii="Calibri" w:hAnsi="Calibri"/>
          <w:sz w:val="24"/>
          <w:szCs w:val="24"/>
        </w:rPr>
      </w:pPr>
      <w:r>
        <w:rPr>
          <w:rFonts w:ascii="Calibri" w:hAnsi="Calibri"/>
          <w:sz w:val="24"/>
          <w:szCs w:val="24"/>
        </w:rPr>
        <w:tab/>
        <w:tab/>
        <w:tab/>
        <w:tab/>
        <w:tab/>
      </w:r>
    </w:p>
    <w:p>
      <w:pPr>
        <w:pStyle w:val="Normal"/>
        <w:jc w:val="both"/>
        <w:rPr>
          <w:rFonts w:ascii="Calibri" w:hAnsi="Calibri"/>
          <w:sz w:val="24"/>
          <w:szCs w:val="24"/>
        </w:rPr>
      </w:pPr>
      <w:r>
        <w:rPr>
          <w:rFonts w:ascii="Calibri" w:hAnsi="Calibri"/>
          <w:b/>
          <w:bCs/>
          <w:sz w:val="24"/>
          <w:szCs w:val="24"/>
        </w:rPr>
        <w:t>1.2</w:t>
      </w:r>
      <w:r>
        <w:rPr>
          <w:rFonts w:ascii="Calibri" w:hAnsi="Calibri"/>
          <w:sz w:val="24"/>
          <w:szCs w:val="24"/>
        </w:rPr>
        <w:t>. São anexos a este instrumento e vinculam esta contratação, independentemente de transcrição:</w:t>
      </w:r>
    </w:p>
    <w:p>
      <w:pPr>
        <w:pStyle w:val="Normal"/>
        <w:ind w:hanging="0" w:left="284"/>
        <w:jc w:val="both"/>
        <w:rPr>
          <w:rFonts w:ascii="Calibri" w:hAnsi="Calibri"/>
          <w:sz w:val="24"/>
          <w:szCs w:val="24"/>
        </w:rPr>
      </w:pPr>
      <w:r>
        <w:rPr>
          <w:rFonts w:ascii="Calibri" w:hAnsi="Calibri"/>
          <w:b/>
          <w:bCs/>
          <w:sz w:val="24"/>
          <w:szCs w:val="24"/>
        </w:rPr>
        <w:t>1.2.1</w:t>
      </w:r>
      <w:r>
        <w:rPr>
          <w:rFonts w:ascii="Calibri" w:hAnsi="Calibri"/>
          <w:sz w:val="24"/>
          <w:szCs w:val="24"/>
        </w:rPr>
        <w:t>. O Termo de Referência que embasou a contratação.</w:t>
      </w:r>
    </w:p>
    <w:p>
      <w:pPr>
        <w:pStyle w:val="Normal"/>
        <w:ind w:hanging="0" w:left="284"/>
        <w:jc w:val="both"/>
        <w:rPr>
          <w:rFonts w:ascii="Calibri" w:hAnsi="Calibri"/>
          <w:sz w:val="24"/>
          <w:szCs w:val="24"/>
        </w:rPr>
      </w:pPr>
      <w:r>
        <w:rPr>
          <w:rFonts w:ascii="Calibri" w:hAnsi="Calibri"/>
          <w:b/>
          <w:bCs/>
          <w:sz w:val="24"/>
          <w:szCs w:val="24"/>
        </w:rPr>
        <w:t>1.2.2</w:t>
      </w:r>
      <w:r>
        <w:rPr>
          <w:rFonts w:ascii="Calibri" w:hAnsi="Calibri"/>
          <w:sz w:val="24"/>
          <w:szCs w:val="24"/>
        </w:rPr>
        <w:t>. O Edital da Licitação.</w:t>
      </w:r>
    </w:p>
    <w:p>
      <w:pPr>
        <w:pStyle w:val="Normal"/>
        <w:ind w:hanging="0" w:left="284"/>
        <w:jc w:val="both"/>
        <w:rPr>
          <w:rFonts w:ascii="Calibri" w:hAnsi="Calibri"/>
          <w:sz w:val="24"/>
          <w:szCs w:val="24"/>
        </w:rPr>
      </w:pPr>
      <w:r>
        <w:rPr>
          <w:rFonts w:ascii="Calibri" w:hAnsi="Calibri"/>
          <w:b/>
          <w:bCs/>
          <w:sz w:val="24"/>
          <w:szCs w:val="24"/>
        </w:rPr>
        <w:t>1.2.3</w:t>
      </w:r>
      <w:r>
        <w:rPr>
          <w:rFonts w:ascii="Calibri" w:hAnsi="Calibri"/>
          <w:sz w:val="24"/>
          <w:szCs w:val="24"/>
        </w:rPr>
        <w:t>. A Proposta do Contratado.</w:t>
      </w:r>
    </w:p>
    <w:p>
      <w:pPr>
        <w:pStyle w:val="Normal"/>
        <w:ind w:hanging="0" w:left="284"/>
        <w:jc w:val="both"/>
        <w:rPr>
          <w:rFonts w:ascii="Calibri" w:hAnsi="Calibri"/>
          <w:sz w:val="24"/>
          <w:szCs w:val="24"/>
        </w:rPr>
      </w:pPr>
      <w:r>
        <w:rPr>
          <w:rFonts w:ascii="Calibri" w:hAnsi="Calibri"/>
          <w:b/>
          <w:bCs/>
          <w:sz w:val="24"/>
          <w:szCs w:val="24"/>
        </w:rPr>
        <w:t>1.2.4</w:t>
      </w:r>
      <w:r>
        <w:rPr>
          <w:rFonts w:ascii="Calibri" w:hAnsi="Calibri"/>
          <w:sz w:val="24"/>
          <w:szCs w:val="24"/>
        </w:rPr>
        <w:t>. Eventuais anexos dos documentos supracitados.</w:t>
      </w:r>
    </w:p>
    <w:p>
      <w:pPr>
        <w:pStyle w:val="Normal"/>
        <w:jc w:val="both"/>
        <w:rPr>
          <w:rFonts w:ascii="Calibri" w:hAnsi="Calibri"/>
          <w:sz w:val="24"/>
          <w:szCs w:val="24"/>
        </w:rPr>
      </w:pPr>
      <w:r>
        <w:rPr>
          <w:rFonts w:ascii="Calibri" w:hAnsi="Calibri"/>
          <w:b/>
          <w:bCs/>
          <w:sz w:val="24"/>
          <w:szCs w:val="24"/>
        </w:rPr>
        <w:t>1.3</w:t>
      </w:r>
      <w:r>
        <w:rPr>
          <w:rFonts w:ascii="Calibri" w:hAnsi="Calibri"/>
          <w:sz w:val="24"/>
          <w:szCs w:val="24"/>
        </w:rPr>
        <w:t>. O regime de execução contratual será empreitada por preço unitário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SEGUNDA - DA VIGÊNCIA E PRORROGAÇÃO: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2.1</w:t>
      </w:r>
      <w:r>
        <w:rPr>
          <w:rFonts w:ascii="Calibri" w:hAnsi="Calibri"/>
          <w:sz w:val="24"/>
          <w:szCs w:val="24"/>
        </w:rPr>
        <w:t xml:space="preserve">. O Contrato terá vigência de </w:t>
      </w:r>
      <w:r>
        <w:rPr>
          <w:rFonts w:ascii="Calibri" w:hAnsi="Calibri"/>
          <w:sz w:val="24"/>
          <w:szCs w:val="24"/>
          <w:highlight w:val="yellow"/>
        </w:rPr>
        <w:t>00</w:t>
      </w:r>
      <w:r>
        <w:rPr>
          <w:rFonts w:ascii="Calibri" w:hAnsi="Calibri"/>
          <w:sz w:val="24"/>
          <w:szCs w:val="24"/>
        </w:rPr>
        <w:t xml:space="preserve"> (</w:t>
      </w:r>
      <w:r>
        <w:rPr>
          <w:rFonts w:ascii="Calibri" w:hAnsi="Calibri"/>
          <w:sz w:val="24"/>
          <w:szCs w:val="24"/>
          <w:highlight w:val="yellow"/>
        </w:rPr>
        <w:t>meses por extenso</w:t>
      </w:r>
      <w:r>
        <w:rPr>
          <w:rFonts w:ascii="Calibri" w:hAnsi="Calibri"/>
          <w:sz w:val="24"/>
          <w:szCs w:val="24"/>
        </w:rPr>
        <w:t xml:space="preserve">), contados de </w:t>
      </w:r>
      <w:r>
        <w:rPr>
          <w:rFonts w:ascii="Calibri" w:hAnsi="Calibri"/>
          <w:sz w:val="24"/>
          <w:szCs w:val="24"/>
          <w:highlight w:val="yellow"/>
        </w:rPr>
        <w:t>00/00/00</w:t>
      </w:r>
      <w:r>
        <w:rPr>
          <w:rFonts w:ascii="Calibri" w:hAnsi="Calibri"/>
          <w:sz w:val="24"/>
          <w:szCs w:val="24"/>
        </w:rPr>
        <w:t xml:space="preserve"> a </w:t>
      </w:r>
      <w:r>
        <w:rPr>
          <w:rFonts w:ascii="Calibri" w:hAnsi="Calibri"/>
          <w:sz w:val="24"/>
          <w:szCs w:val="24"/>
          <w:highlight w:val="yellow"/>
        </w:rPr>
        <w:t>00/00/00</w:t>
      </w:r>
      <w:r>
        <w:rPr>
          <w:rFonts w:ascii="Calibri" w:hAnsi="Calibri"/>
          <w:sz w:val="24"/>
          <w:szCs w:val="24"/>
        </w:rPr>
        <w:t>, podendo ser prorrogado, desde que satisfeitos os requisitos dos arts. 106 e 107 da Lei 14.133/2021.</w:t>
      </w:r>
    </w:p>
    <w:p>
      <w:pPr>
        <w:pStyle w:val="Normal"/>
        <w:ind w:hanging="0" w:left="284"/>
        <w:jc w:val="both"/>
        <w:rPr>
          <w:rFonts w:ascii="Calibri" w:hAnsi="Calibri"/>
          <w:sz w:val="24"/>
          <w:szCs w:val="24"/>
        </w:rPr>
      </w:pPr>
      <w:r>
        <w:rPr>
          <w:rFonts w:ascii="Calibri" w:hAnsi="Calibri"/>
          <w:b/>
          <w:bCs/>
          <w:sz w:val="24"/>
          <w:szCs w:val="24"/>
        </w:rPr>
        <w:t>2.1.1</w:t>
      </w:r>
      <w:r>
        <w:rPr>
          <w:rFonts w:ascii="Calibri" w:hAnsi="Calibri"/>
          <w:sz w:val="24"/>
          <w:szCs w:val="24"/>
        </w:rPr>
        <w:t>. A prorrogação de que trata este item é condicionada ao ateste, pela autoridade competente, de que as condições e os preços permanecem vantajosos para a Administração, permitida a negociação com o contratado.</w:t>
      </w:r>
    </w:p>
    <w:p>
      <w:pPr>
        <w:pStyle w:val="Normal"/>
        <w:jc w:val="both"/>
        <w:rPr>
          <w:rFonts w:ascii="Calibri" w:hAnsi="Calibri"/>
          <w:sz w:val="24"/>
          <w:szCs w:val="24"/>
        </w:rPr>
      </w:pPr>
      <w:r>
        <w:rPr>
          <w:rFonts w:ascii="Calibri" w:hAnsi="Calibri"/>
          <w:b/>
          <w:bCs/>
          <w:sz w:val="24"/>
          <w:szCs w:val="24"/>
        </w:rPr>
        <w:t>2.2</w:t>
      </w:r>
      <w:r>
        <w:rPr>
          <w:rFonts w:ascii="Calibri" w:hAnsi="Calibri"/>
          <w:sz w:val="24"/>
          <w:szCs w:val="24"/>
        </w:rPr>
        <w:t>. O contratado não tem direito subjetivo à prorrogação contratual.</w:t>
      </w:r>
    </w:p>
    <w:p>
      <w:pPr>
        <w:pStyle w:val="Normal"/>
        <w:jc w:val="both"/>
        <w:rPr>
          <w:rFonts w:ascii="Calibri" w:hAnsi="Calibri"/>
          <w:sz w:val="24"/>
          <w:szCs w:val="24"/>
        </w:rPr>
      </w:pPr>
      <w:r>
        <w:rPr>
          <w:rFonts w:ascii="Calibri" w:hAnsi="Calibri"/>
          <w:b/>
          <w:bCs/>
          <w:sz w:val="24"/>
          <w:szCs w:val="24"/>
        </w:rPr>
        <w:t>2.3</w:t>
      </w:r>
      <w:r>
        <w:rPr>
          <w:rFonts w:ascii="Calibri" w:hAnsi="Calibri"/>
          <w:sz w:val="24"/>
          <w:szCs w:val="24"/>
        </w:rPr>
        <w:t>. A prorrogação de contrato deverá ser promovida mediante celebração de termo aditivo.</w:t>
      </w:r>
    </w:p>
    <w:p>
      <w:pPr>
        <w:pStyle w:val="Normal"/>
        <w:jc w:val="both"/>
        <w:rPr>
          <w:rFonts w:ascii="Calibri" w:hAnsi="Calibri"/>
          <w:sz w:val="24"/>
          <w:szCs w:val="24"/>
        </w:rPr>
      </w:pPr>
      <w:r>
        <w:rPr>
          <w:rFonts w:ascii="Calibri" w:hAnsi="Calibri"/>
          <w:b/>
          <w:bCs/>
          <w:sz w:val="24"/>
          <w:szCs w:val="24"/>
        </w:rPr>
        <w:t>2.4</w:t>
      </w:r>
      <w:r>
        <w:rPr>
          <w:rFonts w:ascii="Calibri" w:hAnsi="Calibri"/>
          <w:sz w:val="24"/>
          <w:szCs w:val="24"/>
        </w:rPr>
        <w:t>. O contrato não poderá ser prorrogado quando o contratado tiver sido penalizado nas sanções de declaração de inidoneidade ou impedimento de licitar e contratar com poder público, observadas as abrangências de aplicação.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TERCEIRA - DO PREÇO:</w:t>
            </w:r>
          </w:p>
        </w:tc>
      </w:tr>
    </w:tbl>
    <w:p>
      <w:pPr>
        <w:pStyle w:val="Normal"/>
        <w:jc w:val="both"/>
        <w:rPr>
          <w:rFonts w:ascii="Calibri" w:hAnsi="Calibri"/>
          <w:sz w:val="24"/>
          <w:szCs w:val="24"/>
        </w:rPr>
      </w:pPr>
      <w:r>
        <w:rPr>
          <w:rFonts w:ascii="Calibri" w:hAnsi="Calibri"/>
          <w:b/>
          <w:bCs/>
          <w:sz w:val="24"/>
          <w:szCs w:val="24"/>
        </w:rPr>
        <w:t>3.1</w:t>
      </w:r>
      <w:r>
        <w:rPr>
          <w:rFonts w:ascii="Calibri" w:hAnsi="Calibri"/>
          <w:sz w:val="24"/>
          <w:szCs w:val="24"/>
        </w:rPr>
        <w:t xml:space="preserve">. O valor mensal da contratação é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xml:space="preserve">), perfazendo o valor total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para o período inicial contratado.</w:t>
      </w:r>
    </w:p>
    <w:p>
      <w:pPr>
        <w:pStyle w:val="Normal"/>
        <w:ind w:hanging="0" w:left="284"/>
        <w:jc w:val="both"/>
        <w:rPr>
          <w:rFonts w:ascii="Calibri" w:hAnsi="Calibri"/>
          <w:sz w:val="24"/>
          <w:szCs w:val="24"/>
        </w:rPr>
      </w:pPr>
      <w:r>
        <w:rPr>
          <w:rFonts w:ascii="Calibri" w:hAnsi="Calibri"/>
          <w:b/>
          <w:bCs/>
          <w:sz w:val="24"/>
          <w:szCs w:val="24"/>
        </w:rPr>
        <w:t>3.1.1</w:t>
      </w:r>
      <w:r>
        <w:rPr>
          <w:rFonts w:ascii="Calibri" w:hAnsi="Calibri"/>
          <w:sz w:val="24"/>
          <w:szCs w:val="24"/>
        </w:rPr>
        <w:t>. O valor acima é meramente estimativo, de forma que os pagamentos devidos ao contratado dependerão dos quantitativos efetivamente fornecidos.</w:t>
      </w:r>
    </w:p>
    <w:p>
      <w:pPr>
        <w:pStyle w:val="Normal"/>
        <w:jc w:val="both"/>
        <w:rPr>
          <w:rFonts w:ascii="Calibri" w:hAnsi="Calibri"/>
          <w:sz w:val="24"/>
          <w:szCs w:val="24"/>
        </w:rPr>
      </w:pPr>
      <w:r>
        <w:rPr>
          <w:rFonts w:ascii="Calibri" w:hAnsi="Calibri"/>
          <w:b/>
          <w:bCs/>
          <w:sz w:val="24"/>
          <w:szCs w:val="24"/>
        </w:rPr>
        <w:t>3.2</w:t>
      </w:r>
      <w:r>
        <w:rPr>
          <w:rFonts w:ascii="Calibri" w:hAnsi="Calibri"/>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QUARTA - DA FORMA DE PAGAMENTO:</w:t>
            </w:r>
          </w:p>
        </w:tc>
      </w:tr>
    </w:tbl>
    <w:p>
      <w:pPr>
        <w:pStyle w:val="Normal"/>
        <w:jc w:val="both"/>
        <w:rPr>
          <w:rFonts w:ascii="Calibri" w:hAnsi="Calibri"/>
          <w:sz w:val="24"/>
          <w:szCs w:val="24"/>
        </w:rPr>
      </w:pPr>
      <w:r>
        <w:rPr>
          <w:rFonts w:ascii="Calibri" w:hAnsi="Calibri"/>
          <w:b/>
          <w:bCs/>
          <w:sz w:val="24"/>
          <w:szCs w:val="24"/>
        </w:rPr>
        <w:t>4.1</w:t>
      </w:r>
      <w:r>
        <w:rPr>
          <w:rFonts w:ascii="Calibri" w:hAnsi="Calibri"/>
          <w:sz w:val="24"/>
          <w:szCs w:val="24"/>
        </w:rPr>
        <w:t xml:space="preserve">. </w:t>
      </w:r>
      <w:bookmarkStart w:id="0" w:name="docs-internal-guid-3e86443a-7fff-e7b7-21"/>
      <w:bookmarkEnd w:id="0"/>
      <w:r>
        <w:rPr>
          <w:rFonts w:ascii="Calibri" w:hAnsi="Calibri"/>
          <w:sz w:val="24"/>
          <w:szCs w:val="24"/>
          <w:shd w:fill="auto" w:val="clear"/>
        </w:rPr>
        <w:t>A liquidação e o pagamento se dará na forma do Ordem de Serviço n° 001, de 14 de fevereiro de 2025 do Gabinete do Prefeito.</w:t>
      </w:r>
      <w:r>
        <w:rPr>
          <w:rFonts w:ascii="Calibri" w:hAnsi="Calibri"/>
          <w:sz w:val="24"/>
          <w:szCs w:val="24"/>
        </w:rPr>
        <w:t xml:space="preserve"> </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QUINTA - DO REAJUSTE:</w:t>
            </w:r>
          </w:p>
        </w:tc>
      </w:tr>
    </w:tbl>
    <w:p>
      <w:pPr>
        <w:pStyle w:val="Normal"/>
        <w:jc w:val="both"/>
        <w:rPr>
          <w:rFonts w:ascii="Calibri" w:hAnsi="Calibri"/>
          <w:sz w:val="24"/>
          <w:szCs w:val="24"/>
        </w:rPr>
      </w:pPr>
      <w:r>
        <w:rPr>
          <w:rFonts w:ascii="Calibri" w:hAnsi="Calibri"/>
          <w:b/>
          <w:bCs/>
          <w:sz w:val="24"/>
          <w:szCs w:val="24"/>
        </w:rPr>
        <w:t>5.1</w:t>
      </w:r>
      <w:r>
        <w:rPr>
          <w:rFonts w:ascii="Calibri" w:hAnsi="Calibri"/>
          <w:sz w:val="24"/>
          <w:szCs w:val="24"/>
        </w:rPr>
        <w:t>. Os preços inicialmente contratados são fixos e irreajustáveis no prazo de um ano contado da data do orçamento estimado.</w:t>
      </w:r>
    </w:p>
    <w:p>
      <w:pPr>
        <w:pStyle w:val="Normal"/>
        <w:jc w:val="both"/>
        <w:rPr>
          <w:rFonts w:ascii="Calibri" w:hAnsi="Calibri"/>
          <w:sz w:val="24"/>
          <w:szCs w:val="24"/>
        </w:rPr>
      </w:pPr>
      <w:r>
        <w:rPr>
          <w:rFonts w:ascii="Calibri" w:hAnsi="Calibri"/>
          <w:b/>
          <w:bCs/>
          <w:sz w:val="24"/>
          <w:szCs w:val="24"/>
        </w:rPr>
        <w:t>5.2</w:t>
      </w:r>
      <w:r>
        <w:rPr>
          <w:rFonts w:ascii="Calibri" w:hAnsi="Calibri"/>
          <w:sz w:val="24"/>
          <w:szCs w:val="24"/>
        </w:rPr>
        <w:t xml:space="preserve">. Após o interregno de um ano, e independentemente de pedido do Contratado, os preços iniciais serão reajustados, mediante a aplicação, pelo Contratante, </w:t>
      </w:r>
      <w:bookmarkStart w:id="1" w:name="_Hlk153460833"/>
      <w:r>
        <w:rPr>
          <w:rFonts w:ascii="Calibri" w:hAnsi="Calibri"/>
          <w:sz w:val="24"/>
          <w:szCs w:val="24"/>
        </w:rPr>
        <w:t xml:space="preserve">do índice INPC-IBGE (Índice Nacional de Preços ao Consumidor), de acordo com o disposto na OS 006/2023/SMGAL, </w:t>
      </w:r>
      <w:bookmarkEnd w:id="1"/>
      <w:r>
        <w:rPr>
          <w:rFonts w:ascii="Calibri" w:hAnsi="Calibri"/>
          <w:sz w:val="24"/>
          <w:szCs w:val="24"/>
        </w:rPr>
        <w:t>exclusivamente para as obrigações iniciadas e concluídas após a ocorrência da anualidade.</w:t>
      </w:r>
    </w:p>
    <w:p>
      <w:pPr>
        <w:pStyle w:val="Normal"/>
        <w:ind w:hanging="0" w:left="284"/>
        <w:jc w:val="both"/>
        <w:rPr>
          <w:rFonts w:ascii="Calibri" w:hAnsi="Calibri"/>
          <w:sz w:val="24"/>
          <w:szCs w:val="24"/>
        </w:rPr>
      </w:pPr>
      <w:r>
        <w:rPr>
          <w:rFonts w:ascii="Calibri" w:hAnsi="Calibri"/>
          <w:b/>
          <w:bCs/>
          <w:sz w:val="24"/>
          <w:szCs w:val="24"/>
        </w:rPr>
        <w:t>5.2.1</w:t>
      </w:r>
      <w:r>
        <w:rPr>
          <w:rFonts w:ascii="Calibri" w:hAnsi="Calibri"/>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rFonts w:ascii="Calibri" w:hAnsi="Calibri"/>
          <w:b/>
          <w:bCs/>
          <w:sz w:val="24"/>
          <w:szCs w:val="24"/>
        </w:rPr>
        <w:t>5.2.2</w:t>
      </w:r>
      <w:r>
        <w:rPr>
          <w:rFonts w:ascii="Calibri" w:hAnsi="Calibri"/>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rFonts w:ascii="Calibri" w:hAnsi="Calibri"/>
          <w:b/>
          <w:bCs/>
          <w:sz w:val="24"/>
          <w:szCs w:val="24"/>
        </w:rPr>
        <w:t>5.2.2.1</w:t>
      </w:r>
      <w:r>
        <w:rPr>
          <w:rFonts w:ascii="Calibri" w:hAnsi="Calibri"/>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ascii="Calibri" w:hAnsi="Calibri"/>
          <w:b/>
          <w:bCs/>
          <w:sz w:val="24"/>
          <w:szCs w:val="24"/>
        </w:rPr>
        <w:t>5.3</w:t>
      </w:r>
      <w:r>
        <w:rPr>
          <w:rFonts w:ascii="Calibri" w:hAnsi="Calibri"/>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rFonts w:ascii="Calibri" w:hAnsi="Calibri"/>
          <w:b/>
          <w:bCs/>
          <w:sz w:val="24"/>
          <w:szCs w:val="24"/>
        </w:rPr>
        <w:t>5.4</w:t>
      </w:r>
      <w:r>
        <w:rPr>
          <w:rFonts w:ascii="Calibri" w:hAnsi="Calibri"/>
          <w:sz w:val="24"/>
          <w:szCs w:val="24"/>
        </w:rPr>
        <w:t>. O reajuste será concedido mediante simples apostila, conforme dispõe 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SEXTA - DA FONTE DE RECURSOS:</w:t>
            </w:r>
          </w:p>
        </w:tc>
      </w:tr>
    </w:tbl>
    <w:p>
      <w:pPr>
        <w:pStyle w:val="Normal"/>
        <w:jc w:val="both"/>
        <w:rPr>
          <w:rFonts w:ascii="Calibri" w:hAnsi="Calibri"/>
          <w:sz w:val="24"/>
          <w:szCs w:val="24"/>
        </w:rPr>
      </w:pPr>
      <w:r>
        <w:rPr>
          <w:rFonts w:ascii="Calibri" w:hAnsi="Calibri"/>
          <w:b/>
          <w:bCs/>
          <w:sz w:val="24"/>
          <w:szCs w:val="24"/>
        </w:rPr>
        <w:t>6.1</w:t>
      </w:r>
      <w:r>
        <w:rPr>
          <w:rFonts w:ascii="Calibri" w:hAnsi="Calibri"/>
          <w:sz w:val="24"/>
          <w:szCs w:val="24"/>
        </w:rPr>
        <w:t>. A despesa correrá por conta da seguinte dotação orçamentária:</w:t>
      </w:r>
    </w:p>
    <w:p>
      <w:pPr>
        <w:pStyle w:val="Normal"/>
        <w:jc w:val="both"/>
        <w:rPr>
          <w:rFonts w:ascii="Calibri" w:hAnsi="Calibri"/>
          <w:sz w:val="24"/>
        </w:rPr>
      </w:pPr>
      <w:r>
        <w:rPr>
          <w:rFonts w:ascii="Calibri" w:hAnsi="Calibri"/>
          <w:sz w:val="24"/>
        </w:rPr>
        <w:t>08 Secretaria de Município da Educação</w:t>
      </w:r>
    </w:p>
    <w:p>
      <w:pPr>
        <w:pStyle w:val="Normal"/>
        <w:jc w:val="both"/>
        <w:rPr>
          <w:rFonts w:ascii="Calibri" w:hAnsi="Calibri"/>
          <w:sz w:val="24"/>
        </w:rPr>
      </w:pPr>
      <w:r>
        <w:rPr>
          <w:rFonts w:ascii="Calibri" w:hAnsi="Calibri"/>
          <w:sz w:val="24"/>
        </w:rPr>
        <w:t>08.02 Complexo Educacional</w:t>
      </w:r>
    </w:p>
    <w:p>
      <w:pPr>
        <w:pStyle w:val="Normal"/>
        <w:jc w:val="both"/>
        <w:rPr>
          <w:rFonts w:ascii="Calibri" w:hAnsi="Calibri"/>
          <w:sz w:val="24"/>
        </w:rPr>
      </w:pPr>
      <w:r>
        <w:rPr>
          <w:rFonts w:ascii="Calibri" w:hAnsi="Calibri"/>
          <w:sz w:val="24"/>
        </w:rPr>
        <w:t>08.02.12 Educação</w:t>
      </w:r>
    </w:p>
    <w:p>
      <w:pPr>
        <w:pStyle w:val="Normal"/>
        <w:jc w:val="both"/>
        <w:rPr>
          <w:rFonts w:ascii="Calibri" w:hAnsi="Calibri"/>
          <w:sz w:val="24"/>
        </w:rPr>
      </w:pPr>
      <w:r>
        <w:rPr>
          <w:rFonts w:ascii="Calibri" w:hAnsi="Calibri"/>
          <w:sz w:val="24"/>
        </w:rPr>
        <w:t>08.02.12.361 Ensino Fundamental</w:t>
      </w:r>
    </w:p>
    <w:p>
      <w:pPr>
        <w:pStyle w:val="Normal"/>
        <w:jc w:val="both"/>
        <w:rPr>
          <w:rFonts w:ascii="Calibri" w:hAnsi="Calibri"/>
          <w:sz w:val="24"/>
        </w:rPr>
      </w:pPr>
      <w:r>
        <w:rPr>
          <w:rFonts w:ascii="Calibri" w:hAnsi="Calibri"/>
          <w:sz w:val="24"/>
        </w:rPr>
        <w:t>08.02.12.361.0012 Programa Rio Grande + cuidado</w:t>
      </w:r>
    </w:p>
    <w:p>
      <w:pPr>
        <w:pStyle w:val="Normal"/>
        <w:jc w:val="both"/>
        <w:rPr>
          <w:rFonts w:ascii="Calibri" w:hAnsi="Calibri"/>
          <w:sz w:val="24"/>
        </w:rPr>
      </w:pPr>
      <w:r>
        <w:rPr>
          <w:rFonts w:ascii="Calibri" w:hAnsi="Calibri"/>
          <w:sz w:val="24"/>
        </w:rPr>
        <w:t>08.02.12.361.0012.2001 Manutenção da Gestão Administrativa</w:t>
      </w:r>
    </w:p>
    <w:p>
      <w:pPr>
        <w:pStyle w:val="Normal"/>
        <w:jc w:val="both"/>
        <w:rPr>
          <w:rFonts w:ascii="Calibri" w:hAnsi="Calibri"/>
          <w:sz w:val="24"/>
        </w:rPr>
      </w:pPr>
      <w:r>
        <w:rPr>
          <w:rFonts w:ascii="Calibri" w:hAnsi="Calibri"/>
          <w:sz w:val="24"/>
        </w:rPr>
        <w:t>3.3.90.30.00.00.00.00 Material de Consumo</w:t>
      </w:r>
    </w:p>
    <w:p>
      <w:pPr>
        <w:pStyle w:val="Normal"/>
        <w:jc w:val="both"/>
        <w:rPr>
          <w:rFonts w:ascii="Calibri" w:hAnsi="Calibri"/>
          <w:sz w:val="24"/>
        </w:rPr>
      </w:pPr>
      <w:r>
        <w:rPr>
          <w:rFonts w:ascii="Calibri" w:hAnsi="Calibri"/>
          <w:sz w:val="24"/>
        </w:rPr>
        <w:t>3.3.90.30.26.00.00.00 Material Elétrico e Eletrônico</w:t>
      </w:r>
    </w:p>
    <w:p>
      <w:pPr>
        <w:pStyle w:val="Normal"/>
        <w:jc w:val="both"/>
        <w:rPr>
          <w:rFonts w:ascii="Calibri" w:hAnsi="Calibri"/>
          <w:sz w:val="24"/>
        </w:rPr>
      </w:pPr>
      <w:r>
        <w:rPr>
          <w:rFonts w:ascii="Calibri" w:hAnsi="Calibri"/>
          <w:sz w:val="24"/>
        </w:rPr>
        <w:t>Código Reduzido: 0690</w:t>
      </w:r>
    </w:p>
    <w:p>
      <w:pPr>
        <w:pStyle w:val="Normal"/>
        <w:jc w:val="both"/>
        <w:rPr>
          <w:rFonts w:ascii="Calibri" w:hAnsi="Calibri"/>
          <w:sz w:val="24"/>
        </w:rPr>
      </w:pPr>
      <w:r>
        <w:rPr>
          <w:rFonts w:ascii="Calibri" w:hAnsi="Calibri"/>
          <w:sz w:val="24"/>
        </w:rPr>
        <w:t>Recurso: MDE- 1500.0020</w:t>
      </w:r>
    </w:p>
    <w:p>
      <w:pPr>
        <w:pStyle w:val="Normal"/>
        <w:jc w:val="both"/>
        <w:rPr>
          <w:rFonts w:ascii="Calibri" w:hAnsi="Calibri"/>
          <w:sz w:val="24"/>
        </w:rPr>
      </w:pPr>
      <w:r>
        <w:rPr>
          <w:rFonts w:ascii="Calibri" w:hAnsi="Calibri"/>
          <w:sz w:val="24"/>
        </w:rPr>
        <w:t>08 Secretaria de Município da Educação</w:t>
      </w:r>
    </w:p>
    <w:p>
      <w:pPr>
        <w:pStyle w:val="Normal"/>
        <w:jc w:val="both"/>
        <w:rPr>
          <w:rFonts w:ascii="Calibri" w:hAnsi="Calibri"/>
          <w:sz w:val="24"/>
        </w:rPr>
      </w:pPr>
      <w:r>
        <w:rPr>
          <w:rFonts w:ascii="Calibri" w:hAnsi="Calibri"/>
          <w:sz w:val="24"/>
        </w:rPr>
        <w:t>08.02 Complexo Educacional</w:t>
      </w:r>
    </w:p>
    <w:p>
      <w:pPr>
        <w:pStyle w:val="Normal"/>
        <w:jc w:val="both"/>
        <w:rPr>
          <w:rFonts w:ascii="Calibri" w:hAnsi="Calibri"/>
          <w:sz w:val="24"/>
        </w:rPr>
      </w:pPr>
      <w:r>
        <w:rPr>
          <w:rFonts w:ascii="Calibri" w:hAnsi="Calibri"/>
          <w:sz w:val="24"/>
        </w:rPr>
        <w:t>08.02.12 Educação</w:t>
      </w:r>
    </w:p>
    <w:p>
      <w:pPr>
        <w:pStyle w:val="Normal"/>
        <w:jc w:val="both"/>
        <w:rPr>
          <w:rFonts w:ascii="Calibri" w:hAnsi="Calibri"/>
          <w:sz w:val="24"/>
        </w:rPr>
      </w:pPr>
      <w:r>
        <w:rPr>
          <w:rFonts w:ascii="Calibri" w:hAnsi="Calibri"/>
          <w:sz w:val="24"/>
        </w:rPr>
        <w:t>08.02.12.361 Ensino Fundamental</w:t>
      </w:r>
    </w:p>
    <w:p>
      <w:pPr>
        <w:pStyle w:val="Normal"/>
        <w:jc w:val="both"/>
        <w:rPr>
          <w:rFonts w:ascii="Calibri" w:hAnsi="Calibri"/>
          <w:sz w:val="24"/>
        </w:rPr>
      </w:pPr>
      <w:r>
        <w:rPr>
          <w:rFonts w:ascii="Calibri" w:hAnsi="Calibri"/>
          <w:sz w:val="24"/>
        </w:rPr>
        <w:t>08.02.12.361.0012 Programa Rio Grande + cuidado</w:t>
      </w:r>
    </w:p>
    <w:p>
      <w:pPr>
        <w:pStyle w:val="Normal"/>
        <w:jc w:val="both"/>
        <w:rPr>
          <w:rFonts w:ascii="Calibri" w:hAnsi="Calibri"/>
          <w:sz w:val="24"/>
        </w:rPr>
      </w:pPr>
      <w:r>
        <w:rPr>
          <w:rFonts w:ascii="Calibri" w:hAnsi="Calibri"/>
          <w:sz w:val="24"/>
        </w:rPr>
        <w:t>08.02.12.361.0012.2001 Manutenção da Gestão Administrativa</w:t>
      </w:r>
    </w:p>
    <w:p>
      <w:pPr>
        <w:pStyle w:val="Normal"/>
        <w:jc w:val="both"/>
        <w:rPr>
          <w:rFonts w:ascii="Calibri" w:hAnsi="Calibri"/>
          <w:sz w:val="24"/>
        </w:rPr>
      </w:pPr>
      <w:r>
        <w:rPr>
          <w:rFonts w:ascii="Calibri" w:hAnsi="Calibri"/>
          <w:sz w:val="24"/>
        </w:rPr>
        <w:t>3.3.90.30.00.00.00.00 Material de Consumo</w:t>
      </w:r>
    </w:p>
    <w:p>
      <w:pPr>
        <w:pStyle w:val="Normal"/>
        <w:jc w:val="both"/>
        <w:rPr>
          <w:rFonts w:ascii="Calibri" w:hAnsi="Calibri"/>
          <w:sz w:val="24"/>
        </w:rPr>
      </w:pPr>
      <w:r>
        <w:rPr>
          <w:rFonts w:ascii="Calibri" w:hAnsi="Calibri"/>
          <w:sz w:val="24"/>
        </w:rPr>
        <w:t>3.3.90.30.26.00.00.00 Material Elétrico e Eletrônico</w:t>
      </w:r>
    </w:p>
    <w:p>
      <w:pPr>
        <w:pStyle w:val="Normal"/>
        <w:jc w:val="both"/>
        <w:rPr>
          <w:rFonts w:ascii="Calibri" w:hAnsi="Calibri"/>
          <w:sz w:val="24"/>
        </w:rPr>
      </w:pPr>
      <w:r>
        <w:rPr>
          <w:rFonts w:ascii="Calibri" w:hAnsi="Calibri"/>
          <w:sz w:val="24"/>
        </w:rPr>
        <w:t>Código Reduzido: 0691</w:t>
      </w:r>
    </w:p>
    <w:p>
      <w:pPr>
        <w:pStyle w:val="Normal"/>
        <w:jc w:val="both"/>
        <w:rPr>
          <w:rFonts w:ascii="Calibri" w:hAnsi="Calibri"/>
          <w:sz w:val="24"/>
        </w:rPr>
      </w:pPr>
      <w:r>
        <w:rPr>
          <w:rFonts w:ascii="Calibri" w:hAnsi="Calibri"/>
          <w:sz w:val="24"/>
        </w:rPr>
        <w:t>Recurso: FUNDEB- 1540.0000</w:t>
      </w:r>
    </w:p>
    <w:p>
      <w:pPr>
        <w:pStyle w:val="Normal"/>
        <w:jc w:val="both"/>
        <w:rPr>
          <w:rFonts w:ascii="Calibri" w:hAnsi="Calibri"/>
          <w:sz w:val="24"/>
        </w:rPr>
      </w:pPr>
      <w:r>
        <w:rPr>
          <w:rFonts w:ascii="Calibri" w:hAnsi="Calibri"/>
          <w:sz w:val="24"/>
        </w:rPr>
      </w:r>
    </w:p>
    <w:p>
      <w:pPr>
        <w:pStyle w:val="Normal"/>
        <w:jc w:val="both"/>
        <w:rPr>
          <w:rFonts w:ascii="Calibri" w:hAnsi="Calibri"/>
          <w:sz w:val="24"/>
          <w:szCs w:val="24"/>
        </w:rPr>
      </w:pPr>
      <w:r>
        <w:rPr>
          <w:rFonts w:ascii="Calibri" w:hAnsi="Calibri"/>
          <w:b/>
          <w:bCs/>
          <w:sz w:val="24"/>
          <w:szCs w:val="24"/>
        </w:rPr>
        <w:t>6.2</w:t>
      </w:r>
      <w:r>
        <w:rPr>
          <w:rFonts w:ascii="Calibri" w:hAnsi="Calibri"/>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SÉTIMA - DO MODELO DE EXECUÇÃO E GESTÃO CONTRATUAIS:</w:t>
            </w:r>
          </w:p>
        </w:tc>
      </w:tr>
    </w:tbl>
    <w:p>
      <w:pPr>
        <w:pStyle w:val="Normal"/>
        <w:jc w:val="both"/>
        <w:rPr>
          <w:rFonts w:ascii="Calibri" w:hAnsi="Calibri"/>
          <w:sz w:val="24"/>
          <w:szCs w:val="24"/>
        </w:rPr>
      </w:pPr>
      <w:r>
        <w:rPr>
          <w:rFonts w:ascii="Calibri" w:hAnsi="Calibri"/>
          <w:b/>
          <w:bCs/>
          <w:sz w:val="24"/>
          <w:szCs w:val="24"/>
        </w:rPr>
        <w:t>7.1</w:t>
      </w:r>
      <w:r>
        <w:rPr>
          <w:rFonts w:ascii="Calibri" w:hAnsi="Calibri"/>
          <w:sz w:val="24"/>
          <w:szCs w:val="24"/>
        </w:rPr>
        <w:t>. O modelo de gestão, assim como os prazos e condições de conclusão, entrega, observação e recebimento constam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OITAVA - DA SUBCONTRATAÇÃO:</w:t>
            </w:r>
          </w:p>
        </w:tc>
      </w:tr>
    </w:tbl>
    <w:p>
      <w:pPr>
        <w:pStyle w:val="Normal"/>
        <w:jc w:val="both"/>
        <w:rPr>
          <w:rFonts w:ascii="Calibri" w:hAnsi="Calibri"/>
          <w:sz w:val="24"/>
          <w:szCs w:val="24"/>
        </w:rPr>
      </w:pPr>
      <w:r>
        <w:rPr>
          <w:rFonts w:ascii="Calibri" w:hAnsi="Calibri"/>
          <w:b/>
          <w:bCs/>
          <w:sz w:val="24"/>
          <w:szCs w:val="24"/>
        </w:rPr>
        <w:t>8.1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NONA - DAS OBRIGAÇÕES DA CONTRATANTE:</w:t>
            </w:r>
          </w:p>
        </w:tc>
      </w:tr>
    </w:tbl>
    <w:p>
      <w:pPr>
        <w:pStyle w:val="Normal"/>
        <w:jc w:val="both"/>
        <w:rPr>
          <w:rFonts w:ascii="Calibri" w:hAnsi="Calibri"/>
          <w:sz w:val="24"/>
          <w:szCs w:val="24"/>
        </w:rPr>
      </w:pPr>
      <w:r>
        <w:rPr>
          <w:rFonts w:ascii="Calibri" w:hAnsi="Calibri"/>
          <w:b/>
          <w:bCs/>
          <w:sz w:val="24"/>
          <w:szCs w:val="24"/>
        </w:rPr>
        <w:t>9.1</w:t>
      </w:r>
      <w:r>
        <w:rPr>
          <w:rFonts w:ascii="Calibri" w:hAnsi="Calibri"/>
          <w:sz w:val="24"/>
          <w:szCs w:val="24"/>
        </w:rPr>
        <w:t>. Exigir o cumprimento de todas as obrigações assumidas pelo Contratado, de acordo com o contrato e seus anexos.</w:t>
      </w:r>
    </w:p>
    <w:p>
      <w:pPr>
        <w:pStyle w:val="Normal"/>
        <w:jc w:val="both"/>
        <w:rPr>
          <w:rFonts w:ascii="Calibri" w:hAnsi="Calibri"/>
          <w:sz w:val="24"/>
          <w:szCs w:val="24"/>
        </w:rPr>
      </w:pPr>
      <w:r>
        <w:rPr>
          <w:rFonts w:ascii="Calibri" w:hAnsi="Calibri"/>
          <w:b/>
          <w:bCs/>
          <w:sz w:val="24"/>
          <w:szCs w:val="24"/>
        </w:rPr>
        <w:t>9.2</w:t>
      </w:r>
      <w:r>
        <w:rPr>
          <w:rFonts w:ascii="Calibri" w:hAnsi="Calibri"/>
          <w:sz w:val="24"/>
          <w:szCs w:val="24"/>
        </w:rPr>
        <w:t>. Receber o objeto no prazo e condições estabelecidas no Termo de Referência.</w:t>
      </w:r>
    </w:p>
    <w:p>
      <w:pPr>
        <w:pStyle w:val="Normal"/>
        <w:jc w:val="both"/>
        <w:rPr>
          <w:rFonts w:ascii="Calibri" w:hAnsi="Calibri"/>
          <w:sz w:val="24"/>
          <w:szCs w:val="24"/>
        </w:rPr>
      </w:pPr>
      <w:r>
        <w:rPr>
          <w:rFonts w:ascii="Calibri" w:hAnsi="Calibri"/>
          <w:b/>
          <w:bCs/>
          <w:sz w:val="24"/>
          <w:szCs w:val="24"/>
        </w:rPr>
        <w:t>9.3</w:t>
      </w:r>
      <w:r>
        <w:rPr>
          <w:rFonts w:ascii="Calibri" w:hAnsi="Calibri"/>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rFonts w:ascii="Calibri" w:hAnsi="Calibri"/>
          <w:b/>
          <w:bCs/>
          <w:sz w:val="24"/>
          <w:szCs w:val="24"/>
        </w:rPr>
        <w:t>9.4</w:t>
      </w:r>
      <w:r>
        <w:rPr>
          <w:rFonts w:ascii="Calibri" w:hAnsi="Calibri"/>
          <w:sz w:val="24"/>
          <w:szCs w:val="24"/>
        </w:rPr>
        <w:t>. Acompanhar e fiscalizar a execução do contrato e o cumprimento das obrigações pelo Contratado.</w:t>
      </w:r>
    </w:p>
    <w:p>
      <w:pPr>
        <w:pStyle w:val="Normal"/>
        <w:jc w:val="both"/>
        <w:rPr>
          <w:rFonts w:ascii="Calibri" w:hAnsi="Calibri"/>
          <w:sz w:val="24"/>
          <w:szCs w:val="24"/>
        </w:rPr>
      </w:pPr>
      <w:r>
        <w:rPr>
          <w:rFonts w:ascii="Calibri" w:hAnsi="Calibri"/>
          <w:b/>
          <w:bCs/>
          <w:sz w:val="24"/>
          <w:szCs w:val="24"/>
        </w:rPr>
        <w:t>9.5</w:t>
      </w:r>
      <w:r>
        <w:rPr>
          <w:rFonts w:ascii="Calibri" w:hAnsi="Calibri"/>
          <w:sz w:val="24"/>
          <w:szCs w:val="24"/>
        </w:rPr>
        <w:t>. Efetuar o pagamento ao Contratado do valor correspondente ao fornecimento do objeto, no prazo, forma e condições estabelecidos no presente Contrato e no Termo de Referência.</w:t>
      </w:r>
    </w:p>
    <w:p>
      <w:pPr>
        <w:pStyle w:val="Normal"/>
        <w:jc w:val="both"/>
        <w:rPr>
          <w:rFonts w:ascii="Calibri" w:hAnsi="Calibri"/>
          <w:sz w:val="24"/>
          <w:szCs w:val="24"/>
        </w:rPr>
      </w:pPr>
      <w:r>
        <w:rPr>
          <w:rFonts w:ascii="Calibri" w:hAnsi="Calibri"/>
          <w:b/>
          <w:bCs/>
          <w:sz w:val="24"/>
          <w:szCs w:val="24"/>
        </w:rPr>
        <w:t>9.6</w:t>
      </w:r>
      <w:r>
        <w:rPr>
          <w:rFonts w:ascii="Calibri" w:hAnsi="Calibri"/>
          <w:sz w:val="24"/>
          <w:szCs w:val="24"/>
        </w:rPr>
        <w:t>. Aplicar ao Contratado sanções previstas na Lei e neste Contrato.</w:t>
      </w:r>
    </w:p>
    <w:p>
      <w:pPr>
        <w:pStyle w:val="Normal"/>
        <w:jc w:val="both"/>
        <w:rPr>
          <w:rFonts w:ascii="Calibri" w:hAnsi="Calibri"/>
          <w:sz w:val="24"/>
          <w:szCs w:val="24"/>
        </w:rPr>
      </w:pPr>
      <w:r>
        <w:rPr>
          <w:rFonts w:ascii="Calibri" w:hAnsi="Calibri"/>
          <w:b/>
          <w:bCs/>
          <w:sz w:val="24"/>
          <w:szCs w:val="24"/>
        </w:rPr>
        <w:t>9.7</w:t>
      </w:r>
      <w:r>
        <w:rPr>
          <w:rFonts w:ascii="Calibri" w:hAnsi="Calibri"/>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Calibri" w:hAnsi="Calibri"/>
          <w:sz w:val="24"/>
          <w:szCs w:val="24"/>
        </w:rPr>
      </w:pPr>
      <w:r>
        <w:rPr>
          <w:rFonts w:ascii="Calibri" w:hAnsi="Calibri"/>
          <w:b/>
          <w:bCs/>
          <w:sz w:val="24"/>
          <w:szCs w:val="24"/>
        </w:rPr>
        <w:t>9.7.1</w:t>
      </w:r>
      <w:r>
        <w:rPr>
          <w:rFonts w:ascii="Calibri" w:hAnsi="Calibri"/>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rFonts w:ascii="Calibri" w:hAnsi="Calibri"/>
          <w:b/>
          <w:bCs/>
          <w:sz w:val="24"/>
          <w:szCs w:val="24"/>
        </w:rPr>
        <w:t>9.8</w:t>
      </w:r>
      <w:r>
        <w:rPr>
          <w:rFonts w:ascii="Calibri" w:hAnsi="Calibri"/>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rFonts w:ascii="Calibri" w:hAnsi="Calibri"/>
          <w:b/>
          <w:bCs/>
          <w:sz w:val="24"/>
          <w:szCs w:val="24"/>
        </w:rPr>
        <w:t>9.9</w:t>
      </w:r>
      <w:r>
        <w:rPr>
          <w:rFonts w:ascii="Calibri" w:hAnsi="Calibri"/>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 DAS OBRIGAÇÕES DO CONTRATADO:</w:t>
            </w:r>
          </w:p>
        </w:tc>
      </w:tr>
    </w:tbl>
    <w:p>
      <w:pPr>
        <w:pStyle w:val="Normal"/>
        <w:jc w:val="both"/>
        <w:rPr>
          <w:rFonts w:ascii="Calibri" w:hAnsi="Calibri"/>
          <w:sz w:val="24"/>
          <w:szCs w:val="24"/>
        </w:rPr>
      </w:pPr>
      <w:r>
        <w:rPr>
          <w:rFonts w:ascii="Calibri" w:hAnsi="Calibri"/>
          <w:b/>
          <w:bCs/>
          <w:sz w:val="24"/>
          <w:szCs w:val="24"/>
        </w:rPr>
        <w:t>10.1</w:t>
      </w:r>
      <w:r>
        <w:rPr>
          <w:rFonts w:ascii="Calibri" w:hAnsi="Calibri"/>
          <w:sz w:val="24"/>
          <w:szCs w:val="24"/>
        </w:rPr>
        <w:t>. O Contratado deve cumprir todas as obrigações constantes deste Contrato e em seus anexos, assumindo como exclusivamente seus os riscos e as despesas decorrentes da boa e perfeita execução do objeto.</w:t>
      </w:r>
    </w:p>
    <w:p>
      <w:pPr>
        <w:pStyle w:val="Normal"/>
        <w:jc w:val="both"/>
        <w:rPr>
          <w:rFonts w:ascii="Calibri" w:hAnsi="Calibri"/>
          <w:sz w:val="24"/>
          <w:szCs w:val="24"/>
        </w:rPr>
      </w:pPr>
      <w:r>
        <w:rPr>
          <w:rFonts w:ascii="Calibri" w:hAnsi="Calibri"/>
          <w:b/>
          <w:bCs/>
          <w:sz w:val="24"/>
          <w:szCs w:val="24"/>
        </w:rPr>
        <w:t>10.2</w:t>
      </w:r>
      <w:r>
        <w:rPr>
          <w:rFonts w:ascii="Calibri" w:hAnsi="Calibri"/>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Normal"/>
        <w:jc w:val="both"/>
        <w:rPr>
          <w:rFonts w:ascii="Calibri" w:hAnsi="Calibri"/>
          <w:sz w:val="24"/>
          <w:szCs w:val="24"/>
        </w:rPr>
      </w:pPr>
      <w:r>
        <w:rPr>
          <w:rFonts w:ascii="Calibri" w:hAnsi="Calibri"/>
          <w:b/>
          <w:bCs/>
          <w:sz w:val="24"/>
          <w:szCs w:val="24"/>
        </w:rPr>
        <w:t>10.3</w:t>
      </w:r>
      <w:r>
        <w:rPr>
          <w:rFonts w:ascii="Calibri" w:hAnsi="Calibri"/>
          <w:sz w:val="24"/>
          <w:szCs w:val="24"/>
        </w:rPr>
        <w:t>. Responsabilizar-se pelos vícios e danos decorrentes do objeto, de acordo com o Código de Defesa do Consumidor (Lei 8.078/1990).</w:t>
      </w:r>
    </w:p>
    <w:p>
      <w:pPr>
        <w:pStyle w:val="Normal"/>
        <w:jc w:val="both"/>
        <w:rPr>
          <w:rFonts w:ascii="Calibri" w:hAnsi="Calibri"/>
          <w:sz w:val="24"/>
          <w:szCs w:val="24"/>
        </w:rPr>
      </w:pPr>
      <w:r>
        <w:rPr>
          <w:rFonts w:ascii="Calibri" w:hAnsi="Calibri"/>
          <w:b/>
          <w:bCs/>
          <w:sz w:val="24"/>
          <w:szCs w:val="24"/>
        </w:rPr>
        <w:t>10.4</w:t>
      </w:r>
      <w:r>
        <w:rPr>
          <w:rFonts w:ascii="Calibri" w:hAnsi="Calibri"/>
          <w:sz w:val="24"/>
          <w:szCs w:val="24"/>
        </w:rPr>
        <w:t>. Não utilizar</w:t>
      </w:r>
      <w:r>
        <w:rPr>
          <w:rFonts w:cs="Calibri Light" w:ascii="Calibri" w:hAnsi="Calibri"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rFonts w:ascii="Calibri" w:hAnsi="Calibri"/>
          <w:b/>
          <w:bCs/>
          <w:sz w:val="24"/>
          <w:szCs w:val="24"/>
        </w:rPr>
        <w:t>10.5</w:t>
      </w:r>
      <w:r>
        <w:rPr>
          <w:rFonts w:ascii="Calibri" w:hAnsi="Calibri"/>
          <w:sz w:val="24"/>
          <w:szCs w:val="24"/>
        </w:rPr>
        <w:t>.Comunicar ao contratante, no prazo máximo de 24 (vinte e quatro) horas que antecede a data da entrega, os motivos que impossibilitem o cumprimento do prazo previsto, com a devida comprovação.</w:t>
      </w:r>
    </w:p>
    <w:p>
      <w:pPr>
        <w:pStyle w:val="Normal"/>
        <w:jc w:val="both"/>
        <w:rPr>
          <w:rFonts w:ascii="Calibri" w:hAnsi="Calibri"/>
          <w:sz w:val="24"/>
          <w:szCs w:val="24"/>
        </w:rPr>
      </w:pPr>
      <w:r>
        <w:rPr>
          <w:rFonts w:ascii="Calibri" w:hAnsi="Calibri"/>
          <w:b/>
          <w:bCs/>
          <w:sz w:val="24"/>
          <w:szCs w:val="24"/>
        </w:rPr>
        <w:t>10.6</w:t>
      </w:r>
      <w:r>
        <w:rPr>
          <w:rFonts w:ascii="Calibri" w:hAnsi="Calibri"/>
          <w:sz w:val="24"/>
          <w:szCs w:val="24"/>
        </w:rPr>
        <w:t>. Atender às determinações regulares emitidas pelo fiscal ou gestor do contrato ou autoridade superior (art. 137, II, da Lei 14.133/2021) e prestar todo esclarecimento ou informação por eles solicitados.</w:t>
      </w:r>
    </w:p>
    <w:p>
      <w:pPr>
        <w:pStyle w:val="Normal"/>
        <w:jc w:val="both"/>
        <w:rPr>
          <w:rFonts w:ascii="Calibri" w:hAnsi="Calibri"/>
          <w:sz w:val="24"/>
          <w:szCs w:val="24"/>
        </w:rPr>
      </w:pPr>
      <w:r>
        <w:rPr>
          <w:rFonts w:ascii="Calibri" w:hAnsi="Calibri"/>
          <w:b/>
          <w:bCs/>
          <w:sz w:val="24"/>
          <w:szCs w:val="24"/>
        </w:rPr>
        <w:t>10.7</w:t>
      </w:r>
      <w:r>
        <w:rPr>
          <w:rFonts w:ascii="Calibri" w:hAnsi="Calibri"/>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
        <w:jc w:val="both"/>
        <w:rPr>
          <w:rFonts w:ascii="Calibri" w:hAnsi="Calibri"/>
          <w:sz w:val="24"/>
          <w:szCs w:val="24"/>
        </w:rPr>
      </w:pPr>
      <w:r>
        <w:rPr>
          <w:rFonts w:ascii="Calibri" w:hAnsi="Calibri"/>
          <w:b/>
          <w:bCs/>
          <w:sz w:val="24"/>
          <w:szCs w:val="24"/>
        </w:rPr>
        <w:t>10.8</w:t>
      </w:r>
      <w:r>
        <w:rPr>
          <w:rFonts w:ascii="Calibri" w:hAnsi="Calibri"/>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rFonts w:ascii="Calibri" w:hAnsi="Calibri"/>
          <w:b/>
          <w:bCs/>
          <w:sz w:val="24"/>
          <w:szCs w:val="24"/>
        </w:rPr>
        <w:t>10.9</w:t>
      </w:r>
      <w:r>
        <w:rPr>
          <w:rFonts w:ascii="Calibri" w:hAnsi="Calibri"/>
          <w:sz w:val="24"/>
          <w:szCs w:val="24"/>
        </w:rPr>
        <w:t>. 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Normal"/>
        <w:ind w:hanging="0" w:left="284"/>
        <w:jc w:val="both"/>
        <w:rPr>
          <w:rFonts w:ascii="Calibri" w:hAnsi="Calibri"/>
          <w:sz w:val="24"/>
          <w:szCs w:val="24"/>
        </w:rPr>
      </w:pPr>
      <w:r>
        <w:rPr>
          <w:rFonts w:ascii="Calibri" w:hAnsi="Calibri"/>
          <w:b/>
          <w:bCs/>
          <w:sz w:val="24"/>
          <w:szCs w:val="24"/>
        </w:rPr>
        <w:t>1</w:t>
      </w:r>
      <w:r>
        <w:rPr>
          <w:rFonts w:ascii="Calibri" w:hAnsi="Calibri"/>
          <w:sz w:val="24"/>
          <w:szCs w:val="24"/>
        </w:rPr>
        <w:t xml:space="preserve">) prova de regularidade relativa à Seguridade Social; </w:t>
      </w:r>
    </w:p>
    <w:p>
      <w:pPr>
        <w:pStyle w:val="Normal"/>
        <w:ind w:hanging="0" w:left="284"/>
        <w:jc w:val="both"/>
        <w:rPr>
          <w:rFonts w:ascii="Calibri" w:hAnsi="Calibri"/>
          <w:sz w:val="24"/>
          <w:szCs w:val="24"/>
        </w:rPr>
      </w:pPr>
      <w:r>
        <w:rPr>
          <w:rFonts w:ascii="Calibri" w:hAnsi="Calibri"/>
          <w:b/>
          <w:bCs/>
          <w:sz w:val="24"/>
          <w:szCs w:val="24"/>
        </w:rPr>
        <w:t>2</w:t>
      </w:r>
      <w:r>
        <w:rPr>
          <w:rFonts w:ascii="Calibri" w:hAnsi="Calibri"/>
          <w:sz w:val="24"/>
          <w:szCs w:val="24"/>
        </w:rPr>
        <w:t xml:space="preserve">) certidão conjunta relativa aos tributos federais e à Dívida Ativa da União; </w:t>
      </w:r>
    </w:p>
    <w:p>
      <w:pPr>
        <w:pStyle w:val="Normal"/>
        <w:ind w:hanging="0" w:left="284"/>
        <w:jc w:val="both"/>
        <w:rPr>
          <w:rFonts w:ascii="Calibri" w:hAnsi="Calibri"/>
          <w:sz w:val="24"/>
          <w:szCs w:val="24"/>
        </w:rPr>
      </w:pPr>
      <w:r>
        <w:rPr>
          <w:rFonts w:ascii="Calibri" w:hAnsi="Calibri"/>
          <w:b/>
          <w:bCs/>
          <w:sz w:val="24"/>
          <w:szCs w:val="24"/>
        </w:rPr>
        <w:t>3</w:t>
      </w:r>
      <w:r>
        <w:rPr>
          <w:rFonts w:ascii="Calibri" w:hAnsi="Calibri"/>
          <w:sz w:val="24"/>
          <w:szCs w:val="24"/>
        </w:rPr>
        <w:t xml:space="preserve">) certidões que comprovem a regularidade perante a Fazenda Estadual ou Distrital do domicílio ou sede do contratado; </w:t>
      </w:r>
    </w:p>
    <w:p>
      <w:pPr>
        <w:pStyle w:val="Normal"/>
        <w:ind w:hanging="0" w:left="284"/>
        <w:jc w:val="both"/>
        <w:rPr>
          <w:rFonts w:ascii="Calibri" w:hAnsi="Calibri"/>
          <w:sz w:val="24"/>
          <w:szCs w:val="24"/>
        </w:rPr>
      </w:pPr>
      <w:r>
        <w:rPr>
          <w:rFonts w:ascii="Calibri" w:hAnsi="Calibri"/>
          <w:b/>
          <w:bCs/>
          <w:sz w:val="24"/>
          <w:szCs w:val="24"/>
        </w:rPr>
        <w:t>4</w:t>
      </w:r>
      <w:r>
        <w:rPr>
          <w:rFonts w:ascii="Calibri" w:hAnsi="Calibri"/>
          <w:sz w:val="24"/>
          <w:szCs w:val="24"/>
        </w:rPr>
        <w:t xml:space="preserve">) Certidão de Regularidade do FGTS – CRF; e </w:t>
      </w:r>
    </w:p>
    <w:p>
      <w:pPr>
        <w:pStyle w:val="Normal"/>
        <w:ind w:hanging="0" w:left="284"/>
        <w:jc w:val="both"/>
        <w:rPr>
          <w:rFonts w:ascii="Calibri" w:hAnsi="Calibri"/>
          <w:sz w:val="24"/>
          <w:szCs w:val="24"/>
        </w:rPr>
      </w:pPr>
      <w:r>
        <w:rPr>
          <w:rFonts w:ascii="Calibri" w:hAnsi="Calibri"/>
          <w:b/>
          <w:bCs/>
          <w:sz w:val="24"/>
          <w:szCs w:val="24"/>
        </w:rPr>
        <w:t>5</w:t>
      </w:r>
      <w:r>
        <w:rPr>
          <w:rFonts w:ascii="Calibri" w:hAnsi="Calibri"/>
          <w:sz w:val="24"/>
          <w:szCs w:val="24"/>
        </w:rPr>
        <w:t>) Certidão Negativa de Débitos Trabalhistas – CNDT.</w:t>
      </w:r>
    </w:p>
    <w:p>
      <w:pPr>
        <w:pStyle w:val="Normal"/>
        <w:jc w:val="both"/>
        <w:rPr>
          <w:rFonts w:ascii="Calibri" w:hAnsi="Calibri"/>
          <w:sz w:val="24"/>
          <w:szCs w:val="24"/>
        </w:rPr>
      </w:pPr>
      <w:r>
        <w:rPr>
          <w:rFonts w:ascii="Calibri" w:hAnsi="Calibri"/>
          <w:b/>
          <w:bCs/>
          <w:sz w:val="24"/>
          <w:szCs w:val="24"/>
        </w:rPr>
        <w:t>10.10</w:t>
      </w:r>
      <w:r>
        <w:rPr>
          <w:rFonts w:ascii="Calibri" w:hAnsi="Calibri"/>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jc w:val="both"/>
        <w:rPr>
          <w:rFonts w:ascii="Calibri" w:hAnsi="Calibri"/>
          <w:sz w:val="24"/>
          <w:szCs w:val="24"/>
        </w:rPr>
      </w:pPr>
      <w:r>
        <w:rPr>
          <w:rFonts w:ascii="Calibri" w:hAnsi="Calibri"/>
          <w:b/>
          <w:bCs/>
          <w:sz w:val="24"/>
          <w:szCs w:val="24"/>
        </w:rPr>
        <w:t>10.11</w:t>
      </w:r>
      <w:r>
        <w:rPr>
          <w:rFonts w:ascii="Calibri" w:hAnsi="Calibri"/>
          <w:sz w:val="24"/>
          <w:szCs w:val="24"/>
        </w:rPr>
        <w:t>. Comunicar ao Fiscal do contrato, no prazo de 24 (vinte e quatro) horas, qualquer ocorrência anormal ou acidente que se verifique no local da execução do objeto contratual.</w:t>
      </w:r>
    </w:p>
    <w:p>
      <w:pPr>
        <w:pStyle w:val="Normal"/>
        <w:jc w:val="both"/>
        <w:rPr>
          <w:rFonts w:ascii="Calibri" w:hAnsi="Calibri"/>
          <w:sz w:val="24"/>
          <w:szCs w:val="24"/>
        </w:rPr>
      </w:pPr>
      <w:r>
        <w:rPr>
          <w:rFonts w:ascii="Calibri" w:hAnsi="Calibri"/>
          <w:b/>
          <w:bCs/>
          <w:sz w:val="24"/>
          <w:szCs w:val="24"/>
        </w:rPr>
        <w:t>10.12</w:t>
      </w:r>
      <w:r>
        <w:rPr>
          <w:rFonts w:ascii="Calibri" w:hAnsi="Calibri"/>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rFonts w:ascii="Calibri" w:hAnsi="Calibri"/>
          <w:b/>
          <w:bCs/>
          <w:sz w:val="24"/>
          <w:szCs w:val="24"/>
        </w:rPr>
        <w:t>10.13</w:t>
      </w:r>
      <w:r>
        <w:rPr>
          <w:rFonts w:ascii="Calibri" w:hAnsi="Calibri"/>
          <w:sz w:val="24"/>
          <w:szCs w:val="24"/>
        </w:rPr>
        <w:t>. Manter durante toda a vigência do contrato, em compatibilidade com as obrigações assumidas, todas as condições exigidas para habilitação na licitação.</w:t>
      </w:r>
    </w:p>
    <w:p>
      <w:pPr>
        <w:pStyle w:val="Normal"/>
        <w:jc w:val="both"/>
        <w:rPr>
          <w:rFonts w:ascii="Calibri" w:hAnsi="Calibri"/>
          <w:sz w:val="24"/>
          <w:szCs w:val="24"/>
        </w:rPr>
      </w:pPr>
      <w:r>
        <w:rPr>
          <w:rFonts w:ascii="Calibri" w:hAnsi="Calibri"/>
          <w:b/>
          <w:bCs/>
          <w:sz w:val="24"/>
          <w:szCs w:val="24"/>
        </w:rPr>
        <w:t>10.14</w:t>
      </w:r>
      <w:r>
        <w:rPr>
          <w:rFonts w:ascii="Calibri" w:hAnsi="Calibri"/>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 2021).</w:t>
      </w:r>
    </w:p>
    <w:p>
      <w:pPr>
        <w:pStyle w:val="Normal"/>
        <w:jc w:val="both"/>
        <w:rPr>
          <w:rFonts w:ascii="Calibri" w:hAnsi="Calibri"/>
          <w:sz w:val="24"/>
          <w:szCs w:val="24"/>
        </w:rPr>
      </w:pPr>
      <w:r>
        <w:rPr>
          <w:rFonts w:ascii="Calibri" w:hAnsi="Calibri"/>
          <w:b/>
          <w:bCs/>
          <w:sz w:val="24"/>
          <w:szCs w:val="24"/>
        </w:rPr>
        <w:t>10.15</w:t>
      </w:r>
      <w:r>
        <w:rPr>
          <w:rFonts w:ascii="Calibri" w:hAnsi="Calibri"/>
          <w:sz w:val="24"/>
          <w:szCs w:val="24"/>
        </w:rPr>
        <w:t>. Comprovar a reserva de cargos a que se refere a cláusula acima, no prazo fixado pelo fiscal do contrato, com a indicação dos empregados que preencheram as referidas vagas (art. 116, parágrafo único, da Lei  14.133/2021).</w:t>
      </w:r>
    </w:p>
    <w:p>
      <w:pPr>
        <w:pStyle w:val="Normal"/>
        <w:jc w:val="both"/>
        <w:rPr>
          <w:rFonts w:ascii="Calibri" w:hAnsi="Calibri"/>
          <w:sz w:val="24"/>
          <w:szCs w:val="24"/>
        </w:rPr>
      </w:pPr>
      <w:r>
        <w:rPr>
          <w:rFonts w:ascii="Calibri" w:hAnsi="Calibri"/>
          <w:b/>
          <w:bCs/>
          <w:sz w:val="24"/>
          <w:szCs w:val="24"/>
        </w:rPr>
        <w:t>10.16</w:t>
      </w:r>
      <w:r>
        <w:rPr>
          <w:rFonts w:ascii="Calibri" w:hAnsi="Calibri"/>
          <w:sz w:val="24"/>
          <w:szCs w:val="24"/>
        </w:rPr>
        <w:t>. Guardar sigilo sobre todas as informações obtidas em decorrência do cumprimento do contrato.</w:t>
      </w:r>
    </w:p>
    <w:p>
      <w:pPr>
        <w:pStyle w:val="Normal"/>
        <w:jc w:val="both"/>
        <w:rPr>
          <w:rFonts w:ascii="Calibri" w:hAnsi="Calibri"/>
          <w:sz w:val="24"/>
          <w:szCs w:val="24"/>
        </w:rPr>
      </w:pPr>
      <w:r>
        <w:rPr>
          <w:rFonts w:ascii="Calibri" w:hAnsi="Calibri"/>
          <w:b/>
          <w:bCs/>
          <w:sz w:val="24"/>
          <w:szCs w:val="24"/>
        </w:rPr>
        <w:t>10.17</w:t>
      </w:r>
      <w:r>
        <w:rPr>
          <w:rFonts w:ascii="Calibri" w:hAnsi="Calibri"/>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houver: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alteração qualitativa do projeto ou de suas especificações pelo Município;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retardamento na expedição da ordem de execução do serviço ou autorização de fornecimento, interrupção da execução do contrato ou diminuição do ritmo do trabalho, por ordem e no interesse do Município;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aumento das quantidades inicialmente previstas no contrato, nos limites permitidos pela Lei 14.133/2021.</w:t>
      </w:r>
    </w:p>
    <w:p>
      <w:pPr>
        <w:pStyle w:val="Normal"/>
        <w:jc w:val="both"/>
        <w:rPr>
          <w:rFonts w:ascii="Calibri" w:hAnsi="Calibri"/>
          <w:sz w:val="24"/>
          <w:szCs w:val="24"/>
        </w:rPr>
      </w:pPr>
      <w:r>
        <w:rPr>
          <w:rFonts w:ascii="Calibri" w:hAnsi="Calibri"/>
          <w:b/>
          <w:bCs/>
          <w:sz w:val="24"/>
          <w:szCs w:val="24"/>
        </w:rPr>
        <w:t>10.18</w:t>
      </w:r>
      <w:r>
        <w:rPr>
          <w:rFonts w:ascii="Calibri" w:hAnsi="Calibri"/>
          <w:sz w:val="24"/>
          <w:szCs w:val="24"/>
        </w:rPr>
        <w:t>. Adotar as seguintes práticas de sustentabilidade, quando couber: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os bens devem ser constituídos, no todo ou em parte, por material reciclado, atóxico, biodegradável, conforme normas específicas da ABNT;</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Normal"/>
        <w:jc w:val="both"/>
        <w:rPr>
          <w:rFonts w:ascii="Calibri" w:hAnsi="Calibri"/>
          <w:sz w:val="24"/>
          <w:szCs w:val="24"/>
        </w:rPr>
      </w:pPr>
      <w:r>
        <w:rPr>
          <w:rFonts w:ascii="Calibri" w:hAnsi="Calibri"/>
          <w:b/>
          <w:bCs/>
          <w:sz w:val="24"/>
          <w:szCs w:val="24"/>
        </w:rPr>
        <w:t>10.19</w:t>
      </w:r>
      <w:r>
        <w:rPr>
          <w:rFonts w:ascii="Calibri" w:hAnsi="Calibri"/>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PRIMEIRA - DA GARANTIA DE EXECUÇÃO:</w:t>
            </w:r>
          </w:p>
        </w:tc>
      </w:tr>
    </w:tbl>
    <w:p>
      <w:pPr>
        <w:pStyle w:val="Normal"/>
        <w:jc w:val="both"/>
        <w:rPr>
          <w:rFonts w:ascii="Calibri" w:hAnsi="Calibri"/>
          <w:sz w:val="24"/>
          <w:szCs w:val="24"/>
        </w:rPr>
      </w:pPr>
      <w:r>
        <w:rPr>
          <w:rFonts w:ascii="Calibri" w:hAnsi="Calibri"/>
          <w:b/>
          <w:bCs/>
          <w:sz w:val="24"/>
          <w:szCs w:val="24"/>
        </w:rPr>
        <w:t>11.1</w:t>
      </w:r>
      <w:r>
        <w:rPr>
          <w:rFonts w:ascii="Calibri" w:hAnsi="Calibri"/>
          <w:sz w:val="24"/>
          <w:szCs w:val="24"/>
        </w:rPr>
        <w:t>. Não haverá exigência de garantia contratual da execução.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SEGUNDA - DA GARANTIA DOS BENS:</w:t>
            </w:r>
          </w:p>
        </w:tc>
      </w:tr>
    </w:tbl>
    <w:p>
      <w:pPr>
        <w:pStyle w:val="Normal"/>
        <w:jc w:val="both"/>
        <w:rPr>
          <w:rFonts w:ascii="Calibri" w:hAnsi="Calibri"/>
          <w:sz w:val="24"/>
          <w:szCs w:val="24"/>
        </w:rPr>
      </w:pPr>
      <w:r>
        <w:rPr>
          <w:rFonts w:ascii="Calibri" w:hAnsi="Calibri"/>
          <w:b/>
          <w:bCs/>
          <w:sz w:val="24"/>
          <w:szCs w:val="24"/>
        </w:rPr>
        <w:t>12.1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TERCEIRA - DAS INFRAÇÕES E SANÇÕES ADMINISTRATIVAS:</w:t>
            </w:r>
          </w:p>
        </w:tc>
      </w:tr>
    </w:tbl>
    <w:p>
      <w:pPr>
        <w:pStyle w:val="Normal"/>
        <w:jc w:val="both"/>
        <w:rPr>
          <w:rFonts w:ascii="Calibri" w:hAnsi="Calibri"/>
          <w:sz w:val="24"/>
          <w:szCs w:val="24"/>
        </w:rPr>
      </w:pPr>
      <w:r>
        <w:rPr>
          <w:rFonts w:ascii="Calibri" w:hAnsi="Calibri"/>
          <w:b/>
          <w:bCs/>
          <w:sz w:val="24"/>
          <w:szCs w:val="24"/>
        </w:rPr>
        <w:t>13.1</w:t>
      </w:r>
      <w:r>
        <w:rPr>
          <w:rFonts w:ascii="Calibri" w:hAnsi="Calibri"/>
          <w:sz w:val="24"/>
          <w:szCs w:val="24"/>
        </w:rPr>
        <w:t>. Comete infração administrativa, nos termos da Lei 14.133/2021, o Contratado que:</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der causa à inexecução parcial do contrato;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der causa à inexecução total do contrato;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rFonts w:ascii="Calibri" w:hAnsi="Calibri"/>
          <w:b/>
          <w:bCs/>
          <w:sz w:val="24"/>
          <w:szCs w:val="24"/>
        </w:rPr>
        <w:t>f)</w:t>
      </w:r>
      <w:r>
        <w:rPr>
          <w:rFonts w:ascii="Calibri" w:hAnsi="Calibri"/>
          <w:sz w:val="24"/>
          <w:szCs w:val="24"/>
        </w:rPr>
        <w:t xml:space="preserve"> praticar ato fraudulento na execução do contrato;</w:t>
      </w:r>
    </w:p>
    <w:p>
      <w:pPr>
        <w:pStyle w:val="Normal"/>
        <w:ind w:hanging="0" w:left="284"/>
        <w:jc w:val="both"/>
        <w:rPr>
          <w:rFonts w:ascii="Calibri" w:hAnsi="Calibri"/>
          <w:sz w:val="24"/>
          <w:szCs w:val="24"/>
        </w:rPr>
      </w:pPr>
      <w:r>
        <w:rPr>
          <w:rFonts w:ascii="Calibri" w:hAnsi="Calibri"/>
          <w:b/>
          <w:bCs/>
          <w:sz w:val="24"/>
          <w:szCs w:val="24"/>
        </w:rPr>
        <w:t>g</w:t>
      </w:r>
      <w:r>
        <w:rPr>
          <w:rFonts w:ascii="Calibri" w:hAnsi="Calibri"/>
          <w:sz w:val="24"/>
          <w:szCs w:val="24"/>
        </w:rPr>
        <w:t>) comportar-se de modo inidôneo ou cometer fraude de qualquer natureza;</w:t>
      </w:r>
    </w:p>
    <w:p>
      <w:pPr>
        <w:pStyle w:val="Normal"/>
        <w:ind w:hanging="0" w:left="284"/>
        <w:jc w:val="both"/>
        <w:rPr>
          <w:rFonts w:ascii="Calibri" w:hAnsi="Calibri"/>
          <w:sz w:val="24"/>
          <w:szCs w:val="24"/>
        </w:rPr>
      </w:pPr>
      <w:r>
        <w:rPr>
          <w:rFonts w:ascii="Calibri" w:hAnsi="Calibri"/>
          <w:b/>
          <w:bCs/>
          <w:sz w:val="24"/>
          <w:szCs w:val="24"/>
        </w:rPr>
        <w:t>h</w:t>
      </w:r>
      <w:r>
        <w:rPr>
          <w:rFonts w:ascii="Calibri" w:hAnsi="Calibri"/>
          <w:sz w:val="24"/>
          <w:szCs w:val="24"/>
        </w:rPr>
        <w:t>) praticar ato lesivo previsto no art. 5º da Lei 12.846/2013.</w:t>
      </w:r>
    </w:p>
    <w:p>
      <w:pPr>
        <w:pStyle w:val="Normal"/>
        <w:jc w:val="both"/>
        <w:rPr>
          <w:rFonts w:ascii="Calibri" w:hAnsi="Calibri"/>
          <w:sz w:val="24"/>
          <w:szCs w:val="24"/>
        </w:rPr>
      </w:pPr>
      <w:r>
        <w:rPr>
          <w:rFonts w:ascii="Calibri" w:hAnsi="Calibri"/>
          <w:b/>
          <w:bCs/>
          <w:sz w:val="24"/>
          <w:szCs w:val="24"/>
        </w:rPr>
        <w:t>13.2</w:t>
      </w:r>
      <w:r>
        <w:rPr>
          <w:rFonts w:ascii="Calibri" w:hAnsi="Calibri"/>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rFonts w:ascii="Calibri" w:hAnsi="Calibri"/>
          <w:b/>
          <w:bCs/>
          <w:sz w:val="24"/>
          <w:szCs w:val="24"/>
        </w:rPr>
        <w:t>13.2.1</w:t>
      </w:r>
      <w:r>
        <w:rPr>
          <w:rFonts w:ascii="Calibri" w:hAnsi="Calibri"/>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rFonts w:ascii="Calibri" w:hAnsi="Calibri"/>
          <w:b/>
          <w:bCs/>
          <w:sz w:val="24"/>
          <w:szCs w:val="24"/>
        </w:rPr>
        <w:t>13.2.2</w:t>
      </w:r>
      <w:r>
        <w:rPr>
          <w:rFonts w:ascii="Calibri" w:hAnsi="Calibri"/>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rFonts w:ascii="Calibri" w:hAnsi="Calibri"/>
          <w:b/>
          <w:bCs/>
          <w:sz w:val="24"/>
          <w:szCs w:val="24"/>
        </w:rPr>
        <w:t>13.2.3</w:t>
      </w:r>
      <w:r>
        <w:rPr>
          <w:rFonts w:ascii="Calibri" w:hAnsi="Calibri"/>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rFonts w:ascii="Calibri" w:hAnsi="Calibri"/>
          <w:b/>
          <w:bCs/>
          <w:sz w:val="24"/>
          <w:szCs w:val="24"/>
        </w:rPr>
        <w:t>13.2.4</w:t>
      </w:r>
      <w:r>
        <w:rPr>
          <w:rFonts w:ascii="Calibri" w:hAnsi="Calibri"/>
          <w:sz w:val="24"/>
          <w:szCs w:val="24"/>
        </w:rPr>
        <w:t>. Multa:</w:t>
      </w:r>
    </w:p>
    <w:p>
      <w:pPr>
        <w:pStyle w:val="Normal"/>
        <w:ind w:hanging="0" w:left="567"/>
        <w:jc w:val="both"/>
        <w:rPr>
          <w:rFonts w:ascii="Calibri" w:hAnsi="Calibri"/>
          <w:sz w:val="24"/>
          <w:szCs w:val="24"/>
        </w:rPr>
      </w:pPr>
      <w:r>
        <w:rPr>
          <w:rFonts w:ascii="Calibri" w:hAnsi="Calibri"/>
          <w:b/>
          <w:bCs/>
          <w:sz w:val="24"/>
          <w:szCs w:val="24"/>
        </w:rPr>
        <w:t>13.2.4.1</w:t>
      </w:r>
      <w:r>
        <w:rPr>
          <w:rFonts w:ascii="Calibri" w:hAnsi="Calibri"/>
          <w:sz w:val="24"/>
          <w:szCs w:val="24"/>
        </w:rPr>
        <w:t>. Moratória de 1% (um por cento) por dia até o limite de 30 (trinta) dias, sobre o valor total do(s) produto(s), pelo atraso na entrega ou entregue(s) com atraso.</w:t>
      </w:r>
    </w:p>
    <w:p>
      <w:pPr>
        <w:pStyle w:val="Normal"/>
        <w:ind w:hanging="0" w:left="1134"/>
        <w:jc w:val="both"/>
        <w:rPr>
          <w:rFonts w:ascii="Calibri" w:hAnsi="Calibri"/>
          <w:sz w:val="24"/>
          <w:szCs w:val="24"/>
        </w:rPr>
      </w:pPr>
      <w:r>
        <w:rPr>
          <w:rFonts w:ascii="Calibri" w:hAnsi="Calibri"/>
          <w:b/>
          <w:bCs/>
          <w:sz w:val="24"/>
          <w:szCs w:val="24"/>
        </w:rPr>
        <w:t>a</w:t>
      </w:r>
      <w:r>
        <w:rPr>
          <w:rFonts w:ascii="Calibri" w:hAnsi="Calibri"/>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rFonts w:ascii="Calibri" w:hAnsi="Calibri"/>
          <w:b/>
          <w:bCs/>
          <w:sz w:val="24"/>
          <w:szCs w:val="24"/>
        </w:rPr>
        <w:t>13.2.4.2</w:t>
      </w:r>
      <w:r>
        <w:rPr>
          <w:rFonts w:ascii="Calibri" w:hAnsi="Calibri"/>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rFonts w:ascii="Calibri" w:hAnsi="Calibri"/>
          <w:b/>
          <w:bCs/>
          <w:sz w:val="24"/>
          <w:szCs w:val="24"/>
        </w:rPr>
        <w:t>13.2.4.3</w:t>
      </w:r>
      <w:r>
        <w:rPr>
          <w:rFonts w:ascii="Calibri" w:hAnsi="Calibri"/>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rFonts w:ascii="Calibri" w:hAnsi="Calibri"/>
          <w:b/>
          <w:bCs/>
          <w:sz w:val="24"/>
          <w:szCs w:val="24"/>
        </w:rPr>
        <w:t>13.2.4.4</w:t>
      </w:r>
      <w:r>
        <w:rPr>
          <w:rFonts w:ascii="Calibri" w:hAnsi="Calibri"/>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rFonts w:ascii="Calibri" w:hAnsi="Calibri"/>
          <w:b/>
          <w:bCs/>
          <w:sz w:val="24"/>
          <w:szCs w:val="24"/>
        </w:rPr>
        <w:t>13.3</w:t>
      </w:r>
      <w:r>
        <w:rPr>
          <w:rFonts w:ascii="Calibri" w:hAnsi="Calibri"/>
          <w:sz w:val="24"/>
          <w:szCs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rFonts w:ascii="Calibri" w:hAnsi="Calibri"/>
          <w:b/>
          <w:bCs/>
          <w:sz w:val="24"/>
          <w:szCs w:val="24"/>
        </w:rPr>
        <w:t>13.3.1</w:t>
      </w:r>
      <w:r>
        <w:rPr>
          <w:rFonts w:ascii="Calibri" w:hAnsi="Calibri"/>
          <w:sz w:val="24"/>
          <w:szCs w:val="24"/>
        </w:rPr>
        <w:t>. Todas as sanções previstas neste Contrato poderão ser aplicadas cumulativamente com a multa (art. 156, § 7º, da Lei 14.133/2021).</w:t>
      </w:r>
    </w:p>
    <w:p>
      <w:pPr>
        <w:pStyle w:val="Normal"/>
        <w:ind w:hanging="0" w:left="284"/>
        <w:jc w:val="both"/>
        <w:rPr>
          <w:rFonts w:ascii="Calibri" w:hAnsi="Calibri"/>
          <w:sz w:val="24"/>
          <w:szCs w:val="24"/>
        </w:rPr>
      </w:pPr>
      <w:r>
        <w:rPr>
          <w:rFonts w:ascii="Calibri" w:hAnsi="Calibri"/>
          <w:b/>
          <w:bCs/>
          <w:sz w:val="24"/>
          <w:szCs w:val="24"/>
        </w:rPr>
        <w:t>13.3.2</w:t>
      </w:r>
      <w:r>
        <w:rPr>
          <w:rFonts w:ascii="Calibri" w:hAnsi="Calibri"/>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rFonts w:ascii="Calibri" w:hAnsi="Calibri"/>
          <w:b/>
          <w:bCs/>
          <w:sz w:val="24"/>
          <w:szCs w:val="24"/>
        </w:rPr>
        <w:t>13.3.3</w:t>
      </w:r>
      <w:r>
        <w:rPr>
          <w:rFonts w:ascii="Calibri" w:hAnsi="Calibri"/>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rFonts w:ascii="Calibri" w:hAnsi="Calibri"/>
          <w:b/>
          <w:bCs/>
          <w:sz w:val="24"/>
          <w:szCs w:val="24"/>
        </w:rPr>
        <w:t>13.3.4</w:t>
      </w:r>
      <w:r>
        <w:rPr>
          <w:rFonts w:ascii="Calibri" w:hAnsi="Calibri"/>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rFonts w:ascii="Calibri" w:hAnsi="Calibri"/>
          <w:b/>
          <w:bCs/>
          <w:sz w:val="24"/>
          <w:szCs w:val="24"/>
        </w:rPr>
        <w:t>13.4</w:t>
      </w:r>
      <w:r>
        <w:rPr>
          <w:rFonts w:ascii="Calibri" w:hAnsi="Calibri"/>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rFonts w:ascii="Calibri" w:hAnsi="Calibri"/>
          <w:b/>
          <w:bCs/>
          <w:sz w:val="24"/>
          <w:szCs w:val="24"/>
        </w:rPr>
        <w:t>13.5</w:t>
      </w:r>
      <w:r>
        <w:rPr>
          <w:rFonts w:ascii="Calibri" w:hAnsi="Calibri"/>
          <w:sz w:val="24"/>
          <w:szCs w:val="24"/>
        </w:rPr>
        <w:t>. Na aplicação das sanções serão considerados (art. 156, § 1º, da Lei 14.133/2021):</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 natureza e a gravidade da infração cometida;</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as peculiaridades do caso concreto;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as circunstâncias agravantes ou atenuantes;</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danos que dela provierem para o Contratante;</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rFonts w:ascii="Calibri" w:hAnsi="Calibri"/>
          <w:b/>
          <w:bCs/>
          <w:sz w:val="24"/>
          <w:szCs w:val="24"/>
        </w:rPr>
        <w:t>13.6</w:t>
      </w:r>
      <w:r>
        <w:rPr>
          <w:rFonts w:ascii="Calibri" w:hAnsi="Calibri"/>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rFonts w:ascii="Calibri" w:hAnsi="Calibri"/>
          <w:b/>
          <w:bCs/>
          <w:sz w:val="24"/>
          <w:szCs w:val="24"/>
        </w:rPr>
        <w:t>13.7</w:t>
      </w:r>
      <w:r>
        <w:rPr>
          <w:rFonts w:ascii="Calibri" w:hAnsi="Calibri"/>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rFonts w:ascii="Calibri" w:hAnsi="Calibri"/>
          <w:b/>
          <w:bCs/>
          <w:sz w:val="24"/>
          <w:szCs w:val="24"/>
        </w:rPr>
        <w:t>13.8</w:t>
      </w:r>
      <w:r>
        <w:rPr>
          <w:rFonts w:ascii="Calibri" w:hAnsi="Calibri"/>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rFonts w:ascii="Calibri" w:hAnsi="Calibri"/>
          <w:b/>
          <w:bCs/>
          <w:sz w:val="24"/>
          <w:szCs w:val="24"/>
        </w:rPr>
        <w:t>13.9</w:t>
      </w:r>
      <w:r>
        <w:rPr>
          <w:rFonts w:ascii="Calibri" w:hAnsi="Calibri"/>
          <w:sz w:val="24"/>
          <w:szCs w:val="24"/>
        </w:rPr>
        <w:t>.</w:t>
        <w:tab/>
        <w:t>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rFonts w:ascii="Calibri" w:hAnsi="Calibri"/>
          <w:b/>
          <w:bCs/>
          <w:sz w:val="24"/>
          <w:szCs w:val="24"/>
        </w:rPr>
        <w:t>13.10</w:t>
      </w:r>
      <w:r>
        <w:rPr>
          <w:rFonts w:ascii="Calibri" w:hAnsi="Calibri"/>
          <w:sz w:val="24"/>
          <w:szCs w:val="24"/>
        </w:rPr>
        <w:t>.</w:t>
      </w:r>
      <w:bookmarkStart w:id="2" w:name="_Hlk153021524"/>
      <w:r>
        <w:rPr>
          <w:rFonts w:ascii="Calibri" w:hAnsi="Calibri"/>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2"/>
      <w:r>
        <w:rPr>
          <w:rFonts w:ascii="Calibri" w:hAnsi="Calibri"/>
          <w:sz w:val="24"/>
          <w:szCs w:val="24"/>
        </w:rPr>
        <w:t>.</w:t>
      </w:r>
    </w:p>
    <w:p>
      <w:pPr>
        <w:pStyle w:val="Normal"/>
        <w:jc w:val="both"/>
        <w:rPr>
          <w:rFonts w:ascii="Calibri" w:hAnsi="Calibri"/>
          <w:sz w:val="24"/>
          <w:szCs w:val="24"/>
        </w:rPr>
      </w:pPr>
      <w:r>
        <w:rPr>
          <w:rFonts w:ascii="Calibri" w:hAnsi="Calibri"/>
          <w:sz w:val="24"/>
          <w:szCs w:val="24"/>
        </w:rPr>
      </w:r>
    </w:p>
    <w:tbl>
      <w:tblPr>
        <w:tblStyle w:val="Tabelacomgrade"/>
        <w:tblW w:w="1054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41"/>
      </w:tblGrid>
      <w:tr>
        <w:trPr/>
        <w:tc>
          <w:tcPr>
            <w:tcW w:w="10541"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QUARTA - DA EXTINÇÃO DO CONTRATO:</w:t>
            </w:r>
          </w:p>
        </w:tc>
      </w:tr>
    </w:tbl>
    <w:p>
      <w:pPr>
        <w:pStyle w:val="Normal"/>
        <w:jc w:val="both"/>
        <w:rPr>
          <w:rFonts w:ascii="Calibri" w:hAnsi="Calibri"/>
          <w:sz w:val="24"/>
          <w:szCs w:val="24"/>
        </w:rPr>
      </w:pPr>
      <w:r>
        <w:rPr>
          <w:rFonts w:ascii="Calibri" w:hAnsi="Calibri"/>
          <w:b/>
          <w:bCs/>
          <w:sz w:val="24"/>
          <w:szCs w:val="24"/>
        </w:rPr>
        <w:t>14.1</w:t>
      </w:r>
      <w:r>
        <w:rPr>
          <w:rFonts w:ascii="Calibri" w:hAnsi="Calibri"/>
          <w:sz w:val="24"/>
          <w:szCs w:val="24"/>
        </w:rPr>
        <w:t>. O contrato se extingue quando vencido o prazo nele estipulado, independentemente de terem sido cumpridas ou não as obrigações de ambas as partes contraentes.</w:t>
      </w:r>
    </w:p>
    <w:p>
      <w:pPr>
        <w:pStyle w:val="Normal"/>
        <w:jc w:val="both"/>
        <w:rPr>
          <w:rFonts w:ascii="Calibri" w:hAnsi="Calibri"/>
          <w:sz w:val="24"/>
          <w:szCs w:val="24"/>
        </w:rPr>
      </w:pPr>
      <w:r>
        <w:rPr>
          <w:rFonts w:ascii="Calibri" w:hAnsi="Calibri"/>
          <w:b/>
          <w:bCs/>
          <w:sz w:val="24"/>
          <w:szCs w:val="24"/>
        </w:rPr>
        <w:t>14.2</w:t>
      </w:r>
      <w:r>
        <w:rPr>
          <w:rFonts w:ascii="Calibri" w:hAnsi="Calibri"/>
          <w:sz w:val="24"/>
          <w:szCs w:val="24"/>
        </w:rPr>
        <w:t>. O contrato pode ser extinto antes do prazo nele fixado, sem ônus para o Contratante, quando esta não dispuser de créditos orçamentários para sua continuidade ou quando entender que o contrato não mais lhe oferece vantagem.</w:t>
      </w:r>
    </w:p>
    <w:p>
      <w:pPr>
        <w:pStyle w:val="Normal"/>
        <w:ind w:hanging="0" w:left="284"/>
        <w:jc w:val="both"/>
        <w:rPr>
          <w:rFonts w:ascii="Calibri" w:hAnsi="Calibri"/>
          <w:sz w:val="24"/>
          <w:szCs w:val="24"/>
        </w:rPr>
      </w:pPr>
      <w:r>
        <w:rPr>
          <w:rFonts w:ascii="Calibri" w:hAnsi="Calibri"/>
          <w:b/>
          <w:bCs/>
          <w:sz w:val="24"/>
          <w:szCs w:val="24"/>
        </w:rPr>
        <w:t>14.2.1</w:t>
      </w:r>
      <w:r>
        <w:rPr>
          <w:rFonts w:ascii="Calibri" w:hAnsi="Calibri"/>
          <w:sz w:val="24"/>
          <w:szCs w:val="24"/>
        </w:rPr>
        <w:t>. A extinção nesta hipótese ocorrerá na próxima data de aniversário do contrato, desde que haja a notificação do contratado pelo contratante nesse sentido com pelo menos 2 (dois) meses de antecedência desse dia.</w:t>
      </w:r>
    </w:p>
    <w:p>
      <w:pPr>
        <w:pStyle w:val="Normal"/>
        <w:ind w:hanging="0" w:left="284"/>
        <w:jc w:val="both"/>
        <w:rPr>
          <w:rFonts w:ascii="Calibri" w:hAnsi="Calibri"/>
          <w:sz w:val="24"/>
          <w:szCs w:val="24"/>
        </w:rPr>
      </w:pPr>
      <w:r>
        <w:rPr>
          <w:rFonts w:ascii="Calibri" w:hAnsi="Calibri"/>
          <w:b/>
          <w:bCs/>
          <w:sz w:val="24"/>
          <w:szCs w:val="24"/>
        </w:rPr>
        <w:t>14.2.2</w:t>
      </w:r>
      <w:r>
        <w:rPr>
          <w:rFonts w:ascii="Calibri" w:hAnsi="Calibri"/>
          <w:sz w:val="24"/>
          <w:szCs w:val="24"/>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Calibri" w:hAnsi="Calibri"/>
          <w:sz w:val="24"/>
          <w:szCs w:val="24"/>
        </w:rPr>
      </w:pPr>
      <w:r>
        <w:rPr>
          <w:rFonts w:ascii="Calibri" w:hAnsi="Calibri"/>
          <w:b/>
          <w:bCs/>
          <w:sz w:val="24"/>
          <w:szCs w:val="24"/>
        </w:rPr>
        <w:t>14.3</w:t>
      </w:r>
      <w:r>
        <w:rPr>
          <w:rFonts w:ascii="Calibri" w:hAnsi="Calibri"/>
          <w:sz w:val="24"/>
          <w:szCs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Normal"/>
        <w:ind w:hanging="0" w:left="284"/>
        <w:jc w:val="both"/>
        <w:rPr>
          <w:rFonts w:ascii="Calibri" w:hAnsi="Calibri"/>
          <w:sz w:val="24"/>
          <w:szCs w:val="24"/>
        </w:rPr>
      </w:pPr>
      <w:r>
        <w:rPr>
          <w:rFonts w:ascii="Calibri" w:hAnsi="Calibri"/>
          <w:b/>
          <w:bCs/>
          <w:sz w:val="24"/>
          <w:szCs w:val="24"/>
        </w:rPr>
        <w:t>14.3.1</w:t>
      </w:r>
      <w:r>
        <w:rPr>
          <w:rFonts w:ascii="Calibri" w:hAnsi="Calibri"/>
          <w:sz w:val="24"/>
          <w:szCs w:val="24"/>
        </w:rPr>
        <w:t>. Nesta hipótese, aplicam-se também os artigos 138 e 139 da mesma Lei.</w:t>
      </w:r>
    </w:p>
    <w:p>
      <w:pPr>
        <w:pStyle w:val="Normal"/>
        <w:ind w:hanging="0" w:left="284"/>
        <w:jc w:val="both"/>
        <w:rPr>
          <w:rFonts w:ascii="Calibri" w:hAnsi="Calibri"/>
          <w:sz w:val="24"/>
          <w:szCs w:val="24"/>
        </w:rPr>
      </w:pPr>
      <w:r>
        <w:rPr>
          <w:rFonts w:ascii="Calibri" w:hAnsi="Calibri"/>
          <w:b/>
          <w:bCs/>
          <w:sz w:val="24"/>
          <w:szCs w:val="24"/>
        </w:rPr>
        <w:t>14.3.2</w:t>
      </w:r>
      <w:r>
        <w:rPr>
          <w:rFonts w:ascii="Calibri" w:hAnsi="Calibri"/>
          <w:sz w:val="24"/>
          <w:szCs w:val="24"/>
        </w:rPr>
        <w:t>. A alteração social ou a modificação da finalidade ou da estrutura da empresa não ensejará a rescisão se não restringir sua capacidade de concluir o contrato.</w:t>
      </w:r>
    </w:p>
    <w:p>
      <w:pPr>
        <w:pStyle w:val="Normal"/>
        <w:ind w:hanging="0" w:left="567"/>
        <w:jc w:val="both"/>
        <w:rPr>
          <w:rFonts w:ascii="Calibri" w:hAnsi="Calibri"/>
          <w:sz w:val="24"/>
          <w:szCs w:val="24"/>
        </w:rPr>
      </w:pPr>
      <w:r>
        <w:rPr>
          <w:rFonts w:ascii="Calibri" w:hAnsi="Calibri"/>
          <w:b/>
          <w:bCs/>
          <w:sz w:val="24"/>
          <w:szCs w:val="24"/>
        </w:rPr>
        <w:t>14.3.2.1</w:t>
      </w:r>
      <w:r>
        <w:rPr>
          <w:rFonts w:ascii="Calibri" w:hAnsi="Calibri"/>
          <w:sz w:val="24"/>
          <w:szCs w:val="24"/>
        </w:rPr>
        <w:t>. Se a operação implicar mudança da pessoa jurídica contratada, deverá ser formalizado termo aditivo para alteração subjetiva.</w:t>
      </w:r>
    </w:p>
    <w:p>
      <w:pPr>
        <w:pStyle w:val="Normal"/>
        <w:jc w:val="both"/>
        <w:rPr>
          <w:rFonts w:ascii="Calibri" w:hAnsi="Calibri"/>
          <w:sz w:val="24"/>
          <w:szCs w:val="24"/>
        </w:rPr>
      </w:pPr>
      <w:r>
        <w:rPr>
          <w:rFonts w:ascii="Calibri" w:hAnsi="Calibri"/>
          <w:b/>
          <w:bCs/>
          <w:sz w:val="24"/>
          <w:szCs w:val="24"/>
        </w:rPr>
        <w:t>14.4</w:t>
      </w:r>
      <w:r>
        <w:rPr>
          <w:rFonts w:ascii="Calibri" w:hAnsi="Calibri"/>
          <w:sz w:val="24"/>
          <w:szCs w:val="24"/>
        </w:rPr>
        <w:t>. O termo de rescisão, sempre que possível, será precedido:</w:t>
      </w:r>
    </w:p>
    <w:p>
      <w:pPr>
        <w:pStyle w:val="Normal"/>
        <w:ind w:hanging="0" w:left="284"/>
        <w:jc w:val="both"/>
        <w:rPr>
          <w:rFonts w:ascii="Calibri" w:hAnsi="Calibri"/>
          <w:sz w:val="24"/>
          <w:szCs w:val="24"/>
        </w:rPr>
      </w:pPr>
      <w:r>
        <w:rPr>
          <w:rFonts w:ascii="Calibri" w:hAnsi="Calibri"/>
          <w:b/>
          <w:bCs/>
          <w:sz w:val="24"/>
          <w:szCs w:val="24"/>
        </w:rPr>
        <w:t>14.4.1</w:t>
      </w:r>
      <w:r>
        <w:rPr>
          <w:rFonts w:ascii="Calibri" w:hAnsi="Calibri"/>
          <w:sz w:val="24"/>
          <w:szCs w:val="24"/>
        </w:rPr>
        <w:t>. Balanço dos eventos contratuais já cumpridos ou parcialmente cumpridos.</w:t>
      </w:r>
    </w:p>
    <w:p>
      <w:pPr>
        <w:pStyle w:val="Normal"/>
        <w:ind w:hanging="0" w:left="284"/>
        <w:jc w:val="both"/>
        <w:rPr>
          <w:rFonts w:ascii="Calibri" w:hAnsi="Calibri"/>
          <w:sz w:val="24"/>
          <w:szCs w:val="24"/>
        </w:rPr>
      </w:pPr>
      <w:r>
        <w:rPr>
          <w:rFonts w:ascii="Calibri" w:hAnsi="Calibri"/>
          <w:b/>
          <w:bCs/>
          <w:sz w:val="24"/>
          <w:szCs w:val="24"/>
        </w:rPr>
        <w:t>14.4.2</w:t>
      </w:r>
      <w:r>
        <w:rPr>
          <w:rFonts w:ascii="Calibri" w:hAnsi="Calibri"/>
          <w:sz w:val="24"/>
          <w:szCs w:val="24"/>
        </w:rPr>
        <w:t>. Relação dos pagamentos já efetuados e ainda devidos.</w:t>
      </w:r>
    </w:p>
    <w:p>
      <w:pPr>
        <w:pStyle w:val="Normal"/>
        <w:ind w:hanging="0" w:left="284"/>
        <w:jc w:val="both"/>
        <w:rPr>
          <w:rFonts w:ascii="Calibri" w:hAnsi="Calibri"/>
          <w:sz w:val="24"/>
          <w:szCs w:val="24"/>
        </w:rPr>
      </w:pPr>
      <w:r>
        <w:rPr>
          <w:rFonts w:ascii="Calibri" w:hAnsi="Calibri"/>
          <w:b/>
          <w:bCs/>
          <w:sz w:val="24"/>
          <w:szCs w:val="24"/>
        </w:rPr>
        <w:t>14.4.3</w:t>
      </w:r>
      <w:r>
        <w:rPr>
          <w:rFonts w:ascii="Calibri" w:hAnsi="Calibri"/>
          <w:sz w:val="24"/>
          <w:szCs w:val="24"/>
        </w:rPr>
        <w:t>. Indenizações e multas.</w:t>
      </w:r>
    </w:p>
    <w:p>
      <w:pPr>
        <w:pStyle w:val="Normal"/>
        <w:jc w:val="both"/>
        <w:rPr>
          <w:rFonts w:ascii="Calibri" w:hAnsi="Calibri"/>
          <w:sz w:val="24"/>
          <w:szCs w:val="24"/>
        </w:rPr>
      </w:pPr>
      <w:r>
        <w:rPr>
          <w:rFonts w:ascii="Calibri" w:hAnsi="Calibri"/>
          <w:b/>
          <w:bCs/>
          <w:sz w:val="24"/>
          <w:szCs w:val="24"/>
        </w:rPr>
        <w:t>14.5</w:t>
      </w:r>
      <w:r>
        <w:rPr>
          <w:rFonts w:ascii="Calibri" w:hAnsi="Calibri"/>
          <w:sz w:val="24"/>
          <w:szCs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Calibri" w:hAnsi="Calibri"/>
          <w:sz w:val="24"/>
          <w:szCs w:val="24"/>
        </w:rPr>
      </w:pPr>
      <w:r>
        <w:rPr>
          <w:rFonts w:ascii="Calibri" w:hAnsi="Calibri"/>
          <w:b/>
          <w:bCs/>
          <w:sz w:val="24"/>
          <w:szCs w:val="24"/>
        </w:rPr>
        <w:t>14.6</w:t>
      </w:r>
      <w:r>
        <w:rPr>
          <w:rFonts w:ascii="Calibri" w:hAnsi="Calibri"/>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QUINTA - DOS CASOS OMISSOS:</w:t>
            </w:r>
          </w:p>
        </w:tc>
      </w:tr>
    </w:tbl>
    <w:p>
      <w:pPr>
        <w:pStyle w:val="Normal"/>
        <w:jc w:val="both"/>
        <w:rPr>
          <w:rFonts w:ascii="Calibri" w:hAnsi="Calibri"/>
          <w:sz w:val="24"/>
          <w:szCs w:val="24"/>
        </w:rPr>
      </w:pPr>
      <w:r>
        <w:rPr>
          <w:rFonts w:ascii="Calibri" w:hAnsi="Calibri"/>
          <w:b/>
          <w:bCs/>
          <w:sz w:val="24"/>
          <w:szCs w:val="24"/>
        </w:rPr>
        <w:t>15.1</w:t>
      </w:r>
      <w:r>
        <w:rPr>
          <w:rFonts w:ascii="Calibri" w:hAnsi="Calibri"/>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SEXTA - DAS ALTERAÇÕES:</w:t>
            </w:r>
          </w:p>
        </w:tc>
      </w:tr>
    </w:tbl>
    <w:p>
      <w:pPr>
        <w:pStyle w:val="Normal"/>
        <w:jc w:val="both"/>
        <w:rPr>
          <w:rFonts w:ascii="Calibri" w:hAnsi="Calibri"/>
          <w:sz w:val="24"/>
          <w:szCs w:val="24"/>
        </w:rPr>
      </w:pPr>
      <w:r>
        <w:rPr>
          <w:rFonts w:ascii="Calibri" w:hAnsi="Calibri"/>
          <w:b/>
          <w:bCs/>
          <w:sz w:val="24"/>
          <w:szCs w:val="24"/>
        </w:rPr>
        <w:t>16.1</w:t>
      </w:r>
      <w:r>
        <w:rPr>
          <w:rFonts w:ascii="Calibri" w:hAnsi="Calibri"/>
          <w:sz w:val="24"/>
          <w:szCs w:val="24"/>
        </w:rPr>
        <w:t>. Eventuais alterações contratuais reger-se-ão pela disciplina dos arts. 124 e seguintes da Lei 14.133/2021.</w:t>
      </w:r>
    </w:p>
    <w:p>
      <w:pPr>
        <w:pStyle w:val="Normal"/>
        <w:jc w:val="both"/>
        <w:rPr>
          <w:rFonts w:ascii="Calibri" w:hAnsi="Calibri"/>
          <w:sz w:val="24"/>
          <w:szCs w:val="24"/>
        </w:rPr>
      </w:pPr>
      <w:r>
        <w:rPr>
          <w:rFonts w:ascii="Calibri" w:hAnsi="Calibri"/>
          <w:b/>
          <w:bCs/>
          <w:sz w:val="24"/>
          <w:szCs w:val="24"/>
        </w:rPr>
        <w:t>16.2</w:t>
      </w:r>
      <w:r>
        <w:rPr>
          <w:rFonts w:ascii="Calibri" w:hAnsi="Calibri"/>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ascii="Calibri" w:hAnsi="Calibri"/>
          <w:b/>
          <w:bCs/>
          <w:sz w:val="24"/>
          <w:szCs w:val="24"/>
        </w:rPr>
        <w:t>16.3</w:t>
      </w:r>
      <w:r>
        <w:rPr>
          <w:rFonts w:ascii="Calibri" w:hAnsi="Calibri"/>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SÉTIMA - DA PUBLICAÇÃO:</w:t>
            </w:r>
          </w:p>
        </w:tc>
      </w:tr>
    </w:tbl>
    <w:p>
      <w:pPr>
        <w:pStyle w:val="Normal"/>
        <w:jc w:val="both"/>
        <w:rPr>
          <w:rFonts w:ascii="Calibri" w:hAnsi="Calibri"/>
          <w:sz w:val="24"/>
          <w:szCs w:val="24"/>
        </w:rPr>
      </w:pPr>
      <w:r>
        <w:rPr>
          <w:rFonts w:ascii="Calibri" w:hAnsi="Calibri"/>
          <w:b/>
          <w:bCs/>
          <w:sz w:val="24"/>
          <w:szCs w:val="24"/>
        </w:rPr>
        <w:t>17.1</w:t>
      </w:r>
      <w:r>
        <w:rPr>
          <w:rFonts w:ascii="Calibri" w:hAnsi="Calibri"/>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OITAVA - DO FORO:</w:t>
            </w:r>
          </w:p>
        </w:tc>
      </w:tr>
    </w:tbl>
    <w:p>
      <w:pPr>
        <w:pStyle w:val="Normal"/>
        <w:jc w:val="both"/>
        <w:rPr>
          <w:rFonts w:ascii="Calibri" w:hAnsi="Calibri"/>
          <w:sz w:val="24"/>
          <w:szCs w:val="24"/>
        </w:rPr>
      </w:pPr>
      <w:r>
        <w:rPr>
          <w:rFonts w:ascii="Calibri" w:hAnsi="Calibri"/>
          <w:b/>
          <w:bCs/>
          <w:sz w:val="24"/>
          <w:szCs w:val="24"/>
        </w:rPr>
        <w:t>18.1</w:t>
      </w:r>
      <w:r>
        <w:rPr>
          <w:rFonts w:ascii="Calibri" w:hAnsi="Calibri"/>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t>[Local/Data]</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b/>
          <w:bCs/>
          <w:sz w:val="24"/>
          <w:szCs w:val="24"/>
        </w:rPr>
        <w:t>Leandro  Pereira Cardozo</w:t>
      </w:r>
    </w:p>
    <w:p>
      <w:pPr>
        <w:pStyle w:val="Normal"/>
        <w:jc w:val="center"/>
        <w:rPr>
          <w:rFonts w:ascii="Calibri" w:hAnsi="Calibri"/>
          <w:sz w:val="24"/>
          <w:szCs w:val="24"/>
        </w:rPr>
      </w:pPr>
      <w:r>
        <w:rPr>
          <w:rFonts w:cs="Arial" w:ascii="Calibri" w:hAnsi="Calibri"/>
          <w:b/>
          <w:bCs/>
          <w:color w:val="000000"/>
          <w:sz w:val="24"/>
          <w:szCs w:val="24"/>
        </w:rPr>
        <w:t>Secretaria de Município de Compras e Licitações</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spacing w:lineRule="auto" w:line="360"/>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FISCALIZAÇÃO DO CONTRATO Nº xxx/2026</w:t>
      </w:r>
    </w:p>
    <w:p>
      <w:pPr>
        <w:pStyle w:val="Normal"/>
        <w:spacing w:lineRule="auto" w:line="360"/>
        <w:ind w:hanging="0" w:left="1416" w:right="0"/>
        <w:jc w:val="center"/>
        <w:rPr>
          <w:rFonts w:ascii="Calibri" w:hAnsi="Calibri" w:eastAsia="HG Mincho Light J" w:cs="Times New Roman"/>
          <w:b/>
          <w:bCs/>
          <w:color w:val="000000"/>
          <w:kern w:val="0"/>
          <w:sz w:val="24"/>
          <w:szCs w:val="24"/>
          <w:lang w:val="pt-PT" w:eastAsia="zh-CN" w:bidi="ar-SA"/>
        </w:rPr>
      </w:pPr>
      <w:r>
        <w:rPr>
          <w:rFonts w:eastAsia="HG Mincho Light J" w:cs="Times New Roman" w:ascii="Calibri" w:hAnsi="Calibri"/>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ab/>
        <w:t xml:space="preserve">Em virtude da complexidade da prestação do serviço </w:t>
      </w:r>
      <w:r>
        <w:rPr>
          <w:rFonts w:eastAsia="HG Mincho Light J" w:cs="Times New Roman" w:ascii="Calibri" w:hAnsi="Calibri"/>
          <w:color w:val="000000"/>
          <w:kern w:val="0"/>
          <w:sz w:val="24"/>
          <w:szCs w:val="24"/>
          <w:lang w:val="pt-PT" w:eastAsia="zh-CN" w:bidi="ar-SA"/>
        </w:rPr>
        <w:t>e ou fornecimento</w:t>
      </w:r>
      <w:r>
        <w:rPr>
          <w:rFonts w:eastAsia="HG Mincho Light J" w:cs="Times New Roman" w:ascii="Calibri" w:hAnsi="Calibri"/>
          <w:color w:val="000000"/>
          <w:kern w:val="0"/>
          <w:sz w:val="24"/>
          <w:szCs w:val="24"/>
          <w:lang w:val="pt-PT" w:eastAsia="zh-CN" w:bidi="ar-SA"/>
        </w:rPr>
        <w:t xml:space="preserve">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Serviço</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xxxxxx</w:t>
      </w:r>
    </w:p>
    <w:p>
      <w:pPr>
        <w:pStyle w:val="Normal"/>
        <w:jc w:val="center"/>
        <w:rPr>
          <w:rFonts w:ascii="Calibri" w:hAnsi="Calibri" w:eastAsia="HG Mincho Light J" w:cs="Times New Roman"/>
          <w:b/>
          <w:bCs/>
          <w:color w:val="000000"/>
          <w:kern w:val="0"/>
          <w:sz w:val="24"/>
          <w:szCs w:val="24"/>
          <w:lang w:val="pt-PT" w:eastAsia="zh-CN" w:bidi="ar-SA"/>
        </w:rPr>
      </w:pPr>
      <w:r>
        <w:rPr>
          <w:rStyle w:val="Fontepargpadro2"/>
          <w:rFonts w:eastAsia="HG Mincho Light J" w:cs="Times New Roman" w:ascii="Calibri" w:hAnsi="Calibri"/>
          <w:b/>
          <w:bCs/>
          <w:color w:val="000000"/>
          <w:kern w:val="0"/>
          <w:sz w:val="24"/>
          <w:szCs w:val="24"/>
          <w:lang w:val="pt-PT" w:eastAsia="zh-CN" w:bidi="ar-SA"/>
        </w:rPr>
        <w:t>Secretário de Município xxxxx</w:t>
      </w:r>
    </w:p>
    <w:p>
      <w:pPr>
        <w:pStyle w:val="WW-Padro"/>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sz w:val="24"/>
          <w:szCs w:val="24"/>
        </w:rPr>
      </w:pPr>
      <w:r>
        <w:rPr>
          <w:rFonts w:eastAsia="HG Mincho Light J" w:cs="Times New Roman" w:ascii="Calibri" w:hAnsi="Calibri"/>
          <w:color w:val="000000"/>
          <w:kern w:val="0"/>
          <w:sz w:val="24"/>
          <w:szCs w:val="24"/>
          <w:lang w:val="pt-PT" w:eastAsia="zh-CN" w:bidi="ar-SA"/>
        </w:rPr>
        <w:t>Rio Grande, xx de xxxxx de 2026.</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ind w:hanging="0" w:left="0" w:right="0"/>
        <w:jc w:val="center"/>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ORDEM DE INÍCIO DOS SERVIÇOS</w:t>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ab/>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CONTRATO: xxxx/202x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EDITAL:  xxxxxx nº xxxx/202x</w:t>
      </w:r>
    </w:p>
    <w:p>
      <w:pPr>
        <w:pStyle w:val="Normal"/>
        <w:ind w:hanging="0" w:left="1416" w:right="0"/>
        <w:jc w:val="both"/>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jc w:val="both"/>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 xml:space="preserve">OBJETO: </w:t>
      </w:r>
      <w:r>
        <w:rPr>
          <w:rFonts w:eastAsia="HG Mincho Light J" w:cs="Times New Roman" w:ascii="Calibri" w:hAnsi="Calibri"/>
          <w:b/>
          <w:bCs/>
          <w:i w:val="false"/>
          <w:iCs w:val="false"/>
          <w:color w:val="000000"/>
          <w:spacing w:val="-3"/>
          <w:kern w:val="0"/>
          <w:sz w:val="24"/>
          <w:szCs w:val="24"/>
          <w:lang w:val="pt-PT" w:eastAsia="zh-CN" w:bidi="ar-SA"/>
        </w:rPr>
        <w:t xml:space="preserve"> 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DATA DO INÍCIO: __ / __ / ___.</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ab/>
        <w:tab/>
      </w:r>
    </w:p>
    <w:p>
      <w:pPr>
        <w:pStyle w:val="Normal"/>
        <w:spacing w:lineRule="auto" w:line="360"/>
        <w:ind w:hanging="0" w:left="1416" w:right="0"/>
        <w:jc w:val="both"/>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 xml:space="preserve">Contratada </w:t>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sz w:val="24"/>
          <w:szCs w:val="24"/>
        </w:rPr>
      </w:pPr>
      <w:r>
        <w:rPr>
          <w:rFonts w:eastAsia="HG Mincho Light J" w:cs="Times New Roman" w:ascii="Calibri" w:hAnsi="Calibri"/>
          <w:b/>
          <w:i w:val="false"/>
          <w:iCs w:val="false"/>
          <w:color w:val="000000"/>
          <w:kern w:val="0"/>
          <w:sz w:val="24"/>
          <w:szCs w:val="24"/>
          <w:lang w:val="pt-PT" w:eastAsia="zh-CN" w:bidi="ar-SA"/>
        </w:rPr>
        <w:t>xxxxxxxxxx</w:t>
      </w:r>
    </w:p>
    <w:p>
      <w:pPr>
        <w:pStyle w:val="WW-Padro"/>
        <w:ind w:hanging="0" w:left="0" w:right="0"/>
        <w:jc w:val="center"/>
        <w:rPr>
          <w:rFonts w:ascii="Calibri" w:hAnsi="Calibri" w:eastAsia="HG Mincho Light J" w:cs="Times New Roman"/>
          <w:i w:val="false"/>
          <w:iCs w:val="false"/>
          <w:color w:val="000000"/>
          <w:kern w:val="0"/>
          <w:sz w:val="24"/>
          <w:szCs w:val="24"/>
          <w:lang w:val="pt-PT" w:eastAsia="zh-CN" w:bidi="ar-SA"/>
        </w:rPr>
      </w:pPr>
      <w:r>
        <w:rPr>
          <w:rStyle w:val="Fontepargpadro2"/>
          <w:rFonts w:eastAsia="HG Mincho Light J" w:cs="Times New Roman" w:ascii="Calibri" w:hAnsi="Calibri"/>
          <w:i w:val="false"/>
          <w:iCs w:val="false"/>
          <w:color w:val="000000"/>
          <w:kern w:val="0"/>
          <w:sz w:val="24"/>
          <w:szCs w:val="24"/>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0"/>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Liberation Sans">
    <w:altName w:val="Arial"/>
    <w:charset w:val="00"/>
    <w:family w:val="swiss"/>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Calibri">
    <w:charset w:val="00"/>
    <w:family w:val="roman"/>
    <w:pitch w:val="variable"/>
  </w:font>
  <w:font w:name="Arial Unicode MS">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0"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3"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548894874"/>
                            <w:docPartObj>
                              <w:docPartGallery w:val="Page Numbers (Bottom of Page)"/>
                              <w:docPartUnique w:val="true"/>
                            </w:docPartObj>
                          </w:sdtPr>
                          <w:sdtContent>
                            <w:p>
                              <w:pPr>
                                <w:pStyle w:val="Contedodoquadrouser"/>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548894874"/>
                      <w:docPartObj>
                        <w:docPartGallery w:val="Page Numbers (Bottom of Page)"/>
                        <w:docPartUnique w:val="true"/>
                      </w:docPartObj>
                    </w:sdtPr>
                    <w:sdtContent>
                      <w:p>
                        <w:pPr>
                          <w:pStyle w:val="Contedodoquadrouser"/>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0"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4"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548894874"/>
                            <w:docPartObj>
                              <w:docPartGallery w:val="Page Numbers (Bottom of Page)"/>
                              <w:docPartUnique w:val="true"/>
                            </w:docPartObj>
                          </w:sdtPr>
                          <w:sdtContent>
                            <w:p>
                              <w:pPr>
                                <w:pStyle w:val="Contedodoquadrouser"/>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548894874"/>
                      <w:docPartObj>
                        <w:docPartGallery w:val="Page Numbers (Bottom of Page)"/>
                        <w:docPartUnique w:val="true"/>
                      </w:docPartObj>
                    </w:sdtPr>
                    <w:sdtContent>
                      <w:p>
                        <w:pPr>
                          <w:pStyle w:val="Contedodoquadrouser"/>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1"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Compras e Licitações - SMCLC</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1"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Compras e Licitações - SMCLC</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embedSystemFonts/>
  <w:defaultTabStop w:val="708"/>
  <w:autoHyphenation w:val="true"/>
  <w:hyphenationZone w:val="360"/>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Heading1">
    <w:name w:val="heading 1"/>
    <w:basedOn w:val="Normal"/>
    <w:next w:val="Normal"/>
    <w:qFormat/>
    <w:pPr>
      <w:keepNext w:val="true"/>
      <w:numPr>
        <w:ilvl w:val="0"/>
        <w:numId w:val="1"/>
      </w:numPr>
      <w:outlineLvl w:val="0"/>
    </w:pPr>
    <w:rPr>
      <w:sz w:val="24"/>
    </w:rPr>
  </w:style>
  <w:style w:type="paragraph" w:styleId="Heading2">
    <w:name w:val="heading 2"/>
    <w:basedOn w:val="WW-Ttulo"/>
    <w:next w:val="BodyText"/>
    <w:qFormat/>
    <w:pPr>
      <w:outlineLvl w:val="1"/>
    </w:pPr>
    <w:rPr>
      <w:b/>
      <w:i/>
    </w:rPr>
  </w:style>
  <w:style w:type="paragraph" w:styleId="Heading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hanging="0" w:left="3841"/>
      <w:outlineLvl w:val="3"/>
    </w:pPr>
    <w:rPr>
      <w:i/>
      <w:sz w:val="24"/>
    </w:rPr>
  </w:style>
  <w:style w:type="paragraph" w:styleId="Heading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Heading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user">
    <w:name w:val="Caracteres de nota de rodapé (user)"/>
    <w:uiPriority w:val="99"/>
    <w:semiHidden/>
    <w:unhideWhenUsed/>
    <w:qFormat/>
    <w:rsid w:val="003e35fc"/>
    <w:rPr>
      <w:vertAlign w:val="superscript"/>
    </w:rPr>
  </w:style>
  <w:style w:type="character" w:styleId="Smbolosdenumeraouser" w:customStyle="1">
    <w:name w:val="Símbolos de numeração (user)"/>
    <w:qFormat/>
    <w:rPr/>
  </w:style>
  <w:style w:type="character" w:styleId="Marcas" w:customStyle="1">
    <w:name w:val="Marcas"/>
    <w:qFormat/>
    <w:rPr>
      <w:rFonts w:ascii="StarSymbol" w:hAnsi="StarSymbol" w:cs="StarSymbol"/>
      <w:sz w:val="18"/>
    </w:rPr>
  </w:style>
  <w:style w:type="character" w:styleId="Hyperlink">
    <w:name w:val="Hyperlink"/>
    <w:rPr>
      <w:color w:val="000080"/>
      <w:u w:val="single"/>
    </w:rPr>
  </w:style>
  <w:style w:type="character" w:styleId="Caracteresdenotadefimuser" w:customStyle="1">
    <w:name w:val="Caracteres de nota de fim (user)"/>
    <w:qFormat/>
    <w:rPr/>
  </w:style>
  <w:style w:type="character" w:styleId="Emphasis">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user" w:customStyle="1">
    <w:name w:val="Marcadores (user)"/>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style>
  <w:style w:type="paragraph" w:styleId="Ttulo3" w:customStyle="1">
    <w:name w:val="Título3"/>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rPr>
  </w:style>
  <w:style w:type="paragraph" w:styleId="WW-Ttulo" w:customStyle="1">
    <w:name w:val="WW-Título"/>
    <w:basedOn w:val="Normal"/>
    <w:next w:val="BodyText"/>
    <w:qFormat/>
    <w:pPr>
      <w:keepNext w:val="true"/>
      <w:spacing w:before="240" w:after="120"/>
    </w:pPr>
    <w:rPr>
      <w:rFonts w:ascii="Albany" w:hAnsi="Albany" w:cs="Albany"/>
      <w:sz w:val="28"/>
    </w:rPr>
  </w:style>
  <w:style w:type="paragraph" w:styleId="Ttulo2" w:customStyle="1">
    <w:name w:val="Título2"/>
    <w:basedOn w:val="Normal"/>
    <w:next w:val="BodyText"/>
    <w:qFormat/>
    <w:pPr>
      <w:keepNext w:val="true"/>
      <w:spacing w:before="240" w:after="120"/>
    </w:pPr>
    <w:rPr>
      <w:rFonts w:ascii="Helvetica" w:hAnsi="Helvetica" w:cs="Tahoma"/>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BodyText"/>
    <w:qFormat/>
    <w:pPr>
      <w:keepNext w:val="true"/>
      <w:spacing w:before="240" w:after="120"/>
    </w:pPr>
    <w:rPr>
      <w:rFonts w:ascii="DejaVu Sans" w:hAnsi="DejaVu Sans" w:eastAsia="DejaVu Sans" w:cs="DejaVu Sans"/>
      <w:sz w:val="28"/>
      <w:szCs w:val="28"/>
    </w:rPr>
  </w:style>
  <w:style w:type="paragraph" w:styleId="Suspensodorecuouser" w:customStyle="1">
    <w:name w:val="Suspensão do recuo (user)"/>
    <w:basedOn w:val="Normal"/>
    <w:qFormat/>
    <w:pPr>
      <w:spacing w:lineRule="auto" w:line="360" w:before="240" w:after="0"/>
      <w:ind w:firstLine="1134"/>
    </w:pPr>
    <w:rPr/>
  </w:style>
  <w:style w:type="paragraph" w:styleId="BodyTextIndent">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Normal"/>
    <w:pPr>
      <w:tabs>
        <w:tab w:val="clear" w:pos="708"/>
        <w:tab w:val="center" w:pos="4419" w:leader="none"/>
        <w:tab w:val="right" w:pos="8838" w:leader="none"/>
      </w:tabs>
    </w:pPr>
    <w:rPr/>
  </w:style>
  <w:style w:type="paragraph" w:styleId="Footer">
    <w:name w:val="footer"/>
    <w:basedOn w:val="Normal"/>
    <w:uiPriority w:val="99"/>
    <w:pPr>
      <w:tabs>
        <w:tab w:val="clear" w:pos="708"/>
        <w:tab w:val="center" w:pos="4419" w:leader="none"/>
        <w:tab w:val="right" w:pos="8838" w:leader="none"/>
      </w:tabs>
    </w:pPr>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i/>
      <w:iCs/>
    </w:rPr>
  </w:style>
  <w:style w:type="paragraph" w:styleId="Subtitle">
    <w:name w:val="Subtitle"/>
    <w:basedOn w:val="Ttulo2"/>
    <w:next w:val="BodyText"/>
    <w:qFormat/>
    <w:pPr>
      <w:jc w:val="center"/>
    </w:pPr>
    <w:rPr>
      <w:i/>
      <w:iCs/>
    </w:rPr>
  </w:style>
  <w:style w:type="paragraph" w:styleId="Citaes" w:customStyle="1">
    <w:name w:val="Citações"/>
    <w:basedOn w:val="Normal"/>
    <w:qFormat/>
    <w:pPr>
      <w:spacing w:before="0" w:after="283"/>
      <w:ind w:hanging="0" w:left="567" w:right="567"/>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user" w:customStyle="1">
    <w:name w:val="Conteúdo do quadro (user)"/>
    <w:basedOn w:val="BodyText"/>
    <w:qFormat/>
    <w:pPr/>
    <w:rPr/>
  </w:style>
  <w:style w:type="paragraph" w:styleId="Textocomum" w:customStyle="1">
    <w:name w:val="Texto comum"/>
    <w:basedOn w:val="Normal"/>
    <w:qFormat/>
    <w:pPr>
      <w:suppressAutoHyphens w:val="false"/>
      <w:spacing w:lineRule="auto" w:line="360"/>
      <w:ind w:firstLine="720" w:left="567"/>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Heading4"/>
    <w:next w:val="Normal"/>
    <w:qFormat/>
    <w:pPr>
      <w:numPr>
        <w:ilvl w:val="0"/>
        <w:numId w:val="0"/>
      </w:numPr>
      <w:tabs>
        <w:tab w:val="clear" w:pos="708"/>
        <w:tab w:val="left" w:pos="360" w:leader="none"/>
      </w:tabs>
      <w:suppressAutoHyphens w:val="false"/>
      <w:ind w:hanging="0" w:left="3841"/>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rPr>
  </w:style>
  <w:style w:type="paragraph" w:styleId="Recuodaprimeiralinha" w:customStyle="1">
    <w:name w:val="Recuo da primeira linha"/>
    <w:basedOn w:val="BodyText"/>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hanging="0" w:left="2835"/>
      <w:jc w:val="both"/>
    </w:pPr>
    <w:rPr>
      <w:rFonts w:ascii="Arial" w:hAnsi="Arial" w:cs="Arial"/>
      <w:b/>
      <w:bCs/>
      <w:caps/>
      <w:kern w:val="2"/>
      <w:sz w:val="22"/>
      <w:szCs w:val="22"/>
    </w:rPr>
  </w:style>
  <w:style w:type="paragraph" w:styleId="Ementa-Corpo" w:customStyle="1">
    <w:name w:val="Ementa - Corpo"/>
    <w:basedOn w:val="Normal"/>
    <w:qFormat/>
    <w:pPr>
      <w:suppressAutoHyphens w:val="false"/>
      <w:ind w:hanging="0" w:left="2835"/>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FootnoteText">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hanging="0" w:left="283"/>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hanging="0" w:left="72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Default">
    <w:name w:val="Default"/>
    <w:qFormat/>
    <w:pPr>
      <w:widowControl/>
      <w:suppressAutoHyphens w:val="true"/>
      <w:bidi w:val="0"/>
      <w:spacing w:before="0" w:after="0"/>
      <w:jc w:val="left"/>
    </w:pPr>
    <w:rPr>
      <w:rFonts w:ascii="Arial" w:hAnsi="Arial" w:eastAsia="Times New Roman" w:cs="Times New Roman"/>
      <w:color w:val="000000"/>
      <w:kern w:val="0"/>
      <w:sz w:val="24"/>
      <w:szCs w:val="20"/>
      <w:lang w:val="pt-BR" w:eastAsia="pt-BR"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Application>LibreOffice/25.8.5.2$Windows_X86_64 LibreOffice_project/9c8b85f387cc00a89945a79c9e6239f32e450ac2</Application>
  <AppVersion>15.0000</AppVersion>
  <Pages>10</Pages>
  <Words>3729</Words>
  <Characters>21487</Characters>
  <CharactersWithSpaces>25047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2025-09-12T14:27:00Z</dcterms:created>
  <dc:creator>Maria Teresa F Corrêa</dc:creator>
  <dc:description/>
  <dc:language>pt-BR</dc:language>
  <cp:lastModifiedBy/>
  <cp:lastPrinted>2023-11-27T15:03:00Z</cp:lastPrinted>
  <dcterms:modified xsi:type="dcterms:W3CDTF">2026-05-13T14:02:22Z</dcterms:modified>
  <cp:revision>63</cp:revision>
  <dc:subject/>
  <dc:title>Parecer Juridico</dc:title>
</cp:coreProperties>
</file>

<file path=docProps/custom.xml><?xml version="1.0" encoding="utf-8"?>
<Properties xmlns="http://schemas.openxmlformats.org/officeDocument/2006/custom-properties" xmlns:vt="http://schemas.openxmlformats.org/officeDocument/2006/docPropsVTypes"/>
</file>