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widowControl/>
        <w:tabs>
          <w:tab w:val="clear" w:pos="720"/>
          <w:tab w:val="left" w:pos="3225" w:leader="none"/>
        </w:tabs>
        <w:suppressAutoHyphens w:val="true"/>
        <w:bidi w:val="0"/>
        <w:spacing w:before="0" w:after="0"/>
        <w:ind w:hanging="0" w:left="3288" w:right="0"/>
        <w:jc w:val="both"/>
        <w:rPr/>
      </w:pPr>
      <w:r>
        <w:rPr>
          <w:rFonts w:ascii="Aptos Narrow" w:hAnsi="Aptos Narrow"/>
          <w:b/>
          <w:bCs/>
          <w:sz w:val="24"/>
        </w:rPr>
        <w:t xml:space="preserve">CONTRATO ADMINISTRATIVO </w:t>
      </w:r>
      <w:r>
        <w:rPr>
          <w:rFonts w:ascii="Aptos Narrow" w:hAnsi="Aptos Narrow"/>
          <w:b/>
          <w:bCs/>
          <w:sz w:val="24"/>
          <w:highlight w:val="yellow"/>
        </w:rPr>
        <w:t>000/2026</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O </w:t>
      </w:r>
      <w:r>
        <w:rPr>
          <w:rFonts w:ascii="Aptos Narrow" w:hAnsi="Aptos Narrow"/>
          <w:b/>
          <w:bCs/>
          <w:sz w:val="24"/>
          <w:shd w:fill="auto" w:val="clear"/>
        </w:rPr>
        <w:t>CONCORRÊNCIA</w:t>
      </w:r>
      <w:r>
        <w:rPr>
          <w:rFonts w:ascii="Aptos Narrow" w:hAnsi="Aptos Narrow"/>
          <w:b/>
          <w:bCs/>
          <w:sz w:val="24"/>
          <w:shd w:fill="auto" w:val="clear"/>
        </w:rPr>
        <w:t xml:space="preserve"> </w:t>
      </w:r>
      <w:r>
        <w:rPr>
          <w:rFonts w:ascii="Aptos Narrow" w:hAnsi="Aptos Narrow"/>
          <w:b/>
          <w:bCs/>
          <w:sz w:val="24"/>
          <w:shd w:fill="auto" w:val="clear"/>
        </w:rPr>
        <w:t>27</w:t>
      </w:r>
      <w:r>
        <w:rPr>
          <w:rFonts w:ascii="Aptos Narrow" w:hAnsi="Aptos Narrow"/>
          <w:b/>
          <w:bCs/>
          <w:sz w:val="24"/>
          <w:shd w:fill="auto" w:val="clear"/>
        </w:rPr>
        <w:t>/2026,</w:t>
      </w:r>
      <w:r>
        <w:rPr>
          <w:rFonts w:ascii="Aptos Narrow" w:hAnsi="Aptos Narrow"/>
          <w:b/>
          <w:bCs/>
          <w:sz w:val="24"/>
          <w:shd w:fill="auto" w:val="clear"/>
        </w:rPr>
        <w:t xml:space="preserve"> SOB A FORMA ELETRÔNICA, PARA </w:t>
      </w:r>
      <w:r>
        <w:rPr>
          <w:rFonts w:eastAsia="Aptos Narrow" w:cs="Aptos Narrow" w:ascii="Aptos Narrow" w:hAnsi="Aptos Narrow"/>
          <w:b/>
          <w:bCs/>
          <w:i w:val="false"/>
          <w:caps w:val="false"/>
          <w:smallCaps w:val="false"/>
          <w:strike w:val="false"/>
          <w:dstrike w:val="false"/>
          <w:color w:val="000000"/>
          <w:kern w:val="0"/>
          <w:position w:val="0"/>
          <w:sz w:val="24"/>
          <w:szCs w:val="24"/>
          <w:u w:val="none"/>
          <w:shd w:fill="auto" w:val="clear"/>
          <w:vertAlign w:val="baseline"/>
          <w:lang w:val="pt-BR" w:eastAsia="zh-CN" w:bidi="hi-IN"/>
        </w:rPr>
        <w:t>CONTRATAÇÃO DE OBRA DE ENGENHARIA PARA EXECUÇÃO DAS OBRAS DE DRENAGEM E PAVIMENTAÇÃO DA RUA QUARENTA E SETE – NO TRECHO COMPREENDIDO ENTRE A AVENIDA SANTOS DUMONT E O ESTUÁRIO DA LAGUNA DOS PATOS, NO BAIRRO JUNÇÃO.</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Tendo em vista o que consta no Processo Administrativo Digital 12033</w:t>
      </w:r>
      <w:r>
        <w:rPr>
          <w:rFonts w:ascii="Aptos Narrow" w:hAnsi="Aptos Narrow"/>
          <w:sz w:val="24"/>
          <w:shd w:fill="auto" w:val="clear"/>
        </w:rPr>
        <w:t>/2026</w:t>
      </w:r>
      <w:r>
        <w:rPr>
          <w:rFonts w:ascii="Aptos Narrow" w:hAnsi="Aptos Narrow"/>
          <w:sz w:val="24"/>
        </w:rPr>
        <w:t xml:space="preserve"> e em observância às disposições da Lei 14.133, de 1º de abril de 2021, dos Decretos  Municipais 19.706, 19.707, ambos de 19/01/2023 e 19.710, de 24/01/2023; resolvem celebrar o presente, decorrente da </w:t>
      </w:r>
      <w:r>
        <w:rPr>
          <w:rFonts w:ascii="Aptos Narrow" w:hAnsi="Aptos Narrow"/>
          <w:sz w:val="24"/>
          <w:shd w:fill="auto" w:val="clear"/>
        </w:rPr>
        <w:t xml:space="preserve">Concorrência 19/2026, sob a forma eletrônica, mediante as cláusulas </w:t>
      </w:r>
      <w:r>
        <w:rPr>
          <w:rFonts w:ascii="Aptos Narrow" w:hAnsi="Aptos Narrow"/>
          <w:sz w:val="24"/>
        </w:rPr>
        <w:t>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1.1</w:t>
      </w:r>
      <w:r>
        <w:rPr>
          <w:rFonts w:ascii="Aptos Narrow" w:hAnsi="Aptos Narrow"/>
          <w:sz w:val="24"/>
        </w:rPr>
        <w:t xml:space="preserve">. </w:t>
      </w:r>
      <w:r>
        <w:rPr>
          <w:rFonts w:eastAsia="Calibri" w:cs="" w:ascii="Aptos Narrow" w:hAnsi="Aptos Narrow" w:cstheme="minorBidi" w:eastAsiaTheme="minorHAnsi"/>
          <w:color w:val="auto"/>
          <w:kern w:val="0"/>
          <w:sz w:val="24"/>
          <w:szCs w:val="24"/>
          <w:lang w:val="pt-BR" w:eastAsia="en-US" w:bidi="ar-SA"/>
        </w:rPr>
        <w:t>Cons</w:t>
      </w:r>
      <w:r>
        <w:rPr>
          <w:rFonts w:ascii="Aptos Narrow" w:hAnsi="Aptos Narrow"/>
        </w:rPr>
        <w:t>titui objeto deste instrumento a contratação de obra de engenharia para execução das obras de drenagem e pavimentação da Rua Quarenta e Sete - no trecho compreendido entre a Avenida Santos Dumont e o Estuário da Laguna dos Patos, no bairro Junção na forma abaixo descrita:</w:t>
      </w:r>
    </w:p>
    <w:p>
      <w:pPr>
        <w:pStyle w:val="Normal"/>
        <w:jc w:val="both"/>
        <w:rPr>
          <w:rFonts w:ascii="Aptos Narrow" w:hAnsi="Aptos Narrow"/>
        </w:rPr>
      </w:pPr>
      <w:r>
        <w:rPr>
          <w:rFonts w:ascii="Aptos Narrow" w:hAnsi="Aptos Narrow"/>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tbl>
      <w:tblPr>
        <w:tblStyle w:val="Tabelacomgrade"/>
        <w:tblW w:w="922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0"/>
        <w:gridCol w:w="4289"/>
        <w:gridCol w:w="1876"/>
        <w:gridCol w:w="2370"/>
      </w:tblGrid>
      <w:tr>
        <w:trPr/>
        <w:tc>
          <w:tcPr>
            <w:tcW w:w="69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Item</w:t>
            </w:r>
          </w:p>
        </w:tc>
        <w:tc>
          <w:tcPr>
            <w:tcW w:w="4289"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Descrição</w:t>
            </w:r>
          </w:p>
        </w:tc>
        <w:tc>
          <w:tcPr>
            <w:tcW w:w="1876"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Unidade de medida</w:t>
            </w:r>
          </w:p>
        </w:tc>
        <w:tc>
          <w:tcPr>
            <w:tcW w:w="237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Total</w:t>
            </w:r>
          </w:p>
        </w:tc>
      </w:tr>
      <w:tr>
        <w:trPr>
          <w:trHeight w:val="1650" w:hRule="atLeast"/>
        </w:trPr>
        <w:tc>
          <w:tcPr>
            <w:tcW w:w="690" w:type="dxa"/>
            <w:tcBorders/>
          </w:tcPr>
          <w:p>
            <w:pPr>
              <w:pStyle w:val="Standard"/>
              <w:widowControl w:val="false"/>
              <w:jc w:val="both"/>
              <w:rPr>
                <w:rFonts w:ascii="Calibri" w:hAnsi="Calibri" w:cs="Arial"/>
                <w:b/>
                <w:bCs/>
                <w:sz w:val="24"/>
              </w:rPr>
            </w:pPr>
            <w:r>
              <w:rPr>
                <w:rFonts w:cs="Arial" w:ascii="Calibri" w:hAnsi="Calibri"/>
                <w:b/>
                <w:bCs/>
                <w:sz w:val="24"/>
              </w:rPr>
              <w:t>1.</w:t>
            </w:r>
          </w:p>
        </w:tc>
        <w:tc>
          <w:tcPr>
            <w:tcW w:w="4289" w:type="dxa"/>
            <w:tcBorders/>
          </w:tcPr>
          <w:p>
            <w:pPr>
              <w:pStyle w:val="LO-normal1"/>
              <w:widowControl/>
              <w:shd w:val="clear" w:fill="auto"/>
              <w:spacing w:lineRule="auto" w:line="240" w:before="0" w:after="0"/>
              <w:ind w:hanging="0" w:left="0" w:right="0"/>
              <w:jc w:val="both"/>
              <w:rPr>
                <w:rFonts w:ascii="Aptos Narrow" w:hAnsi="Aptos Narrow" w:eastAsia="Aptos Narrow" w:cs="Aptos Narrow"/>
                <w:b w:val="false"/>
                <w:i w:val="false"/>
                <w:caps w:val="false"/>
                <w:smallCaps w:val="false"/>
                <w:strike w:val="false"/>
                <w:dstrike w:val="false"/>
                <w:color w:val="000000"/>
                <w:position w:val="0"/>
                <w:sz w:val="24"/>
                <w:szCs w:val="24"/>
                <w:u w:val="none"/>
                <w:shd w:fill="auto" w:val="clear"/>
                <w:vertAlign w:val="baseline"/>
              </w:rPr>
            </w:pP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h-CN" w:bidi="hi-IN"/>
              </w:rPr>
              <w:t>Contratação de obra de engenharia para execução das obras de drenagem e pavimentação da Rua Quarenta e Sete – no trecho compreendido entre a Avenida Santos Dumont e o Estuário da Laguna dos Patos, no bairro Junção, conforme condições, quantidades e exigências estabelecidas Termo de referência e anexos.</w:t>
            </w:r>
          </w:p>
        </w:tc>
        <w:tc>
          <w:tcPr>
            <w:tcW w:w="1876" w:type="dxa"/>
            <w:tcBorders/>
          </w:tcPr>
          <w:p>
            <w:pPr>
              <w:pStyle w:val="Normal"/>
              <w:ind w:hanging="0" w:left="284"/>
              <w:jc w:val="center"/>
              <w:rPr>
                <w:rFonts w:ascii="Aptos Narrow" w:hAnsi="Aptos Narrow"/>
              </w:rPr>
            </w:pPr>
            <w:r>
              <w:rPr>
                <w:rFonts w:ascii="Aptos Narrow" w:hAnsi="Aptos Narrow"/>
              </w:rPr>
              <w:t>Serviço</w:t>
            </w:r>
          </w:p>
        </w:tc>
        <w:tc>
          <w:tcPr>
            <w:tcW w:w="2370" w:type="dxa"/>
            <w:tcBorders/>
          </w:tcPr>
          <w:p>
            <w:pPr>
              <w:pStyle w:val="Normal"/>
              <w:ind w:hanging="0" w:left="284"/>
              <w:jc w:val="center"/>
              <w:rPr>
                <w:rFonts w:ascii="Aptos Narrow" w:hAnsi="Aptos Narrow"/>
              </w:rPr>
            </w:pPr>
            <w:r>
              <w:rPr>
                <w:rFonts w:ascii="Aptos Narrow" w:hAnsi="Aptos Narrow"/>
              </w:rPr>
              <w:t>R$</w:t>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hanging="0" w:left="284"/>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hanging="0" w:left="284"/>
        <w:jc w:val="both"/>
        <w:rPr>
          <w:rFonts w:ascii="Aptos Narrow" w:hAnsi="Aptos Narrow"/>
          <w:sz w:val="24"/>
        </w:rPr>
      </w:pPr>
      <w:r>
        <w:rPr>
          <w:rFonts w:ascii="Aptos Narrow" w:hAnsi="Aptos Narrow"/>
          <w:b/>
          <w:bCs/>
          <w:sz w:val="24"/>
        </w:rPr>
        <w:t>1.2.4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O regime de execução contratual será o</w:t>
      </w:r>
      <w:r>
        <w:rPr>
          <w:rFonts w:ascii="Aptos Narrow" w:hAnsi="Aptos Narrow"/>
          <w:sz w:val="24"/>
          <w:shd w:fill="auto" w:val="clear"/>
        </w:rPr>
        <w:t xml:space="preserve"> de empreitada por preço global. </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xml:space="preserve">. O prazo de vigência da </w:t>
      </w:r>
      <w:r>
        <w:rPr>
          <w:rFonts w:ascii="Aptos Narrow" w:hAnsi="Aptos Narrow"/>
          <w:b/>
          <w:bCs/>
          <w:sz w:val="24"/>
        </w:rPr>
        <w:t>contratação é de 06 (seis) meses</w:t>
      </w:r>
      <w:r>
        <w:rPr>
          <w:rFonts w:ascii="Aptos Narrow" w:hAnsi="Aptos Narrow"/>
          <w:sz w:val="24"/>
        </w:rPr>
        <w:t xml:space="preserve"> </w:t>
      </w:r>
      <w:r>
        <w:rPr>
          <w:rFonts w:ascii="Aptos Narrow" w:hAnsi="Aptos Narrow"/>
          <w:sz w:val="24"/>
          <w:shd w:fill="auto" w:val="clear"/>
        </w:rPr>
        <w:t>da Ordem de Início dos Serviços, na forma do art. 105 da Lei 14.133/2021.</w:t>
      </w:r>
    </w:p>
    <w:p>
      <w:pPr>
        <w:pStyle w:val="Normal"/>
        <w:jc w:val="both"/>
        <w:rPr>
          <w:rFonts w:ascii="Aptos Narrow" w:hAnsi="Aptos Narrow"/>
          <w:sz w:val="24"/>
        </w:rPr>
      </w:pPr>
      <w:r>
        <w:rPr>
          <w:rFonts w:ascii="Aptos Narrow" w:hAnsi="Aptos Narrow"/>
          <w:b/>
          <w:bCs/>
          <w:sz w:val="24"/>
        </w:rPr>
        <w:t>2.2</w:t>
      </w:r>
      <w:r>
        <w:rPr>
          <w:rFonts w:ascii="Aptos Narrow" w:hAnsi="Aptos Narrow"/>
          <w:sz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sz w:val="24"/>
        </w:rPr>
      </w:pPr>
      <w:r>
        <w:rPr>
          <w:rFonts w:ascii="Aptos Narrow" w:hAnsi="Aptos Narrow"/>
          <w:b/>
          <w:bCs/>
          <w:sz w:val="24"/>
        </w:rPr>
        <w:t>2.3</w:t>
      </w:r>
      <w:r>
        <w:rPr>
          <w:rFonts w:ascii="Aptos Narrow" w:hAnsi="Aptos Narrow"/>
          <w:sz w:val="24"/>
        </w:rPr>
        <w:t xml:space="preserve">.  O prazo de </w:t>
      </w:r>
      <w:r>
        <w:rPr>
          <w:rFonts w:ascii="Aptos Narrow" w:hAnsi="Aptos Narrow"/>
          <w:b/>
          <w:bCs/>
          <w:sz w:val="24"/>
        </w:rPr>
        <w:t>execução dos serviços é de</w:t>
      </w:r>
      <w:r>
        <w:rPr>
          <w:rFonts w:ascii="Aptos Narrow" w:hAnsi="Aptos Narrow"/>
          <w:b/>
          <w:bCs/>
          <w:sz w:val="24"/>
          <w:shd w:fill="auto" w:val="clear"/>
        </w:rPr>
        <w:t xml:space="preserve"> 02 (dois) me</w:t>
      </w:r>
      <w:r>
        <w:rPr>
          <w:rFonts w:ascii="Aptos Narrow" w:hAnsi="Aptos Narrow"/>
          <w:b/>
          <w:bCs/>
          <w:sz w:val="24"/>
        </w:rPr>
        <w:t>se</w:t>
      </w:r>
      <w:r>
        <w:rPr>
          <w:rFonts w:ascii="Aptos Narrow" w:hAnsi="Aptos Narrow"/>
          <w:b/>
          <w:bCs/>
          <w:sz w:val="24"/>
          <w:shd w:fill="auto" w:val="clear"/>
        </w:rPr>
        <w:t>s</w:t>
      </w:r>
      <w:r>
        <w:rPr>
          <w:rFonts w:ascii="Aptos Narrow" w:hAnsi="Aptos Narrow"/>
          <w:sz w:val="24"/>
          <w:shd w:fill="auto" w:val="clear"/>
        </w:rPr>
        <w:t>, da Ordem de Início dos Serviços.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total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w:t>
      </w:r>
    </w:p>
    <w:p>
      <w:pPr>
        <w:pStyle w:val="Normal"/>
        <w:jc w:val="both"/>
        <w:rPr>
          <w:rFonts w:ascii="Aptos Narrow" w:hAnsi="Aptos Narrow"/>
          <w:b/>
          <w:bCs/>
          <w:sz w:val="24"/>
        </w:rPr>
      </w:pPr>
      <w:r>
        <w:rPr>
          <w:rFonts w:ascii="Aptos Narrow" w:hAnsi="Aptos Narrow"/>
          <w:b/>
          <w:bCs/>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ata do orçamento estimado.</w:t>
      </w:r>
    </w:p>
    <w:p>
      <w:pPr>
        <w:pStyle w:val="Normal"/>
        <w:ind w:hanging="0" w:left="284"/>
        <w:jc w:val="both"/>
        <w:rPr>
          <w:rFonts w:ascii="Aptos Narrow" w:hAnsi="Aptos Narrow"/>
          <w:sz w:val="24"/>
        </w:rPr>
      </w:pPr>
      <w:r>
        <w:rPr>
          <w:rFonts w:ascii="Aptos Narrow" w:hAnsi="Aptos Narrow"/>
          <w:b/>
          <w:bCs/>
          <w:sz w:val="24"/>
        </w:rPr>
        <w:t>5.1.1</w:t>
      </w:r>
      <w:r>
        <w:rPr>
          <w:rFonts w:ascii="Aptos Narrow" w:hAnsi="Aptos Narrow"/>
          <w:sz w:val="24"/>
        </w:rPr>
        <w:t xml:space="preserve">. O orçamento estimado pela Administração baseou-se nas planilhas referenciais, elaboradas com no SINAPI 01, do ano de </w:t>
      </w:r>
      <w:r>
        <w:rPr>
          <w:rFonts w:ascii="Aptos Narrow" w:hAnsi="Aptos Narrow"/>
          <w:sz w:val="24"/>
          <w:shd w:fill="auto" w:val="clear"/>
        </w:rPr>
        <w:t>2026.</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O reajuste será realizado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20 - SECRETARIA DE MUNICÍPIO DE INFRAESTRUTURA</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20.004 - COMPLEXO DE MANUTENÇÃO URBANA</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20.004.15 - URBANISMO</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20.004.15.452 - SERVIÇOS URBANOS</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20.004.15.452.0020 - PROGRAMA TRANSFORMANDO O PRESENTE, CONSTRUINDO O FUTURO</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20.004.15.452.0020.1681 - DESENVOLVIMENTO E IMPLANTAÇÃO DE PROJETOS DE INFRAESTRUTURA</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E MOBILIDADE</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Recurso 2706 - Transferência Especial da União</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4.4.90.51.00.00.00.00 – Obras e Instalações</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t>CÓD REDUZIDO 2788</w:t>
      </w:r>
    </w:p>
    <w:p>
      <w:pPr>
        <w:pStyle w:val="LO-normal1"/>
        <w:jc w:val="both"/>
        <w:rPr>
          <w:rFonts w:ascii="Aptos Narrow" w:hAnsi="Aptos Narrow" w:eastAsia="Aptos Narrow" w:cs="Aptos Narrow"/>
          <w:sz w:val="21"/>
          <w:szCs w:val="21"/>
        </w:rPr>
      </w:pPr>
      <w:r>
        <w:rPr>
          <w:rFonts w:eastAsia="Aptos Narrow" w:cs="Aptos Narrow" w:ascii="Aptos Narrow" w:hAnsi="Aptos Narrow"/>
          <w:sz w:val="21"/>
          <w:szCs w:val="21"/>
        </w:rPr>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Referência/Projeto Básico.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hanging="0"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hanging="0"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sz w:val="24"/>
        </w:rPr>
      </w:pPr>
      <w:r>
        <w:rPr>
          <w:rFonts w:ascii="Aptos Narrow" w:hAnsi="Aptos Narrow"/>
          <w:b/>
          <w:bCs/>
          <w:sz w:val="24"/>
        </w:rPr>
        <w:t>9.16</w:t>
      </w:r>
      <w:r>
        <w:rPr>
          <w:rFonts w:ascii="Aptos Narrow" w:hAnsi="Aptos Narrow"/>
          <w:sz w:val="24"/>
        </w:rPr>
        <w:t>. Exigir do Contratado que providencie a seguinte documentação como condição indispensável para o recebimento definitivo de objeto, quando for o caso:</w:t>
      </w:r>
    </w:p>
    <w:p>
      <w:pPr>
        <w:pStyle w:val="Normal"/>
        <w:ind w:hanging="0" w:left="284"/>
        <w:jc w:val="both"/>
        <w:rPr>
          <w:rFonts w:ascii="Aptos Narrow" w:hAnsi="Aptos Narrow"/>
          <w:sz w:val="24"/>
        </w:rPr>
      </w:pPr>
      <w:r>
        <w:rPr>
          <w:rFonts w:ascii="Aptos Narrow" w:hAnsi="Aptos Narrow"/>
          <w:b/>
          <w:bCs/>
          <w:sz w:val="24"/>
        </w:rPr>
        <w:t>9.16.1</w:t>
      </w:r>
      <w:r>
        <w:rPr>
          <w:rFonts w:ascii="Aptos Narrow" w:hAnsi="Aptos Narrow"/>
          <w:sz w:val="24"/>
        </w:rPr>
        <w:t>. "as built", elaborado pelo responsável por sua execução;</w:t>
      </w:r>
    </w:p>
    <w:p>
      <w:pPr>
        <w:pStyle w:val="Normal"/>
        <w:ind w:hanging="0" w:left="284"/>
        <w:jc w:val="both"/>
        <w:rPr>
          <w:rFonts w:ascii="Aptos Narrow" w:hAnsi="Aptos Narrow"/>
          <w:sz w:val="24"/>
        </w:rPr>
      </w:pPr>
      <w:r>
        <w:rPr>
          <w:rFonts w:ascii="Aptos Narrow" w:hAnsi="Aptos Narrow"/>
          <w:b/>
          <w:bCs/>
          <w:sz w:val="24"/>
        </w:rPr>
        <w:t>9.16.2</w:t>
      </w:r>
      <w:r>
        <w:rPr>
          <w:rFonts w:ascii="Aptos Narrow" w:hAnsi="Aptos Narrow"/>
          <w:sz w:val="24"/>
        </w:rPr>
        <w:t>. comprovação das ligações definitivas de energia, água, telefone e gás;</w:t>
      </w:r>
    </w:p>
    <w:p>
      <w:pPr>
        <w:pStyle w:val="Normal"/>
        <w:ind w:hanging="0" w:left="284"/>
        <w:jc w:val="both"/>
        <w:rPr>
          <w:rFonts w:ascii="Aptos Narrow" w:hAnsi="Aptos Narrow"/>
          <w:sz w:val="24"/>
        </w:rPr>
      </w:pPr>
      <w:r>
        <w:rPr>
          <w:rFonts w:ascii="Aptos Narrow" w:hAnsi="Aptos Narrow"/>
          <w:b/>
          <w:bCs/>
          <w:sz w:val="24"/>
        </w:rPr>
        <w:t>9.16.3</w:t>
      </w:r>
      <w:r>
        <w:rPr>
          <w:rFonts w:ascii="Aptos Narrow" w:hAnsi="Aptos Narrow"/>
          <w:sz w:val="24"/>
        </w:rPr>
        <w:t>. laudo de vistoria do corpo de bombeiros aprovando o serviço;</w:t>
      </w:r>
    </w:p>
    <w:p>
      <w:pPr>
        <w:pStyle w:val="Normal"/>
        <w:ind w:hanging="0" w:left="284"/>
        <w:jc w:val="both"/>
        <w:rPr>
          <w:rFonts w:ascii="Aptos Narrow" w:hAnsi="Aptos Narrow"/>
          <w:sz w:val="24"/>
        </w:rPr>
      </w:pPr>
      <w:r>
        <w:rPr>
          <w:rFonts w:ascii="Aptos Narrow" w:hAnsi="Aptos Narrow"/>
          <w:b/>
          <w:bCs/>
          <w:sz w:val="24"/>
        </w:rPr>
        <w:t>9.16.4</w:t>
      </w:r>
      <w:r>
        <w:rPr>
          <w:rFonts w:ascii="Aptos Narrow" w:hAnsi="Aptos Narrow"/>
          <w:sz w:val="24"/>
        </w:rPr>
        <w:t>. carta "habite-se", emitida pela prefeitura; e</w:t>
      </w:r>
    </w:p>
    <w:p>
      <w:pPr>
        <w:pStyle w:val="Normal"/>
        <w:ind w:hanging="0" w:left="284"/>
        <w:jc w:val="both"/>
        <w:rPr>
          <w:rFonts w:ascii="Aptos Narrow" w:hAnsi="Aptos Narrow"/>
          <w:sz w:val="24"/>
        </w:rPr>
      </w:pPr>
      <w:r>
        <w:rPr>
          <w:rFonts w:ascii="Aptos Narrow" w:hAnsi="Aptos Narrow"/>
          <w:b/>
          <w:bCs/>
          <w:sz w:val="24"/>
        </w:rPr>
        <w:t>9.16.5</w:t>
      </w:r>
      <w:r>
        <w:rPr>
          <w:rFonts w:ascii="Aptos Narrow" w:hAnsi="Aptos Narrow"/>
          <w:sz w:val="24"/>
        </w:rPr>
        <w:t>. certidão negativa de débitos previdenciários específica para o registro da obra junto ao Cartório de Registro de Imóveis.</w:t>
      </w:r>
    </w:p>
    <w:p>
      <w:pPr>
        <w:pStyle w:val="Normal"/>
        <w:jc w:val="both"/>
        <w:rPr>
          <w:rFonts w:ascii="Aptos Narrow" w:hAnsi="Aptos Narrow"/>
          <w:sz w:val="24"/>
        </w:rPr>
      </w:pPr>
      <w:r>
        <w:rPr>
          <w:rFonts w:ascii="Aptos Narrow" w:hAnsi="Aptos Narrow"/>
          <w:b/>
          <w:bCs/>
          <w:sz w:val="24"/>
        </w:rPr>
        <w:t>9.17</w:t>
      </w:r>
      <w:r>
        <w:rPr>
          <w:rFonts w:ascii="Aptos Narrow" w:hAnsi="Aptos Narrow"/>
          <w:sz w:val="24"/>
        </w:rPr>
        <w:t>. Arquivar, entre outros documentos, de projetos, "as built", especificações técnicas, orçamentos, termos de recebimento, contratos e aditamentos, relatórios de inspeções técnicas após o recebimento do serviço e notificações expedidas.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pPr>
        <w:pStyle w:val="Normal"/>
        <w:ind w:hanging="0"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hanging="0"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hanging="0"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hanging="0"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Aptos Narrow" w:hAnsi="Aptos Narrow"/>
          <w:sz w:val="24"/>
        </w:rPr>
      </w:pPr>
      <w:r>
        <w:rPr>
          <w:rFonts w:ascii="Aptos Narrow" w:hAnsi="Aptos Narrow"/>
          <w:b/>
          <w:bCs/>
          <w:sz w:val="24"/>
        </w:rPr>
        <w:t>10.20.1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Manter os empregados nos horários predeterminados pelo Contratante.</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Apresentar os empregados devidamente identificados por meio de crachá.</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ao Contratante, quando for o caso, a relação nominal dos empregados que adentrarão no órgão para a execução do serviço.</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Observar os preceitos da legislação sobre a jornada de trabalho, conforme a categoria profissional.</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Instruir seus empregados quanto à necessidade de acatar as Normas Internas do Contratante.</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os seus empregados, quanto à prevenção de incêndios nas áreas do Contratante.</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ptos Narrow" w:hAnsi="Aptos Narrow"/>
          <w:sz w:val="24"/>
        </w:rPr>
      </w:pPr>
      <w:r>
        <w:rPr>
          <w:rFonts w:ascii="Aptos Narrow" w:hAnsi="Aptos Narrow"/>
          <w:b/>
          <w:bCs/>
          <w:sz w:val="24"/>
        </w:rPr>
        <w:t>10.37</w:t>
      </w:r>
      <w:r>
        <w:rPr>
          <w:rFonts w:ascii="Aptos Narrow" w:hAnsi="Aptos Narrow"/>
          <w:sz w:val="24"/>
        </w:rPr>
        <w:t>. Estar registrada ou inscrita no Conselho Profissional competente, conforme as áreas de atuação previstas no Termo de Referência, em plena validade.</w:t>
      </w:r>
    </w:p>
    <w:p>
      <w:pPr>
        <w:pStyle w:val="Normal"/>
        <w:jc w:val="both"/>
        <w:rPr>
          <w:rFonts w:ascii="Aptos Narrow" w:hAnsi="Aptos Narrow"/>
          <w:sz w:val="24"/>
        </w:rPr>
      </w:pPr>
      <w:r>
        <w:rPr>
          <w:rFonts w:ascii="Aptos Narrow" w:hAnsi="Aptos Narrow"/>
          <w:b/>
          <w:bCs/>
          <w:sz w:val="24"/>
        </w:rPr>
        <w:t>10.38</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Aptos Narrow" w:hAnsi="Aptos Narrow"/>
          <w:sz w:val="24"/>
        </w:rPr>
      </w:pPr>
      <w:r>
        <w:rPr>
          <w:rFonts w:ascii="Aptos Narrow" w:hAnsi="Aptos Narrow"/>
          <w:b/>
          <w:bCs/>
          <w:sz w:val="24"/>
        </w:rPr>
        <w:t>10.39</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Aptos Narrow" w:hAnsi="Aptos Narrow"/>
          <w:sz w:val="24"/>
        </w:rPr>
      </w:pPr>
      <w:r>
        <w:rPr>
          <w:rFonts w:ascii="Aptos Narrow" w:hAnsi="Aptos Narrow"/>
          <w:b/>
          <w:bCs/>
          <w:sz w:val="24"/>
        </w:rPr>
        <w:t>10.40</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Aptos Narrow" w:hAnsi="Aptos Narrow"/>
          <w:sz w:val="24"/>
        </w:rPr>
      </w:pPr>
      <w:r>
        <w:rPr>
          <w:rFonts w:ascii="Aptos Narrow" w:hAnsi="Aptos Narrow"/>
          <w:b/>
          <w:bCs/>
          <w:sz w:val="24"/>
        </w:rPr>
        <w:t>10.41</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Aptos Narrow" w:hAnsi="Aptos Narrow"/>
          <w:sz w:val="24"/>
        </w:rPr>
      </w:pPr>
      <w:r>
        <w:rPr>
          <w:rFonts w:ascii="Aptos Narrow" w:hAnsi="Aptos Narrow"/>
          <w:b/>
          <w:bCs/>
          <w:sz w:val="24"/>
        </w:rPr>
        <w:t>10.42</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Aptos Narrow" w:hAnsi="Aptos Narrow"/>
          <w:sz w:val="24"/>
        </w:rPr>
      </w:pPr>
      <w:r>
        <w:rPr>
          <w:rFonts w:ascii="Aptos Narrow" w:hAnsi="Aptos Narrow"/>
          <w:b/>
          <w:bCs/>
          <w:sz w:val="24"/>
        </w:rPr>
        <w:t>10.43</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bookmarkStart w:id="0" w:name="_Hlk153545902"/>
      <w:bookmarkEnd w:id="0"/>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SCLC/SMGAL, no endereço eletrônico </w:t>
      </w:r>
      <w:r>
        <w:rPr>
          <w:rFonts w:ascii="Aptos Narrow" w:hAnsi="Aptos Narrow"/>
          <w:sz w:val="24"/>
          <w:highlight w:val="yellow"/>
        </w:rPr>
        <w:t>[contratos.riogrande@gmail.com</w:t>
      </w:r>
      <w:r>
        <w:rPr>
          <w:rFonts w:ascii="Aptos Narrow" w:hAnsi="Aptos Narrow"/>
          <w:sz w:val="24"/>
        </w:rPr>
        <w:t>], o documento comprobatório da garantia prestada;</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hanging="0"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hanging="0"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hanging="0"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hanging="0" w:left="567"/>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1"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1"/>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Calibri" w:hAnsi="Calibri"/>
          <w:sz w:val="24"/>
        </w:rPr>
      </w:pPr>
      <w:r>
        <w:rPr>
          <w:b w:val="false"/>
          <w:i w:val="false"/>
          <w:color w:val="000000"/>
          <w:sz w:val="24"/>
        </w:rPr>
        <w:t>Luiz Francisco Spotorno</w:t>
      </w:r>
    </w:p>
    <w:p>
      <w:pPr>
        <w:pStyle w:val="Normal"/>
        <w:jc w:val="center"/>
        <w:rPr>
          <w:rFonts w:ascii="Calibri" w:hAnsi="Calibri"/>
          <w:b w:val="false"/>
          <w:i w:val="false"/>
          <w:color w:val="000000"/>
          <w:sz w:val="24"/>
        </w:rPr>
      </w:pPr>
      <w:r>
        <w:rPr>
          <w:b w:val="false"/>
          <w:i w:val="false"/>
          <w:color w:val="000000"/>
          <w:sz w:val="24"/>
        </w:rPr>
        <w:t>Secretário de Município de Infraestrutura</w:t>
      </w:r>
    </w:p>
    <w:p>
      <w:pPr>
        <w:pStyle w:val="Normal"/>
        <w:jc w:val="center"/>
        <w:rPr>
          <w:rFonts w:ascii="Arial" w:hAnsi="Arial"/>
          <w:sz w:val="16"/>
        </w:rPr>
      </w:pPr>
      <w:r>
        <w:rPr>
          <w:rFonts w:ascii="Arial" w:hAnsi="Arial"/>
          <w:sz w:val="16"/>
        </w:rPr>
      </w:r>
    </w:p>
    <w:p>
      <w:pPr>
        <w:pStyle w:val="Normal"/>
        <w:jc w:val="center"/>
        <w:rPr>
          <w:rFonts w:ascii="Aptos Narrow" w:hAnsi="Aptos Narrow"/>
          <w:sz w:val="24"/>
        </w:rPr>
      </w:pPr>
      <w:r>
        <w:rPr>
          <w:rFonts w:ascii="Aptos Narrow" w:hAnsi="Aptos Narrow"/>
          <w:sz w:val="24"/>
        </w:rPr>
      </w:r>
    </w:p>
    <w:p>
      <w:pPr>
        <w:pStyle w:val="Normal"/>
        <w:jc w:val="center"/>
        <w:rPr/>
      </w:pPr>
      <w:r>
        <w:rPr/>
        <w:t>Leandro Pereira Cardozo</w:t>
      </w:r>
    </w:p>
    <w:p>
      <w:pPr>
        <w:pStyle w:val="Normal"/>
        <w:jc w:val="center"/>
        <w:rPr/>
      </w:pPr>
      <w:r>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xx/2026</w:t>
      </w:r>
    </w:p>
    <w:p>
      <w:pPr>
        <w:pStyle w:val="Normal"/>
        <w:spacing w:lineRule="auto" w:line="360"/>
        <w:ind w:hanging="0" w:left="1416" w:right="0"/>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Calibri" w:hAnsi="Calibri"/>
          <w:sz w:val="24"/>
        </w:rPr>
      </w:pPr>
      <w:r>
        <w:rPr>
          <w:b w:val="false"/>
          <w:i w:val="false"/>
          <w:color w:val="000000"/>
          <w:sz w:val="24"/>
        </w:rPr>
        <w:t>Luiz Francisco Spotorno</w:t>
      </w:r>
    </w:p>
    <w:p>
      <w:pPr>
        <w:pStyle w:val="Normal"/>
        <w:jc w:val="center"/>
        <w:rPr>
          <w:rFonts w:ascii="Calibri" w:hAnsi="Calibri"/>
          <w:b w:val="false"/>
          <w:i w:val="false"/>
          <w:color w:val="000000"/>
          <w:sz w:val="24"/>
        </w:rPr>
      </w:pPr>
      <w:r>
        <w:rPr>
          <w:rStyle w:val="Fontepargpadro2"/>
          <w:rFonts w:eastAsia="HG Mincho Light J" w:cs="Times New Roman"/>
          <w:b w:val="false"/>
          <w:bCs w:val="false"/>
          <w:i w:val="false"/>
          <w:color w:val="000000"/>
          <w:kern w:val="0"/>
          <w:sz w:val="24"/>
          <w:szCs w:val="24"/>
          <w:shd w:fill="auto" w:val="clear"/>
          <w:lang w:val="pt-PT" w:eastAsia="zh-CN" w:bidi="ar-SA"/>
        </w:rPr>
        <w:t>Secretário de Município de Infraestrutura</w:t>
      </w:r>
    </w:p>
    <w:p>
      <w:pPr>
        <w:pStyle w:val="WW-Padro"/>
        <w:ind w:hanging="0" w:left="0" w:right="0"/>
        <w:jc w:val="center"/>
        <w:rPr>
          <w:rFonts w:ascii="Aptos Narrow" w:hAnsi="Aptos Narrow" w:eastAsia="HG Mincho Light J" w:cs="Times New Roman"/>
          <w:color w:val="000000"/>
          <w:kern w:val="0"/>
          <w:sz w:val="24"/>
          <w:szCs w:val="24"/>
          <w:highlight w:val="none"/>
          <w:shd w:fill="auto" w:val="clear"/>
          <w:lang w:val="pt-PT" w:eastAsia="zh-CN" w:bidi="ar-SA"/>
        </w:rPr>
      </w:pPr>
      <w:r>
        <w:rPr>
          <w:rFonts w:eastAsia="HG Mincho Light J" w:cs="Times New Roman" w:ascii="Aptos Narrow" w:hAnsi="Aptos Narrow"/>
          <w:color w:val="000000"/>
          <w:kern w:val="0"/>
          <w:sz w:val="24"/>
          <w:szCs w:val="24"/>
          <w:shd w:fill="auto" w:val="clear"/>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20"/>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hanging="0" w:left="0" w:right="0"/>
        <w:jc w:val="center"/>
        <w:rPr>
          <w:b/>
          <w:bCs/>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hanging="0" w:left="1416" w:right="0"/>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xxxx/2026</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xxxx/2026</w:t>
      </w:r>
    </w:p>
    <w:p>
      <w:pPr>
        <w:pStyle w:val="Normal"/>
        <w:ind w:hanging="0" w:left="1416" w:right="0"/>
        <w:jc w:val="both"/>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jc w:val="both"/>
        <w:rPr>
          <w:highlight w:val="none"/>
          <w:shd w:fill="FFFF00" w:val="clear"/>
        </w:rPr>
      </w:pPr>
      <w:r>
        <w:rPr>
          <w:rFonts w:eastAsia="HG Mincho Light J" w:cs="Times New Roman" w:ascii="Aptos Narrow" w:hAnsi="Aptos Narrow"/>
          <w:b/>
          <w:bCs/>
          <w:i w:val="false"/>
          <w:iCs w:val="false"/>
          <w:caps w:val="false"/>
          <w:smallCaps w:val="false"/>
          <w:strike w:val="false"/>
          <w:dstrike w:val="false"/>
          <w:color w:val="000000"/>
          <w:kern w:val="0"/>
          <w:sz w:val="24"/>
          <w:szCs w:val="24"/>
          <w:u w:val="none"/>
          <w:shd w:fill="FFFF00" w:val="clear"/>
          <w:lang w:val="pt-PT" w:eastAsia="zh-CN" w:bidi="ar-SA"/>
        </w:rPr>
        <w:t xml:space="preserve">OBJETO: </w:t>
      </w:r>
      <w:r>
        <w:rPr>
          <w:rFonts w:eastAsia="Aptos Narrow" w:cs="Aptos Narrow"/>
          <w:b w:val="false"/>
          <w:bCs w:val="false"/>
          <w:i w:val="false"/>
          <w:iCs w:val="false"/>
          <w:caps w:val="false"/>
          <w:smallCaps w:val="false"/>
          <w:strike w:val="false"/>
          <w:dstrike w:val="false"/>
          <w:color w:val="000000"/>
          <w:kern w:val="0"/>
          <w:sz w:val="24"/>
          <w:szCs w:val="24"/>
          <w:u w:val="none"/>
          <w:shd w:fill="auto" w:val="clear"/>
          <w:lang w:val="pt-BR" w:eastAsia="zh-CN" w:bidi="hi-IN"/>
        </w:rPr>
        <w:t xml:space="preserve"> Contratação de obra de engenharia para execução das obras de drenagem e pavimentação da Rua Quarenta e Sete - no trecho compreendido entre a Avenida Santos Dumont e o Estuário da Laguna dos Patos, no bairro Junção</w:t>
      </w:r>
    </w:p>
    <w:p>
      <w:pPr>
        <w:pStyle w:val="Normal"/>
        <w:ind w:hanging="0" w:left="0" w:right="0"/>
        <w:jc w:val="both"/>
        <w:rPr>
          <w:highlight w:val="none"/>
          <w:shd w:fill="FFFF00" w:val="clear"/>
        </w:rPr>
      </w:pPr>
      <w:r>
        <w:rPr>
          <w:shd w:fill="FFFF00" w:val="clear"/>
        </w:rPr>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hanging="0" w:left="1416"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auto"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auto" w:val="clear"/>
          <w:lang w:val="pt-PT" w:eastAsia="zh-CN" w:bidi="ar-SA"/>
        </w:rPr>
      </w:r>
    </w:p>
    <w:p>
      <w:pPr>
        <w:pStyle w:val="Normal"/>
        <w:jc w:val="center"/>
        <w:rPr>
          <w:rFonts w:ascii="Calibri" w:hAnsi="Calibri"/>
          <w:sz w:val="24"/>
        </w:rPr>
      </w:pPr>
      <w:r>
        <w:rPr>
          <w:b w:val="false"/>
          <w:i w:val="false"/>
          <w:color w:val="000000"/>
          <w:sz w:val="24"/>
        </w:rPr>
        <w:t>Luiz Francisco Spotorno</w:t>
      </w:r>
    </w:p>
    <w:p>
      <w:pPr>
        <w:pStyle w:val="Normal"/>
        <w:jc w:val="center"/>
        <w:rPr>
          <w:rFonts w:ascii="Calibri" w:hAnsi="Calibri"/>
          <w:b w:val="false"/>
          <w:i w:val="false"/>
          <w:color w:val="000000"/>
          <w:sz w:val="24"/>
        </w:rPr>
      </w:pPr>
      <w:r>
        <w:rPr>
          <w:b/>
          <w:bCs/>
          <w:i w:val="false"/>
          <w:color w:val="000000"/>
          <w:sz w:val="24"/>
        </w:rPr>
        <w:t>Secretário de Município de Infraestrutura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83" wp14:anchorId="69ADF8BA">
              <wp:simplePos x="0" y="0"/>
              <wp:positionH relativeFrom="column">
                <wp:posOffset>5811520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82">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drawing>
        <wp:anchor behindDoc="1" distT="0" distB="0" distL="0" distR="0" simplePos="0" locked="0" layoutInCell="1" allowOverlap="1" relativeHeight="133">
          <wp:simplePos x="0" y="0"/>
          <wp:positionH relativeFrom="column">
            <wp:posOffset>-187960</wp:posOffset>
          </wp:positionH>
          <wp:positionV relativeFrom="paragraph">
            <wp:posOffset>217170</wp:posOffset>
          </wp:positionV>
          <wp:extent cx="129540" cy="129540"/>
          <wp:effectExtent l="0" t="0" r="0" b="0"/>
          <wp:wrapNone/>
          <wp:docPr id="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RUA REPÚBLICA DO LÍBANO Nº 88, CENTRO</w:t>
    </w:r>
  </w:p>
  <w:p>
    <w:pPr>
      <w:pStyle w:val="Footer"/>
      <w:rPr>
        <w:b/>
        <w:bCs/>
        <w:color w:val="767171"/>
      </w:rPr>
    </w:pPr>
    <w:r>
      <w:drawing>
        <wp:anchor behindDoc="1" distT="0" distB="0" distL="0" distR="0" simplePos="0" locked="0" layoutInCell="1" allowOverlap="1" relativeHeight="166">
          <wp:simplePos x="0" y="0"/>
          <wp:positionH relativeFrom="column">
            <wp:posOffset>-189865</wp:posOffset>
          </wp:positionH>
          <wp:positionV relativeFrom="paragraph">
            <wp:posOffset>215900</wp:posOffset>
          </wp:positionV>
          <wp:extent cx="130175" cy="130175"/>
          <wp:effectExtent l="0" t="0" r="0" b="0"/>
          <wp:wrapNone/>
          <wp:docPr id="1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50">
          <wp:simplePos x="0" y="0"/>
          <wp:positionH relativeFrom="column">
            <wp:posOffset>-191770</wp:posOffset>
          </wp:positionH>
          <wp:positionV relativeFrom="paragraph">
            <wp:posOffset>224155</wp:posOffset>
          </wp:positionV>
          <wp:extent cx="133350" cy="11684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67" wp14:anchorId="154B6775">
              <wp:simplePos x="0" y="0"/>
              <wp:positionH relativeFrom="column">
                <wp:posOffset>-6115685</wp:posOffset>
              </wp:positionH>
              <wp:positionV relativeFrom="paragraph">
                <wp:posOffset>2882265</wp:posOffset>
              </wp:positionV>
              <wp:extent cx="9029065" cy="1235710"/>
              <wp:effectExtent l="0" t="635" r="0" b="0"/>
              <wp:wrapNone/>
              <wp:docPr id="12"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5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16" wp14:anchorId="76B9F30E">
              <wp:simplePos x="0" y="0"/>
              <wp:positionH relativeFrom="column">
                <wp:posOffset>3575685</wp:posOffset>
              </wp:positionH>
              <wp:positionV relativeFrom="paragraph">
                <wp:posOffset>404495</wp:posOffset>
              </wp:positionV>
              <wp:extent cx="3412490" cy="1088390"/>
              <wp:effectExtent l="79375" t="377190" r="79375" b="377825"/>
              <wp:wrapNone/>
              <wp:docPr id="13"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8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83" wp14:anchorId="69ADF8BA">
              <wp:simplePos x="0" y="0"/>
              <wp:positionH relativeFrom="column">
                <wp:posOffset>5811520</wp:posOffset>
              </wp:positionH>
              <wp:positionV relativeFrom="paragraph">
                <wp:posOffset>635</wp:posOffset>
              </wp:positionV>
              <wp:extent cx="2319655" cy="1304925"/>
              <wp:effectExtent l="542290" t="165100" r="543560" b="165100"/>
              <wp:wrapNone/>
              <wp:docPr id="1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82">
          <wp:simplePos x="0" y="0"/>
          <wp:positionH relativeFrom="column">
            <wp:posOffset>-170180</wp:posOffset>
          </wp:positionH>
          <wp:positionV relativeFrom="paragraph">
            <wp:posOffset>201930</wp:posOffset>
          </wp:positionV>
          <wp:extent cx="108585" cy="151130"/>
          <wp:effectExtent l="0" t="0" r="0" b="0"/>
          <wp:wrapNone/>
          <wp:docPr id="15"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drawing>
        <wp:anchor behindDoc="1" distT="0" distB="0" distL="0" distR="0" simplePos="0" locked="0" layoutInCell="1" allowOverlap="1" relativeHeight="133">
          <wp:simplePos x="0" y="0"/>
          <wp:positionH relativeFrom="column">
            <wp:posOffset>-187960</wp:posOffset>
          </wp:positionH>
          <wp:positionV relativeFrom="paragraph">
            <wp:posOffset>217170</wp:posOffset>
          </wp:positionV>
          <wp:extent cx="129540" cy="129540"/>
          <wp:effectExtent l="0" t="0" r="0" b="0"/>
          <wp:wrapNone/>
          <wp:docPr id="1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RUA REPÚBLICA DO LÍBANO Nº 88, CENTRO</w:t>
    </w:r>
  </w:p>
  <w:p>
    <w:pPr>
      <w:pStyle w:val="Footer"/>
      <w:rPr>
        <w:b/>
        <w:bCs/>
        <w:color w:val="767171"/>
      </w:rPr>
    </w:pPr>
    <w:r>
      <w:drawing>
        <wp:anchor behindDoc="1" distT="0" distB="0" distL="0" distR="0" simplePos="0" locked="0" layoutInCell="1" allowOverlap="1" relativeHeight="166">
          <wp:simplePos x="0" y="0"/>
          <wp:positionH relativeFrom="column">
            <wp:posOffset>-189865</wp:posOffset>
          </wp:positionH>
          <wp:positionV relativeFrom="paragraph">
            <wp:posOffset>215900</wp:posOffset>
          </wp:positionV>
          <wp:extent cx="130175" cy="130175"/>
          <wp:effectExtent l="0" t="0" r="0" b="0"/>
          <wp:wrapNone/>
          <wp:docPr id="1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50">
          <wp:simplePos x="0" y="0"/>
          <wp:positionH relativeFrom="column">
            <wp:posOffset>-191770</wp:posOffset>
          </wp:positionH>
          <wp:positionV relativeFrom="paragraph">
            <wp:posOffset>224155</wp:posOffset>
          </wp:positionV>
          <wp:extent cx="133350" cy="116840"/>
          <wp:effectExtent l="0" t="0" r="0" b="0"/>
          <wp:wrapNone/>
          <wp:docPr id="1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67" wp14:anchorId="154B6775">
              <wp:simplePos x="0" y="0"/>
              <wp:positionH relativeFrom="column">
                <wp:posOffset>-6115685</wp:posOffset>
              </wp:positionH>
              <wp:positionV relativeFrom="paragraph">
                <wp:posOffset>2882265</wp:posOffset>
              </wp:positionV>
              <wp:extent cx="9029065" cy="1235710"/>
              <wp:effectExtent l="0" t="635" r="0" b="0"/>
              <wp:wrapNone/>
              <wp:docPr id="1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5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16" wp14:anchorId="76B9F30E">
              <wp:simplePos x="0" y="0"/>
              <wp:positionH relativeFrom="column">
                <wp:posOffset>3575685</wp:posOffset>
              </wp:positionH>
              <wp:positionV relativeFrom="paragraph">
                <wp:posOffset>404495</wp:posOffset>
              </wp:positionV>
              <wp:extent cx="3412490" cy="1088390"/>
              <wp:effectExtent l="79375" t="377190" r="79375" b="377825"/>
              <wp:wrapNone/>
              <wp:docPr id="2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8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7">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33" wp14:anchorId="3F7DB15E">
              <wp:simplePos x="0" y="0"/>
              <wp:positionH relativeFrom="column">
                <wp:posOffset>-4059555</wp:posOffset>
              </wp:positionH>
              <wp:positionV relativeFrom="paragraph">
                <wp:posOffset>-2066925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8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50"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7">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33" wp14:anchorId="3F7DB15E">
              <wp:simplePos x="0" y="0"/>
              <wp:positionH relativeFrom="column">
                <wp:posOffset>-4059555</wp:posOffset>
              </wp:positionH>
              <wp:positionV relativeFrom="paragraph">
                <wp:posOffset>-2066925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8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50"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Header">
    <w:name w:val="header"/>
    <w:basedOn w:val="Normal"/>
    <w:link w:val="CabealhoChar"/>
    <w:uiPriority w:val="99"/>
    <w:unhideWhenUsed/>
    <w:rsid w:val="00b5733d"/>
    <w:pPr>
      <w:tabs>
        <w:tab w:val="clear" w:pos="720"/>
        <w:tab w:val="center" w:pos="4252" w:leader="none"/>
        <w:tab w:val="right" w:pos="8504" w:leader="none"/>
      </w:tabs>
    </w:pPr>
    <w:rPr/>
  </w:style>
  <w:style w:type="paragraph" w:styleId="Footer">
    <w:name w:val="footer"/>
    <w:basedOn w:val="Normal"/>
    <w:link w:val="RodapChar"/>
    <w:uiPriority w:val="99"/>
    <w:unhideWhenUsed/>
    <w:rsid w:val="00b5733d"/>
    <w:pPr>
      <w:tabs>
        <w:tab w:val="clear" w:pos="720"/>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Contedodoquadrouser">
    <w:name w:val="Conteúdo do quadro (user)"/>
    <w:basedOn w:val="Normal"/>
    <w:qFormat/>
    <w:pPr/>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939</TotalTime>
  <Application>LibreOffice/25.8.4.2$Windows_X86_64 LibreOffice_project/290daaa01b999472f0c7a3890eb6a550fd74c6df</Application>
  <AppVersion>15.0000</AppVersion>
  <Pages>16</Pages>
  <Words>4941</Words>
  <Characters>28500</Characters>
  <CharactersWithSpaces>33240</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2026-05-18T10:36:49Z</dcterms:modified>
  <cp:revision>124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