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numPr>
          <w:ilvl w:val="0"/>
          <w:numId w:val="1"/>
        </w:numPr>
        <w:tabs>
          <w:tab w:val="clear" w:pos="708"/>
          <w:tab w:val="left" w:pos="432" w:leader="none"/>
        </w:tabs>
        <w:jc w:val="center"/>
        <w:rPr>
          <w:rFonts w:ascii="Arial" w:hAnsi="Arial" w:cs="Arial"/>
          <w:b/>
        </w:rPr>
      </w:pPr>
      <w:r>
        <w:rPr>
          <w:rFonts w:cs="Arial" w:ascii="Arial" w:hAnsi="Arial"/>
          <w:b/>
        </w:rPr>
        <w:t>ANEXO III – MODELO DE PROPOSTA DE PREÇOS</w:t>
      </w:r>
    </w:p>
    <w:p>
      <w:pPr>
        <w:pStyle w:val="Normal"/>
        <w:jc w:val="center"/>
        <w:rPr>
          <w:rFonts w:ascii="Arial" w:hAnsi="Arial" w:eastAsia="Arial" w:cs="Arial"/>
        </w:rPr>
      </w:pPr>
      <w:r>
        <w:rPr>
          <w:rFonts w:eastAsia="Arial" w:cs="Arial" w:ascii="Arial" w:hAnsi="Arial"/>
        </w:rPr>
      </w:r>
    </w:p>
    <w:p>
      <w:pPr>
        <w:pStyle w:val="Normal"/>
        <w:rPr>
          <w:rFonts w:ascii="Arial" w:hAnsi="Arial" w:cs="Arial"/>
        </w:rPr>
      </w:pPr>
      <w:r>
        <w:rPr>
          <w:rFonts w:cs="Arial" w:ascii="Arial" w:hAnsi="Arial"/>
        </w:rPr>
        <w:t>À Prefeitura Municipal do Rio Grande.</w:t>
      </w:r>
    </w:p>
    <w:p>
      <w:pPr>
        <w:pStyle w:val="Normal"/>
        <w:rPr>
          <w:rFonts w:ascii="Arial" w:hAnsi="Arial" w:cs="Arial"/>
        </w:rPr>
      </w:pPr>
      <w:r>
        <w:rPr>
          <w:rFonts w:cs="Arial" w:ascii="Arial" w:hAnsi="Arial"/>
        </w:rPr>
      </w:r>
    </w:p>
    <w:p>
      <w:pPr>
        <w:pStyle w:val="Normal"/>
        <w:rPr/>
      </w:pPr>
      <w:r>
        <w:rPr>
          <w:rFonts w:eastAsia="Arial" w:cs="Arial" w:ascii="Arial" w:hAnsi="Arial"/>
        </w:rPr>
        <w:t xml:space="preserve"> </w:t>
      </w:r>
      <w:r>
        <w:rPr>
          <w:rFonts w:cs="Arial" w:ascii="Arial" w:hAnsi="Arial"/>
        </w:rPr>
        <w:tab/>
        <w:tab/>
      </w:r>
      <w:r>
        <w:rPr>
          <w:rFonts w:eastAsia="Calibri" w:cs="Arial" w:ascii="Arial" w:hAnsi="Arial" w:eastAsiaTheme="minorHAnsi"/>
          <w:color w:val="auto"/>
          <w:kern w:val="0"/>
          <w:sz w:val="24"/>
          <w:szCs w:val="24"/>
          <w:lang w:val="pt-BR" w:eastAsia="en-US" w:bidi="ar-SA"/>
        </w:rPr>
        <w:t>Prezados Senhores,</w:t>
      </w:r>
    </w:p>
    <w:p>
      <w:pPr>
        <w:pStyle w:val="Normal"/>
        <w:numPr>
          <w:ilvl w:val="2"/>
          <w:numId w:val="2"/>
        </w:numPr>
        <w:ind w:hanging="0" w:left="57"/>
        <w:jc w:val="both"/>
        <w:rPr>
          <w:rFonts w:ascii="Arial" w:hAnsi="Arial" w:eastAsia="Calibri" w:cs="Arial"/>
          <w:color w:val="auto"/>
          <w:kern w:val="0"/>
          <w:sz w:val="24"/>
          <w:szCs w:val="24"/>
          <w:lang w:val="pt-BR" w:eastAsia="en-US" w:bidi="ar-SA"/>
        </w:rPr>
      </w:pPr>
      <w:r>
        <w:rPr>
          <w:rFonts w:eastAsia="Calibri" w:cs="Arial" w:ascii="Arial" w:hAnsi="Arial" w:eastAsiaTheme="minorHAnsi"/>
          <w:color w:val="auto"/>
          <w:kern w:val="0"/>
          <w:sz w:val="24"/>
          <w:szCs w:val="24"/>
          <w:lang w:val="pt-BR" w:eastAsia="en-US" w:bidi="ar-SA"/>
        </w:rPr>
        <w:t xml:space="preserve"> </w:t>
      </w:r>
      <w:r>
        <w:rPr>
          <w:rFonts w:eastAsia="Calibri" w:cs="Arial" w:ascii="Arial" w:hAnsi="Arial" w:eastAsiaTheme="minorHAnsi"/>
          <w:color w:val="auto"/>
          <w:kern w:val="0"/>
          <w:sz w:val="24"/>
          <w:szCs w:val="24"/>
          <w:lang w:val="pt-BR" w:eastAsia="en-US" w:bidi="ar-SA"/>
        </w:rPr>
        <w:tab/>
        <w:tab/>
        <w:t xml:space="preserve">Apresentamos a V.Sª, nossa proposta financeira para o Pregão Eletrônico </w:t>
      </w:r>
      <w:r>
        <w:rPr>
          <w:rFonts w:eastAsia="Calibri" w:cs="Arial" w:ascii="Arial" w:hAnsi="Arial" w:eastAsiaTheme="minorHAnsi"/>
          <w:b/>
          <w:color w:val="auto"/>
          <w:kern w:val="0"/>
          <w:sz w:val="24"/>
          <w:szCs w:val="24"/>
          <w:lang w:val="pt-BR" w:eastAsia="en-US" w:bidi="ar-SA"/>
        </w:rPr>
        <w:t>n</w:t>
      </w:r>
      <w:r>
        <w:rPr>
          <w:rFonts w:eastAsia="Calibri" w:cs="Arial" w:ascii="Arial" w:hAnsi="Arial" w:eastAsiaTheme="minorHAnsi"/>
          <w:b/>
          <w:color w:val="auto"/>
          <w:kern w:val="0"/>
          <w:sz w:val="24"/>
          <w:szCs w:val="24"/>
          <w:shd w:fill="auto" w:val="clear"/>
          <w:lang w:val="pt-BR" w:eastAsia="en-US" w:bidi="ar-SA"/>
        </w:rPr>
        <w:t>º</w:t>
      </w:r>
      <w:r>
        <w:rPr>
          <w:rFonts w:eastAsia="Calibri" w:cs="Arial" w:ascii="Arial" w:hAnsi="Arial" w:eastAsiaTheme="minorHAnsi"/>
          <w:b/>
          <w:color w:val="000000"/>
          <w:kern w:val="0"/>
          <w:sz w:val="24"/>
          <w:szCs w:val="24"/>
          <w:shd w:fill="auto" w:val="clear"/>
          <w:lang w:val="pt-BR" w:eastAsia="en-US" w:bidi="ar-SA"/>
        </w:rPr>
        <w:t xml:space="preserve"> </w:t>
      </w:r>
      <w:r>
        <w:rPr>
          <w:rFonts w:eastAsia="Calibri" w:cs="Arial" w:ascii="Arial" w:hAnsi="Arial" w:eastAsiaTheme="minorHAnsi"/>
          <w:b/>
          <w:color w:val="000000"/>
          <w:kern w:val="0"/>
          <w:sz w:val="24"/>
          <w:szCs w:val="24"/>
          <w:shd w:fill="auto" w:val="clear"/>
          <w:lang w:val="pt-BR" w:eastAsia="en-US" w:bidi="ar-SA"/>
        </w:rPr>
        <w:t>52</w:t>
      </w:r>
      <w:r>
        <w:rPr>
          <w:rFonts w:eastAsia="Calibri" w:cs="Arial" w:ascii="Arial" w:hAnsi="Arial" w:eastAsiaTheme="minorHAnsi"/>
          <w:b/>
          <w:color w:val="000000"/>
          <w:kern w:val="0"/>
          <w:sz w:val="24"/>
          <w:szCs w:val="24"/>
          <w:shd w:fill="auto" w:val="clear"/>
          <w:lang w:val="pt-BR" w:eastAsia="en-US" w:bidi="ar-SA"/>
        </w:rPr>
        <w:t>/2026  -</w:t>
      </w:r>
      <w:r>
        <w:rPr>
          <w:rFonts w:eastAsia="Calibri" w:cs="Arial" w:ascii="Arial" w:hAnsi="Arial" w:eastAsiaTheme="minorHAnsi"/>
          <w:b w:val="false"/>
          <w:bCs w:val="false"/>
          <w:i w:val="false"/>
          <w:caps w:val="false"/>
          <w:smallCaps w:val="false"/>
          <w:strike w:val="false"/>
          <w:dstrike w:val="false"/>
          <w:color w:val="000000"/>
          <w:kern w:val="0"/>
          <w:sz w:val="24"/>
          <w:szCs w:val="24"/>
          <w:u w:val="none"/>
          <w:shd w:fill="auto" w:val="clear"/>
          <w:lang w:val="pt-BR" w:eastAsia="en-US" w:bidi="ar-SA"/>
        </w:rPr>
        <w:t xml:space="preserve"> </w:t>
      </w:r>
      <w:r>
        <w:rPr>
          <w:rFonts w:eastAsia="Calibri" w:cs="Arial" w:ascii="Arial" w:hAnsi="Arial" w:eastAsiaTheme="minorHAnsi"/>
          <w:color w:val="auto"/>
          <w:kern w:val="0"/>
          <w:sz w:val="24"/>
          <w:szCs w:val="24"/>
          <w:shd w:fill="auto" w:val="clear"/>
          <w:lang w:val="pt-BR" w:eastAsia="en-US" w:bidi="ar-SA"/>
        </w:rPr>
        <w:t>a</w:t>
      </w:r>
      <w:r>
        <w:rPr>
          <w:rFonts w:eastAsia="Calibri" w:cs="Arial" w:ascii="Arial" w:hAnsi="Arial" w:eastAsiaTheme="minorHAnsi"/>
          <w:color w:val="auto"/>
          <w:kern w:val="0"/>
          <w:sz w:val="24"/>
          <w:szCs w:val="24"/>
          <w:lang w:val="pt-BR" w:eastAsia="en-US" w:bidi="ar-SA"/>
        </w:rPr>
        <w:t>quisição de equipamentos e materiais permanentes para a estruturação da rede de at</w:t>
      </w:r>
      <w:r>
        <w:rPr>
          <w:rFonts w:cs="Arial" w:ascii="Arial" w:hAnsi="Arial"/>
        </w:rPr>
        <w:t>enção primária a Saúde, conforme especificações constantes no Termo de Referência.</w:t>
      </w:r>
    </w:p>
    <w:p>
      <w:pPr>
        <w:pStyle w:val="Normal"/>
        <w:numPr>
          <w:ilvl w:val="2"/>
          <w:numId w:val="2"/>
        </w:numPr>
        <w:ind w:hanging="0" w:left="57"/>
        <w:jc w:val="both"/>
        <w:rPr>
          <w:rFonts w:ascii="Arial" w:hAnsi="Arial" w:cs="Arial"/>
        </w:rPr>
      </w:pPr>
      <w:r>
        <w:rPr>
          <w:rFonts w:cs="Arial" w:ascii="Arial" w:hAnsi="Arial"/>
        </w:rPr>
        <w:t>O prazo de validade da proposta de preços é de 60 (sessenta) dias corridos, contados da data da abertura da licitação.</w:t>
      </w:r>
    </w:p>
    <w:p>
      <w:pPr>
        <w:pStyle w:val="Normal"/>
        <w:numPr>
          <w:ilvl w:val="2"/>
          <w:numId w:val="2"/>
        </w:numPr>
        <w:ind w:hanging="0" w:left="57"/>
        <w:jc w:val="both"/>
        <w:rPr>
          <w:rFonts w:ascii="Arial" w:hAnsi="Arial" w:eastAsia="Calibri" w:cs="Arial"/>
          <w:color w:val="auto"/>
          <w:kern w:val="0"/>
          <w:sz w:val="24"/>
          <w:szCs w:val="24"/>
          <w:lang w:val="pt-BR" w:eastAsia="en-US" w:bidi="ar-SA"/>
        </w:rPr>
      </w:pPr>
      <w:r>
        <w:rPr>
          <w:rFonts w:eastAsia="Calibri" w:cs="Arial" w:ascii="Arial" w:hAnsi="Arial" w:eastAsiaTheme="minorHAnsi"/>
          <w:color w:val="auto"/>
          <w:kern w:val="0"/>
          <w:sz w:val="24"/>
          <w:szCs w:val="24"/>
          <w:lang w:val="pt-BR" w:eastAsia="en-US" w:bidi="ar-SA"/>
        </w:rPr>
        <w:t>Declaramos que esta</w:t>
      </w:r>
      <w:bookmarkStart w:id="0" w:name="_GoBack"/>
      <w:bookmarkEnd w:id="0"/>
      <w:r>
        <w:rPr>
          <w:rFonts w:eastAsia="Calibri" w:cs="Arial" w:ascii="Arial" w:hAnsi="Arial" w:eastAsiaTheme="minorHAnsi"/>
          <w:color w:val="auto"/>
          <w:kern w:val="0"/>
          <w:sz w:val="24"/>
          <w:szCs w:val="24"/>
          <w:lang w:val="pt-BR" w:eastAsia="en-US" w:bidi="ar-SA"/>
        </w:rPr>
        <w:t>mos de pleno acordo com todas as condições estabelecidas no Edital e seus Anexos, bem como aceitamos todas as obrigações e responsabilidades especificadas no Termo de Referência.</w:t>
      </w:r>
    </w:p>
    <w:p>
      <w:pPr>
        <w:pStyle w:val="Normal"/>
        <w:numPr>
          <w:ilvl w:val="2"/>
          <w:numId w:val="2"/>
        </w:numPr>
        <w:ind w:hanging="0" w:left="57"/>
        <w:jc w:val="both"/>
        <w:rPr>
          <w:rFonts w:ascii="Arial" w:hAnsi="Arial" w:cs="Arial"/>
        </w:rPr>
      </w:pPr>
      <w:r>
        <w:rPr>
          <w:rFonts w:eastAsia="Calibri" w:cs="Arial" w:ascii="Arial" w:hAnsi="Arial" w:eastAsiaTheme="minorHAnsi"/>
          <w:color w:val="auto"/>
          <w:kern w:val="0"/>
          <w:sz w:val="24"/>
          <w:szCs w:val="24"/>
          <w:lang w:val="pt-BR" w:eastAsia="en-US" w:bidi="ar-SA"/>
        </w:rPr>
        <w:t>Declaramos que nos preços cotados estão incluídas todas as despesas que, direta ou indiretamente, fazem parte do presente objeto, tais como gastos da empresa com</w:t>
      </w:r>
      <w:r>
        <w:rPr>
          <w:rFonts w:cs="Arial" w:ascii="Arial" w:hAnsi="Arial"/>
        </w:rPr>
        <w:t xml:space="preserve"> suporte técnico e administrativo, impostos, seguros, taxas, ou quaisquer outros que possam incidir sobre gastos da empresa, sem quaisquer acréscimos em virtude de expectativa inflacionária e deduzidos os descontos eventualmente concedidos.</w:t>
      </w:r>
    </w:p>
    <w:p>
      <w:pPr>
        <w:pStyle w:val="Normal"/>
        <w:numPr>
          <w:ilvl w:val="2"/>
          <w:numId w:val="2"/>
        </w:numPr>
        <w:ind w:hanging="0" w:left="57"/>
        <w:jc w:val="both"/>
        <w:rPr>
          <w:rFonts w:ascii="Arial" w:hAnsi="Arial" w:cs="Arial"/>
        </w:rPr>
      </w:pPr>
      <w:r>
        <w:rPr>
          <w:rFonts w:cs="Arial" w:ascii="Arial" w:hAnsi="Arial"/>
        </w:rPr>
        <w:t>Caso nos seja adjudicado o objeto, comprometemos a assinar a Ata de Registro de Preços no prazo determinado no documento de convocação, e, para esse fim, fornecemos os seguintes dados:</w:t>
      </w:r>
    </w:p>
    <w:p>
      <w:pPr>
        <w:pStyle w:val="Normal"/>
        <w:ind w:hanging="0" w:left="57"/>
        <w:jc w:val="both"/>
        <w:rPr>
          <w:rFonts w:ascii="Arial" w:hAnsi="Arial" w:cs="Arial"/>
        </w:rPr>
      </w:pPr>
      <w:r>
        <w:rPr>
          <w:rFonts w:cs="Arial" w:ascii="Arial" w:hAnsi="Arial"/>
        </w:rPr>
      </w:r>
    </w:p>
    <w:p>
      <w:pPr>
        <w:pStyle w:val="Normal"/>
        <w:ind w:hanging="0" w:left="57"/>
        <w:jc w:val="both"/>
        <w:rPr>
          <w:rFonts w:ascii="Arial" w:hAnsi="Arial" w:cs="Arial"/>
        </w:rPr>
      </w:pPr>
      <w:r>
        <w:rPr>
          <w:rFonts w:cs="Arial" w:ascii="Arial" w:hAnsi="Arial"/>
        </w:rPr>
        <w:t>Dados da empresa:</w:t>
      </w:r>
    </w:p>
    <w:p>
      <w:pPr>
        <w:pStyle w:val="Normal"/>
        <w:numPr>
          <w:ilvl w:val="0"/>
          <w:numId w:val="3"/>
        </w:numPr>
        <w:rPr>
          <w:rFonts w:ascii="Arial" w:hAnsi="Arial" w:cs="Arial"/>
        </w:rPr>
      </w:pPr>
      <w:r>
        <w:rPr>
          <w:rFonts w:cs="Arial" w:ascii="Arial" w:hAnsi="Arial"/>
        </w:rPr>
        <w:t>Razão Social: _____________________________________</w:t>
      </w:r>
    </w:p>
    <w:p>
      <w:pPr>
        <w:pStyle w:val="Normal"/>
        <w:numPr>
          <w:ilvl w:val="0"/>
          <w:numId w:val="3"/>
        </w:numPr>
        <w:rPr>
          <w:rFonts w:ascii="Arial" w:hAnsi="Arial" w:cs="Arial"/>
        </w:rPr>
      </w:pPr>
      <w:r>
        <w:rPr>
          <w:rFonts w:cs="Arial" w:ascii="Arial" w:hAnsi="Arial"/>
        </w:rPr>
        <w:t>CNPJ/MF: _______________</w:t>
      </w:r>
    </w:p>
    <w:p>
      <w:pPr>
        <w:pStyle w:val="Normal"/>
        <w:numPr>
          <w:ilvl w:val="0"/>
          <w:numId w:val="3"/>
        </w:numPr>
        <w:rPr>
          <w:rFonts w:ascii="Arial" w:hAnsi="Arial" w:cs="Arial"/>
        </w:rPr>
      </w:pPr>
      <w:r>
        <w:rPr>
          <w:rFonts w:cs="Arial" w:ascii="Arial" w:hAnsi="Arial"/>
        </w:rPr>
        <w:t>Endereço: __________________________________________</w:t>
      </w:r>
    </w:p>
    <w:p>
      <w:pPr>
        <w:pStyle w:val="Normal"/>
        <w:numPr>
          <w:ilvl w:val="0"/>
          <w:numId w:val="3"/>
        </w:numPr>
        <w:rPr>
          <w:rFonts w:ascii="Arial" w:hAnsi="Arial" w:cs="Arial"/>
        </w:rPr>
      </w:pPr>
      <w:r>
        <w:rPr>
          <w:rFonts w:cs="Arial" w:ascii="Arial" w:hAnsi="Arial"/>
        </w:rPr>
        <w:t>CEP: ____________________    Bairro: ___________________</w:t>
      </w:r>
    </w:p>
    <w:p>
      <w:pPr>
        <w:pStyle w:val="Normal"/>
        <w:numPr>
          <w:ilvl w:val="0"/>
          <w:numId w:val="3"/>
        </w:numPr>
        <w:rPr>
          <w:rFonts w:ascii="Arial" w:hAnsi="Arial" w:cs="Arial"/>
        </w:rPr>
      </w:pPr>
      <w:r>
        <w:rPr>
          <w:rFonts w:cs="Arial" w:ascii="Arial" w:hAnsi="Arial"/>
        </w:rPr>
        <w:t>Telefone: _______________</w:t>
      </w:r>
    </w:p>
    <w:p>
      <w:pPr>
        <w:pStyle w:val="Normal"/>
        <w:numPr>
          <w:ilvl w:val="0"/>
          <w:numId w:val="3"/>
        </w:numPr>
        <w:rPr>
          <w:rFonts w:ascii="Arial" w:hAnsi="Arial" w:cs="Arial"/>
        </w:rPr>
      </w:pPr>
      <w:r>
        <w:rPr>
          <w:rFonts w:cs="Arial" w:ascii="Arial" w:hAnsi="Arial"/>
        </w:rPr>
        <w:t>Cidade: __________________________ UF: __________</w:t>
      </w:r>
    </w:p>
    <w:p>
      <w:pPr>
        <w:pStyle w:val="Normal"/>
        <w:numPr>
          <w:ilvl w:val="0"/>
          <w:numId w:val="3"/>
        </w:numPr>
        <w:rPr>
          <w:rFonts w:ascii="Arial" w:hAnsi="Arial" w:cs="Arial"/>
        </w:rPr>
      </w:pPr>
      <w:r>
        <w:rPr>
          <w:rFonts w:cs="Arial" w:ascii="Arial" w:hAnsi="Arial"/>
        </w:rPr>
        <w:t>Banco: ____________ Agência: _____________  c/c: ______________</w:t>
      </w:r>
    </w:p>
    <w:p>
      <w:pPr>
        <w:pStyle w:val="Normal"/>
        <w:numPr>
          <w:ilvl w:val="0"/>
          <w:numId w:val="3"/>
        </w:numPr>
        <w:rPr>
          <w:rFonts w:ascii="Arial" w:hAnsi="Arial" w:cs="Arial"/>
        </w:rPr>
      </w:pPr>
      <w:r>
        <w:rPr>
          <w:rFonts w:cs="Arial" w:ascii="Arial" w:hAnsi="Arial"/>
        </w:rPr>
        <w:t>E-mail para Contato: ________________________________________</w:t>
      </w:r>
    </w:p>
    <w:p>
      <w:pPr>
        <w:pStyle w:val="Normal"/>
        <w:numPr>
          <w:ilvl w:val="0"/>
          <w:numId w:val="4"/>
        </w:numPr>
        <w:rPr>
          <w:rFonts w:ascii="Arial" w:hAnsi="Arial" w:cs="Arial"/>
          <w:b/>
        </w:rPr>
      </w:pPr>
      <w:r>
        <w:rPr>
          <w:rFonts w:cs="Arial" w:ascii="Arial" w:hAnsi="Arial"/>
          <w:b/>
        </w:rPr>
        <w:t xml:space="preserve">Dados do Representante Legal da Empresa: </w:t>
      </w:r>
    </w:p>
    <w:p>
      <w:pPr>
        <w:pStyle w:val="Normal"/>
        <w:numPr>
          <w:ilvl w:val="0"/>
          <w:numId w:val="3"/>
        </w:numPr>
        <w:rPr>
          <w:rFonts w:ascii="Arial" w:hAnsi="Arial" w:cs="Arial"/>
        </w:rPr>
      </w:pPr>
      <w:r>
        <w:rPr>
          <w:rFonts w:cs="Arial" w:ascii="Arial" w:hAnsi="Arial"/>
        </w:rPr>
        <w:t>Nome:____________________________________________________</w:t>
      </w:r>
    </w:p>
    <w:p>
      <w:pPr>
        <w:pStyle w:val="Normal"/>
        <w:numPr>
          <w:ilvl w:val="0"/>
          <w:numId w:val="3"/>
        </w:numPr>
        <w:rPr>
          <w:rFonts w:ascii="Arial" w:hAnsi="Arial" w:cs="Arial"/>
        </w:rPr>
      </w:pPr>
      <w:r>
        <w:rPr>
          <w:rFonts w:cs="Arial" w:ascii="Arial" w:hAnsi="Arial"/>
        </w:rPr>
        <w:t>Endereço:_________________________________________________</w:t>
      </w:r>
    </w:p>
    <w:p>
      <w:pPr>
        <w:pStyle w:val="Normal"/>
        <w:numPr>
          <w:ilvl w:val="0"/>
          <w:numId w:val="3"/>
        </w:numPr>
        <w:rPr>
          <w:rFonts w:ascii="Arial" w:hAnsi="Arial" w:cs="Arial"/>
        </w:rPr>
      </w:pPr>
      <w:r>
        <w:rPr>
          <w:rFonts w:cs="Arial" w:ascii="Arial" w:hAnsi="Arial"/>
        </w:rPr>
        <w:t xml:space="preserve">CEP:_________________ Bairro: ______________________ </w:t>
      </w:r>
    </w:p>
    <w:p>
      <w:pPr>
        <w:pStyle w:val="Normal"/>
        <w:numPr>
          <w:ilvl w:val="0"/>
          <w:numId w:val="3"/>
        </w:numPr>
        <w:rPr>
          <w:rFonts w:ascii="Arial" w:hAnsi="Arial" w:cs="Arial"/>
        </w:rPr>
      </w:pPr>
      <w:r>
        <w:rPr>
          <w:rFonts w:cs="Arial" w:ascii="Arial" w:hAnsi="Arial"/>
        </w:rPr>
        <w:t>Cidade:________________________UF:___</w:t>
      </w:r>
    </w:p>
    <w:p>
      <w:pPr>
        <w:pStyle w:val="Normal"/>
        <w:numPr>
          <w:ilvl w:val="0"/>
          <w:numId w:val="3"/>
        </w:numPr>
        <w:rPr>
          <w:rFonts w:ascii="Arial" w:hAnsi="Arial" w:cs="Arial"/>
        </w:rPr>
      </w:pPr>
      <w:r>
        <w:rPr>
          <w:rFonts w:cs="Arial" w:ascii="Arial" w:hAnsi="Arial"/>
        </w:rPr>
        <w:t xml:space="preserve">Telefone: _____________________ </w:t>
      </w:r>
    </w:p>
    <w:p>
      <w:pPr>
        <w:pStyle w:val="Normal"/>
        <w:numPr>
          <w:ilvl w:val="0"/>
          <w:numId w:val="3"/>
        </w:numPr>
        <w:rPr>
          <w:rFonts w:ascii="Arial" w:hAnsi="Arial" w:cs="Arial"/>
        </w:rPr>
      </w:pPr>
      <w:r>
        <w:rPr>
          <w:rFonts w:cs="Arial" w:ascii="Arial" w:hAnsi="Arial"/>
        </w:rPr>
        <w:t>CPF/MF:________________________Cargo/Função:_______________</w:t>
      </w:r>
    </w:p>
    <w:p>
      <w:pPr>
        <w:pStyle w:val="Normal"/>
        <w:numPr>
          <w:ilvl w:val="0"/>
          <w:numId w:val="3"/>
        </w:numPr>
        <w:rPr>
          <w:rFonts w:ascii="Arial" w:hAnsi="Arial" w:cs="Arial"/>
        </w:rPr>
      </w:pPr>
      <w:r>
        <w:rPr>
          <w:rFonts w:cs="Arial" w:ascii="Arial" w:hAnsi="Arial"/>
        </w:rPr>
        <w:t>RG nº:___________________________Expedido por: ______________</w:t>
      </w:r>
    </w:p>
    <w:p>
      <w:pPr>
        <w:pStyle w:val="Normal"/>
        <w:numPr>
          <w:ilvl w:val="0"/>
          <w:numId w:val="3"/>
        </w:numPr>
        <w:rPr>
          <w:rFonts w:ascii="Arial" w:hAnsi="Arial" w:cs="Arial"/>
        </w:rPr>
      </w:pPr>
      <w:r>
        <w:rPr>
          <w:rFonts w:cs="Arial" w:ascii="Arial" w:hAnsi="Arial"/>
        </w:rPr>
        <w:t>Naturalidade:____________________Nacionalidade:_______________</w:t>
      </w:r>
    </w:p>
    <w:p>
      <w:pPr>
        <w:pStyle w:val="Normal"/>
        <w:numPr>
          <w:ilvl w:val="0"/>
          <w:numId w:val="3"/>
        </w:numPr>
        <w:rPr>
          <w:rFonts w:ascii="Arial" w:hAnsi="Arial" w:cs="Arial"/>
        </w:rPr>
      </w:pPr>
      <w:r>
        <w:rPr>
          <w:rFonts w:cs="Arial" w:ascii="Arial" w:hAnsi="Arial"/>
        </w:rPr>
        <w:t>E-mail para contato: _________________________________</w:t>
      </w:r>
    </w:p>
    <w:p>
      <w:pPr>
        <w:pStyle w:val="Normal"/>
        <w:tabs>
          <w:tab w:val="clear" w:pos="708"/>
          <w:tab w:val="left" w:pos="3945" w:leader="none"/>
        </w:tabs>
        <w:jc w:val="both"/>
        <w:rPr>
          <w:rFonts w:ascii="Arial" w:hAnsi="Arial" w:cs="Arial"/>
          <w:color w:val="FF0000"/>
        </w:rPr>
      </w:pPr>
      <w:r>
        <w:rPr>
          <w:rFonts w:cs="Arial" w:ascii="Arial" w:hAnsi="Arial"/>
          <w:color w:val="FF0000"/>
        </w:rPr>
      </w:r>
    </w:p>
    <w:p>
      <w:pPr>
        <w:pStyle w:val="Normal"/>
        <w:tabs>
          <w:tab w:val="clear" w:pos="708"/>
          <w:tab w:val="left" w:pos="3945" w:leader="none"/>
        </w:tabs>
        <w:jc w:val="both"/>
        <w:rPr>
          <w:rFonts w:ascii="Arial" w:hAnsi="Arial" w:cs="Arial"/>
          <w:color w:val="FF0000"/>
        </w:rPr>
      </w:pPr>
      <w:r>
        <w:rPr>
          <w:rFonts w:cs="Arial" w:ascii="Arial" w:hAnsi="Arial"/>
          <w:color w:val="FF0000"/>
        </w:rPr>
        <w:t>OBS:  Favor enviar proposta conforme descrição dos itens constante no Anexo I – Termo de Referência.</w:t>
      </w:r>
    </w:p>
    <w:p>
      <w:pPr>
        <w:pStyle w:val="Normal"/>
        <w:tabs>
          <w:tab w:val="clear" w:pos="708"/>
          <w:tab w:val="left" w:pos="3945" w:leader="none"/>
        </w:tabs>
        <w:jc w:val="both"/>
        <w:rPr>
          <w:rFonts w:ascii="Arial" w:hAnsi="Arial" w:cs="Arial"/>
          <w:color w:val="FF0000"/>
        </w:rPr>
      </w:pPr>
      <w:r>
        <w:rPr>
          <w:rFonts w:cs="Arial" w:ascii="Arial" w:hAnsi="Arial"/>
          <w:color w:val="FF0000"/>
        </w:rPr>
      </w:r>
    </w:p>
    <w:tbl>
      <w:tblPr>
        <w:tblW w:w="10574"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809"/>
        <w:gridCol w:w="3750"/>
        <w:gridCol w:w="1066"/>
        <w:gridCol w:w="1078"/>
        <w:gridCol w:w="1022"/>
        <w:gridCol w:w="571"/>
        <w:gridCol w:w="669"/>
        <w:gridCol w:w="1609"/>
      </w:tblGrid>
      <w:tr>
        <w:trPr>
          <w:trHeight w:val="870" w:hRule="atLeast"/>
        </w:trPr>
        <w:tc>
          <w:tcPr>
            <w:tcW w:w="809"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tabs>
                <w:tab w:val="clear" w:pos="708"/>
                <w:tab w:val="left" w:pos="345" w:leader="none"/>
              </w:tabs>
              <w:suppressAutoHyphens w:val="false"/>
              <w:jc w:val="center"/>
              <w:rPr>
                <w:rFonts w:ascii="Arial" w:hAnsi="Arial" w:cs="Arial"/>
                <w:sz w:val="22"/>
                <w:szCs w:val="22"/>
              </w:rPr>
            </w:pPr>
            <w:r>
              <w:rPr>
                <w:rFonts w:cs="Arial" w:ascii="Arial" w:hAnsi="Arial"/>
                <w:sz w:val="22"/>
                <w:szCs w:val="22"/>
              </w:rPr>
            </w:r>
          </w:p>
          <w:p>
            <w:pPr>
              <w:pStyle w:val="Normal"/>
              <w:widowControl w:val="false"/>
              <w:tabs>
                <w:tab w:val="clear" w:pos="708"/>
                <w:tab w:val="left" w:pos="345" w:leader="none"/>
              </w:tabs>
              <w:suppressAutoHyphens w:val="false"/>
              <w:jc w:val="center"/>
              <w:rPr>
                <w:rFonts w:ascii="Arial" w:hAnsi="Arial" w:cs="Arial"/>
                <w:sz w:val="22"/>
                <w:szCs w:val="22"/>
              </w:rPr>
            </w:pPr>
            <w:r>
              <w:rPr>
                <w:rFonts w:cs="Arial" w:ascii="Arial" w:hAnsi="Arial"/>
                <w:sz w:val="22"/>
                <w:szCs w:val="22"/>
              </w:rPr>
              <w:t>Item</w:t>
            </w:r>
          </w:p>
          <w:p>
            <w:pPr>
              <w:pStyle w:val="Normal"/>
              <w:widowControl w:val="false"/>
              <w:tabs>
                <w:tab w:val="clear" w:pos="708"/>
                <w:tab w:val="left" w:pos="345" w:leader="none"/>
              </w:tabs>
              <w:suppressAutoHyphens w:val="false"/>
              <w:snapToGrid w:val="false"/>
              <w:jc w:val="center"/>
              <w:rPr>
                <w:rFonts w:cs="Arial"/>
              </w:rPr>
            </w:pPr>
            <w:r>
              <w:rPr>
                <w:rFonts w:cs="Arial"/>
              </w:rPr>
            </w:r>
          </w:p>
          <w:p>
            <w:pPr>
              <w:pStyle w:val="Normal"/>
              <w:widowControl w:val="false"/>
              <w:suppressAutoHyphens w:val="false"/>
              <w:jc w:val="center"/>
              <w:rPr>
                <w:rFonts w:ascii="Arial" w:hAnsi="Arial" w:cs="Arial"/>
                <w:sz w:val="22"/>
                <w:szCs w:val="22"/>
              </w:rPr>
            </w:pPr>
            <w:r>
              <w:rPr>
                <w:rFonts w:cs="Arial" w:ascii="Arial" w:hAnsi="Arial"/>
                <w:sz w:val="22"/>
                <w:szCs w:val="22"/>
              </w:rPr>
            </w:r>
          </w:p>
        </w:tc>
        <w:tc>
          <w:tcPr>
            <w:tcW w:w="3750"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sz w:val="22"/>
                <w:szCs w:val="22"/>
              </w:rPr>
            </w:pPr>
            <w:r>
              <w:rPr/>
              <w:t>Descrição</w:t>
            </w:r>
          </w:p>
        </w:tc>
        <w:tc>
          <w:tcPr>
            <w:tcW w:w="1066"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sz w:val="22"/>
                <w:szCs w:val="22"/>
              </w:rPr>
            </w:pPr>
            <w:r>
              <w:rPr>
                <w:rFonts w:cs="Arial" w:ascii="Arial" w:hAnsi="Arial"/>
                <w:sz w:val="22"/>
                <w:szCs w:val="22"/>
              </w:rPr>
              <w:t>Unid.</w:t>
            </w:r>
          </w:p>
        </w:tc>
        <w:tc>
          <w:tcPr>
            <w:tcW w:w="1078" w:type="dxa"/>
            <w:tcBorders>
              <w:top w:val="single" w:sz="4" w:space="0" w:color="000000"/>
              <w:left w:val="single" w:sz="4" w:space="0" w:color="000000"/>
              <w:bottom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sz w:val="22"/>
                <w:szCs w:val="22"/>
              </w:rPr>
            </w:pPr>
            <w:r>
              <w:rPr>
                <w:rFonts w:cs="Arial" w:ascii="Arial" w:hAnsi="Arial"/>
                <w:sz w:val="22"/>
                <w:szCs w:val="22"/>
              </w:rPr>
              <w:t>Quant.</w:t>
            </w:r>
          </w:p>
        </w:tc>
        <w:tc>
          <w:tcPr>
            <w:tcW w:w="1022" w:type="dxa"/>
            <w:tcBorders>
              <w:top w:val="single" w:sz="4" w:space="0" w:color="000000"/>
              <w:left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sz w:val="22"/>
                <w:szCs w:val="22"/>
              </w:rPr>
            </w:pPr>
            <w:r>
              <w:rPr>
                <w:rFonts w:cs="Arial" w:ascii="Arial" w:hAnsi="Arial"/>
                <w:bCs/>
                <w:sz w:val="22"/>
                <w:szCs w:val="22"/>
              </w:rPr>
              <w:t>marca</w:t>
            </w:r>
          </w:p>
        </w:tc>
        <w:tc>
          <w:tcPr>
            <w:tcW w:w="1240" w:type="dxa"/>
            <w:gridSpan w:val="2"/>
            <w:tcBorders>
              <w:top w:val="single" w:sz="4" w:space="0" w:color="000000"/>
              <w:left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bCs/>
                <w:sz w:val="22"/>
                <w:szCs w:val="22"/>
              </w:rPr>
            </w:pPr>
            <w:r>
              <w:rPr>
                <w:rFonts w:cs="Arial" w:ascii="Arial" w:hAnsi="Arial"/>
                <w:bCs/>
                <w:sz w:val="22"/>
                <w:szCs w:val="22"/>
              </w:rPr>
              <w:t>Valor</w:t>
            </w:r>
          </w:p>
          <w:p>
            <w:pPr>
              <w:pStyle w:val="Normal"/>
              <w:widowControl w:val="false"/>
              <w:suppressAutoHyphens w:val="false"/>
              <w:jc w:val="center"/>
              <w:rPr>
                <w:rFonts w:ascii="Arial" w:hAnsi="Arial" w:cs="Arial"/>
                <w:bCs/>
                <w:sz w:val="22"/>
                <w:szCs w:val="22"/>
              </w:rPr>
            </w:pPr>
            <w:r>
              <w:rPr>
                <w:rFonts w:cs="Arial"/>
                <w:bCs/>
              </w:rPr>
              <w:t xml:space="preserve"> </w:t>
            </w:r>
            <w:r>
              <w:rPr>
                <w:rFonts w:cs="Arial"/>
                <w:bCs/>
              </w:rPr>
              <w:t>unit.</w:t>
            </w:r>
          </w:p>
        </w:tc>
        <w:tc>
          <w:tcPr>
            <w:tcW w:w="1609" w:type="dxa"/>
            <w:tcBorders>
              <w:top w:val="single" w:sz="4" w:space="0" w:color="000000"/>
              <w:left w:val="single" w:sz="4" w:space="0" w:color="000000"/>
              <w:right w:val="single" w:sz="4" w:space="0" w:color="000000"/>
            </w:tcBorders>
            <w:shd w:color="auto" w:fill="D9D9D9" w:themeFill="background1" w:themeFillShade="d9" w:val="clear"/>
            <w:vAlign w:val="center"/>
          </w:tcPr>
          <w:p>
            <w:pPr>
              <w:pStyle w:val="Normal"/>
              <w:widowControl w:val="false"/>
              <w:suppressAutoHyphens w:val="false"/>
              <w:jc w:val="center"/>
              <w:rPr>
                <w:rFonts w:ascii="Arial" w:hAnsi="Arial" w:cs="Arial"/>
                <w:bCs/>
                <w:sz w:val="22"/>
                <w:szCs w:val="22"/>
              </w:rPr>
            </w:pPr>
            <w:r>
              <w:rPr>
                <w:rFonts w:cs="Arial" w:ascii="Arial" w:hAnsi="Arial"/>
                <w:bCs/>
                <w:sz w:val="22"/>
                <w:szCs w:val="22"/>
              </w:rPr>
              <w:t>Valor</w:t>
            </w:r>
          </w:p>
          <w:p>
            <w:pPr>
              <w:pStyle w:val="Normal"/>
              <w:widowControl w:val="false"/>
              <w:suppressAutoHyphens w:val="false"/>
              <w:jc w:val="center"/>
              <w:rPr>
                <w:rFonts w:ascii="Arial" w:hAnsi="Arial" w:cs="Arial"/>
                <w:bCs/>
                <w:sz w:val="22"/>
                <w:szCs w:val="22"/>
              </w:rPr>
            </w:pPr>
            <w:r>
              <w:rPr>
                <w:rFonts w:cs="Arial" w:ascii="Arial" w:hAnsi="Arial"/>
                <w:bCs/>
                <w:sz w:val="22"/>
                <w:szCs w:val="22"/>
              </w:rPr>
              <w:t>total</w:t>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01</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cs="Arial" w:ascii="LiberationSerif" w:hAnsi="LiberationSerif"/>
                <w:color w:val="auto"/>
                <w:sz w:val="18"/>
              </w:rPr>
              <w:t>Cadeira de roda para obeso - Aço carbono com pintura epoxy. Monobloco.</w:t>
            </w:r>
          </w:p>
          <w:p>
            <w:pPr>
              <w:pStyle w:val="Normal"/>
              <w:jc w:val="both"/>
              <w:rPr/>
            </w:pPr>
            <w:r>
              <w:rPr>
                <w:rFonts w:ascii="LiberationSerif" w:hAnsi="LiberationSerif"/>
                <w:sz w:val="18"/>
              </w:rPr>
              <w:t>Apoio para braços escamoteável. Apoio para pés removível. Assento reforçado com tiras tensoras especiais. Almofada em espuma no assento.</w:t>
            </w:r>
          </w:p>
          <w:p>
            <w:pPr>
              <w:pStyle w:val="Normal"/>
              <w:jc w:val="both"/>
              <w:rPr/>
            </w:pPr>
            <w:r>
              <w:rPr>
                <w:rFonts w:ascii="LiberationSerif" w:hAnsi="LiberationSerif"/>
                <w:sz w:val="18"/>
              </w:rPr>
              <w:t>Argolão em aço pintado (prata com verniz). Dobrável em X duplo. Com suporte até 250kg. Largura do Assento: 80cm. Largura total (roda a roda):</w:t>
            </w:r>
          </w:p>
          <w:p>
            <w:pPr>
              <w:pStyle w:val="Normal"/>
              <w:jc w:val="both"/>
              <w:rPr/>
            </w:pPr>
            <w:r>
              <w:rPr>
                <w:rFonts w:ascii="LiberationSerif" w:hAnsi="LiberationSerif"/>
                <w:sz w:val="18"/>
              </w:rPr>
              <w:t xml:space="preserve">120cm Garantia: Mínimo de 12 meses a contar da entrega. Apresentar </w:t>
            </w:r>
            <w:r>
              <w:rPr>
                <w:rFonts w:cs="Arial" w:ascii="LiberationSerif" w:hAnsi="LiberationSerif"/>
                <w:color w:val="auto"/>
                <w:sz w:val="18"/>
              </w:rPr>
              <w:t>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rFonts w:ascii="Arial" w:hAnsi="Arial"/>
                <w:spacing w:val="-10"/>
                <w:sz w:val="24"/>
                <w:szCs w:val="24"/>
              </w:rPr>
              <w:t>20</w:t>
            </w:r>
          </w:p>
        </w:tc>
        <w:tc>
          <w:tcPr>
            <w:tcW w:w="1022" w:type="dxa"/>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top w:val="single" w:sz="4" w:space="0" w:color="000000"/>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02</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CADEIRA DE OBSERVAÇÃO - Material Aço carbono Estilo da parte de trás Encosto sólido Material da moldura Aço carbono Reclinável em até 04 posições Estrutura em tubo de aço carbono de 1.1/4” x 1.20mm e 7/8" x 1.20mm Encosto, assento e descansa pés estofados em espuma D23R com 70mm de espessura, revestidos em Corano Assento, encosto, braços e descanso para os pés estofados em espuma, revestidos em Corano Pés com ponteiras plásticas. Movimentos simultâneos de meio e alavanca lateral Braçadeiras para coleta de sangue em aço inoxidável com capa estofada e regulagem de altura por manípulos Tratamento anti-ferruginoso, pintura eletrostática à pó Dimensão Deitada.: 1,65 x 0,75 x 0,55 (C x L x A) Sentada: 1,03 x 0,77 x 1,25 (C x L x A) Assento Livre: 0,55 cm (L) Opcional com suporte de soro e rodízio. Peso Aprox. do Produto: 24 kg Capacidade Aprox.: Até 150kg Garantia: Mínimo de 12 meses a contar da entrega. 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rFonts w:ascii="Arial" w:hAnsi="Arial"/>
                <w:spacing w:val="-10"/>
                <w:sz w:val="24"/>
                <w:szCs w:val="24"/>
              </w:rPr>
              <w:t>40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03</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cs="Arial" w:ascii="LiberationSerif" w:hAnsi="LiberationSerif"/>
                <w:color w:val="auto"/>
                <w:sz w:val="18"/>
              </w:rPr>
              <w:t>Carro de curativos com gaveta - Estrutura em tubos redondos de 1</w:t>
            </w:r>
            <w:r>
              <w:rPr>
                <w:rFonts w:ascii="LiberationSerif" w:hAnsi="LiberationSerif"/>
                <w:sz w:val="18"/>
              </w:rPr>
              <w:t>″;</w:t>
            </w:r>
          </w:p>
          <w:p>
            <w:pPr>
              <w:pStyle w:val="Normal"/>
              <w:jc w:val="both"/>
              <w:rPr/>
            </w:pPr>
            <w:r>
              <w:rPr>
                <w:rFonts w:ascii="LiberationSerif" w:hAnsi="LiberationSerif"/>
                <w:sz w:val="18"/>
              </w:rPr>
              <w:t xml:space="preserve">Prateleiras em chapa de aço inox; Acompanha 2 gavetas; 1 balde e 1 bacia inox; 4 Rodas de 3″ termoplástico; Dimensões aproximadas: Comprimento: 75 cm Largura: 45 cm Altura: 80 cm Garantia: Mínimo de 12 meses a contar </w:t>
            </w:r>
            <w:r>
              <w:rPr>
                <w:rFonts w:cs="Arial" w:ascii="LiberationSerif" w:hAnsi="LiberationSerif"/>
                <w:color w:val="auto"/>
                <w:sz w:val="18"/>
              </w:rPr>
              <w:t>da entrega. 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rFonts w:ascii="Arial" w:hAnsi="Arial"/>
                <w:spacing w:val="-10"/>
                <w:sz w:val="24"/>
                <w:szCs w:val="24"/>
              </w:rPr>
              <w:t>35</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04</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cs="Arial" w:ascii="LiberationSerif" w:hAnsi="LiberationSerif"/>
                <w:color w:val="auto"/>
                <w:sz w:val="18"/>
              </w:rPr>
              <w:t xml:space="preserve">Carro de transporte de material higienizado - Carro aberto para transporte </w:t>
            </w:r>
            <w:r>
              <w:rPr>
                <w:rFonts w:ascii="LiberationSerif" w:hAnsi="LiberationSerif"/>
                <w:sz w:val="18"/>
              </w:rPr>
              <w:t xml:space="preserve">com 3 prateleiras construídas em chapa de aço inox de aprox 0,80mm, com varandas em tubo de ½” de aço inox. Estrutura em tubos de aço inox de 1” (25,40mm) x 1,20mm de espessura de parede. Párachoque de borracha em toda volta. Base com cantoneiras e  rodas de ø 5” (125mm), sendo 2 fixas e 2 giratórias. Dimensão aprox: (CxLxA) 1100x 700 x 1200 mm. Dimensão Interna aprox Bandeja: 900×600 mm] Garantia: Mínimo de 12 meses a </w:t>
            </w:r>
            <w:r>
              <w:rPr>
                <w:rFonts w:cs="Arial" w:ascii="LiberationSerif" w:hAnsi="LiberationSerif"/>
                <w:color w:val="auto"/>
                <w:sz w:val="18"/>
              </w:rPr>
              <w:t>contar da entrega. 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rFonts w:ascii="Arial" w:hAnsi="Arial"/>
                <w:spacing w:val="-10"/>
                <w:sz w:val="24"/>
                <w:szCs w:val="24"/>
              </w:rPr>
              <w:t>40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05</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cs="Arial" w:ascii="LiberationSerif" w:hAnsi="LiberationSerif"/>
                <w:color w:val="auto"/>
                <w:sz w:val="18"/>
              </w:rPr>
              <w:t xml:space="preserve">Escada para maca 2 degraus - escada auxiliar com dois </w:t>
            </w:r>
            <w:r>
              <w:rPr>
                <w:rFonts w:ascii="LiberationSerif" w:hAnsi="LiberationSerif"/>
                <w:sz w:val="18"/>
              </w:rPr>
              <w:t>degraus suportando peso mínimo de 100 kg, base  antiderrapante, em material resistente e não</w:t>
            </w:r>
          </w:p>
          <w:p>
            <w:pPr>
              <w:pStyle w:val="Normal"/>
              <w:jc w:val="both"/>
              <w:rPr/>
            </w:pPr>
            <w:r>
              <w:rPr>
                <w:rFonts w:ascii="LiberationSerif" w:hAnsi="LiberationSerif"/>
                <w:sz w:val="18"/>
              </w:rPr>
              <w:t>corrosivo. estrutura em aço, revestimento em tinta</w:t>
            </w:r>
          </w:p>
          <w:p>
            <w:pPr>
              <w:pStyle w:val="Normal"/>
              <w:jc w:val="both"/>
              <w:rPr/>
            </w:pPr>
            <w:r>
              <w:rPr>
                <w:rFonts w:ascii="LiberationSerif" w:hAnsi="LiberationSerif"/>
                <w:sz w:val="18"/>
              </w:rPr>
              <w:t xml:space="preserve">epoxi garantia: mínimo de 12 meses a contar da entrega. Apresentar </w:t>
            </w:r>
            <w:r>
              <w:rPr>
                <w:rFonts w:cs="Arial" w:ascii="LiberationSerif" w:hAnsi="LiberationSerif"/>
                <w:color w:val="auto"/>
                <w:sz w:val="18"/>
              </w:rPr>
              <w:t>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rFonts w:ascii="Arial" w:hAnsi="Arial"/>
                <w:spacing w:val="-10"/>
                <w:sz w:val="24"/>
                <w:szCs w:val="24"/>
              </w:rPr>
              <w:t>150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06</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Maca pediátrica com armário - Estrutura em MDF BRANCO:15mm antibacteriano com 3 gavetas, 3 portas com corrediças telescópicas,</w:t>
            </w:r>
          </w:p>
          <w:p>
            <w:pPr>
              <w:pStyle w:val="Normal"/>
              <w:jc w:val="both"/>
              <w:rPr/>
            </w:pPr>
            <w:r>
              <w:rPr>
                <w:rFonts w:ascii="LiberationSerif" w:hAnsi="LiberationSerif"/>
                <w:sz w:val="18"/>
              </w:rPr>
              <w:t>dobradiças caneco 35mm e puxadores de alumínio, espaço para balança.</w:t>
            </w:r>
          </w:p>
          <w:p>
            <w:pPr>
              <w:pStyle w:val="Normal"/>
              <w:jc w:val="both"/>
              <w:rPr/>
            </w:pPr>
            <w:r>
              <w:rPr>
                <w:rFonts w:ascii="LiberationSerif" w:hAnsi="LiberationSerif"/>
                <w:sz w:val="18"/>
              </w:rPr>
              <w:t xml:space="preserve">Dimensões mínimas Comprimento 1,80m x Altura 0,80m x largura. 0,60m (C X A X L)- Altura do Estofado de 5cm, densidade 28, colchão de 135cm x 60cm Revestimento em courino premium na cor preta. Deve conter suporte para rolo de papel. Garantia: 12 meses de Garantia a contar da entrega do </w:t>
            </w:r>
            <w:r>
              <w:rPr>
                <w:rFonts w:cs="Arial" w:ascii="LiberationSerif" w:hAnsi="LiberationSerif"/>
                <w:color w:val="auto"/>
                <w:sz w:val="18"/>
              </w:rPr>
              <w:t>produto. 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40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07</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tabs>
                <w:tab w:val="clear" w:pos="708"/>
                <w:tab w:val="left" w:pos="3945" w:leader="none"/>
              </w:tabs>
              <w:jc w:val="both"/>
              <w:rPr/>
            </w:pPr>
            <w:r>
              <w:rPr>
                <w:rFonts w:cs="Arial" w:ascii="LiberationSerif" w:hAnsi="LiberationSerif"/>
                <w:color w:val="auto"/>
                <w:sz w:val="18"/>
              </w:rPr>
              <w:t xml:space="preserve">Maca adulto com balcão para paciente OBESO -Ergonomia: 5 Níveis de </w:t>
            </w:r>
            <w:r>
              <w:rPr>
                <w:rFonts w:ascii="LiberationSerif" w:hAnsi="LiberationSerif"/>
                <w:sz w:val="18"/>
              </w:rPr>
              <w:t>elevação de tronco Diferenciais: Estrutura reforçada, fácil higienização Estrutura da Mesa: MDF BRANCO 15MM Antibacteriano Medidas</w:t>
            </w:r>
          </w:p>
          <w:p>
            <w:pPr>
              <w:pStyle w:val="Normal"/>
              <w:jc w:val="both"/>
              <w:rPr/>
            </w:pPr>
            <w:r>
              <w:rPr>
                <w:rFonts w:ascii="LiberationSerif" w:hAnsi="LiberationSerif"/>
                <w:sz w:val="18"/>
              </w:rPr>
              <w:t>Mínimas Fechada: 1,80 cm x 80 cm x 80 - (C X L X A): Medidas Maxima Aberta: 1,80 cm x 80 cm x 80 - (C X L X A): Altura do estofado: 5 Cm /</w:t>
            </w:r>
          </w:p>
          <w:p>
            <w:pPr>
              <w:pStyle w:val="Normal"/>
              <w:jc w:val="both"/>
              <w:rPr/>
            </w:pPr>
            <w:r>
              <w:rPr>
                <w:rFonts w:ascii="LiberationSerif" w:hAnsi="LiberationSerif"/>
                <w:sz w:val="18"/>
              </w:rPr>
              <w:t>Apoio para cabeça 55x80/ Colchão 125x80 Densidade: D-28 Revestimento:</w:t>
            </w:r>
          </w:p>
          <w:p>
            <w:pPr>
              <w:pStyle w:val="Normal"/>
              <w:jc w:val="both"/>
              <w:rPr/>
            </w:pPr>
            <w:r>
              <w:rPr>
                <w:rFonts w:ascii="LiberationSerif" w:hAnsi="LiberationSerif"/>
                <w:sz w:val="18"/>
              </w:rPr>
              <w:t xml:space="preserve">Corino Cipatex Premium Capacidade de Carga Estática: 350 kg Deve conter suporte para rolo de papel. Ferragens: Corrediças Telescópicas , Dobradiças caneco 35mm super alta Puxador de aluminio Gola. Garantia: 12 meses de Garantia a contar da entrega do produto. Apresentar catálogo técnico do produto paraEste simulador consiste num modelo de um antebraço que se estende da articulação do manopla até a área abaixo do cotovelo. A textura e aparência natural da pele de vinil oferece condições realistas para praticar as inserções subcutâneas. Cada local de injeção pode </w:t>
            </w:r>
            <w:r>
              <w:rPr>
                <w:rFonts w:cs="Arial" w:ascii="LiberationSerif" w:hAnsi="LiberationSerif"/>
                <w:color w:val="auto"/>
                <w:sz w:val="18"/>
              </w:rPr>
              <w:t>ser utilizado por várias dúzias de estudantes. Apreciação</w:t>
            </w:r>
          </w:p>
          <w:p>
            <w:pPr>
              <w:pStyle w:val="Normal"/>
              <w:jc w:val="both"/>
              <w:rPr>
                <w:rFonts w:ascii="LiberationSerif" w:hAnsi="LiberationSerif" w:cs="Arial"/>
                <w:color w:val="auto"/>
                <w:sz w:val="18"/>
              </w:rPr>
            </w:pPr>
            <w:r>
              <w:rPr>
                <w:rFonts w:cs="Arial" w:ascii="LiberationSerif" w:hAnsi="LiberationSerif"/>
                <w:color w:val="auto"/>
                <w:sz w:val="18"/>
              </w:rPr>
            </w:r>
          </w:p>
          <w:p>
            <w:pPr>
              <w:pStyle w:val="Normal"/>
              <w:jc w:val="both"/>
              <w:rPr>
                <w:rFonts w:ascii="LiberationSerif" w:hAnsi="LiberationSerif" w:cs="Arial"/>
                <w:color w:val="auto"/>
                <w:sz w:val="18"/>
              </w:rPr>
            </w:pPr>
            <w:r>
              <w:rPr>
                <w:rFonts w:cs="Arial" w:ascii="LiberationSerif" w:hAnsi="LiberationSerif"/>
                <w:color w:val="auto"/>
                <w:sz w:val="18"/>
              </w:rPr>
            </w:r>
          </w:p>
          <w:p>
            <w:pPr>
              <w:pStyle w:val="Normal"/>
              <w:jc w:val="both"/>
              <w:rPr>
                <w:rFonts w:ascii="LiberationSerif" w:hAnsi="LiberationSerif" w:cs="Arial"/>
                <w:color w:val="auto"/>
                <w:sz w:val="18"/>
              </w:rPr>
            </w:pPr>
            <w:r>
              <w:rPr>
                <w:rFonts w:cs="Arial" w:ascii="LiberationSerif" w:hAnsi="LiberationSerif"/>
                <w:color w:val="auto"/>
                <w:sz w:val="18"/>
              </w:rPr>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50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08</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Mesa auxiliar com rodízios 0.40 cm de comprimento - Mesa Auxiliar em aço INOX. Dimensões: 0,40 Largura X 0,40 Comprimento X 0,80 Altura Com Rodízios. Pés em tubo de aço Inox redondo.Tampo e prateleira em chapa de aço inox de 0.80mm de espessura Pés com rodízios giratórios de 2" de diâmetro Acabamento com tratamento antiferruginoso. Garantia: 12 meses de</w:t>
            </w:r>
          </w:p>
          <w:p>
            <w:pPr>
              <w:pStyle w:val="Normal"/>
              <w:jc w:val="both"/>
              <w:rPr/>
            </w:pPr>
            <w:r>
              <w:rPr>
                <w:rFonts w:ascii="LiberationSerif" w:hAnsi="LiberationSerif"/>
                <w:sz w:val="18"/>
              </w:rPr>
              <w:t xml:space="preserve">Garantia a contar da entrega do produto. Apresentar catálogo técnico do </w:t>
            </w:r>
            <w:r>
              <w:rPr>
                <w:rFonts w:cs="Arial" w:ascii="LiberationSerif" w:hAnsi="LiberationSerif"/>
                <w:color w:val="auto"/>
                <w:sz w:val="18"/>
              </w:rPr>
              <w:t>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09</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Mesa Auxiliar com rodízios 0.60 cm de comprimento - Mesa Auxiliar em aço INOX. Dimensões: 0,40 Largura X 0,60 Comprimento X 0,80 Altura Com Rodízios. Pés em tubo de aço Inox redondo. Tampo e prateleira em chapa de aço inox de 0.80mm de espessura Pés com rodízios giratórios de 2" de diâmetro Acabamento com tratamento antiferruginoso. Garantia: 12 meses de Garantia a contar da entrega do produto. Apresentar catálogo técnico do </w:t>
            </w:r>
            <w:r>
              <w:rPr>
                <w:rFonts w:cs="Arial" w:ascii="LiberationSerif" w:hAnsi="LiberationSerif"/>
                <w:color w:val="auto"/>
                <w:sz w:val="18"/>
              </w:rPr>
              <w:t>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10</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Mesa ginecologica com armário - Mesa ginecológica em MDF na cor Branca com 3 gavetas e 2 portas, leito estofado dividido em 3 partes, sendo encosto e apoio de pés com altura regulável e assento fixo. Estrutura tubular em aço</w:t>
            </w:r>
          </w:p>
          <w:p>
            <w:pPr>
              <w:pStyle w:val="Normal"/>
              <w:jc w:val="both"/>
              <w:rPr/>
            </w:pPr>
            <w:r>
              <w:rPr>
                <w:rFonts w:ascii="LiberationSerif" w:hAnsi="LiberationSerif"/>
                <w:sz w:val="18"/>
              </w:rPr>
              <w:t xml:space="preserve">redondo, porta coxas estofado com altura regulável e hastes cromadas. Com gaveta para escoamento de líquidos. Deve conter suporte para rolo de papel. Pintura eletrostática a pó (Epóxi). Dimensões mínimas Comprimento com ela aberta 1,80 x Largura 0,60 x Altura 0,80m. Estofado densidade mínima de 28mm, revestido por corino premium na cor preta. Capacidade mínima de 200kg. Garantia: 12 meses de Garantia a contar da entrega do produto. </w:t>
            </w:r>
            <w:r>
              <w:rPr>
                <w:rFonts w:cs="Arial" w:ascii="LiberationSerif" w:hAnsi="LiberationSerif"/>
                <w:color w:val="auto"/>
                <w:sz w:val="18"/>
              </w:rPr>
              <w:t>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70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11</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Mocho giratório - Características: Estrutura metálica cromada; Regulagem de altura a gás; Revestido em material sintético; Possui rodinhas que facilitam a locomoção e auxiliam os profissionais durante os procedimentos. Itens Inclusos: 01 Mocho profissional com regulagem de altura a gás. Especificações técnicas: Mocho Profissional c/Regulagem de Altura a Gás Goldlife; Estrutura metálica cromada; Regulagem de altura a gás; Revestido em material sintético; Regulagem de altura aprox: 45cm a 55cm. Garantia: 12 meses de Garantia a contar da entrega do produto. Apresentar catálogo </w:t>
            </w:r>
            <w:r>
              <w:rPr>
                <w:rFonts w:cs="Arial" w:ascii="LiberationSerif" w:hAnsi="LiberationSerif"/>
                <w:color w:val="auto"/>
                <w:sz w:val="18"/>
              </w:rPr>
              <w:t>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12</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Suporte de braço para acesso - Suporte de braço altura regulável por manipulo, haste cromada, apoio de braço em aço inox, base tubular em aço</w:t>
            </w:r>
          </w:p>
          <w:p>
            <w:pPr>
              <w:pStyle w:val="Normal"/>
              <w:jc w:val="both"/>
              <w:rPr/>
            </w:pPr>
            <w:r>
              <w:rPr>
                <w:rFonts w:ascii="LiberationSerif" w:hAnsi="LiberationSerif"/>
                <w:sz w:val="18"/>
              </w:rPr>
              <w:t xml:space="preserve">com pintura epoxi. Pés com ponteiras plásticas. Altura min 0,75m x alt.max 1,15m. Tamanho da concha 20cm. Garantia de Fábrica mínima de 12 meses. </w:t>
            </w:r>
            <w:r>
              <w:rPr>
                <w:rFonts w:cs="Arial" w:ascii="LiberationSerif" w:hAnsi="LiberationSerif"/>
                <w:color w:val="auto"/>
                <w:sz w:val="18"/>
              </w:rPr>
              <w:t>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40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1957"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13</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Suporte para soro - Suporte de soro Inox, base com 4 pés tubulares em aço inox redondo providos de rodízios giratórios de 2". Altura regulável por meio de rosca central, haste de altura em aço inox com 4 ganchos para fixação de</w:t>
            </w:r>
          </w:p>
          <w:p>
            <w:pPr>
              <w:pStyle w:val="Normal"/>
              <w:jc w:val="both"/>
              <w:rPr/>
            </w:pPr>
            <w:r>
              <w:rPr>
                <w:rFonts w:ascii="LiberationSerif" w:hAnsi="LiberationSerif"/>
                <w:sz w:val="18"/>
              </w:rPr>
              <w:t xml:space="preserve">soro. Dimensões: Altura máxima 2,50m x Altura Mínima 1,80m. Garantia de Fábrica mínima de 12 meses. Apresentar catálogo técnico do produto para </w:t>
            </w:r>
            <w:r>
              <w:rPr>
                <w:rFonts w:cs="Arial" w:ascii="LiberationSerif" w:hAnsi="LiberationSerif"/>
                <w:color w:val="auto"/>
                <w:sz w:val="18"/>
              </w:rPr>
              <w:t>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35</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14</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Carro de transporte para eletrocardi ógrafo - Carro para aparelho de ECG:</w:t>
            </w:r>
          </w:p>
          <w:p>
            <w:pPr>
              <w:pStyle w:val="Normal"/>
              <w:jc w:val="both"/>
              <w:rPr/>
            </w:pPr>
            <w:r>
              <w:rPr>
                <w:rFonts w:ascii="LiberationSerif" w:hAnsi="LiberationSerif"/>
                <w:sz w:val="18"/>
              </w:rPr>
              <w:t>Carro deve ser constituído de chapas metálicas de alta qualidade com pintura a pó. Deve possuir tampo em aço carbono ou plástico de alta resistência 4 rodas com travas 4 parachoques 2 gavetas em policarbonato 1 suporte para os</w:t>
            </w:r>
          </w:p>
          <w:p>
            <w:pPr>
              <w:pStyle w:val="Normal"/>
              <w:jc w:val="both"/>
              <w:rPr/>
            </w:pPr>
            <w:r>
              <w:rPr>
                <w:rFonts w:ascii="LiberationSerif" w:hAnsi="LiberationSerif"/>
                <w:sz w:val="18"/>
              </w:rPr>
              <w:t xml:space="preserve">fios. Dimensões aproximadas do carro: C: 61cm X L: 53cm X A: 90cm </w:t>
            </w:r>
            <w:r>
              <w:rPr>
                <w:rFonts w:cs="Arial" w:ascii="LiberationSerif" w:hAnsi="LiberationSerif"/>
                <w:color w:val="auto"/>
                <w:sz w:val="18"/>
              </w:rPr>
              <w:t xml:space="preserve">Apresentar catálogo técnico do produto para apreciação e conferência da </w:t>
            </w:r>
            <w:r>
              <w:rPr>
                <w:rFonts w:ascii="LiberationSerif" w:hAnsi="LiberationSerif"/>
                <w:sz w:val="18"/>
              </w:rPr>
              <w:t xml:space="preserve">compatibilidade com sistemas digitais. Garantia:Mínimo de 12 meses a </w:t>
            </w:r>
            <w:r>
              <w:rPr>
                <w:rFonts w:cs="Arial" w:ascii="LiberationSerif" w:hAnsi="LiberationSerif"/>
                <w:color w:val="auto"/>
                <w:sz w:val="18"/>
              </w:rPr>
              <w:t>contar da entrega.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35</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15</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Autoclave 42 litros - Autoclave horizontal de mesa para esterilização a vapor saturado sob pressão. Para esterilização de instrumentos e materiais médicocirúrgicos, em hospitais, clínicas médicas, consultórios odontológicos, prontos-socorros, laboratórios e outros. Abastecimento manual, secagem com porta fechada. Registrado na ANVISA. Acessórios inclusos: Mangueira Abraçadeira Bandejas Suporte de Bandejas Filtro do Tanque Copo dosador Painel: Display Digital LCD. Câmara de Esterilização: 42 Litros.</w:t>
            </w:r>
          </w:p>
          <w:p>
            <w:pPr>
              <w:pStyle w:val="Normal"/>
              <w:jc w:val="both"/>
              <w:rPr/>
            </w:pPr>
            <w:r>
              <w:rPr>
                <w:rFonts w:ascii="LiberationSerif" w:hAnsi="LiberationSerif"/>
                <w:sz w:val="18"/>
              </w:rPr>
              <w:t>Temperatura de Trabalho: 121°C / 134°C. Pressão aproximadas de Trabalho:</w:t>
            </w:r>
          </w:p>
          <w:p>
            <w:pPr>
              <w:pStyle w:val="Normal"/>
              <w:jc w:val="both"/>
              <w:rPr/>
            </w:pPr>
            <w:r>
              <w:rPr>
                <w:rFonts w:ascii="LiberationSerif" w:hAnsi="LiberationSerif"/>
                <w:sz w:val="18"/>
              </w:rPr>
              <w:t xml:space="preserve">1,2Kgf/cm2 / 2,3Kgf/cm2. Ciclo de Trabalho: 3 ou mais Ciclo de Secagem Extra: 1. Abastecimento de água manual. Despressurização automática Sistema de fechamento duplo estagio. Puxador ergonômico. Sistema de Segurança: 12 sistemas de segurança. Sensor de falta de água. Pé antiderrapante. Bandeja: 3 bandejas. Tensão: Bivolt 127/220Volts. Dimensão aproximada Interna do Tanque: Ø34cm X 44cm. Dimensão aproximada: A </w:t>
            </w:r>
            <w:r>
              <w:rPr>
                <w:rFonts w:cs="Arial" w:ascii="LiberationSerif" w:hAnsi="LiberationSerif"/>
                <w:color w:val="auto"/>
                <w:sz w:val="18"/>
              </w:rPr>
              <w:t>58cm X L 58cm C 75cm.</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16</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Balança adulto antropomét rica - balança antropométrica Mecânica adulto, aferida pelo inmetro. Capacidade Para no mínimo 180 kg, com divisões de 100 gramas. Régua Antropométrica com escala de 2 metros, em alumínio Anodizado embutido na coluna com graduação de 0,5 Cm. Plataforma com cobertura de borracha antiderrapante.</w:t>
            </w:r>
          </w:p>
          <w:p>
            <w:pPr>
              <w:pStyle w:val="Normal"/>
              <w:jc w:val="both"/>
              <w:rPr/>
            </w:pPr>
            <w:r>
              <w:rPr>
                <w:rFonts w:ascii="LiberationSerif" w:hAnsi="LiberationSerif"/>
                <w:sz w:val="18"/>
              </w:rPr>
              <w:t xml:space="preserve">Pés reguláveis em borrachas sintética. Base em ferro fundido. Coluna em tubo de aço Reforçado com duas escalas. Garantia mínima de 12 Meses a contar da entrega. Apresentar catálogo </w:t>
            </w:r>
            <w:r>
              <w:rPr>
                <w:rFonts w:cs="Arial" w:ascii="LiberationSerif" w:hAnsi="LiberationSerif"/>
                <w:color w:val="auto"/>
                <w:sz w:val="18"/>
              </w:rPr>
              <w:t>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20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17</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Balança digital portátil até 200kg - Teclado com membrana em policarbonato de alta resistência; Display de 6 dígitos; Função tara até a capacidade</w:t>
            </w:r>
          </w:p>
          <w:p>
            <w:pPr>
              <w:pStyle w:val="Normal"/>
              <w:jc w:val="both"/>
              <w:rPr/>
            </w:pPr>
            <w:r>
              <w:rPr>
                <w:rFonts w:ascii="LiberationSerif" w:hAnsi="LiberationSerif"/>
                <w:sz w:val="18"/>
              </w:rPr>
              <w:t xml:space="preserve">Máxima da balança; Fabricada em baquelite; Plataforma em chapa de aço carbono; Tapete adesivo em  PVC; Pés reguláveis em borracha. Apresentar catálogo técnico do produto para apreciação Garantia: Mínimo de 12 meses a </w:t>
            </w:r>
            <w:r>
              <w:rPr>
                <w:rFonts w:cs="Arial" w:ascii="LiberationSerif" w:hAnsi="LiberationSerif"/>
                <w:color w:val="auto"/>
                <w:sz w:val="18"/>
              </w:rPr>
              <w:t>contar da entrega.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20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18</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Cilindro de oxigênio - Cilindros de aço para oxigenoterapia. Portátil. 40 Litros. O conjunto inclui: Válvula reguladora, Com Fluxômetro Bilha. Máscaras para oxigenoterapia Infantil e Adulto, Conjunto nebulizador adulto com extensão. Com 01 jogo Cânula de Guedel n° 0, 1, 2, 3, 4 e 01 e Carrinho de transporte em aço cromado Garantia: Mínimo de 12 meses a contar da </w:t>
            </w:r>
            <w:r>
              <w:rPr>
                <w:rFonts w:cs="Arial" w:ascii="LiberationSerif" w:hAnsi="LiberationSerif"/>
                <w:color w:val="auto"/>
                <w:sz w:val="18"/>
              </w:rPr>
              <w:t>entrega. 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19</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Cilindro de oxigênio portátil - Cilindros de aço para oxigenoterapia com escalas que variam entre 0, 1, 2, 3, 5, 7, 10, 12, 15 LPM. (litros por minuto). Portátil. 03 Litros. Válvula padrão para oxigênio medicinal Capacete de proteção da válvula. Cilindro pintado na cor verde, conforme norma de identificação de Gases da ABNT. Com Válvula Reguladora de pressão. Com Fluxômetro Bilha. Com Umidificador com máscara adulto e infantil e extensão. Com 01 jogo Cânula de Guedel n° 0, 1, 2, 3, 4 e 01 Bolsa de transporte do Kit Portátil de Oxigênio Completo. Garantia: Mínimo de 12 meses a contar da entrega. Apresentar catálogo técnico do produto para </w:t>
            </w:r>
            <w:r>
              <w:rPr>
                <w:rFonts w:cs="Arial" w:ascii="LiberationSerif" w:hAnsi="LiberationSerif"/>
                <w:color w:val="auto"/>
                <w:sz w:val="18"/>
              </w:rPr>
              <w:t>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40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20</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Desfibrilador Externo Automático (DEA) - Desfibrilador Externo Automático (DEA) Informações Técnicas: Equipamento para Ressuscitação Cardio Pulmonar (RCP); Indicações de voz e texto para RCP; Feedback</w:t>
            </w:r>
          </w:p>
          <w:p>
            <w:pPr>
              <w:pStyle w:val="Normal"/>
              <w:jc w:val="both"/>
              <w:rPr/>
            </w:pPr>
            <w:r>
              <w:rPr>
                <w:rFonts w:ascii="LiberationSerif" w:hAnsi="LiberationSerif"/>
                <w:sz w:val="18"/>
              </w:rPr>
              <w:t>sobre a frequência e a profundidade em tempo real; Temporizador de ciclo de RCP; Análise do paciente rápida em no mínimo 9 segundos; Pausa</w:t>
            </w:r>
          </w:p>
          <w:p>
            <w:pPr>
              <w:pStyle w:val="Normal"/>
              <w:jc w:val="both"/>
              <w:rPr/>
            </w:pPr>
            <w:r>
              <w:rPr>
                <w:rFonts w:ascii="LiberationSerif" w:hAnsi="LiberationSerif"/>
                <w:sz w:val="18"/>
              </w:rPr>
              <w:t>préchoque de aproximadamente 12 segundos; Possui instrução passo a passo; Deve possuir Algoritomo específico para crianças; Tela monocromática com Imagens de salvamento: icones gráficos; Menos custo total de propriedade</w:t>
            </w:r>
          </w:p>
          <w:p>
            <w:pPr>
              <w:pStyle w:val="Normal"/>
              <w:jc w:val="both"/>
              <w:rPr/>
            </w:pPr>
            <w:r>
              <w:rPr>
                <w:rFonts w:ascii="LiberationSerif" w:hAnsi="LiberationSerif"/>
                <w:sz w:val="18"/>
              </w:rPr>
              <w:t>(TCO): Validade de 5 anos do eletrodo adulto; Vida útil da bateria em espera de 5 anos; Deve ter Software de gestão; Deve possuir verificação de</w:t>
            </w:r>
          </w:p>
          <w:p>
            <w:pPr>
              <w:pStyle w:val="Normal"/>
              <w:jc w:val="both"/>
              <w:rPr/>
            </w:pPr>
            <w:r>
              <w:rPr>
                <w:rFonts w:ascii="LiberationSerif" w:hAnsi="LiberationSerif"/>
                <w:sz w:val="18"/>
              </w:rPr>
              <w:t xml:space="preserve">prontidão: verificações visuais; Dever ter Conectividade IrDA e Exportação dos dados de atendimento: IrDA. Deve acompanhar um jogo de Eletrodos Adulto e 1 infantil: CPR-D padz (Adulto) e Pedipadz (Pediátrico) c/ Vida útil: Adulto: 5 anos / Pediátrico: 2 anos. Itens Inclusos: 01 Desfibrilador </w:t>
            </w:r>
            <w:r>
              <w:rPr>
                <w:rFonts w:cs="Arial" w:ascii="LiberationSerif" w:hAnsi="LiberationSerif"/>
                <w:color w:val="auto"/>
                <w:sz w:val="18"/>
              </w:rPr>
              <w:t xml:space="preserve">Externo Automático AED Plus; 01 Kit de Baterias (10 unidades); 01 Bolsa </w:t>
            </w:r>
            <w:r>
              <w:rPr>
                <w:rFonts w:ascii="LiberationSerif" w:hAnsi="LiberationSerif"/>
                <w:sz w:val="18"/>
              </w:rPr>
              <w:t xml:space="preserve">de transporte; 01 Manual do Usuário em Português. 01 Eletrodo CRP-D (padz adulto) 01 Eletrodo Pedi-padz (pediátrico) Garantia: Mínimo de 12 meses a contar da entrega. Apresentar catálogo técnico do produto para </w:t>
            </w:r>
            <w:r>
              <w:rPr>
                <w:rFonts w:cs="Arial" w:ascii="LiberationSerif" w:hAnsi="LiberationSerif"/>
                <w:color w:val="auto"/>
                <w:sz w:val="18"/>
              </w:rPr>
              <w:t>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21</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ESfigmoma nômetro digital com manguito - aparelho de medir pressão braço digital c/ tomada 110/220v medidor de pressão de braço  Com fonte 110/220v automático pode ser utilizado somente com as pilhas ( incluso ) ou ligado diretamente na tomada. Possuir uma memória com no mínimo 200 medições com data e Hora. Possuir indicador de arritmia cardíaca e indicador de movimentação excessiva, para garantir que as</w:t>
            </w:r>
          </w:p>
          <w:p>
            <w:pPr>
              <w:pStyle w:val="Normal"/>
              <w:jc w:val="both"/>
              <w:rPr/>
            </w:pPr>
            <w:r>
              <w:rPr>
                <w:rFonts w:ascii="LiberationSerif" w:hAnsi="LiberationSerif"/>
                <w:sz w:val="18"/>
              </w:rPr>
              <w:t>medições sejam mais precisas. Também possuir um indicador gráfico de Risco de Hipertensão - Através de um gráfico de cores o aparelho deve</w:t>
            </w:r>
          </w:p>
          <w:p>
            <w:pPr>
              <w:pStyle w:val="Normal"/>
              <w:jc w:val="both"/>
              <w:rPr/>
            </w:pPr>
            <w:r>
              <w:rPr>
                <w:rFonts w:ascii="LiberationSerif" w:hAnsi="LiberationSerif"/>
                <w:sz w:val="18"/>
              </w:rPr>
              <w:t>avaliar automáticamente o resultado e classificar o risco de hipertensão de acordo com a recomendação da OMS. Produto com selo do Inmetro, garantia de 5 anos de fábrica. Apresentar catálogo técnico do produto para apreciação</w:t>
            </w:r>
          </w:p>
          <w:p>
            <w:pPr>
              <w:pStyle w:val="Normal"/>
              <w:jc w:val="both"/>
              <w:rPr/>
            </w:pPr>
            <w:r>
              <w:rPr>
                <w:rFonts w:ascii="LiberationSerif" w:hAnsi="LiberationSerif"/>
                <w:sz w:val="18"/>
              </w:rPr>
              <w:t xml:space="preserve">Conteúdo da embalagem: - 1 Aparelho Digital de Pressão Digital- 1 Braçadeira de Braço de aproximadamentEste simulador consiste num modelo de um antebraço que se estende da articulação do manopla até a área abaixo do cotovelo. A textura e aparência natural da pele de vinil oferece condições realistas para praticar as inserções subcutâneas. Cada local de injeção pode ser utilizado por várias dúzias de estudantes.e 22 x 43 centímetros (circunferência de Braço) - 1 Manual de Instruções em português - 1 Fonte Adaptador BIVOLT Para Usar Conectado na Energia - 4 Pilhas AAA Recarregáveis - 1 Estojo de armazenamento- 1 Caixa Original do Produto. </w:t>
            </w:r>
            <w:r>
              <w:rPr>
                <w:rFonts w:cs="Arial" w:ascii="LiberationSerif" w:hAnsi="LiberationSerif"/>
                <w:color w:val="auto"/>
                <w:sz w:val="18"/>
              </w:rPr>
              <w:t>Produto com selo do Inmetro e Certificado e registrado na Anvisa.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200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22</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Esfigmoma nômetro infantil- Tipo de esfigmomanômetro aneróide para resultados confiáveis. Circunferência mínima da braçadeira de 10 cm. Circunferência máxima da braçadeira de 23 cm. Design estampado que agrada às crianças. Inclui bolsa para transporte e armazenamento fácil. Produto com selo do Inmetro e Certificado e Registrado na Anvisa e garantia </w:t>
            </w:r>
            <w:r>
              <w:rPr>
                <w:rFonts w:cs="Arial" w:ascii="LiberationSerif" w:hAnsi="LiberationSerif"/>
                <w:color w:val="auto"/>
                <w:sz w:val="18"/>
              </w:rPr>
              <w:t>de Fábrica. 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23</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Foco ginecológico - Foco de Luz Clínico Portátil Led Haste Flexível 4 Pés com Rodízios Bivolt ESPECIFICAÇÕES: - Base em tripé de tubo de aço carbono quadrado - Coluna em tubo de aço carbono redondo - Haste flexível em tubo de aço carbono redondo, com acabamento cromado – Altura regulável por meio de manípulo - Foco protetor em chapa de aço carbono - Quatro Pés com rodízios giratórios de 2" aproximadamente(50mm) - Bivolt - Acabamento pintura epóxi, com tratamento antiferruginoso – Acompanha uma Lâmpada Fria (Led)- Dimensão aproximada: Alt. Mínima: 1250 mm - Alt. Máxima: 1600 mm. Garantia: 12 meses de Garantia a contar da entrega </w:t>
            </w:r>
            <w:r>
              <w:rPr>
                <w:rFonts w:cs="Arial" w:ascii="LiberationSerif" w:hAnsi="LiberationSerif"/>
                <w:color w:val="auto"/>
                <w:sz w:val="18"/>
              </w:rPr>
              <w:t>do produto. Apresentar 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20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24</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kit de laringoscópio - Aparelho dotado de led, possui também cabo com cabeçote, lâminas ( adaptadores de laringe) curvas (nºs: 00, 0, 1, 2, 3, 4 e 5) retas (nºs: 00, 0, 1, 2, 3, 4 e 5) com fibras óticas de vários tamanhos conforme a necessidade da utilização de cada paciente. Garantia: 12 meses de Garantia a contar da entrega do produto. Apresentar catálogo técnico do </w:t>
            </w:r>
            <w:r>
              <w:rPr>
                <w:rFonts w:cs="Arial" w:ascii="LiberationSerif" w:hAnsi="LiberationSerif"/>
                <w:color w:val="auto"/>
                <w:sz w:val="18"/>
              </w:rPr>
              <w:t>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40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25</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Lanterna clínica de bolso - Lanterna de alta performance com iluminação LED de 3V. Confeccionada em metal leve de alta qualidade. Iluminação brilhante para melhor visualização.Medidas: 14cm de comprimento e 1,2 cm </w:t>
            </w:r>
            <w:r>
              <w:rPr>
                <w:rFonts w:cs="Arial" w:ascii="LiberationSerif" w:hAnsi="LiberationSerif"/>
                <w:color w:val="auto"/>
                <w:sz w:val="18"/>
              </w:rPr>
              <w:t>de diâmetro.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150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26</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Oximetro de mesa - Oximetria (%SpO2), Frequência Cardíaca com intensidade e curva plestimográfica. Alarmes audiovisuais ajustáveis. Visor LCD colorido de 7 de alta resolução e alto contraste. Indicação da SpO2, frequência cardíaca, força de pulso, onda plestimográfica e tabela de tendências Exibição contínua em tempo real das ondas plestimográficas, dos valores medidos, dados cronológicos, as tendências de medição, os parâmetros de alarme e informações do paciente Possui 3 modos de exibição: modo dígitos grandes; modo mesa e modo gráfico Alarmes sonoros ajustáveis e programáveis. Com botões frontais: liga/desliga; volume; brilho;</w:t>
            </w:r>
          </w:p>
          <w:p>
            <w:pPr>
              <w:pStyle w:val="Normal"/>
              <w:jc w:val="both"/>
              <w:rPr/>
            </w:pPr>
            <w:r>
              <w:rPr>
                <w:rFonts w:ascii="LiberationSerif" w:hAnsi="LiberationSerif"/>
                <w:sz w:val="18"/>
              </w:rPr>
              <w:t xml:space="preserve">silenciar alarme; modo de exibição; menu; botão rotativo e LEDs indicativos: Funcionamento por bateria; funcionamento por energia AC; carga da bateria; </w:t>
            </w:r>
            <w:r>
              <w:rPr>
                <w:rFonts w:cs="Arial" w:ascii="LiberationSerif" w:hAnsi="LiberationSerif"/>
                <w:color w:val="auto"/>
                <w:sz w:val="18"/>
              </w:rPr>
              <w:t>silêncio de alarme; status de funcionamento Bateria interna recarregável de</w:t>
            </w:r>
            <w:r>
              <w:rPr>
                <w:rFonts w:ascii="LiberationSerif" w:hAnsi="LiberationSerif"/>
                <w:sz w:val="18"/>
              </w:rPr>
              <w:t xml:space="preserve">lítio. Alça para Transporte. Porta de rede LAN (RJ45) para comunicação com computador Acompanha sensor adulto, podendo opcionalmente utilizar sensor pediátrico e neonatal. Canal de ondas plestimográficas com seleção de forma da onda e velocidade. Produto com selo do Inmetro e Certificado e Registrado na Anvisa e garantia de Fábrica mínima de 12 meses. Apresentar </w:t>
            </w:r>
            <w:r>
              <w:rPr>
                <w:rFonts w:cs="Arial" w:ascii="LiberationSerif" w:hAnsi="LiberationSerif"/>
                <w:color w:val="auto"/>
                <w:sz w:val="18"/>
              </w:rPr>
              <w:t>catálogo 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40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27</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Oxímetro pediátrico - Display OLED dual color (cor dupla) com visor rotacional ajustável em 6 direções; Desliga automaticamente em aproximadamente 8 segundos; Recarregamento via USB; Beep e aviso sonoro ajustáveis com menu de configurações. Saturação Arterial de Oxigênio SPO2% (faixa de medição): 70% – 99% Frequência Cardíaca (BPM) (faixa de medição): 30BPM - 240BPM (batimentos por minuto) / Precisão ± 1 bpm ou 1% (o maior). Tamanho aproximado: 44mm x 28,3mm x 26,5mm. Diâmetro do Dedo: A partir de 6mm. Menu Configuração: Beep e aviso sonoro ajustáveis / Com curva plestimográfica e seis modos de exibição diferentes. Produto com selo do Inmetro e Certificado e Registrado na Anvisa e garantia mínima de 12 meses de Fábrica. Apresentar catálogo </w:t>
            </w:r>
            <w:r>
              <w:rPr>
                <w:rFonts w:cs="Arial" w:ascii="LiberationSerif" w:hAnsi="LiberationSerif"/>
                <w:color w:val="auto"/>
                <w:sz w:val="18"/>
              </w:rPr>
              <w:t>técnico do 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60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28</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Regua antropomet rica - Uso Pediátrico. Diferenciais e benefícios: Feita de Marfim; Alta durabilidade; Qualidade e resistência. Régua aprox 1 Metro Garantia de Fábrica mínima de 12 meses. Apresentar catálogo técnico do </w:t>
            </w:r>
            <w:r>
              <w:rPr>
                <w:rFonts w:cs="Arial" w:ascii="LiberationSerif" w:hAnsi="LiberationSerif"/>
                <w:color w:val="auto"/>
                <w:sz w:val="18"/>
              </w:rPr>
              <w:t>produto para apreciação.</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29</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Sonar doppler de mesa - O Detector Fetal de Mesa é um equipamento de alta tecnologia desenvolvido para monitorar os batimentos cardíacos do feto durante a gestação, sendo compacto, leve e fácil de usar, permitindo que os</w:t>
            </w:r>
          </w:p>
          <w:p>
            <w:pPr>
              <w:pStyle w:val="Normal"/>
              <w:jc w:val="both"/>
              <w:rPr/>
            </w:pPr>
            <w:r>
              <w:rPr>
                <w:rFonts w:ascii="LiberationSerif" w:hAnsi="LiberationSerif"/>
                <w:sz w:val="18"/>
              </w:rPr>
              <w:t>profissionais de saúde acompanhem a saúde do bebê de forma prática e rápida. Conta com sonda Doppler de alta sensibilidade, operação fácil e conveniente e sonda à prova d água de alta sensibilidade; Detecção dos batimentos cardíacos fetais a partir da 10ª a 12ª semana de gestação; Tela LCD colorida com três modos de exibição: curva, dígitos grandes e parâmetros com batimentos cardíacos fetais. Display colorido com função de armazenamento automático, tela LCD com visualização numérica e funções USB para transmitir dados para o computador e display com função de armazenamento automático e reprodução da curva FHR; Design ergonômico</w:t>
            </w:r>
          </w:p>
          <w:p>
            <w:pPr>
              <w:pStyle w:val="Normal"/>
              <w:jc w:val="both"/>
              <w:rPr/>
            </w:pPr>
            <w:r>
              <w:rPr>
                <w:rFonts w:ascii="LiberationSerif" w:hAnsi="LiberationSerif"/>
                <w:sz w:val="18"/>
              </w:rPr>
              <w:t>exclusivo e design de baixo consumo de energia; Som cristalino e de alta fidelidade e alto falantes de alto desempenho e entrada para fones de ouvidos; Armazena os dados da FCF e curva FHR por até 2 minutos com o uso da tecla "congelar". Diversos modos de operação com três interfaces de exibição alternáveis. Frequência mínima de ultrassom: 2MHz; Intensidade mínima do ultrassom: 10mW/cm2; Fonte: Bivolt automático com bateria recarregável; Faixa de medição da FCF: 50-230bpm; Bateria de Lítio</w:t>
            </w:r>
          </w:p>
          <w:p>
            <w:pPr>
              <w:pStyle w:val="Normal"/>
              <w:jc w:val="both"/>
              <w:rPr/>
            </w:pPr>
            <w:r>
              <w:rPr>
                <w:rFonts w:ascii="LiberationSerif" w:hAnsi="LiberationSerif"/>
                <w:sz w:val="18"/>
              </w:rPr>
              <w:t xml:space="preserve">recarregável; Sonda de 2 MHz; Potência de saída: 10 a 85 mW; Pressão </w:t>
            </w:r>
            <w:r>
              <w:rPr>
                <w:rFonts w:cs="Arial" w:ascii="LiberationSerif" w:hAnsi="LiberationSerif"/>
                <w:color w:val="auto"/>
                <w:sz w:val="18"/>
              </w:rPr>
              <w:t>acústica: 20 a 78 kPa;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60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30</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 xml:space="preserve">Sonar doppler vascular - Equipamento projetado para a localização de pulsos arteriais e venosos com grande facilidade, utilizando um transdutor na freqüência de 10 Mhz com altíssimo nível de sensibilidade.Aplicações:– Angiologia, Urologia, Ortopedia, Neurologia, Pediatria, Cardiologia, etc. – Preciso na medição da pressão arterial dos MI e MS. – Diagnóstico imediato da oclusão arterial aguda e trombose venosa. – Controle pós operatório dos enxertos.– Indicação do nível viável para amputação. – Diagnóstico diferencial artério venoso. Com toda a praticidade de um equipamento portátil, tendo em sua bolsa compartimento que permite guardar seu transdutor, protegendo-o e facilitando o transporte.Modelo portátil. Garantia de Fábrica mínima de 12 meses. Apresentar catálogo técnico do produto para </w:t>
            </w:r>
            <w:r>
              <w:rPr>
                <w:rFonts w:cs="Arial" w:ascii="LiberationSerif" w:hAnsi="LiberationSerif"/>
                <w:color w:val="auto"/>
                <w:sz w:val="18"/>
              </w:rPr>
              <w:t>apreciação, e registro pelo INMETRO E ANVISA.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31</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OTOSCÓPIO - Com cabeça em policarbonato de alta resistência a impactos e cone metálico. Características Técnicas: Transmissão de luz direta ou fibra óptica. Iluminação exclusivamente em LED. Lente com aumento de 3,6x. Alimentação e Certificação: Pilhas alcalinas. Registro ANVISA. Acessórios Inclusos: Estojo de armazenamento e kit de espéculos reutilizáveis.</w:t>
            </w:r>
          </w:p>
          <w:p>
            <w:pPr>
              <w:pStyle w:val="Normal"/>
              <w:jc w:val="both"/>
              <w:rPr/>
            </w:pPr>
            <w:r>
              <w:rPr>
                <w:rFonts w:ascii="LiberationSerif" w:hAnsi="LiberationSerif"/>
                <w:sz w:val="18"/>
              </w:rPr>
              <w:t xml:space="preserve">Construção e Acabamento: Cabo em metal recartilhado com clip e cabeça em polímero de alta densidade. Exigência Complementar: Apresentar catálogo técnico do produto para apreciação e vir com jogo de pilhas alcalinas para o funcionamento. Apresentar catálogo técnico do produto para apreciação </w:t>
            </w:r>
            <w:r>
              <w:rPr>
                <w:rFonts w:cs="Arial" w:ascii="LiberationSerif" w:hAnsi="LiberationSerif"/>
                <w:color w:val="auto"/>
                <w:sz w:val="18"/>
              </w:rPr>
              <w:t>Garantia: Mínimo de 12 meses a contar da entrega.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50</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32</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Eletrocardi ógrafo 12 Derivações – O Eletrocardiógrafo (ECG)para a coleta, visualização, análise e impressão de sinais eletrocardiográficos de até 12 canais simultâneos. Características Técnicas que deve possuir: 12 canais simultâneos. Transmissão USB ou Bluetooth ou Wi-Fi, para telemedicina.</w:t>
            </w:r>
          </w:p>
          <w:p>
            <w:pPr>
              <w:pStyle w:val="Normal"/>
              <w:jc w:val="both"/>
              <w:rPr/>
            </w:pPr>
            <w:r>
              <w:rPr>
                <w:rFonts w:ascii="LiberationSerif" w:hAnsi="LiberationSerif"/>
                <w:sz w:val="18"/>
              </w:rPr>
              <w:t>Modos de Exibição: 3, 6 ou 12 derivações Modos de Operação: Automático e Manual Tela com no mínimo 8 polegadas com Display colorido de alta</w:t>
            </w:r>
          </w:p>
          <w:p>
            <w:pPr>
              <w:pStyle w:val="Normal"/>
              <w:jc w:val="both"/>
              <w:rPr/>
            </w:pPr>
            <w:r>
              <w:rPr>
                <w:rFonts w:ascii="LiberationSerif" w:hAnsi="LiberationSerif"/>
                <w:sz w:val="18"/>
              </w:rPr>
              <w:t xml:space="preserve">resolução Funções: Realizar Visualização em tempo real das formas de onda, seleção de derivações de ritmo, gráfico de tendência e histograma do intervalo PR Diagnóstico Automático com Medição e interpretação automática dos parâmetros da forma de onda do ECG Deve possuir Filtros de frequência; Filtro de linha de base e Filtro EMG para Garantir a exibição de sinais limpos, sem interferências e com alta fidelidade Armazenamento Interno: Deve possuir Memória de grande capacidade para armazenar até 1.000 exames, com possibilidade de revisão posterior; Deve possuir Bateria de Longa Duração com Até 10 horas em modo standby, devendo haver garantia na bateria do produto pelo período de 12 meses a contar da data da entrega. Deve ser capaz de realizar impressão contínua por mais de 2 horas Sistema de Impressão: Deve vir com Impressora térmica embutida no Formato de papel: A4 que é o de fácil aquisição, podendo ser realizada a impressão direta das formas de onda em tempo real ou a partir da memória Deve vir Incluso software para gerenciamento de exames, exportação de dados e análise no computador Comunicação com PC para arquivamento e emissão de laudos Possibilidade de integração com prontuários eletrônicos (dependendo do sistema) Alimentação e Energia: Alimentação elétrica bivolt (100– 240V, 50/60Hz) Bateria recarregável interna de longa duração Registro e Certificações: ANVISA E INMETRO e em Conformidade com Normas Técnicas Internacionais Acessórios Inclusos: Cabo de paciente 10 vias, eletrodos de sucção, 1 tubo de gel para ECG, software de interface, 4 clip adulto, 1 cabo de força e cabo USB. Apresentar catálogo técnico do produto para apreciação e conferência da compatibilidade com sistemas </w:t>
            </w:r>
            <w:r>
              <w:rPr>
                <w:rFonts w:cs="Arial" w:ascii="LiberationSerif" w:hAnsi="LiberationSerif"/>
                <w:color w:val="auto"/>
                <w:sz w:val="18"/>
              </w:rPr>
              <w:t>digitais. Garantia: Mínima de 12 meses a contar da entrega.</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15</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33</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ascii="LiberationSerif" w:hAnsi="LiberationSerif"/>
                <w:sz w:val="18"/>
              </w:rPr>
              <w:t>Simulador para procedimentos ginecológico - Modelo da parte anatômica genital feminina. Modelo utilizado para demonstrar como colocar</w:t>
            </w:r>
          </w:p>
          <w:p>
            <w:pPr>
              <w:pStyle w:val="Normal"/>
              <w:jc w:val="both"/>
              <w:rPr/>
            </w:pPr>
            <w:r>
              <w:rPr>
                <w:rFonts w:ascii="LiberationSerif" w:hAnsi="LiberationSerif"/>
                <w:sz w:val="18"/>
              </w:rPr>
              <w:t xml:space="preserve">preservativos, como colocar e tirar o DIU. Modelo abre e se divide em 2 partes. Montado em Base de madeira Fabricado em PVC emborrachado </w:t>
            </w:r>
            <w:r>
              <w:rPr>
                <w:rFonts w:cs="Arial" w:ascii="LiberationSerif" w:hAnsi="LiberationSerif"/>
                <w:color w:val="auto"/>
                <w:sz w:val="18"/>
              </w:rPr>
              <w:t>Tamanho aproximado de 26x15x147cm.</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t>4</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315" w:hRule="atLeast"/>
        </w:trPr>
        <w:tc>
          <w:tcPr>
            <w:tcW w:w="809" w:type="dxa"/>
            <w:tcBorders>
              <w:left w:val="single" w:sz="6" w:space="0" w:color="000000"/>
              <w:bottom w:val="single" w:sz="6" w:space="0" w:color="000000"/>
            </w:tcBorders>
            <w:tcMar>
              <w:top w:w="55" w:type="dxa"/>
              <w:bottom w:w="55" w:type="dxa"/>
            </w:tcMar>
          </w:tcPr>
          <w:p>
            <w:pPr>
              <w:pStyle w:val="TableParagraph"/>
              <w:widowControl w:val="false"/>
              <w:spacing w:before="35" w:after="0"/>
              <w:ind w:hanging="0" w:left="178"/>
              <w:jc w:val="left"/>
              <w:rPr>
                <w:rFonts w:ascii="Arial" w:hAnsi="Arial" w:cs="Arial"/>
                <w:sz w:val="24"/>
                <w:szCs w:val="24"/>
              </w:rPr>
            </w:pPr>
            <w:r>
              <w:rPr>
                <w:rFonts w:cs="Arial" w:ascii="Arial" w:hAnsi="Arial"/>
                <w:sz w:val="24"/>
                <w:szCs w:val="24"/>
              </w:rPr>
              <w:t>34</w:t>
            </w:r>
          </w:p>
        </w:tc>
        <w:tc>
          <w:tcPr>
            <w:tcW w:w="3750" w:type="dxa"/>
            <w:tcBorders>
              <w:left w:val="single" w:sz="6" w:space="0" w:color="000000"/>
              <w:bottom w:val="single" w:sz="6" w:space="0" w:color="000000"/>
              <w:right w:val="single" w:sz="6" w:space="0" w:color="000000"/>
            </w:tcBorders>
            <w:tcMar>
              <w:top w:w="55" w:type="dxa"/>
              <w:bottom w:w="55" w:type="dxa"/>
            </w:tcMar>
          </w:tcPr>
          <w:p>
            <w:pPr>
              <w:pStyle w:val="Normal"/>
              <w:jc w:val="both"/>
              <w:rPr/>
            </w:pPr>
            <w:r>
              <w:rPr>
                <w:rFonts w:cs="Arial" w:ascii="LiberationSerif" w:hAnsi="LiberationSerif"/>
                <w:color w:val="auto"/>
                <w:sz w:val="18"/>
              </w:rPr>
              <w:t xml:space="preserve">Simulador de antebraço para intradérmica - Este simulador consiste num </w:t>
            </w:r>
            <w:r>
              <w:rPr>
                <w:rFonts w:ascii="LiberationSerif" w:hAnsi="LiberationSerif"/>
                <w:sz w:val="18"/>
              </w:rPr>
              <w:t xml:space="preserve">modelo de um antebraço que se estende da articulação do manopla até a área abaixo do cotovelo. A textura e aparência natural da pele de vinil oferece condições realistas para praticar as inserções subcutâneas. Cada local de </w:t>
            </w:r>
            <w:r>
              <w:rPr>
                <w:rFonts w:cs="Arial" w:ascii="LiberationSerif" w:hAnsi="LiberationSerif"/>
                <w:color w:val="auto"/>
                <w:sz w:val="18"/>
              </w:rPr>
              <w:t>injeção pode ser utilizado por várias dúzias de estudantes.</w:t>
            </w:r>
          </w:p>
        </w:tc>
        <w:tc>
          <w:tcPr>
            <w:tcW w:w="1066" w:type="dxa"/>
            <w:tcBorders>
              <w:left w:val="single" w:sz="6" w:space="0" w:color="000000"/>
              <w:bottom w:val="single" w:sz="6" w:space="0" w:color="000000"/>
              <w:right w:val="single" w:sz="6" w:space="0" w:color="000000"/>
            </w:tcBorders>
          </w:tcPr>
          <w:p>
            <w:pPr>
              <w:pStyle w:val="Normal"/>
              <w:tabs>
                <w:tab w:val="clear" w:pos="708"/>
                <w:tab w:val="left" w:pos="3945" w:leader="none"/>
              </w:tabs>
              <w:jc w:val="center"/>
              <w:rPr/>
            </w:pPr>
            <w:r>
              <w:rPr>
                <w:rFonts w:cs="Arial" w:ascii="Arial" w:hAnsi="Arial"/>
                <w:color w:val="auto"/>
              </w:rPr>
              <w:t>Unid.</w:t>
            </w:r>
          </w:p>
        </w:tc>
        <w:tc>
          <w:tcPr>
            <w:tcW w:w="1078" w:type="dxa"/>
            <w:tcBorders>
              <w:left w:val="single" w:sz="6" w:space="0" w:color="000000"/>
              <w:bottom w:val="single" w:sz="6" w:space="0" w:color="000000"/>
              <w:right w:val="single" w:sz="6" w:space="0" w:color="000000"/>
            </w:tcBorders>
            <w:tcMar>
              <w:top w:w="55" w:type="dxa"/>
              <w:bottom w:w="55" w:type="dxa"/>
            </w:tcMar>
          </w:tcPr>
          <w:p>
            <w:pPr>
              <w:pStyle w:val="TableParagraph"/>
              <w:widowControl w:val="false"/>
              <w:spacing w:before="54" w:after="0"/>
              <w:ind w:hanging="0" w:left="98" w:right="0"/>
              <w:jc w:val="center"/>
              <w:rPr/>
            </w:pPr>
            <w:r>
              <w:rPr>
                <w:rFonts w:ascii="Arial" w:hAnsi="Arial"/>
                <w:spacing w:val="-10"/>
                <w:sz w:val="24"/>
                <w:szCs w:val="24"/>
              </w:rPr>
              <w:t>4</w:t>
            </w:r>
          </w:p>
        </w:tc>
        <w:tc>
          <w:tcPr>
            <w:tcW w:w="1022"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240" w:type="dxa"/>
            <w:gridSpan w:val="2"/>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c>
          <w:tcPr>
            <w:tcW w:w="1609"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rial" w:hAnsi="Arial" w:cs="Arial"/>
                <w:sz w:val="22"/>
                <w:szCs w:val="22"/>
              </w:rPr>
            </w:pPr>
            <w:r>
              <w:rPr>
                <w:rFonts w:cs="Arial" w:ascii="Arial" w:hAnsi="Arial"/>
                <w:sz w:val="22"/>
                <w:szCs w:val="22"/>
              </w:rPr>
            </w:r>
          </w:p>
        </w:tc>
      </w:tr>
      <w:tr>
        <w:trPr>
          <w:trHeight w:val="674" w:hRule="atLeast"/>
        </w:trPr>
        <w:tc>
          <w:tcPr>
            <w:tcW w:w="8296" w:type="dxa"/>
            <w:gridSpan w:val="6"/>
            <w:tcBorders>
              <w:left w:val="single" w:sz="4" w:space="0" w:color="000000"/>
              <w:bottom w:val="single" w:sz="4" w:space="0" w:color="000000"/>
            </w:tcBorders>
            <w:shd w:color="auto" w:fill="FFFFFF" w:val="clear"/>
          </w:tcPr>
          <w:p>
            <w:pPr>
              <w:pStyle w:val="Normal"/>
              <w:widowControl w:val="false"/>
              <w:suppressAutoHyphens w:val="false"/>
              <w:spacing w:before="120" w:after="120"/>
              <w:jc w:val="left"/>
              <w:rPr>
                <w:rFonts w:ascii="Arial" w:hAnsi="Arial" w:cs="Arial"/>
                <w:sz w:val="22"/>
                <w:szCs w:val="22"/>
              </w:rPr>
            </w:pPr>
            <w:r>
              <w:rPr>
                <w:rFonts w:cs="Arial" w:ascii="Arial" w:hAnsi="Arial"/>
                <w:sz w:val="22"/>
                <w:szCs w:val="22"/>
              </w:rPr>
            </w:r>
          </w:p>
        </w:tc>
        <w:tc>
          <w:tcPr>
            <w:tcW w:w="2278" w:type="dxa"/>
            <w:gridSpan w:val="2"/>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snapToGrid w:val="false"/>
              <w:jc w:val="center"/>
              <w:rPr>
                <w:rFonts w:ascii="Arial" w:hAnsi="Arial" w:cs="Arial"/>
                <w:sz w:val="22"/>
                <w:szCs w:val="22"/>
              </w:rPr>
            </w:pPr>
            <w:r>
              <w:rPr>
                <w:rFonts w:cs="Arial" w:ascii="Arial" w:hAnsi="Arial"/>
                <w:sz w:val="22"/>
                <w:szCs w:val="22"/>
              </w:rPr>
              <w:t>R$ XX</w:t>
            </w:r>
          </w:p>
        </w:tc>
      </w:tr>
    </w:tbl>
    <w:p>
      <w:pPr>
        <w:pStyle w:val="ListParagraph"/>
        <w:ind w:hanging="0" w:left="0"/>
        <w:rPr>
          <w:rFonts w:ascii="Arial" w:hAnsi="Arial" w:cs="Arial"/>
        </w:rPr>
      </w:pPr>
      <w:r>
        <w:rPr>
          <w:rFonts w:cs="Arial" w:ascii="Arial" w:hAnsi="Arial"/>
        </w:rPr>
      </w:r>
    </w:p>
    <w:p>
      <w:pPr>
        <w:pStyle w:val="Normal"/>
        <w:ind w:hanging="0" w:left="-120"/>
        <w:rPr>
          <w:rFonts w:ascii="Arial" w:hAnsi="Arial" w:eastAsia="Times New Roman" w:cs="Arial"/>
          <w:szCs w:val="22"/>
          <w:lang w:eastAsia="ar-SA"/>
        </w:rPr>
      </w:pPr>
      <w:r>
        <w:rPr>
          <w:rFonts w:eastAsia="Times New Roman" w:cs="Arial" w:ascii="Arial" w:hAnsi="Arial"/>
          <w:sz w:val="22"/>
          <w:szCs w:val="22"/>
          <w:lang w:eastAsia="ar-SA"/>
        </w:rPr>
        <w:t>VALOR TOTAL DA PROPOSTA POR EXTENSO: R$ _________(_________________)</w:t>
      </w:r>
    </w:p>
    <w:p>
      <w:pPr>
        <w:pStyle w:val="Normal"/>
        <w:ind w:hanging="0" w:left="-120"/>
        <w:jc w:val="both"/>
        <w:rPr>
          <w:rFonts w:ascii="Arial" w:hAnsi="Arial" w:eastAsia="Times New Roman" w:cs="Arial"/>
          <w:sz w:val="22"/>
          <w:szCs w:val="22"/>
          <w:lang w:eastAsia="ar-SA"/>
        </w:rPr>
      </w:pPr>
      <w:r>
        <w:rPr>
          <w:rFonts w:eastAsia="Times New Roman" w:cs="Arial" w:ascii="Arial" w:hAnsi="Arial"/>
          <w:sz w:val="22"/>
          <w:szCs w:val="22"/>
          <w:lang w:eastAsia="ar-SA"/>
        </w:rPr>
        <w:t xml:space="preserve">DATA DA PROPOSTA: </w:t>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t>(Município), (Estado), ___ de ______ de 2026.</w:t>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r>
    </w:p>
    <w:p>
      <w:pPr>
        <w:pStyle w:val="Normal"/>
        <w:widowControl w:val="false"/>
        <w:jc w:val="center"/>
        <w:textAlignment w:val="baseline"/>
        <w:rPr>
          <w:rFonts w:ascii="Arial" w:hAnsi="Arial" w:eastAsia="Times New Roman" w:cs="Arial"/>
          <w:sz w:val="22"/>
          <w:szCs w:val="22"/>
        </w:rPr>
      </w:pPr>
      <w:r>
        <w:rPr>
          <w:rFonts w:eastAsia="Times New Roman" w:cs="Arial" w:ascii="Arial" w:hAnsi="Arial"/>
          <w:sz w:val="22"/>
          <w:szCs w:val="22"/>
        </w:rPr>
        <w:t>____________________________________</w:t>
      </w:r>
    </w:p>
    <w:p>
      <w:pPr>
        <w:pStyle w:val="Normal"/>
        <w:widowControl w:val="false"/>
        <w:jc w:val="center"/>
        <w:textAlignment w:val="baseline"/>
        <w:rPr>
          <w:rFonts w:ascii="Arial" w:hAnsi="Arial" w:eastAsia="Times New Roman" w:cs="Arial"/>
          <w:bCs/>
          <w:sz w:val="22"/>
          <w:szCs w:val="22"/>
        </w:rPr>
      </w:pPr>
      <w:r>
        <w:rPr>
          <w:rFonts w:eastAsia="Times New Roman" w:cs="Arial" w:ascii="Arial" w:hAnsi="Arial"/>
          <w:bCs/>
          <w:sz w:val="22"/>
          <w:szCs w:val="22"/>
        </w:rPr>
        <w:t>Representante Legal</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668"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Ecofont Vera Sans">
    <w:charset w:val="00"/>
    <w:family w:val="roman"/>
    <w:pitch w:val="variable"/>
  </w:font>
  <w:font w:name="Segoe UI">
    <w:charset w:val="00"/>
    <w:family w:val="roman"/>
    <w:pitch w:val="variable"/>
  </w:font>
  <w:font w:name="Verdana">
    <w:charset w:val="00"/>
    <w:family w:val="roman"/>
    <w:pitch w:val="variable"/>
  </w:font>
  <w:font w:name="StarSymbol">
    <w:altName w:val="Arial Unicode MS"/>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Liberation Sans">
    <w:altName w:val="Arial"/>
    <w:charset w:val="00"/>
    <w:family w:val="roman"/>
    <w:pitch w:val="variable"/>
  </w:font>
  <w:font w:name="Bookman Old Style">
    <w:charset w:val="00"/>
    <w:family w:val="roman"/>
    <w:pitch w:val="variable"/>
  </w:font>
  <w:font w:name="Albertus Medium">
    <w:charset w:val="00"/>
    <w:family w:val="roman"/>
    <w:pitch w:val="variable"/>
  </w:font>
  <w:font w:name="Arial Narrow">
    <w:charset w:val="00"/>
    <w:family w:val="roman"/>
    <w:pitch w:val="variable"/>
  </w:font>
  <w:font w:name="DejaVu Sans">
    <w:charset w:val="00"/>
    <w:family w:val="roman"/>
    <w:pitch w:val="variable"/>
  </w:font>
  <w:font w:name="Helvetica">
    <w:altName w:val="Arial"/>
    <w:charset w:val="00"/>
    <w:family w:val="roman"/>
    <w:pitch w:val="variable"/>
  </w:font>
  <w:font w:name="Albany">
    <w:altName w:val="Arial"/>
    <w:charset w:val="00"/>
    <w:family w:val="roman"/>
    <w:pitch w:val="variable"/>
  </w:font>
  <w:font w:name="Arial MT">
    <w:charset w:val="00"/>
    <w:family w:val="roman"/>
    <w:pitch w:val="variable"/>
  </w:font>
  <w:font w:name="LiberationSerif">
    <w:altName w:val="Times New Roman"/>
    <w:charset w:val="00"/>
    <w:family w:val="swiss"/>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6" behindDoc="1" locked="0" layoutInCell="1" allowOverlap="1" wp14:anchorId="69ADF8BA">
              <wp:simplePos x="0" y="0"/>
              <wp:positionH relativeFrom="column">
                <wp:posOffset>5783580</wp:posOffset>
              </wp:positionH>
              <wp:positionV relativeFrom="paragraph">
                <wp:posOffset>635</wp:posOffset>
              </wp:positionV>
              <wp:extent cx="2319655" cy="1304925"/>
              <wp:effectExtent l="542290" t="165100" r="543560" b="165100"/>
              <wp:wrapNone/>
              <wp:docPr id="9"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51"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0"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drawing>
        <wp:anchor distT="0" distB="0" distL="0" distR="0" simplePos="0" relativeHeight="163"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1"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t xml:space="preserve"> </w:t>
    </w:r>
    <w:r>
      <w:rPr>
        <w:b/>
        <w:bCs/>
        <w:color w:themeColor="background2" w:themeShade="80" w:val="767171"/>
      </w:rPr>
      <w:t>RUA REPUBLICA DO LÍBANO, Nº 88,</w:t>
    </w:r>
    <w:r>
      <w:drawing>
        <wp:anchor distT="0" distB="0" distL="0" distR="0" simplePos="0" relativeHeight="114"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CENTRO</w:t>
    </w:r>
  </w:p>
  <w:p>
    <w:pPr>
      <w:pStyle w:val="Footer"/>
      <w:rPr>
        <w:b/>
        <w:bCs/>
        <w:color w:val="767171"/>
      </w:rPr>
    </w:pPr>
    <w:r>
      <w:drawing>
        <wp:anchor distT="0" distB="0" distL="0" distR="0" simplePos="0" relativeHeight="139"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2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4" behindDoc="1" locked="0" layoutInCell="1" allowOverlap="1" wp14:anchorId="154B6775">
              <wp:simplePos x="0" y="0"/>
              <wp:positionH relativeFrom="column">
                <wp:posOffset>-6129655</wp:posOffset>
              </wp:positionH>
              <wp:positionV relativeFrom="paragraph">
                <wp:posOffset>2882265</wp:posOffset>
              </wp:positionV>
              <wp:extent cx="9029065" cy="1235710"/>
              <wp:effectExtent l="0" t="635" r="0" b="0"/>
              <wp:wrapNone/>
              <wp:docPr id="15"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6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1" behindDoc="1" locked="0" layoutInCell="1" allowOverlap="1" wp14:anchorId="76B9F30E">
              <wp:simplePos x="0" y="0"/>
              <wp:positionH relativeFrom="column">
                <wp:posOffset>3575685</wp:posOffset>
              </wp:positionH>
              <wp:positionV relativeFrom="paragraph">
                <wp:posOffset>390525</wp:posOffset>
              </wp:positionV>
              <wp:extent cx="3412490" cy="1088390"/>
              <wp:effectExtent l="79375" t="377190" r="79375" b="377825"/>
              <wp:wrapNone/>
              <wp:docPr id="16"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7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6" behindDoc="1" locked="0" layoutInCell="1" allowOverlap="1" wp14:anchorId="69ADF8BA">
              <wp:simplePos x="0" y="0"/>
              <wp:positionH relativeFrom="column">
                <wp:posOffset>5783580</wp:posOffset>
              </wp:positionH>
              <wp:positionV relativeFrom="paragraph">
                <wp:posOffset>635</wp:posOffset>
              </wp:positionV>
              <wp:extent cx="2319655" cy="1304925"/>
              <wp:effectExtent l="542290" t="165100" r="543560" b="165100"/>
              <wp:wrapNone/>
              <wp:docPr id="1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5.4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51"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drawing>
        <wp:anchor distT="0" distB="0" distL="0" distR="0" simplePos="0" relativeHeight="163"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t xml:space="preserve"> </w:t>
    </w:r>
    <w:r>
      <w:rPr>
        <w:b/>
        <w:bCs/>
        <w:color w:themeColor="background2" w:themeShade="80" w:val="767171"/>
      </w:rPr>
      <w:t>RUA REPUBLICA DO LÍBANO, Nº 88,</w:t>
    </w:r>
    <w:r>
      <w:drawing>
        <wp:anchor distT="0" distB="0" distL="0" distR="0" simplePos="0" relativeHeight="114"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2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CENTRO</w:t>
    </w:r>
  </w:p>
  <w:p>
    <w:pPr>
      <w:pStyle w:val="Footer"/>
      <w:rPr>
        <w:b/>
        <w:bCs/>
        <w:color w:val="767171"/>
      </w:rPr>
    </w:pPr>
    <w:r>
      <w:drawing>
        <wp:anchor distT="0" distB="0" distL="0" distR="0" simplePos="0" relativeHeight="139"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2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2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64" behindDoc="1" locked="0" layoutInCell="1" allowOverlap="1" wp14:anchorId="154B6775">
              <wp:simplePos x="0" y="0"/>
              <wp:positionH relativeFrom="column">
                <wp:posOffset>-6129655</wp:posOffset>
              </wp:positionH>
              <wp:positionV relativeFrom="paragraph">
                <wp:posOffset>2882265</wp:posOffset>
              </wp:positionV>
              <wp:extent cx="9029065" cy="1235710"/>
              <wp:effectExtent l="0" t="635" r="0" b="0"/>
              <wp:wrapNone/>
              <wp:docPr id="2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2.65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1" behindDoc="1" locked="0" layoutInCell="1" allowOverlap="1" wp14:anchorId="76B9F30E">
              <wp:simplePos x="0" y="0"/>
              <wp:positionH relativeFrom="column">
                <wp:posOffset>3575685</wp:posOffset>
              </wp:positionH>
              <wp:positionV relativeFrom="paragraph">
                <wp:posOffset>390525</wp:posOffset>
              </wp:positionV>
              <wp:extent cx="3412490" cy="1088390"/>
              <wp:effectExtent l="79375" t="377190" r="79375" b="377825"/>
              <wp:wrapNone/>
              <wp:docPr id="2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0.7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rPr>
    </w:pPr>
    <w:r>
      <w:drawing>
        <wp:anchor distT="0" distB="0" distL="0" distR="0" simplePos="0" relativeHeight="2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8" behindDoc="1" locked="0" layoutInCell="1" allowOverlap="1" wp14:anchorId="3F7DB15E">
              <wp:simplePos x="0" y="0"/>
              <wp:positionH relativeFrom="column">
                <wp:posOffset>-4059555</wp:posOffset>
              </wp:positionH>
              <wp:positionV relativeFrom="paragraph">
                <wp:posOffset>-2052320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65pt;width:397.6pt;height:89.85pt;mso-wrap-style:none;v-text-anchor:middle;rotation:90" wp14:anchorId="3F7DB15E">
              <v:fill o:detectmouseclick="t" type="solid" color2="#7a3f09"/>
              <v:stroke color="#3465a4" weight="12600" joinstyle="miter" endcap="flat"/>
              <w10:wrap type="none"/>
            </v:rect>
          </w:pict>
        </mc:Fallback>
      </mc:AlternateContent>
    </w:r>
    <w:r>
      <w:rPr>
        <w:rFonts w:ascii="Arial" w:hAnsi="Arial"/>
        <w:b/>
        <w:bCs/>
        <w:color w:val="000000"/>
      </w:rPr>
      <w:t>Prefeitura Municipal do Rio Grande</w:t>
    </w:r>
  </w:p>
  <w:p>
    <w:pPr>
      <w:pStyle w:val="Header"/>
      <w:ind w:firstLine="1276"/>
      <w:jc w:val="center"/>
      <w:rPr>
        <w:b/>
        <w:bCs/>
      </w:rPr>
    </w:pPr>
    <w:r>
      <w:rPr>
        <w:rFonts w:ascii="Arial" w:hAnsi="Arial"/>
        <w:b/>
        <w:bCs/>
        <w:color w:val="000000"/>
      </w:rPr>
      <w:t>Secretaria de Município de Gestão Administrativa e Licitações</w:t>
    </w:r>
  </w:p>
  <w:p>
    <w:pPr>
      <w:pStyle w:val="Header"/>
      <w:jc w:val="center"/>
      <w:rPr>
        <w:rFonts w:ascii="Arial" w:hAnsi="Arial"/>
        <w:b/>
        <w:bCs/>
        <w:color w:val="000000"/>
      </w:rPr>
    </w:pPr>
    <w:r>
      <w:rPr>
        <w:rFonts w:ascii="Arial" w:hAnsi="Arial"/>
        <w:b/>
        <w:bCs/>
        <w:color w:val="000000"/>
      </w:rPr>
      <w:t xml:space="preserve">               </w:t>
    </w:r>
    <w:r>
      <w:rPr>
        <w:rFonts w:ascii="Arial" w:hAnsi="Arial"/>
        <w:b/>
        <w:bCs/>
        <w:color w:val="000000"/>
      </w:rPr>
      <w:t>Superintendência de Compras Licitações e Contratos</w:t>
    </w:r>
  </w:p>
  <w:p>
    <w:pPr>
      <w:pStyle w:val="Header"/>
      <w:ind w:firstLine="2268"/>
      <w:rPr>
        <w:b/>
        <w:bCs/>
        <w:sz w:val="32"/>
        <w:szCs w:val="32"/>
      </w:rPr>
    </w:pPr>
    <w:r>
      <w:rPr>
        <w:b/>
        <w:bCs/>
        <w:sz w:val="32"/>
        <w:szCs w:val="32"/>
      </w:rPr>
    </w:r>
  </w:p>
  <w:p>
    <w:pPr>
      <w:pStyle w:val="Header"/>
      <w:ind w:firstLine="2268"/>
      <w:rPr>
        <w:b/>
        <w:bCs/>
        <w:sz w:val="32"/>
        <w:szCs w:val="32"/>
      </w:rPr>
    </w:pPr>
    <w:r>
      <w:rPr>
        <w:b/>
        <w:bCs/>
        <w:sz w:val="32"/>
        <w:szCs w:val="32"/>
      </w:rPr>
      <mc:AlternateContent>
        <mc:Choice Requires="wps">
          <w:drawing>
            <wp:anchor distT="0" distB="0" distL="0" distR="635" simplePos="0" relativeHeight="1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mc:AlternateContent>
        <mc:Choice Requires="wps">
          <w:drawing>
            <wp:anchor distT="0" distB="0" distL="0" distR="635" simplePos="0" relativeHeight="51" behindDoc="1" locked="0" layoutInCell="1" allowOverlap="1" wp14:anchorId="65A781CA">
              <wp:simplePos x="0" y="0"/>
              <wp:positionH relativeFrom="column">
                <wp:posOffset>-5495925</wp:posOffset>
              </wp:positionH>
              <wp:positionV relativeFrom="paragraph">
                <wp:posOffset>3462655</wp:posOffset>
              </wp:positionV>
              <wp:extent cx="7951470" cy="1130935"/>
              <wp:effectExtent l="0" t="0" r="635" b="0"/>
              <wp:wrapNone/>
              <wp:docPr id="4" name="Retângulo 1"/>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72.6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rPr>
    </w:pPr>
    <w:r>
      <w:drawing>
        <wp:anchor distT="0" distB="0" distL="0" distR="0" simplePos="0" relativeHeight="2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8" behindDoc="1" locked="0" layoutInCell="1" allowOverlap="1" wp14:anchorId="3F7DB15E">
              <wp:simplePos x="0" y="0"/>
              <wp:positionH relativeFrom="column">
                <wp:posOffset>-4059555</wp:posOffset>
              </wp:positionH>
              <wp:positionV relativeFrom="paragraph">
                <wp:posOffset>-2052320</wp:posOffset>
              </wp:positionV>
              <wp:extent cx="5050155" cy="1141730"/>
              <wp:effectExtent l="0" t="0" r="0" b="0"/>
              <wp:wrapNone/>
              <wp:docPr id="6"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1.65pt;width:397.6pt;height:89.85pt;mso-wrap-style:none;v-text-anchor:middle;rotation:90" wp14:anchorId="3F7DB15E">
              <v:fill o:detectmouseclick="t" type="solid" color2="#7a3f09"/>
              <v:stroke color="#3465a4" weight="12600" joinstyle="miter" endcap="flat"/>
              <w10:wrap type="none"/>
            </v:rect>
          </w:pict>
        </mc:Fallback>
      </mc:AlternateContent>
    </w:r>
    <w:r>
      <w:rPr>
        <w:rFonts w:ascii="Arial" w:hAnsi="Arial"/>
        <w:b/>
        <w:bCs/>
        <w:color w:val="000000"/>
      </w:rPr>
      <w:t>Prefeitura Municipal do Rio Grande</w:t>
    </w:r>
  </w:p>
  <w:p>
    <w:pPr>
      <w:pStyle w:val="Header"/>
      <w:ind w:firstLine="1276"/>
      <w:jc w:val="center"/>
      <w:rPr>
        <w:b/>
        <w:bCs/>
      </w:rPr>
    </w:pPr>
    <w:r>
      <w:rPr>
        <w:rFonts w:ascii="Arial" w:hAnsi="Arial"/>
        <w:b/>
        <w:bCs/>
        <w:color w:val="000000"/>
      </w:rPr>
      <w:t>Secretaria de Município de Gestão Administrativa e Licitações</w:t>
    </w:r>
  </w:p>
  <w:p>
    <w:pPr>
      <w:pStyle w:val="Header"/>
      <w:jc w:val="center"/>
      <w:rPr>
        <w:rFonts w:ascii="Arial" w:hAnsi="Arial"/>
        <w:b/>
        <w:bCs/>
        <w:color w:val="000000"/>
      </w:rPr>
    </w:pPr>
    <w:r>
      <w:rPr>
        <w:rFonts w:ascii="Arial" w:hAnsi="Arial"/>
        <w:b/>
        <w:bCs/>
        <w:color w:val="000000"/>
      </w:rPr>
      <w:t xml:space="preserve">               </w:t>
    </w:r>
    <w:r>
      <w:rPr>
        <w:rFonts w:ascii="Arial" w:hAnsi="Arial"/>
        <w:b/>
        <w:bCs/>
        <w:color w:val="000000"/>
      </w:rPr>
      <w:t>Superintendência de Compras Licitações e Contratos</w:t>
    </w:r>
  </w:p>
  <w:p>
    <w:pPr>
      <w:pStyle w:val="Header"/>
      <w:ind w:firstLine="2268"/>
      <w:rPr>
        <w:b/>
        <w:bCs/>
        <w:sz w:val="32"/>
        <w:szCs w:val="32"/>
      </w:rPr>
    </w:pPr>
    <w:r>
      <w:rPr>
        <w:b/>
        <w:bCs/>
        <w:sz w:val="32"/>
        <w:szCs w:val="32"/>
      </w:rPr>
    </w:r>
  </w:p>
  <w:p>
    <w:pPr>
      <w:pStyle w:val="Header"/>
      <w:ind w:firstLine="2268"/>
      <w:rPr>
        <w:b/>
        <w:bCs/>
        <w:sz w:val="32"/>
        <w:szCs w:val="32"/>
      </w:rPr>
    </w:pPr>
    <w:r>
      <w:rPr>
        <w:b/>
        <w:bCs/>
        <w:sz w:val="32"/>
        <w:szCs w:val="32"/>
      </w:rPr>
      <mc:AlternateContent>
        <mc:Choice Requires="wps">
          <w:drawing>
            <wp:anchor distT="0" distB="0" distL="0" distR="635" simplePos="0" relativeHeight="1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7"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mc:AlternateContent>
        <mc:Choice Requires="wps">
          <w:drawing>
            <wp:anchor distT="0" distB="0" distL="0" distR="635" simplePos="0" relativeHeight="51" behindDoc="1" locked="0" layoutInCell="1" allowOverlap="1" wp14:anchorId="65A781CA">
              <wp:simplePos x="0" y="0"/>
              <wp:positionH relativeFrom="column">
                <wp:posOffset>-5495925</wp:posOffset>
              </wp:positionH>
              <wp:positionV relativeFrom="paragraph">
                <wp:posOffset>3462655</wp:posOffset>
              </wp:positionV>
              <wp:extent cx="7951470" cy="1130935"/>
              <wp:effectExtent l="0" t="0" r="635" b="0"/>
              <wp:wrapNone/>
              <wp:docPr id="8" name="Retângulo 1"/>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72.6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
      <w:lvlJc w:val="left"/>
      <w:pPr>
        <w:tabs>
          <w:tab w:val="num" w:pos="360"/>
        </w:tabs>
        <w:ind w:left="1080" w:hanging="360"/>
      </w:pPr>
      <w:rPr>
        <w:rFonts w:ascii="Wingdings" w:hAnsi="Wingdings" w:cs="Wingdings" w:hint="default"/>
        <w:sz w:val="18"/>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sz w:val="18"/>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sz w:val="18"/>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sz w:val="18"/>
      </w:rPr>
    </w:lvl>
  </w:abstractNum>
  <w:abstractNum w:abstractNumId="3">
    <w:lvl w:ilvl="0">
      <w:start w:val="1"/>
      <w:numFmt w:val="bullet"/>
      <w:lvlText w:val=""/>
      <w:lvlJc w:val="left"/>
      <w:pPr>
        <w:tabs>
          <w:tab w:val="num" w:pos="0"/>
        </w:tabs>
        <w:ind w:left="720" w:hanging="360"/>
      </w:pPr>
      <w:rPr>
        <w:rFonts w:ascii="Wingdings" w:hAnsi="Wingdings" w:cs="Wingdings"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bullet"/>
      <w:lvlText w:val=""/>
      <w:lvlJc w:val="left"/>
      <w:pPr>
        <w:tabs>
          <w:tab w:val="num" w:pos="0"/>
        </w:tabs>
        <w:ind w:left="720" w:hanging="360"/>
      </w:pPr>
      <w:rPr>
        <w:rFonts w:ascii="Symbol" w:hAnsi="Symbol" w:cs="Symbol" w:hint="default"/>
        <w:sz w:val="18"/>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hyphenationZone w:val="425"/>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Heading4">
    <w:name w:val="heading 4"/>
    <w:basedOn w:val="Title"/>
    <w:qFormat/>
    <w:pPr>
      <w:outlineLvl w:val="3"/>
    </w:pPr>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customStyle="1">
    <w:name w:val="Unresolved Mention"/>
    <w:basedOn w:val="DefaultParagraphFont"/>
    <w:uiPriority w:val="99"/>
    <w:semiHidden/>
    <w:unhideWhenUsed/>
    <w:qFormat/>
    <w:rsid w:val="003c4897"/>
    <w:rPr>
      <w:color w:val="605E5C"/>
      <w:shd w:fill="E1DFDD" w:val="clear"/>
    </w:rPr>
  </w:style>
  <w:style w:type="character" w:styleId="Smbolosdenumeraouser" w:customStyle="1">
    <w:name w:val="Símbolos de numeração (user)"/>
    <w:qFormat/>
    <w:rPr/>
  </w:style>
  <w:style w:type="character" w:styleId="WW8Num3z0" w:customStyle="1">
    <w:name w:val="WW8Num3z0"/>
    <w:qFormat/>
    <w:rPr>
      <w:rFonts w:ascii="Wingdings" w:hAnsi="Wingdings" w:cs="Wingdings"/>
      <w:sz w:val="18"/>
    </w:rPr>
  </w:style>
  <w:style w:type="character" w:styleId="WW8Num3z1" w:customStyle="1">
    <w:name w:val="WW8Num3z1"/>
    <w:qFormat/>
    <w:rPr>
      <w:rFonts w:ascii="Courier New" w:hAnsi="Courier New" w:cs="Courier New"/>
    </w:rPr>
  </w:style>
  <w:style w:type="character" w:styleId="WW8Num3z3" w:customStyle="1">
    <w:name w:val="WW8Num3z3"/>
    <w:qFormat/>
    <w:rPr>
      <w:rFonts w:ascii="Symbol" w:hAnsi="Symbol" w:cs="Symbol"/>
    </w:rPr>
  </w:style>
  <w:style w:type="character" w:styleId="WW8Num5z0" w:customStyle="1">
    <w:name w:val="WW8Num5z0"/>
    <w:qFormat/>
    <w:rPr>
      <w:rFonts w:ascii="Wingdings" w:hAnsi="Wingdings" w:cs="Wingdings"/>
    </w:rPr>
  </w:style>
  <w:style w:type="character" w:styleId="WW8Num4z0" w:customStyle="1">
    <w:name w:val="WW8Num4z0"/>
    <w:qFormat/>
    <w:rPr>
      <w:rFonts w:ascii="Symbol" w:hAnsi="Symbol" w:cs="Symbol"/>
      <w:sz w:val="18"/>
    </w:rPr>
  </w:style>
  <w:style w:type="character" w:styleId="Recuodecorpodetexto2Char" w:customStyle="1">
    <w:name w:val="Recuo de corpo de texto 2 Char"/>
    <w:qFormat/>
    <w:rPr>
      <w:rFonts w:eastAsia="HG Mincho Light J"/>
      <w:color w:val="000000"/>
      <w:szCs w:val="24"/>
      <w:lang w:val="pt-PT"/>
    </w:rPr>
  </w:style>
  <w:style w:type="character" w:styleId="Refdenotaderodap1" w:customStyle="1">
    <w:name w:val="Ref. de nota de rodapé1"/>
    <w:qFormat/>
    <w:rPr>
      <w:vertAlign w:val="superscript"/>
    </w:rPr>
  </w:style>
  <w:style w:type="character" w:styleId="TextodenotaderodapChar1" w:customStyle="1">
    <w:name w:val="Texto de nota de rodapé Char1"/>
    <w:qFormat/>
    <w:rPr>
      <w:rFonts w:eastAsia="HG Mincho Light J"/>
      <w:color w:val="000000"/>
      <w:lang w:val="pt-PT"/>
    </w:rPr>
  </w:style>
  <w:style w:type="character" w:styleId="TextodenotaderodapChar" w:customStyle="1">
    <w:name w:val="Texto de nota de rodapé Char"/>
    <w:qFormat/>
    <w:rPr>
      <w:rFonts w:ascii="Arial" w:hAnsi="Arial" w:cs="Arial"/>
    </w:rPr>
  </w:style>
  <w:style w:type="character" w:styleId="PargrafoNormalChar" w:customStyle="1">
    <w:name w:val="Parágrafo Normal Char"/>
    <w:qFormat/>
    <w:rPr>
      <w:rFonts w:ascii="Ecofont Vera Sans" w:hAnsi="Ecofont Vera Sans" w:cs="Arial"/>
      <w:sz w:val="22"/>
      <w:szCs w:val="24"/>
    </w:rPr>
  </w:style>
  <w:style w:type="character" w:styleId="object" w:customStyle="1">
    <w:name w:val="object"/>
    <w:qFormat/>
    <w:rPr/>
  </w:style>
  <w:style w:type="character" w:styleId="TextodebaloChar" w:customStyle="1">
    <w:name w:val="Texto de balão Char"/>
    <w:qFormat/>
    <w:rPr>
      <w:rFonts w:ascii="Segoe UI" w:hAnsi="Segoe UI" w:eastAsia="HG Mincho Light J" w:cs="Segoe UI"/>
      <w:color w:val="000000"/>
      <w:sz w:val="18"/>
      <w:szCs w:val="18"/>
      <w:lang w:val="pt-PT"/>
    </w:rPr>
  </w:style>
  <w:style w:type="character" w:styleId="titulo1" w:customStyle="1">
    <w:name w:val="titulo1"/>
    <w:qFormat/>
    <w:rPr>
      <w:rFonts w:ascii="Verdana" w:hAnsi="Verdana" w:cs="Verdana"/>
      <w:b/>
      <w:bCs/>
      <w:sz w:val="20"/>
      <w:szCs w:val="20"/>
    </w:rPr>
  </w:style>
  <w:style w:type="character" w:styleId="style101" w:customStyle="1">
    <w:name w:val="style101"/>
    <w:qFormat/>
    <w:rPr>
      <w:rFonts w:ascii="Times New Roman" w:hAnsi="Times New Roman" w:eastAsia="Times New Roman" w:cs="Times New Roman"/>
      <w:color w:val="000000"/>
      <w:sz w:val="24"/>
      <w:szCs w:val="24"/>
    </w:rPr>
  </w:style>
  <w:style w:type="character" w:styleId="Fontepargpadro1" w:customStyle="1">
    <w:name w:val="Fonte parág. padrão1"/>
    <w:qFormat/>
    <w:rPr/>
  </w:style>
  <w:style w:type="character" w:styleId="WW-Fontepargpadro" w:customStyle="1">
    <w:name w:val="WW-Fonte parág. padrão"/>
    <w:qFormat/>
    <w:rPr/>
  </w:style>
  <w:style w:type="character" w:styleId="Strong">
    <w:name w:val="Strong"/>
    <w:qFormat/>
    <w:rPr>
      <w:b/>
      <w:bCs/>
    </w:rPr>
  </w:style>
  <w:style w:type="character" w:styleId="Marcas" w:customStyle="1">
    <w:name w:val="Marcas"/>
    <w:qFormat/>
    <w:rPr>
      <w:rFonts w:ascii="StarSymbol" w:hAnsi="StarSymbol" w:cs="StarSymbol"/>
      <w:sz w:val="18"/>
    </w:rPr>
  </w:style>
  <w:style w:type="character" w:styleId="WW-Absatz-Standardschriftart11111111111111111111111111111111111111111111111111111111111111111111111111111" w:customStyle="1">
    <w:name w:val="WW-Absatz-Standardschriftart11111111111111111111111111111111111111111111111111111111111111111111111111111"/>
    <w:qFormat/>
    <w:rPr/>
  </w:style>
  <w:style w:type="character" w:styleId="WW-Absatz-Standardschriftart1111111111111111111111111111111111111111111111111111111111111111111111111111" w:customStyle="1">
    <w:name w:val="WW-Absatz-Standardschriftart1111111111111111111111111111111111111111111111111111111111111111111111111111"/>
    <w:qFormat/>
    <w:rPr/>
  </w:style>
  <w:style w:type="character" w:styleId="WW-Absatz-Standardschriftart111111111111111111111111111111111111111111111111111111111111111111111111111" w:customStyle="1">
    <w:name w:val="WW-Absatz-Standardschriftart111111111111111111111111111111111111111111111111111111111111111111111111111"/>
    <w:qFormat/>
    <w:rPr/>
  </w:style>
  <w:style w:type="character" w:styleId="WW-Absatz-Standardschriftart11111111111111111111111111111111111111111111111111111111111111111111111111" w:customStyle="1">
    <w:name w:val="WW-Absatz-Standardschriftart11111111111111111111111111111111111111111111111111111111111111111111111111"/>
    <w:qFormat/>
    <w:rPr/>
  </w:style>
  <w:style w:type="character" w:styleId="WW-Absatz-Standardschriftart1111111111111111111111111111111111111111111111111111111111111111111111111" w:customStyle="1">
    <w:name w:val="WW-Absatz-Standardschriftart1111111111111111111111111111111111111111111111111111111111111111111111111"/>
    <w:qFormat/>
    <w:rPr/>
  </w:style>
  <w:style w:type="character" w:styleId="WW-Absatz-Standardschriftart111111111111111111111111111111111111111111111111111111111111111111111111" w:customStyle="1">
    <w:name w:val="WW-Absatz-Standardschriftart111111111111111111111111111111111111111111111111111111111111111111111111"/>
    <w:qFormat/>
    <w:rPr/>
  </w:style>
  <w:style w:type="character" w:styleId="WW-Absatz-Standardschriftart11111111111111111111111111111111111111111111111111111111111111111111111" w:customStyle="1">
    <w:name w:val="WW-Absatz-Standardschriftart11111111111111111111111111111111111111111111111111111111111111111111111"/>
    <w:qFormat/>
    <w:rPr/>
  </w:style>
  <w:style w:type="character" w:styleId="WW-Absatz-Standardschriftart1111111111111111111111111111111111111111111111111111111111111111111111" w:customStyle="1">
    <w:name w:val="WW-Absatz-Standardschriftart1111111111111111111111111111111111111111111111111111111111111111111111"/>
    <w:qFormat/>
    <w:rPr/>
  </w:style>
  <w:style w:type="character" w:styleId="WW-Absatz-Standardschriftart111111111111111111111111111111111111111111111111111111111111111111111" w:customStyle="1">
    <w:name w:val="WW-Absatz-Standardschriftart111111111111111111111111111111111111111111111111111111111111111111111"/>
    <w:qFormat/>
    <w:rPr/>
  </w:style>
  <w:style w:type="character" w:styleId="WW-Absatz-Standardschriftart11111111111111111111111111111111111111111111111111111111111111111111" w:customStyle="1">
    <w:name w:val="WW-Absatz-Standardschriftart11111111111111111111111111111111111111111111111111111111111111111111"/>
    <w:qFormat/>
    <w:rPr/>
  </w:style>
  <w:style w:type="character" w:styleId="WW-Absatz-Standardschriftart1111111111111111111111111111111111111111111111111111111111111111111" w:customStyle="1">
    <w:name w:val="WW-Absatz-Standardschriftart1111111111111111111111111111111111111111111111111111111111111111111"/>
    <w:qFormat/>
    <w:rPr/>
  </w:style>
  <w:style w:type="character" w:styleId="WW-Absatz-Standardschriftart111111111111111111111111111111111111111111111111111111111111111111" w:customStyle="1">
    <w:name w:val="WW-Absatz-Standardschriftart111111111111111111111111111111111111111111111111111111111111111111"/>
    <w:qFormat/>
    <w:rPr/>
  </w:style>
  <w:style w:type="character" w:styleId="WW-Absatz-Standardschriftart11111111111111111111111111111111111111111111111111111111111111111" w:customStyle="1">
    <w:name w:val="WW-Absatz-Standardschriftart11111111111111111111111111111111111111111111111111111111111111111"/>
    <w:qFormat/>
    <w:rPr/>
  </w:style>
  <w:style w:type="character" w:styleId="WW-Absatz-Standardschriftart1111111111111111111111111111111111111111111111111111111111111111" w:customStyle="1">
    <w:name w:val="WW-Absatz-Standardschriftart1111111111111111111111111111111111111111111111111111111111111111"/>
    <w:qFormat/>
    <w:rPr/>
  </w:style>
  <w:style w:type="character" w:styleId="WW-Absatz-Standardschriftart111111111111111111111111111111111111111111111111111111111111111" w:customStyle="1">
    <w:name w:val="WW-Absatz-Standardschriftart111111111111111111111111111111111111111111111111111111111111111"/>
    <w:qFormat/>
    <w:rPr/>
  </w:style>
  <w:style w:type="character" w:styleId="WW-Absatz-Standardschriftart11111111111111111111111111111111111111111111111111111111111111" w:customStyle="1">
    <w:name w:val="WW-Absatz-Standardschriftart11111111111111111111111111111111111111111111111111111111111111"/>
    <w:qFormat/>
    <w:rPr/>
  </w:style>
  <w:style w:type="character" w:styleId="WW-Absatz-Standardschriftart1111111111111111111111111111111111111111111111111111111111111" w:customStyle="1">
    <w:name w:val="WW-Absatz-Standardschriftart1111111111111111111111111111111111111111111111111111111111111"/>
    <w:qFormat/>
    <w:rPr/>
  </w:style>
  <w:style w:type="character" w:styleId="WW-Absatz-Standardschriftart111111111111111111111111111111111111111111111111111111111111" w:customStyle="1">
    <w:name w:val="WW-Absatz-Standardschriftart11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8Num8z0" w:customStyle="1">
    <w:name w:val="WW8Num8z0"/>
    <w:qFormat/>
    <w:rPr>
      <w:rFonts w:ascii="Wingdings" w:hAnsi="Wingdings" w:cs="Wingdings"/>
    </w:rPr>
  </w:style>
  <w:style w:type="character" w:styleId="WW8Num7z0" w:customStyle="1">
    <w:name w:val="WW8Num7z0"/>
    <w:qFormat/>
    <w:rPr>
      <w:rFonts w:ascii="Wingdings" w:hAnsi="Wingdings" w:cs="Wingdings"/>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8Num6z0" w:customStyle="1">
    <w:name w:val="WW8Num6z0"/>
    <w:qFormat/>
    <w:rPr>
      <w:rFonts w:ascii="Symbol" w:hAnsi="Symbol" w:cs="Symbol"/>
      <w:sz w:val="18"/>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 w:customStyle="1">
    <w:name w:val="WW-Absatz-Standardschriftart111111111111111111"/>
    <w:qFormat/>
    <w:rPr/>
  </w:style>
  <w:style w:type="character" w:styleId="WW-Absatz-Standardschriftart11111111111111111" w:customStyle="1">
    <w:name w:val="WW-Absatz-Standardschriftart11111111111111111"/>
    <w:qFormat/>
    <w:rPr/>
  </w:style>
  <w:style w:type="character" w:styleId="WW-Absatz-Standardschriftart1111111111111111" w:customStyle="1">
    <w:name w:val="WW-Absatz-Standardschriftart1111111111111111"/>
    <w:qFormat/>
    <w:rPr/>
  </w:style>
  <w:style w:type="character" w:styleId="WW-Absatz-Standardschriftart111111111111111" w:customStyle="1">
    <w:name w:val="WW-Absatz-Standardschriftart111111111111111"/>
    <w:qFormat/>
    <w:rPr/>
  </w:style>
  <w:style w:type="character" w:styleId="WW-Absatz-Standardschriftart11111111111111" w:customStyle="1">
    <w:name w:val="WW-Absatz-Standardschriftart11111111111111"/>
    <w:qFormat/>
    <w:rPr/>
  </w:style>
  <w:style w:type="character" w:styleId="WW-Absatz-Standardschriftart1111111111111" w:customStyle="1">
    <w:name w:val="WW-Absatz-Standardschriftart1111111111111"/>
    <w:qFormat/>
    <w:rPr/>
  </w:style>
  <w:style w:type="character" w:styleId="WW-Absatz-Standardschriftart111111111111" w:customStyle="1">
    <w:name w:val="WW-Absatz-Standardschriftart111111111111"/>
    <w:qFormat/>
    <w:rPr/>
  </w:style>
  <w:style w:type="character" w:styleId="WW-Absatz-Standardschriftart11111111111" w:customStyle="1">
    <w:name w:val="WW-Absatz-Standardschriftart11111111111"/>
    <w:qFormat/>
    <w:rPr/>
  </w:style>
  <w:style w:type="character" w:styleId="WW-Absatz-Standardschriftart1111111111" w:customStyle="1">
    <w:name w:val="WW-Absatz-Standardschriftart1111111111"/>
    <w:qFormat/>
    <w:rPr/>
  </w:style>
  <w:style w:type="character" w:styleId="WW-Absatz-Standardschriftart111111111" w:customStyle="1">
    <w:name w:val="WW-Absatz-Standardschriftart111111111"/>
    <w:qFormat/>
    <w:rPr/>
  </w:style>
  <w:style w:type="character" w:styleId="WW-Absatz-Standardschriftart11111111" w:customStyle="1">
    <w:name w:val="WW-Absatz-Standardschriftart11111111"/>
    <w:qFormat/>
    <w:rPr/>
  </w:style>
  <w:style w:type="character" w:styleId="WW-Absatz-Standardschriftart1111111" w:customStyle="1">
    <w:name w:val="WW-Absatz-Standardschriftart1111111"/>
    <w:qFormat/>
    <w:rPr/>
  </w:style>
  <w:style w:type="character" w:styleId="WW-Absatz-Standardschriftart111111" w:customStyle="1">
    <w:name w:val="WW-Absatz-Standardschriftart111111"/>
    <w:qFormat/>
    <w:rPr/>
  </w:style>
  <w:style w:type="character" w:styleId="WW-Absatz-Standardschriftart11111" w:customStyle="1">
    <w:name w:val="WW-Absatz-Standardschriftart11111"/>
    <w:qFormat/>
    <w:rPr/>
  </w:style>
  <w:style w:type="character" w:styleId="WW-Absatz-Standardschriftart1111" w:customStyle="1">
    <w:name w:val="WW-Absatz-Standardschriftart1111"/>
    <w:qFormat/>
    <w:rPr/>
  </w:style>
  <w:style w:type="character" w:styleId="WW-Absatz-Standardschriftart111" w:customStyle="1">
    <w:name w:val="WW-Absatz-Standardschriftart111"/>
    <w:qFormat/>
    <w:rPr/>
  </w:style>
  <w:style w:type="character" w:styleId="WW-Absatz-Standardschriftart11" w:customStyle="1">
    <w:name w:val="WW-Absatz-Standardschriftart11"/>
    <w:qFormat/>
    <w:rPr/>
  </w:style>
  <w:style w:type="character" w:styleId="WW-Absatz-Standardschriftart1" w:customStyle="1">
    <w:name w:val="WW-Absatz-Standardschriftart1"/>
    <w:qFormat/>
    <w:rPr/>
  </w:style>
  <w:style w:type="character" w:styleId="WW-Absatz-Standardschriftart" w:customStyle="1">
    <w:name w:val="WW-Absatz-Standardschriftart"/>
    <w:qFormat/>
    <w:rPr/>
  </w:style>
  <w:style w:type="character" w:styleId="Absatz-Standardschriftart" w:customStyle="1">
    <w:name w:val="Absatz-Standardschriftart"/>
    <w:qFormat/>
    <w:rPr/>
  </w:style>
  <w:style w:type="character" w:styleId="Fontepargpadro2" w:customStyle="1">
    <w:name w:val="Fonte parág. padrão2"/>
    <w:qFormat/>
    <w:rPr/>
  </w:style>
  <w:style w:type="character" w:styleId="WW8Num5z2" w:customStyle="1">
    <w:name w:val="WW8Num5z2"/>
    <w:qFormat/>
    <w:rPr>
      <w:rFonts w:ascii="Wingdings" w:hAnsi="Wingdings" w:cs="Wingdings"/>
    </w:rPr>
  </w:style>
  <w:style w:type="character" w:styleId="WW8Num5z1" w:customStyle="1">
    <w:name w:val="WW8Num5z1"/>
    <w:qFormat/>
    <w:rPr>
      <w:rFonts w:ascii="Courier New" w:hAnsi="Courier New" w:cs="Courier New"/>
    </w:rPr>
  </w:style>
  <w:style w:type="character" w:styleId="WW8Num2z2" w:customStyle="1">
    <w:name w:val="WW8Num2z2"/>
    <w:qFormat/>
    <w:rPr>
      <w:rFonts w:ascii="Wingdings" w:hAnsi="Wingdings" w:cs="Wingdings"/>
    </w:rPr>
  </w:style>
  <w:style w:type="character" w:styleId="WW8Num2z1" w:customStyle="1">
    <w:name w:val="WW8Num2z1"/>
    <w:qFormat/>
    <w:rPr>
      <w:rFonts w:ascii="Courier New" w:hAnsi="Courier New" w:cs="Courier New"/>
    </w:rPr>
  </w:style>
  <w:style w:type="character" w:styleId="WW8Num2z0" w:customStyle="1">
    <w:name w:val="WW8Num2z0"/>
    <w:qFormat/>
    <w:rPr>
      <w:rFonts w:ascii="Symbol" w:hAnsi="Symbol" w:cs="Symbol"/>
    </w:rPr>
  </w:style>
  <w:style w:type="character" w:styleId="Fontepargpadro3" w:customStyle="1">
    <w:name w:val="Fonte parág. padrão3"/>
    <w:qFormat/>
    <w:rPr/>
  </w:style>
  <w:style w:type="character" w:styleId="WW8Num1z8" w:customStyle="1">
    <w:name w:val="WW8Num1z8"/>
    <w:qFormat/>
    <w:rPr/>
  </w:style>
  <w:style w:type="character" w:styleId="WW8Num1z7" w:customStyle="1">
    <w:name w:val="WW8Num1z7"/>
    <w:qFormat/>
    <w:rPr/>
  </w:style>
  <w:style w:type="character" w:styleId="WW8Num1z6" w:customStyle="1">
    <w:name w:val="WW8Num1z6"/>
    <w:qFormat/>
    <w:rPr/>
  </w:style>
  <w:style w:type="character" w:styleId="WW8Num1z5" w:customStyle="1">
    <w:name w:val="WW8Num1z5"/>
    <w:qFormat/>
    <w:rPr/>
  </w:style>
  <w:style w:type="character" w:styleId="WW8Num1z4" w:customStyle="1">
    <w:name w:val="WW8Num1z4"/>
    <w:qFormat/>
    <w:rPr/>
  </w:style>
  <w:style w:type="character" w:styleId="WW8Num1z3" w:customStyle="1">
    <w:name w:val="WW8Num1z3"/>
    <w:qFormat/>
    <w:rPr/>
  </w:style>
  <w:style w:type="character" w:styleId="WW8Num1z2" w:customStyle="1">
    <w:name w:val="WW8Num1z2"/>
    <w:qFormat/>
    <w:rPr/>
  </w:style>
  <w:style w:type="character" w:styleId="WW8Num1z1" w:customStyle="1">
    <w:name w:val="WW8Num1z1"/>
    <w:qFormat/>
    <w:rPr/>
  </w:style>
  <w:style w:type="character" w:styleId="WW8Num1z0" w:customStyle="1">
    <w:name w:val="WW8Num1z0"/>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pacing w:before="120" w:after="120"/>
    </w:pPr>
    <w:rPr>
      <w:rFonts w:cs="Arial"/>
      <w:i/>
      <w:iCs/>
    </w:rPr>
  </w:style>
  <w:style w:type="paragraph" w:styleId="ndice">
    <w:name w:val="Índice"/>
    <w:basedOn w:val="Normal"/>
    <w:qFormat/>
    <w:pPr>
      <w:suppressLineNumbers/>
    </w:pPr>
    <w:rPr>
      <w:rFonts w:cs="Lucida Sans"/>
    </w:rPr>
  </w:style>
  <w:style w:type="paragraph" w:styleId="Title">
    <w:name w:val="Title"/>
    <w:basedOn w:val="Normal"/>
    <w:next w:val="BodyText"/>
    <w:qFormat/>
    <w:pPr>
      <w:keepNext w:val="true"/>
      <w:spacing w:before="240" w:after="120"/>
    </w:pPr>
    <w:rPr>
      <w:rFonts w:ascii="Liberation Sans" w:hAnsi="Liberation Sans" w:eastAsia="Microsoft YaHei" w:cs="Arial"/>
      <w:sz w:val="28"/>
      <w:szCs w:val="28"/>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Arial"/>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customStyle="1">
    <w:name w:val="Conteúdo do quadro (user)"/>
    <w:basedOn w:val="Normal"/>
    <w:qFormat/>
    <w:pPr/>
    <w:rPr/>
  </w:style>
  <w:style w:type="paragraph" w:styleId="LO-Normal" w:customStyle="1">
    <w:name w:val="LO-Normal"/>
    <w:qFormat/>
    <w:pPr>
      <w:widowControl w:val="false"/>
      <w:suppressAutoHyphens w:val="true"/>
      <w:bidi w:val="0"/>
      <w:spacing w:before="0" w:after="0"/>
      <w:jc w:val="left"/>
      <w:textAlignment w:val="baseline"/>
    </w:pPr>
    <w:rPr>
      <w:rFonts w:ascii="Times;Times New Roman" w:hAnsi="Times;Times New Roman" w:eastAsia="DejaVu Sans" w:cs="DejaVu Sans"/>
      <w:color w:val="auto"/>
      <w:kern w:val="2"/>
      <w:sz w:val="24"/>
      <w:szCs w:val="24"/>
      <w:lang w:val="pt-BR" w:eastAsia="pt-BR"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LO-normal1" w:customStyle="1">
    <w:name w:val="LO-normal1"/>
    <w:qFormat/>
    <w:pPr>
      <w:widowControl/>
      <w:suppressAutoHyphens w:val="true"/>
      <w:bidi w:val="0"/>
      <w:spacing w:before="0" w:after="0"/>
      <w:jc w:val="left"/>
    </w:pPr>
    <w:rPr>
      <w:rFonts w:ascii="Calibri" w:hAnsi="Calibri" w:eastAsia="Calibri" w:cs="Calibri" w:asciiTheme="minorHAnsi" w:eastAsiaTheme="minorHAnsi" w:hAnsiTheme="minorHAnsi"/>
      <w:color w:val="auto"/>
      <w:kern w:val="0"/>
      <w:sz w:val="24"/>
      <w:szCs w:val="24"/>
      <w:lang w:val="pt-BR" w:eastAsia="zh-CN" w:bidi="hi-IN"/>
    </w:rPr>
  </w:style>
  <w:style w:type="paragraph" w:styleId="Ttulo1" w:customStyle="1">
    <w:name w:val="Título1"/>
    <w:basedOn w:val="Normal"/>
    <w:next w:val="BodyText"/>
    <w:qFormat/>
    <w:pPr>
      <w:keepNext w:val="true"/>
      <w:spacing w:before="240" w:after="120"/>
    </w:pPr>
    <w:rPr>
      <w:rFonts w:ascii="Liberation Sans;Arial" w:hAnsi="Liberation Sans;Arial" w:eastAsia="WenQuanYi Zen Hei;MS Gothic" w:cs="Lohit Devanagari;MS Mincho"/>
      <w:sz w:val="28"/>
      <w:szCs w:val="28"/>
    </w:rPr>
  </w:style>
  <w:style w:type="paragraph" w:styleId="ListParagraph">
    <w:name w:val="List Paragraph"/>
    <w:basedOn w:val="Normal"/>
    <w:qFormat/>
    <w:pPr>
      <w:spacing w:before="0" w:after="0"/>
      <w:ind w:hanging="0" w:left="720"/>
      <w:contextualSpacing/>
    </w:pPr>
    <w:rPr/>
  </w:style>
  <w:style w:type="paragraph" w:styleId="artart" w:customStyle="1">
    <w:name w:val="artart"/>
    <w:basedOn w:val="Normal"/>
    <w:qFormat/>
    <w:pPr>
      <w:suppressAutoHyphens w:val="false"/>
      <w:spacing w:before="100" w:after="100"/>
    </w:pPr>
    <w:rPr>
      <w:rFonts w:eastAsia="Times New Roman"/>
    </w:rPr>
  </w:style>
  <w:style w:type="paragraph" w:styleId="texto2" w:customStyle="1">
    <w:name w:val="texto2"/>
    <w:basedOn w:val="Normal"/>
    <w:qFormat/>
    <w:pPr>
      <w:suppressAutoHyphens w:val="false"/>
      <w:spacing w:before="100" w:after="100"/>
    </w:pPr>
    <w:rPr>
      <w:rFonts w:eastAsia="Times New Roman"/>
    </w:rPr>
  </w:style>
  <w:style w:type="paragraph" w:styleId="Recuodecorpodetexto21" w:customStyle="1">
    <w:name w:val="Recuo de corpo de texto 21"/>
    <w:basedOn w:val="Normal"/>
    <w:qFormat/>
    <w:pPr>
      <w:spacing w:lineRule="auto" w:line="480" w:before="0" w:after="120"/>
      <w:ind w:hanging="0" w:left="283"/>
    </w:pPr>
    <w:rPr/>
  </w:style>
  <w:style w:type="paragraph" w:styleId="NormalWeb">
    <w:name w:val="Normal (Web)"/>
    <w:basedOn w:val="Normal"/>
    <w:qFormat/>
    <w:pPr>
      <w:suppressAutoHyphens w:val="false"/>
      <w:spacing w:before="100" w:after="100"/>
    </w:pPr>
    <w:rPr>
      <w:rFonts w:eastAsia="Times New Roman"/>
    </w:rPr>
  </w:style>
  <w:style w:type="paragraph" w:styleId="Textbody" w:customStyle="1">
    <w:name w:val="Text body"/>
    <w:qFormat/>
    <w:pPr>
      <w:widowControl/>
      <w:suppressAutoHyphens w:val="true"/>
      <w:bidi w:val="0"/>
      <w:spacing w:before="0" w:after="120"/>
      <w:jc w:val="left"/>
    </w:pPr>
    <w:rPr>
      <w:rFonts w:ascii="Times New Roman" w:hAnsi="Times New Roman" w:eastAsia="HG Mincho Light J" w:cs="Times New Roman"/>
      <w:color w:val="auto"/>
      <w:kern w:val="2"/>
      <w:sz w:val="20"/>
      <w:szCs w:val="24"/>
      <w:lang w:val="pt-BR" w:eastAsia="en-US" w:bidi="ar-SA"/>
    </w:rPr>
  </w:style>
  <w:style w:type="paragraph" w:styleId="Standard" w:customStyle="1">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WW-Corpodetexto2" w:customStyle="1">
    <w:name w:val="WW-Corpo de texto 2"/>
    <w:basedOn w:val="Normal"/>
    <w:qFormat/>
    <w:pPr>
      <w:jc w:val="both"/>
    </w:pPr>
    <w:rPr>
      <w:rFonts w:ascii="Bookman Old Style" w:hAnsi="Bookman Old Style" w:cs="Bookman Old Style"/>
      <w:i/>
      <w:kern w:val="2"/>
    </w:rPr>
  </w:style>
  <w:style w:type="paragraph" w:styleId="PargrafoNormal" w:customStyle="1">
    <w:name w:val="Parágrafo Normal"/>
    <w:basedOn w:val="Normal"/>
    <w:qFormat/>
    <w:pPr>
      <w:suppressAutoHyphens w:val="false"/>
      <w:spacing w:lineRule="auto" w:line="360" w:before="0" w:after="60"/>
      <w:ind w:firstLine="1418"/>
      <w:jc w:val="both"/>
    </w:pPr>
    <w:rPr>
      <w:rFonts w:ascii="Ecofont Vera Sans" w:hAnsi="Ecofont Vera Sans" w:eastAsia="Times New Roman" w:cs="Ecofont Vera Sans"/>
      <w:sz w:val="22"/>
      <w:lang w:val="x-none"/>
    </w:rPr>
  </w:style>
  <w:style w:type="paragraph" w:styleId="Ementa-Corpo" w:customStyle="1">
    <w:name w:val="Ementa - Corpo"/>
    <w:basedOn w:val="Normal"/>
    <w:qFormat/>
    <w:pPr>
      <w:suppressAutoHyphens w:val="false"/>
      <w:ind w:hanging="0" w:left="2835"/>
      <w:jc w:val="both"/>
    </w:pPr>
    <w:rPr>
      <w:rFonts w:ascii="Arial" w:hAnsi="Arial" w:cs="Arial"/>
      <w:b/>
      <w:bCs/>
      <w:kern w:val="2"/>
      <w:sz w:val="22"/>
      <w:szCs w:val="22"/>
    </w:rPr>
  </w:style>
  <w:style w:type="paragraph" w:styleId="Ementa-Ttulo" w:customStyle="1">
    <w:name w:val="Ementa - Título"/>
    <w:basedOn w:val="Normal"/>
    <w:qFormat/>
    <w:pPr>
      <w:suppressAutoHyphens w:val="false"/>
      <w:ind w:hanging="0" w:left="2835"/>
      <w:jc w:val="both"/>
    </w:pPr>
    <w:rPr>
      <w:rFonts w:ascii="Arial" w:hAnsi="Arial" w:cs="Arial"/>
      <w:b/>
      <w:bCs/>
      <w:caps/>
      <w:kern w:val="2"/>
      <w:sz w:val="22"/>
      <w:szCs w:val="22"/>
    </w:rPr>
  </w:style>
  <w:style w:type="paragraph" w:styleId="BalloonText">
    <w:name w:val="Balloon Text"/>
    <w:basedOn w:val="Normal"/>
    <w:qFormat/>
    <w:pPr/>
    <w:rPr>
      <w:rFonts w:ascii="Segoe UI" w:hAnsi="Segoe UI" w:cs="Segoe UI"/>
      <w:sz w:val="18"/>
      <w:szCs w:val="18"/>
    </w:rPr>
  </w:style>
  <w:style w:type="paragraph" w:styleId="Recuodaprimeiralinha" w:customStyle="1">
    <w:name w:val="Recuo da primeira linha"/>
    <w:qFormat/>
    <w:pPr>
      <w:widowControl/>
      <w:suppressAutoHyphens w:val="true"/>
      <w:bidi w:val="0"/>
      <w:spacing w:before="0" w:after="120"/>
      <w:ind w:firstLine="283"/>
      <w:jc w:val="left"/>
    </w:pPr>
    <w:rPr>
      <w:rFonts w:ascii="Calibri" w:hAnsi="Calibri" w:eastAsia="Calibri" w:cs="" w:asciiTheme="minorHAnsi" w:cstheme="minorBidi" w:eastAsiaTheme="minorHAnsi" w:hAnsiTheme="minorHAnsi"/>
      <w:color w:val="auto"/>
      <w:kern w:val="0"/>
      <w:sz w:val="20"/>
      <w:szCs w:val="24"/>
      <w:lang w:val="pt-BR" w:eastAsia="en-US" w:bidi="ar-SA"/>
    </w:rPr>
  </w:style>
  <w:style w:type="paragraph" w:styleId="WW-Textoembloco" w:customStyle="1">
    <w:name w:val="WW-Texto em bloco"/>
    <w:basedOn w:val="Normal"/>
    <w:qFormat/>
    <w:pPr>
      <w:tabs>
        <w:tab w:val="clear" w:pos="708"/>
        <w:tab w:val="left" w:pos="6048" w:leader="none"/>
        <w:tab w:val="left" w:pos="6624" w:leader="none"/>
        <w:tab w:val="left" w:pos="6768" w:leader="none"/>
        <w:tab w:val="left" w:pos="7488" w:leader="none"/>
        <w:tab w:val="left" w:pos="8208" w:leader="none"/>
        <w:tab w:val="left" w:pos="8928" w:leader="none"/>
        <w:tab w:val="left" w:pos="9648" w:leader="none"/>
      </w:tabs>
      <w:ind w:firstLine="1134" w:left="4536" w:right="4"/>
      <w:jc w:val="both"/>
    </w:pPr>
    <w:rPr>
      <w:rFonts w:ascii="Albertus Medium" w:hAnsi="Albertus Medium" w:cs="Albertus Medium"/>
      <w:b/>
    </w:rPr>
  </w:style>
  <w:style w:type="paragraph" w:styleId="Normal1" w:customStyle="1">
    <w:name w:val="Normal1"/>
    <w:qFormat/>
    <w:pPr>
      <w:widowControl w:val="false"/>
      <w:suppressAutoHyphens w:val="true"/>
      <w:bidi w:val="0"/>
      <w:spacing w:lineRule="atLeast" w:line="360" w:before="0" w:after="0"/>
      <w:jc w:val="both"/>
      <w:textAlignment w:val="baseline"/>
    </w:pPr>
    <w:rPr>
      <w:rFonts w:ascii="Arial" w:hAnsi="Arial" w:eastAsia="Times New Roman" w:cs="Arial"/>
      <w:color w:val="auto"/>
      <w:kern w:val="0"/>
      <w:sz w:val="24"/>
      <w:szCs w:val="24"/>
      <w:lang w:val="pt-BR" w:eastAsia="zh-CN" w:bidi="ar-SA"/>
    </w:rPr>
  </w:style>
  <w:style w:type="paragraph" w:styleId="StyleHeading411pt" w:customStyle="1">
    <w:name w:val="Style Heading 4 + 11 pt"/>
    <w:basedOn w:val="Heading4"/>
    <w:next w:val="Normal"/>
    <w:qFormat/>
    <w:pPr>
      <w:pBdr>
        <w:top w:val="single" w:sz="4" w:space="1" w:color="000000"/>
        <w:left w:val="single" w:sz="4" w:space="1" w:color="000000"/>
        <w:bottom w:val="single" w:sz="4" w:space="1" w:color="000000"/>
        <w:right w:val="single" w:sz="4" w:space="1" w:color="000000"/>
      </w:pBdr>
      <w:tabs>
        <w:tab w:val="clear" w:pos="708"/>
        <w:tab w:val="left" w:pos="360" w:leader="none"/>
      </w:tabs>
      <w:suppressAutoHyphens w:val="false"/>
      <w:spacing w:lineRule="auto" w:line="480"/>
      <w:ind w:hanging="0" w:left="3841"/>
      <w:jc w:val="both"/>
    </w:pPr>
    <w:rPr>
      <w:rFonts w:ascii="Arial" w:hAnsi="Arial"/>
      <w:bCs/>
      <w:i/>
      <w:iCs/>
      <w:sz w:val="22"/>
    </w:rPr>
  </w:style>
  <w:style w:type="paragraph" w:styleId="Edital-Nvel3" w:customStyle="1">
    <w:name w:val="Edital - Nível 3"/>
    <w:qFormat/>
    <w:pPr>
      <w:widowControl/>
      <w:suppressAutoHyphens w:val="false"/>
      <w:bidi w:val="0"/>
      <w:spacing w:before="0" w:after="0"/>
      <w:jc w:val="both"/>
    </w:pPr>
    <w:rPr>
      <w:rFonts w:ascii="Arial Narrow" w:hAnsi="Arial Narrow" w:eastAsia="Calibri" w:cs="Arial Narrow" w:eastAsiaTheme="minorHAnsi"/>
      <w:color w:val="auto"/>
      <w:kern w:val="0"/>
      <w:sz w:val="22"/>
      <w:szCs w:val="24"/>
      <w:lang w:val="pt-BR" w:eastAsia="en-US" w:bidi="ar-SA"/>
    </w:rPr>
  </w:style>
  <w:style w:type="paragraph" w:styleId="Edital-Nvel2" w:customStyle="1">
    <w:name w:val="Edital - Nível 2"/>
    <w:basedOn w:val="Normal"/>
    <w:qFormat/>
    <w:pPr>
      <w:suppressAutoHyphens w:val="false"/>
      <w:jc w:val="both"/>
    </w:pPr>
    <w:rPr>
      <w:rFonts w:ascii="Arial Narrow" w:hAnsi="Arial Narrow" w:cs="Arial Narrow"/>
      <w:sz w:val="22"/>
    </w:rPr>
  </w:style>
  <w:style w:type="paragraph" w:styleId="Edital-Nvel1" w:customStyle="1">
    <w:name w:val="Edital - Nível 1"/>
    <w:basedOn w:val="Normal"/>
    <w:qFormat/>
    <w:pPr>
      <w:suppressAutoHyphens w:val="false"/>
      <w:jc w:val="both"/>
    </w:pPr>
    <w:rPr>
      <w:rFonts w:ascii="Arial Narrow" w:hAnsi="Arial Narrow" w:cs="Arial Narrow"/>
      <w:b/>
      <w:caps/>
      <w:sz w:val="22"/>
      <w:szCs w:val="22"/>
    </w:rPr>
  </w:style>
  <w:style w:type="paragraph" w:styleId="Corpodetexto22" w:customStyle="1">
    <w:name w:val="Corpo de texto 22"/>
    <w:basedOn w:val="Normal"/>
    <w:qFormat/>
    <w:pPr>
      <w:widowControl w:val="false"/>
      <w:suppressAutoHyphens w:val="false"/>
      <w:spacing w:lineRule="auto" w:line="360"/>
      <w:jc w:val="both"/>
    </w:pPr>
    <w:rPr>
      <w:spacing w:val="20"/>
    </w:rPr>
  </w:style>
  <w:style w:type="paragraph" w:styleId="Corpodetexto32" w:customStyle="1">
    <w:name w:val="Corpo de texto 32"/>
    <w:basedOn w:val="Normal"/>
    <w:qFormat/>
    <w:pPr>
      <w:spacing w:lineRule="auto" w:line="360"/>
    </w:pPr>
    <w:rPr>
      <w:b/>
      <w:bCs/>
    </w:rPr>
  </w:style>
  <w:style w:type="paragraph" w:styleId="Textocomum" w:customStyle="1">
    <w:name w:val="Texto comum"/>
    <w:basedOn w:val="Normal"/>
    <w:qFormat/>
    <w:pPr>
      <w:suppressAutoHyphens w:val="false"/>
      <w:spacing w:lineRule="auto" w:line="360"/>
      <w:ind w:firstLine="720" w:left="567"/>
      <w:jc w:val="both"/>
    </w:pPr>
    <w:rPr/>
  </w:style>
  <w:style w:type="paragraph" w:styleId="Corpodetexto31" w:customStyle="1">
    <w:name w:val="Corpo de texto 31"/>
    <w:basedOn w:val="Normal"/>
    <w:qFormat/>
    <w:pPr>
      <w:spacing w:before="0" w:after="120"/>
    </w:pPr>
    <w:rPr>
      <w:sz w:val="16"/>
      <w:szCs w:val="16"/>
    </w:rPr>
  </w:style>
  <w:style w:type="paragraph" w:styleId="western" w:customStyle="1">
    <w:name w:val="western"/>
    <w:basedOn w:val="Normal"/>
    <w:qFormat/>
    <w:pPr>
      <w:spacing w:before="280" w:after="119"/>
    </w:pPr>
    <w:rPr/>
  </w:style>
  <w:style w:type="paragraph" w:styleId="Corpodetexto21" w:customStyle="1">
    <w:name w:val="Corpo de texto 21"/>
    <w:basedOn w:val="Normal"/>
    <w:qFormat/>
    <w:pPr>
      <w:widowControl w:val="false"/>
      <w:spacing w:lineRule="auto" w:line="360"/>
      <w:jc w:val="both"/>
    </w:pPr>
    <w:rPr>
      <w:rFonts w:ascii="Arial" w:hAnsi="Arial" w:eastAsia="Bitstream Vera Sans" w:cs="Arial"/>
    </w:rPr>
  </w:style>
  <w:style w:type="paragraph" w:styleId="Ttulodatabela" w:customStyle="1">
    <w:name w:val="Título da tabela"/>
    <w:qFormat/>
    <w:pPr>
      <w:widowControl/>
      <w:suppressAutoHyphens w:val="true"/>
      <w:bidi w:val="0"/>
      <w:spacing w:before="0" w:after="0"/>
      <w:jc w:val="center"/>
    </w:pPr>
    <w:rPr>
      <w:rFonts w:ascii="Calibri" w:hAnsi="Calibri" w:eastAsia="Calibri" w:cs="" w:asciiTheme="minorHAnsi" w:cstheme="minorBidi" w:eastAsiaTheme="minorHAnsi" w:hAnsiTheme="minorHAnsi"/>
      <w:b/>
      <w:bCs/>
      <w:i/>
      <w:iCs/>
      <w:color w:val="auto"/>
      <w:kern w:val="0"/>
      <w:sz w:val="20"/>
      <w:szCs w:val="24"/>
      <w:lang w:val="pt-BR" w:eastAsia="en-US" w:bidi="ar-SA"/>
    </w:rPr>
  </w:style>
  <w:style w:type="paragraph" w:styleId="Captulo" w:customStyle="1">
    <w:name w:val="Capítulo"/>
    <w:basedOn w:val="Normal"/>
    <w:qFormat/>
    <w:pPr>
      <w:keepNext w:val="true"/>
      <w:spacing w:before="240" w:after="120"/>
    </w:pPr>
    <w:rPr>
      <w:rFonts w:ascii="DejaVu Sans" w:hAnsi="DejaVu Sans" w:eastAsia="DejaVu Sans" w:cs="DejaVu Sans"/>
      <w:sz w:val="28"/>
      <w:szCs w:val="28"/>
    </w:rPr>
  </w:style>
  <w:style w:type="paragraph" w:styleId="Legenda1" w:customStyle="1">
    <w:name w:val="Legenda1"/>
    <w:basedOn w:val="Normal"/>
    <w:qFormat/>
    <w:pPr>
      <w:spacing w:before="120" w:after="120"/>
    </w:pPr>
    <w:rPr>
      <w:i/>
      <w:iCs/>
      <w:szCs w:val="20"/>
    </w:rPr>
  </w:style>
  <w:style w:type="paragraph" w:styleId="Ttulo2" w:customStyle="1">
    <w:name w:val="Título2"/>
    <w:basedOn w:val="Normal"/>
    <w:qFormat/>
    <w:pPr>
      <w:keepNext w:val="true"/>
      <w:spacing w:before="240" w:after="120"/>
    </w:pPr>
    <w:rPr>
      <w:rFonts w:ascii="Helvetica" w:hAnsi="Helvetica" w:cs="Tahoma"/>
      <w:sz w:val="28"/>
      <w:szCs w:val="28"/>
    </w:rPr>
  </w:style>
  <w:style w:type="paragraph" w:styleId="WW-Ttulo" w:customStyle="1">
    <w:name w:val="WW-Título"/>
    <w:basedOn w:val="Normal"/>
    <w:qFormat/>
    <w:pPr>
      <w:keepNext w:val="true"/>
      <w:spacing w:before="240" w:after="120"/>
    </w:pPr>
    <w:rPr>
      <w:rFonts w:ascii="Albany" w:hAnsi="Albany" w:cs="Albany"/>
      <w:sz w:val="28"/>
    </w:rPr>
  </w:style>
  <w:style w:type="paragraph" w:styleId="Ttulo3" w:customStyle="1">
    <w:name w:val="Título3"/>
    <w:basedOn w:val="Normal"/>
    <w:qFormat/>
    <w:pPr>
      <w:keepNext w:val="true"/>
      <w:spacing w:before="240" w:after="120"/>
    </w:pPr>
    <w:rPr>
      <w:rFonts w:ascii="Liberation Sans" w:hAnsi="Liberation Sans" w:eastAsia="Microsoft YaHei" w:cs="Arial"/>
      <w:sz w:val="28"/>
      <w:szCs w:val="28"/>
    </w:rPr>
  </w:style>
  <w:style w:type="paragraph" w:styleId="TableParagraph" w:customStyle="1">
    <w:name w:val="Table Paragraph"/>
    <w:basedOn w:val="Normal"/>
    <w:uiPriority w:val="1"/>
    <w:qFormat/>
    <w:rsid w:val="008303f8"/>
    <w:pPr>
      <w:widowControl w:val="false"/>
      <w:suppressAutoHyphens w:val="false"/>
      <w:spacing w:before="35" w:after="0"/>
      <w:jc w:val="center"/>
    </w:pPr>
    <w:rPr>
      <w:rFonts w:ascii="Arial MT" w:hAnsi="Arial MT" w:eastAsia="Arial MT" w:cs="Arial MT"/>
      <w:sz w:val="22"/>
      <w:szCs w:val="22"/>
      <w:lang w:val="pt-PT"/>
    </w:rPr>
  </w:style>
  <w:style w:type="paragraph" w:styleId="LO-normal3">
    <w:name w:val="LO-normal3"/>
    <w:qFormat/>
    <w:pPr>
      <w:widowControl/>
      <w:suppressAutoHyphens w:val="true"/>
      <w:bidi w:val="0"/>
      <w:spacing w:before="0" w:after="0"/>
      <w:jc w:val="left"/>
    </w:pPr>
    <w:rPr>
      <w:rFonts w:ascii="Times New Roman" w:hAnsi="Times New Roman" w:eastAsia="NSimSun" w:cs="Lucida Sans"/>
      <w:color w:val="auto"/>
      <w:kern w:val="0"/>
      <w:sz w:val="20"/>
      <w:szCs w:val="20"/>
      <w:lang w:val="pt-BR" w:eastAsia="zh-CN" w:bidi="hi-IN"/>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numbering" w:styleId="WW8Num6" w:customStyle="1">
    <w:name w:val="WW8Num6"/>
    <w:qFormat/>
  </w:style>
  <w:style w:type="numbering" w:styleId="WW8Num3" w:customStyle="1">
    <w:name w:val="WW8Num3"/>
    <w:qFormat/>
  </w:style>
  <w:style w:type="numbering" w:styleId="WW8Num5" w:customStyle="1">
    <w:name w:val="WW8Num5"/>
    <w:qFormat/>
  </w:style>
  <w:style w:type="numbering" w:styleId="WW8Num4" w:customStyle="1">
    <w:name w:val="WW8Num4"/>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373</TotalTime>
  <Application>LibreOffice/26.2.3.2$Windows_X86_64 LibreOffice_project/70e089b17412e4cb7773e41413306b17a2328c34</Application>
  <AppVersion>15.0000</AppVersion>
  <Pages>12</Pages>
  <Words>4112</Words>
  <Characters>22828</Characters>
  <CharactersWithSpaces>26764</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description/>
  <dc:language>pt-BR</dc:language>
  <cp:lastModifiedBy/>
  <dcterms:modified xsi:type="dcterms:W3CDTF">2026-06-08T11:26:13Z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