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</w:r>
      <w:r>
        <w:rPr>
          <w:rFonts w:cs="Arial" w:ascii="Arial" w:hAnsi="Arial"/>
          <w:sz w:val="24"/>
          <w:shd w:fill="auto" w:val="clear"/>
        </w:rPr>
        <w:tab/>
      </w:r>
      <w:r>
        <w:rPr>
          <w:rFonts w:cs="Arial" w:ascii="Arial" w:hAnsi="Arial"/>
          <w:sz w:val="24"/>
          <w:szCs w:val="24"/>
          <w:shd w:fill="auto" w:val="clear"/>
        </w:rPr>
        <w:t>A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114/2026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para </w:t>
      </w:r>
      <w:r>
        <w:rPr>
          <w:rFonts w:eastAsia="Aptos Narrow" w:cs="Aptos Narrow" w:ascii="Aptos Narrow" w:hAnsi="Aptos Narrow"/>
          <w:b/>
          <w:sz w:val="22"/>
          <w:szCs w:val="22"/>
          <w:shd w:fill="auto" w:val="clear"/>
        </w:rPr>
        <w:t>a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quisição de Cartões de Estacionamento e capas de processos "JARI" para uso da SMMAS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2</Pages>
  <Words>354</Words>
  <Characters>2514</Characters>
  <CharactersWithSpaces>2797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2026-07-01T11:04:14Z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