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rFonts w:cs="Calibri Light" w:cstheme="majorHAnsi"/>
          <w:b/>
          <w:bCs/>
          <w:sz w:val="24"/>
          <w:szCs w:val="24"/>
          <w:lang w:val="pt-BR"/>
        </w:rPr>
        <w:t>ANEXO À NOTA DE EMPENHO</w:t>
      </w:r>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rPr>
      </w:pPr>
      <w:r>
        <w:rPr>
          <w:rFonts w:cs="Calibri Light" w:cstheme="majorHAnsi"/>
          <w:sz w:val="24"/>
          <w:szCs w:val="24"/>
          <w:lang w:val="pt-BR"/>
        </w:rPr>
        <w:t>Processo Administrativo: 2</w:t>
      </w:r>
      <w:r>
        <w:rPr>
          <w:rFonts w:cs="Calibri Light" w:cstheme="majorHAnsi"/>
          <w:sz w:val="24"/>
          <w:szCs w:val="24"/>
          <w:lang w:val="pt-BR"/>
        </w:rPr>
        <w:t>8503</w:t>
      </w:r>
      <w:r>
        <w:rPr>
          <w:rFonts w:cs="Calibri Light" w:cstheme="majorHAnsi"/>
          <w:color w:val="000000"/>
          <w:sz w:val="24"/>
          <w:szCs w:val="24"/>
          <w:shd w:fill="auto" w:val="clear"/>
          <w:lang w:val="pt-BR"/>
        </w:rPr>
        <w:t>/2026</w:t>
        <w:tab/>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 DO OBJETO E DA VINCULAÇÃO AO INSTRUMENTO CONVOCATÓRIO:</w:t>
            </w:r>
          </w:p>
        </w:tc>
      </w:tr>
    </w:tbl>
    <w:p>
      <w:pPr>
        <w:pStyle w:val="Normal"/>
        <w:jc w:val="both"/>
        <w:rPr>
          <w:rFonts w:ascii="Calibri" w:hAnsi="Calibri"/>
          <w:sz w:val="24"/>
          <w:szCs w:val="24"/>
        </w:rPr>
      </w:pPr>
      <w:r>
        <w:rPr>
          <w:rFonts w:cs="Calibri Light" w:cstheme="majorHAnsi"/>
          <w:b/>
          <w:bCs/>
          <w:sz w:val="24"/>
          <w:szCs w:val="24"/>
          <w:lang w:val="pt-BR"/>
        </w:rPr>
        <w:t>1.1</w:t>
      </w:r>
      <w:r>
        <w:rPr>
          <w:rFonts w:cs="Calibri Light" w:cstheme="majorHAnsi"/>
          <w:sz w:val="24"/>
          <w:szCs w:val="24"/>
          <w:lang w:val="pt-BR"/>
        </w:rPr>
        <w:t>. São anexos a este instrumento e vinculam esta contratação, independentemente de transcrição:</w:t>
      </w:r>
    </w:p>
    <w:p>
      <w:pPr>
        <w:pStyle w:val="Normal"/>
        <w:ind w:hanging="0" w:left="284"/>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O Termo de Referência que embasou a contratação.</w:t>
      </w:r>
    </w:p>
    <w:p>
      <w:pPr>
        <w:pStyle w:val="Normal"/>
        <w:ind w:hanging="0" w:left="284"/>
        <w:jc w:val="both"/>
        <w:rPr>
          <w:rFonts w:ascii="Calibri" w:hAnsi="Calibri"/>
          <w:sz w:val="24"/>
          <w:szCs w:val="24"/>
        </w:rPr>
      </w:pPr>
      <w:r>
        <w:rPr>
          <w:rFonts w:cs="Calibri Light" w:cstheme="majorHAnsi"/>
          <w:b/>
          <w:bCs/>
          <w:sz w:val="24"/>
          <w:szCs w:val="24"/>
          <w:lang w:val="pt-BR"/>
        </w:rPr>
        <w:t>1.1.2</w:t>
      </w:r>
      <w:r>
        <w:rPr>
          <w:rFonts w:cs="Calibri Light" w:cstheme="majorHAnsi"/>
          <w:sz w:val="24"/>
          <w:szCs w:val="24"/>
          <w:lang w:val="pt-BR"/>
        </w:rPr>
        <w:t>. Ato de autorização da contratação direta</w:t>
      </w:r>
    </w:p>
    <w:p>
      <w:pPr>
        <w:pStyle w:val="Normal"/>
        <w:ind w:hanging="0" w:left="284"/>
        <w:jc w:val="both"/>
        <w:rPr>
          <w:rFonts w:ascii="Calibri" w:hAnsi="Calibri"/>
          <w:sz w:val="24"/>
          <w:szCs w:val="24"/>
        </w:rPr>
      </w:pPr>
      <w:r>
        <w:rPr>
          <w:rFonts w:cs="Calibri Light" w:cstheme="majorHAnsi"/>
          <w:b/>
          <w:bCs/>
          <w:sz w:val="24"/>
          <w:szCs w:val="24"/>
          <w:lang w:val="pt-BR"/>
        </w:rPr>
        <w:t>1.1.3</w:t>
      </w:r>
      <w:r>
        <w:rPr>
          <w:rFonts w:cs="Calibri Light" w:cstheme="majorHAnsi"/>
          <w:sz w:val="24"/>
          <w:szCs w:val="24"/>
          <w:lang w:val="pt-BR"/>
        </w:rPr>
        <w:t>. A Proposta do Contratado.</w:t>
      </w:r>
    </w:p>
    <w:p>
      <w:pPr>
        <w:pStyle w:val="Normal"/>
        <w:ind w:hanging="0" w:left="284"/>
        <w:jc w:val="both"/>
        <w:rPr>
          <w:rFonts w:ascii="Calibri" w:hAnsi="Calibri"/>
          <w:sz w:val="24"/>
          <w:szCs w:val="24"/>
        </w:rPr>
      </w:pPr>
      <w:r>
        <w:rPr>
          <w:rFonts w:cs="Calibri Light" w:cstheme="majorHAnsi"/>
          <w:b/>
          <w:bCs/>
          <w:sz w:val="24"/>
          <w:szCs w:val="24"/>
          <w:lang w:val="pt-BR"/>
        </w:rPr>
        <w:t>1.1.4</w:t>
      </w:r>
      <w:r>
        <w:rPr>
          <w:rFonts w:cs="Calibri Light" w:cstheme="majorHAnsi"/>
          <w:sz w:val="24"/>
          <w:szCs w:val="24"/>
          <w:lang w:val="pt-BR"/>
        </w:rPr>
        <w:t>. Eventuais anexos dos documentos supracitados.</w:t>
      </w:r>
    </w:p>
    <w:p>
      <w:pPr>
        <w:pStyle w:val="Normal"/>
        <w:jc w:val="both"/>
        <w:rPr>
          <w:rFonts w:ascii="Calibri" w:hAnsi="Calibri"/>
          <w:sz w:val="24"/>
          <w:szCs w:val="24"/>
        </w:rPr>
      </w:pPr>
      <w:r>
        <w:rPr>
          <w:rFonts w:cs="Calibri Light" w:cstheme="majorHAnsi"/>
          <w:b/>
          <w:bCs/>
          <w:sz w:val="24"/>
          <w:szCs w:val="24"/>
          <w:lang w:val="pt-BR"/>
        </w:rPr>
        <w:t>1.2</w:t>
      </w:r>
      <w:r>
        <w:rPr>
          <w:rFonts w:cs="Calibri Light" w:cstheme="majorHAnsi"/>
          <w:sz w:val="24"/>
          <w:szCs w:val="24"/>
          <w:lang w:val="pt-BR"/>
        </w:rPr>
        <w:t>. O regime de execução contratual será o previsto no Termo de Referência/Projeto Básico.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2. DA ENTREGA, VIGÊNCIA E PRORROGAÇÃO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2.1</w:t>
      </w:r>
      <w:r>
        <w:rPr>
          <w:rFonts w:cs="Calibri Light" w:cstheme="majorHAnsi"/>
          <w:sz w:val="24"/>
          <w:szCs w:val="24"/>
          <w:lang w:val="pt-BR"/>
        </w:rPr>
        <w:t xml:space="preserve">. O presente Contrato terá prazo de entrega de </w:t>
      </w:r>
      <w:r>
        <w:rPr>
          <w:rFonts w:cs="Calibri Light" w:cstheme="majorHAnsi"/>
          <w:sz w:val="24"/>
          <w:szCs w:val="24"/>
          <w:lang w:val="pt-BR"/>
        </w:rPr>
        <w:t>7</w:t>
      </w:r>
      <w:r>
        <w:rPr>
          <w:rFonts w:cs="Calibri Light" w:cstheme="majorHAnsi"/>
          <w:sz w:val="24"/>
          <w:szCs w:val="24"/>
          <w:lang w:val="pt-BR"/>
        </w:rPr>
        <w:t xml:space="preserve"> (</w:t>
      </w:r>
      <w:r>
        <w:rPr>
          <w:rFonts w:cs="Calibri Light" w:cstheme="majorHAnsi"/>
          <w:sz w:val="24"/>
          <w:szCs w:val="24"/>
          <w:lang w:val="pt-BR"/>
        </w:rPr>
        <w:t>sete</w:t>
      </w:r>
      <w:r>
        <w:rPr>
          <w:rFonts w:cs="Calibri Light" w:cstheme="majorHAnsi"/>
          <w:sz w:val="24"/>
          <w:szCs w:val="24"/>
          <w:lang w:val="pt-BR"/>
        </w:rPr>
        <w:t>) dias úteis e a vigência de   de 1 (um) ano, contados da homologação do certame, de acordo com o art. 105 da Lei 14.133/2021.</w:t>
      </w:r>
    </w:p>
    <w:p>
      <w:pPr>
        <w:pStyle w:val="Normal"/>
        <w:ind w:hanging="0" w:left="284"/>
        <w:jc w:val="both"/>
        <w:rPr>
          <w:rFonts w:ascii="Calibri" w:hAnsi="Calibri"/>
          <w:sz w:val="24"/>
          <w:szCs w:val="24"/>
        </w:rPr>
      </w:pPr>
      <w:r>
        <w:rPr>
          <w:rFonts w:cs="Calibri Light" w:cstheme="majorHAnsi"/>
          <w:b/>
          <w:bCs/>
          <w:sz w:val="24"/>
          <w:szCs w:val="24"/>
          <w:lang w:val="pt-BR"/>
        </w:rPr>
        <w:t>2.1.1</w:t>
      </w:r>
      <w:r>
        <w:rPr>
          <w:rFonts w:cs="Calibri Light" w:cstheme="majorHAnsi"/>
          <w:sz w:val="24"/>
          <w:szCs w:val="24"/>
          <w:lang w:val="pt-BR"/>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cs="Calibri Light"/>
          <w:b/>
          <w:bCs/>
          <w:highlight w:val="cyan"/>
          <w:lang w:val="pt-BR"/>
        </w:rPr>
      </w:pPr>
      <w:r>
        <w:rPr>
          <w:rFonts w:cs="Calibri Light"/>
          <w:b/>
          <w:bCs/>
          <w:highlight w:val="cyan"/>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3. DO PREÇO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3.1</w:t>
      </w:r>
      <w:r>
        <w:rPr>
          <w:rFonts w:cs="Calibri Light" w:cstheme="majorHAnsi"/>
          <w:sz w:val="24"/>
          <w:szCs w:val="24"/>
          <w:lang w:val="pt-BR"/>
        </w:rPr>
        <w:t>. O valor total do contrato é de R$xx (xx).</w:t>
      </w:r>
    </w:p>
    <w:p>
      <w:pPr>
        <w:pStyle w:val="BodyText"/>
        <w:spacing w:before="0" w:after="0"/>
        <w:jc w:val="both"/>
        <w:rPr>
          <w:rFonts w:ascii="Calibri" w:hAnsi="Calibri"/>
          <w:sz w:val="24"/>
          <w:szCs w:val="24"/>
        </w:rPr>
      </w:pPr>
      <w:bookmarkStart w:id="0" w:name="docs-internal-guid-1d816766-7fff-8a26-85"/>
      <w:bookmarkEnd w:id="0"/>
      <w:r>
        <w:rPr>
          <w:rFonts w:cs="Calibri Light" w:cstheme="majorHAnsi"/>
          <w:b/>
          <w:bCs/>
          <w:sz w:val="24"/>
          <w:szCs w:val="24"/>
          <w:shd w:fill="auto" w:val="clear"/>
          <w:lang w:val="pt-BR"/>
        </w:rPr>
        <w:t>3.2.</w:t>
      </w:r>
      <w:r>
        <w:rPr>
          <w:rFonts w:cs="Calibri Light" w:cstheme="majorHAnsi"/>
          <w:sz w:val="24"/>
          <w:szCs w:val="24"/>
          <w:shd w:fill="auto" w:val="clear"/>
          <w:lang w:val="pt-B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bidi w:val="0"/>
        <w:spacing w:before="0" w:after="0"/>
        <w:ind w:hanging="0" w:left="0" w:right="0"/>
        <w:rPr/>
      </w:pPr>
      <w:r>
        <w:rPr>
          <w:b/>
          <w:bCs/>
          <w:shd w:fill="auto" w:val="clear"/>
        </w:rPr>
        <w:t>3.3.</w:t>
      </w:r>
      <w:r>
        <w:rPr>
          <w:shd w:fill="auto" w:val="clear"/>
        </w:rPr>
        <w:t xml:space="preserve"> O valor acima é meramente estimativo, de forma que os pagamentos devidos ao Contratado dependerão dos quantitativos de serviços efetivamente prestados.</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4. DA FORMA DE PAGAMENTO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4.1</w:t>
      </w:r>
      <w:r>
        <w:rPr>
          <w:rFonts w:cs="Calibri Light" w:cstheme="majorHAnsi"/>
          <w:sz w:val="24"/>
          <w:szCs w:val="24"/>
          <w:lang w:val="pt-BR"/>
        </w:rPr>
        <w:t>. O pagamento será realizado através de ordem bancária, para crédito em banco, agência e conta corrente indicados pelo contratado.</w:t>
      </w:r>
    </w:p>
    <w:p>
      <w:pPr>
        <w:pStyle w:val="Normal"/>
        <w:jc w:val="both"/>
        <w:rPr>
          <w:rFonts w:ascii="Calibri" w:hAnsi="Calibri"/>
          <w:sz w:val="24"/>
          <w:szCs w:val="24"/>
        </w:rPr>
      </w:pPr>
      <w:r>
        <w:rPr>
          <w:rFonts w:cs="Calibri Light" w:cstheme="majorHAnsi"/>
          <w:b/>
          <w:bCs/>
          <w:sz w:val="24"/>
          <w:szCs w:val="24"/>
          <w:lang w:val="pt-BR"/>
        </w:rPr>
        <w:t>4.2</w:t>
      </w:r>
      <w:r>
        <w:rPr>
          <w:rFonts w:cs="Calibri Light" w:cstheme="majorHAnsi"/>
          <w:sz w:val="24"/>
          <w:szCs w:val="24"/>
          <w:lang w:val="pt-BR"/>
        </w:rPr>
        <w:t>. Será considerada data do pagamento o dia em que constar como emitida a ordem bancária para pagamento.</w:t>
      </w:r>
    </w:p>
    <w:p>
      <w:pPr>
        <w:pStyle w:val="Normal"/>
        <w:jc w:val="both"/>
        <w:rPr>
          <w:rFonts w:ascii="Calibri" w:hAnsi="Calibri"/>
          <w:sz w:val="24"/>
          <w:szCs w:val="24"/>
        </w:rPr>
      </w:pPr>
      <w:r>
        <w:rPr>
          <w:rFonts w:cs="Calibri Light" w:cstheme="majorHAnsi"/>
          <w:b/>
          <w:bCs/>
          <w:sz w:val="24"/>
          <w:szCs w:val="24"/>
          <w:lang w:val="pt-BR"/>
        </w:rPr>
        <w:t>4.3</w:t>
      </w:r>
      <w:r>
        <w:rPr>
          <w:rFonts w:cs="Calibri Light" w:cstheme="majorHAnsi"/>
          <w:sz w:val="24"/>
          <w:szCs w:val="24"/>
          <w:lang w:val="pt-BR"/>
        </w:rPr>
        <w:t>. A liquidação e o pagamento se dará na forma do art 1°, IX da Ordem de Serviço n° 006, de 25 de outubro de 2023 do Gabinete do Prefeito.</w:t>
      </w:r>
    </w:p>
    <w:p>
      <w:pPr>
        <w:pStyle w:val="Normal"/>
        <w:ind w:hanging="0" w:left="284"/>
        <w:jc w:val="both"/>
        <w:rPr>
          <w:rFonts w:ascii="Calibri" w:hAnsi="Calibri"/>
          <w:sz w:val="24"/>
          <w:szCs w:val="24"/>
        </w:rPr>
      </w:pPr>
      <w:r>
        <w:rPr>
          <w:rFonts w:cs="Calibri Light" w:cstheme="majorHAnsi"/>
          <w:b/>
          <w:bCs/>
          <w:sz w:val="24"/>
          <w:szCs w:val="24"/>
          <w:lang w:val="pt-BR"/>
        </w:rPr>
        <w:t>4.3.1</w:t>
      </w:r>
      <w:r>
        <w:rPr>
          <w:rFonts w:cs="Calibri Light" w:cstheme="majorHAnsi"/>
          <w:sz w:val="24"/>
          <w:szCs w:val="24"/>
          <w:lang w:val="pt-BR"/>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Normal"/>
        <w:ind w:hanging="0" w:left="284"/>
        <w:jc w:val="both"/>
        <w:rPr>
          <w:rFonts w:ascii="Calibri" w:hAnsi="Calibri"/>
          <w:sz w:val="24"/>
          <w:szCs w:val="24"/>
        </w:rPr>
      </w:pPr>
      <w:r>
        <w:rPr>
          <w:rFonts w:cs="Calibri Light" w:cstheme="majorHAnsi"/>
          <w:b/>
          <w:bCs/>
          <w:sz w:val="24"/>
          <w:szCs w:val="24"/>
          <w:lang w:val="pt-BR"/>
        </w:rPr>
        <w:t>4.3.2</w:t>
      </w:r>
      <w:r>
        <w:rPr>
          <w:rFonts w:cs="Calibri Light" w:cstheme="majorHAnsi"/>
          <w:sz w:val="24"/>
          <w:szCs w:val="24"/>
          <w:lang w:val="pt-BR"/>
        </w:rPr>
        <w:t>. Considera-se ocorrido o recebimento da nota fiscal ou fatura quando o órgão Contratante atestar a execução do objeto do contrato.</w:t>
      </w:r>
    </w:p>
    <w:p>
      <w:pPr>
        <w:pStyle w:val="Normal"/>
        <w:jc w:val="both"/>
        <w:rPr>
          <w:rFonts w:ascii="Calibri" w:hAnsi="Calibri"/>
          <w:sz w:val="24"/>
          <w:szCs w:val="24"/>
        </w:rPr>
      </w:pPr>
      <w:r>
        <w:rPr>
          <w:rFonts w:cs="Calibri Light" w:cstheme="majorHAnsi"/>
          <w:b/>
          <w:bCs/>
          <w:sz w:val="24"/>
          <w:szCs w:val="24"/>
          <w:lang w:val="pt-BR"/>
        </w:rPr>
        <w:t>4.4</w:t>
      </w:r>
      <w:r>
        <w:rPr>
          <w:rFonts w:cs="Calibri Light" w:cstheme="majorHAnsi"/>
          <w:sz w:val="24"/>
          <w:szCs w:val="24"/>
          <w:lang w:val="pt-BR"/>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Calibri" w:hAnsi="Calibri"/>
          <w:sz w:val="24"/>
          <w:szCs w:val="24"/>
        </w:rPr>
      </w:pPr>
      <w:r>
        <w:rPr>
          <w:rFonts w:cs="Calibri Light" w:cstheme="majorHAnsi"/>
          <w:b/>
          <w:bCs/>
          <w:sz w:val="24"/>
          <w:szCs w:val="24"/>
          <w:lang w:val="pt-BR"/>
        </w:rPr>
        <w:t>4.5</w:t>
      </w:r>
      <w:r>
        <w:rPr>
          <w:rFonts w:cs="Calibri Light" w:cstheme="majorHAnsi"/>
          <w:sz w:val="24"/>
          <w:szCs w:val="24"/>
          <w:lang w:val="pt-BR"/>
        </w:rPr>
        <w:t>. A emissão da Nota Fiscal/Fatura será precedida do recebimento do objeto da contratação, conforme disposto no Termo de Referência.</w:t>
      </w:r>
    </w:p>
    <w:p>
      <w:pPr>
        <w:pStyle w:val="Normal"/>
        <w:jc w:val="both"/>
        <w:rPr>
          <w:rFonts w:ascii="Calibri" w:hAnsi="Calibri"/>
          <w:sz w:val="24"/>
          <w:szCs w:val="24"/>
        </w:rPr>
      </w:pPr>
      <w:r>
        <w:rPr>
          <w:rFonts w:cs="Calibri Light" w:cstheme="majorHAnsi"/>
          <w:b/>
          <w:bCs/>
          <w:sz w:val="24"/>
          <w:szCs w:val="24"/>
          <w:lang w:val="pt-BR"/>
        </w:rPr>
        <w:t>4.6</w:t>
      </w:r>
      <w:r>
        <w:rPr>
          <w:rFonts w:cs="Calibri Light" w:cstheme="majorHAnsi"/>
          <w:sz w:val="24"/>
          <w:szCs w:val="24"/>
          <w:lang w:val="pt-BR"/>
        </w:rPr>
        <w:t>.  Quando houver glosa parcial do objeto, a Contratante comunicará a empresa para que emita a nota fiscal ou fatura com o valor exato dimensionado.</w:t>
      </w:r>
    </w:p>
    <w:p>
      <w:pPr>
        <w:pStyle w:val="Normal"/>
        <w:jc w:val="both"/>
        <w:rPr>
          <w:rFonts w:ascii="Calibri" w:hAnsi="Calibri"/>
          <w:sz w:val="24"/>
          <w:szCs w:val="24"/>
        </w:rPr>
      </w:pPr>
      <w:r>
        <w:rPr>
          <w:rFonts w:cs="Calibri Light" w:cstheme="majorHAnsi"/>
          <w:b/>
          <w:bCs/>
          <w:sz w:val="24"/>
          <w:szCs w:val="24"/>
          <w:lang w:val="pt-BR"/>
        </w:rPr>
        <w:t>4.7</w:t>
      </w:r>
      <w:r>
        <w:rPr>
          <w:rFonts w:cs="Calibri Light" w:cstheme="majorHAnsi"/>
          <w:sz w:val="24"/>
          <w:szCs w:val="24"/>
          <w:lang w:val="pt-BR"/>
        </w:rPr>
        <w:t>. Nenhum pagamento será efetuado sem a apresentação dos documentos exigidos, bem como enquanto não forem sanadas irregularidades eventualmente constatadas na nota fiscal, no fornecimento dos bens ou no cumprimento de obrigações contratuais.</w:t>
      </w:r>
    </w:p>
    <w:p>
      <w:pPr>
        <w:pStyle w:val="Normal"/>
        <w:jc w:val="both"/>
        <w:rPr>
          <w:rFonts w:ascii="Calibri" w:hAnsi="Calibri"/>
          <w:sz w:val="24"/>
          <w:szCs w:val="24"/>
        </w:rPr>
      </w:pPr>
      <w:r>
        <w:rPr>
          <w:rFonts w:cs="Calibri Light" w:cstheme="majorHAnsi"/>
          <w:b/>
          <w:bCs/>
          <w:sz w:val="24"/>
          <w:szCs w:val="24"/>
          <w:lang w:val="pt-BR"/>
        </w:rPr>
        <w:t>4.8</w:t>
      </w:r>
      <w:r>
        <w:rPr>
          <w:rFonts w:cs="Calibri Light" w:cstheme="majorHAnsi"/>
          <w:sz w:val="24"/>
          <w:szCs w:val="24"/>
          <w:lang w:val="pt-B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Calibri" w:hAnsi="Calibri"/>
          <w:sz w:val="24"/>
          <w:szCs w:val="24"/>
        </w:rPr>
      </w:pPr>
      <w:r>
        <w:rPr>
          <w:rFonts w:cs="Calibri Light" w:cstheme="majorHAnsi"/>
          <w:b/>
          <w:bCs/>
          <w:sz w:val="24"/>
          <w:szCs w:val="24"/>
          <w:lang w:val="pt-BR"/>
        </w:rPr>
        <w:t>4.9</w:t>
      </w:r>
      <w:r>
        <w:rPr>
          <w:rFonts w:cs="Calibri Light" w:cstheme="majorHAnsi"/>
          <w:sz w:val="24"/>
          <w:szCs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hanging="0" w:left="284"/>
        <w:jc w:val="both"/>
        <w:rPr>
          <w:rFonts w:ascii="Calibri" w:hAnsi="Calibri"/>
          <w:sz w:val="24"/>
          <w:szCs w:val="24"/>
        </w:rPr>
      </w:pPr>
      <w:r>
        <w:rPr>
          <w:rFonts w:cs="Calibri Light" w:cstheme="majorHAnsi"/>
          <w:b/>
          <w:bCs/>
          <w:sz w:val="24"/>
          <w:szCs w:val="24"/>
          <w:lang w:val="pt-BR"/>
        </w:rPr>
        <w:t>4.9.1</w:t>
      </w:r>
      <w:r>
        <w:rPr>
          <w:rFonts w:cs="Calibri Light" w:cstheme="majorHAnsi"/>
          <w:sz w:val="24"/>
          <w:szCs w:val="24"/>
          <w:lang w:val="pt-BR"/>
        </w:rPr>
        <w:t xml:space="preserve">. Previamente à emissão de nota de empenho, a Administração deverá realizar consulta ao SICAF para: </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verificar a manutenção das condições de habilitação exigidas;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identificar possível razão que impeça a participação em licitação, no âmbito do órgão ou entidade, proibição de contratar com o Poder Público, bem como ocorrências impeditivas indiretas.</w:t>
      </w:r>
    </w:p>
    <w:p>
      <w:pPr>
        <w:pStyle w:val="Normal"/>
        <w:ind w:hanging="0" w:left="284"/>
        <w:jc w:val="both"/>
        <w:rPr>
          <w:rFonts w:ascii="Calibri" w:hAnsi="Calibri"/>
          <w:sz w:val="24"/>
          <w:szCs w:val="24"/>
        </w:rPr>
      </w:pPr>
      <w:r>
        <w:rPr>
          <w:rFonts w:cs="Calibri Light" w:cstheme="majorHAnsi"/>
          <w:b/>
          <w:bCs/>
          <w:sz w:val="24"/>
          <w:szCs w:val="24"/>
          <w:lang w:val="pt-BR"/>
        </w:rPr>
        <w:t>4.9.2</w:t>
      </w:r>
      <w:r>
        <w:rPr>
          <w:rFonts w:cs="Calibri Light" w:cstheme="majorHAnsi"/>
          <w:sz w:val="24"/>
          <w:szCs w:val="24"/>
          <w:lang w:val="pt-B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hanging="0" w:left="567"/>
        <w:jc w:val="both"/>
        <w:rPr>
          <w:rFonts w:ascii="Calibri" w:hAnsi="Calibri"/>
          <w:sz w:val="24"/>
          <w:szCs w:val="24"/>
        </w:rPr>
      </w:pPr>
      <w:r>
        <w:rPr>
          <w:rFonts w:cs="Calibri Light" w:cstheme="majorHAnsi"/>
          <w:b/>
          <w:bCs/>
          <w:sz w:val="24"/>
          <w:szCs w:val="24"/>
          <w:lang w:val="pt-BR"/>
        </w:rPr>
        <w:t>4.9.2.1</w:t>
      </w:r>
      <w:r>
        <w:rPr>
          <w:rFonts w:cs="Calibri Light" w:cstheme="majorHAnsi"/>
          <w:sz w:val="24"/>
          <w:szCs w:val="24"/>
          <w:lang w:val="pt-BR"/>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ormal"/>
        <w:ind w:hanging="0" w:left="567"/>
        <w:jc w:val="both"/>
        <w:rPr>
          <w:rFonts w:ascii="Calibri" w:hAnsi="Calibri"/>
          <w:sz w:val="24"/>
          <w:szCs w:val="24"/>
        </w:rPr>
      </w:pPr>
      <w:r>
        <w:rPr>
          <w:rFonts w:cs="Calibri Light" w:cstheme="majorHAnsi"/>
          <w:b/>
          <w:bCs/>
          <w:sz w:val="24"/>
          <w:szCs w:val="24"/>
          <w:lang w:val="pt-BR"/>
        </w:rPr>
        <w:t>4.9.2.2</w:t>
      </w:r>
      <w:r>
        <w:rPr>
          <w:rFonts w:cs="Calibri Light" w:cstheme="majorHAnsi"/>
          <w:sz w:val="24"/>
          <w:szCs w:val="24"/>
          <w:lang w:val="pt-BR"/>
        </w:rPr>
        <w:t xml:space="preserve">. Persistindo a irregularidade, a Contratante deverá adotar as medidas necessárias à rescisão contratual nos autos do processo administrativo correspondente, assegurada ao Contratado a ampla defesa. </w:t>
      </w:r>
    </w:p>
    <w:p>
      <w:pPr>
        <w:pStyle w:val="Normal"/>
        <w:ind w:hanging="0" w:left="567"/>
        <w:jc w:val="both"/>
        <w:rPr>
          <w:rFonts w:ascii="Calibri" w:hAnsi="Calibri"/>
          <w:sz w:val="24"/>
          <w:szCs w:val="24"/>
        </w:rPr>
      </w:pPr>
      <w:r>
        <w:rPr>
          <w:rFonts w:cs="Calibri Light" w:cstheme="majorHAnsi"/>
          <w:b/>
          <w:bCs/>
          <w:sz w:val="24"/>
          <w:szCs w:val="24"/>
          <w:lang w:val="pt-BR"/>
        </w:rPr>
        <w:t>4.9.2.3</w:t>
      </w:r>
      <w:r>
        <w:rPr>
          <w:rFonts w:cs="Calibri Light" w:cstheme="majorHAnsi"/>
          <w:sz w:val="24"/>
          <w:szCs w:val="24"/>
          <w:lang w:val="pt-BR"/>
        </w:rPr>
        <w:t xml:space="preserve">. Havendo a efetiva execução do objeto, os pagamentos serão realizados normalmente, até que se decida pela rescisão do contrato, caso o Contratado não regularize sua situação junto ao SICAF.  </w:t>
      </w:r>
    </w:p>
    <w:p>
      <w:pPr>
        <w:pStyle w:val="Normal"/>
        <w:ind w:hanging="0" w:left="284"/>
        <w:jc w:val="both"/>
        <w:rPr>
          <w:rFonts w:ascii="Calibri" w:hAnsi="Calibri"/>
          <w:sz w:val="24"/>
          <w:szCs w:val="24"/>
        </w:rPr>
      </w:pPr>
      <w:r>
        <w:rPr>
          <w:rFonts w:cs="Calibri Light" w:cstheme="majorHAnsi"/>
          <w:b/>
          <w:bCs/>
          <w:sz w:val="24"/>
          <w:szCs w:val="24"/>
          <w:lang w:val="pt-BR"/>
        </w:rPr>
        <w:t>4.9.3</w:t>
      </w:r>
      <w:r>
        <w:rPr>
          <w:rFonts w:cs="Calibri Light" w:cstheme="majorHAnsi"/>
          <w:sz w:val="24"/>
          <w:szCs w:val="24"/>
          <w:lang w:val="pt-BR"/>
        </w:rPr>
        <w:t>. Quando do pagamento, será efetuada a retenção tributária prevista na legislação aplicável.</w:t>
      </w:r>
    </w:p>
    <w:p>
      <w:pPr>
        <w:pStyle w:val="Normal"/>
        <w:ind w:hanging="0" w:left="567"/>
        <w:jc w:val="both"/>
        <w:rPr>
          <w:rFonts w:ascii="Calibri" w:hAnsi="Calibri"/>
          <w:sz w:val="24"/>
          <w:szCs w:val="24"/>
        </w:rPr>
      </w:pPr>
      <w:r>
        <w:rPr>
          <w:rFonts w:cs="Calibri Light" w:cstheme="majorHAnsi"/>
          <w:b/>
          <w:bCs/>
          <w:sz w:val="24"/>
          <w:szCs w:val="24"/>
          <w:lang w:val="pt-BR"/>
        </w:rPr>
        <w:t>4.9.3.1</w:t>
      </w:r>
      <w:r>
        <w:rPr>
          <w:rFonts w:cs="Calibri Light" w:cstheme="majorHAnsi"/>
          <w:sz w:val="24"/>
          <w:szCs w:val="24"/>
          <w:lang w:val="pt-BR"/>
        </w:rPr>
        <w:t>. Independentemente do percentual de tributo inserido na planilha, no pagamento serão retidos na fonte os percentuais estabelecidos na legislação vigente.</w:t>
      </w:r>
    </w:p>
    <w:p>
      <w:pPr>
        <w:pStyle w:val="Normal"/>
        <w:ind w:hanging="0" w:left="567"/>
        <w:jc w:val="both"/>
        <w:rPr>
          <w:rFonts w:ascii="Calibri" w:hAnsi="Calibri"/>
          <w:sz w:val="24"/>
          <w:szCs w:val="24"/>
        </w:rPr>
      </w:pPr>
      <w:r>
        <w:rPr>
          <w:rFonts w:cs="Calibri Light" w:cstheme="majorHAnsi"/>
          <w:b/>
          <w:bCs/>
          <w:sz w:val="24"/>
          <w:szCs w:val="24"/>
          <w:lang w:val="pt-BR"/>
        </w:rPr>
        <w:t>4.9.3.2</w:t>
      </w:r>
      <w:r>
        <w:rPr>
          <w:rFonts w:cs="Calibri Light" w:cstheme="majorHAnsi"/>
          <w:sz w:val="24"/>
          <w:szCs w:val="24"/>
          <w:lang w:val="pt-BR"/>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5. DO REAJUSTE</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5.1</w:t>
      </w:r>
      <w:r>
        <w:rPr>
          <w:rFonts w:cs="Calibri Light" w:cstheme="majorHAnsi"/>
          <w:sz w:val="24"/>
          <w:szCs w:val="24"/>
          <w:lang w:val="pt-BR"/>
        </w:rPr>
        <w:t>. Quando se tratar de compras (art. 75, inc. II) e serviços de manutenção de veículos automotores (art. 75, inc. I), os</w:t>
      </w:r>
      <w:r>
        <w:rPr>
          <w:sz w:val="24"/>
          <w:szCs w:val="24"/>
        </w:rPr>
        <w:t xml:space="preserve"> preços inicialmente contratados são fixos e irreajustáveis no prazo de um ano contado da data do orçamento estimado.</w:t>
      </w:r>
    </w:p>
    <w:p>
      <w:pPr>
        <w:pStyle w:val="Normal"/>
        <w:jc w:val="both"/>
        <w:rPr>
          <w:rFonts w:ascii="Calibri" w:hAnsi="Calibri"/>
          <w:sz w:val="24"/>
          <w:szCs w:val="24"/>
        </w:rPr>
      </w:pPr>
      <w:r>
        <w:rPr>
          <w:b/>
          <w:bCs/>
          <w:sz w:val="24"/>
          <w:szCs w:val="24"/>
        </w:rPr>
        <w:t>5.2</w:t>
      </w:r>
      <w:r>
        <w:rPr>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Normal"/>
        <w:ind w:hanging="0" w:left="284"/>
        <w:jc w:val="both"/>
        <w:rPr>
          <w:rFonts w:ascii="Calibri" w:hAnsi="Calibri"/>
          <w:sz w:val="24"/>
          <w:szCs w:val="24"/>
        </w:rPr>
      </w:pPr>
      <w:r>
        <w:rPr>
          <w:b/>
          <w:bCs/>
          <w:sz w:val="24"/>
          <w:szCs w:val="24"/>
        </w:rPr>
        <w:t>5.2.1</w:t>
      </w:r>
      <w:r>
        <w:rPr>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5.2.2</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Calibri" w:hAnsi="Calibri"/>
          <w:sz w:val="24"/>
          <w:szCs w:val="24"/>
        </w:rPr>
      </w:pPr>
      <w:r>
        <w:rPr>
          <w:b/>
          <w:bCs/>
          <w:sz w:val="24"/>
          <w:szCs w:val="24"/>
        </w:rPr>
        <w:t>5.2.2.1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5.3</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5.4</w:t>
      </w:r>
      <w:r>
        <w:rPr>
          <w:sz w:val="24"/>
          <w:szCs w:val="24"/>
        </w:rPr>
        <w:t>. O reajuste será concedido mediante simples apostila, conforme dispõe o art. 136 da Lei 14.133/2021.</w:t>
      </w:r>
    </w:p>
    <w:p>
      <w:pPr>
        <w:pStyle w:val="Normal"/>
        <w:jc w:val="both"/>
        <w:rPr>
          <w:rFonts w:ascii="Calibri" w:hAnsi="Calibri"/>
          <w:sz w:val="24"/>
          <w:szCs w:val="24"/>
        </w:rPr>
      </w:pPr>
      <w:r>
        <w:rPr>
          <w:rFonts w:cs="Calibri Light" w:cstheme="majorHAnsi"/>
          <w:b/>
          <w:bCs/>
          <w:sz w:val="24"/>
          <w:szCs w:val="24"/>
          <w:lang w:val="pt-BR"/>
        </w:rPr>
        <w:t>5.5</w:t>
      </w:r>
      <w:r>
        <w:rPr>
          <w:rFonts w:cs="Calibri Light" w:cstheme="majorHAnsi"/>
          <w:sz w:val="24"/>
          <w:szCs w:val="24"/>
          <w:lang w:val="pt-BR"/>
        </w:rPr>
        <w:t xml:space="preserve">. Para os serviços comuns de engenharia, os </w:t>
      </w:r>
      <w:r>
        <w:rPr>
          <w:sz w:val="24"/>
          <w:szCs w:val="24"/>
        </w:rPr>
        <w:t>preços inicialmente contratados são fixos e irreajustáveis no prazo de um ano contado da ata do orçamento estimado.</w:t>
      </w:r>
    </w:p>
    <w:p>
      <w:pPr>
        <w:pStyle w:val="Normal"/>
        <w:jc w:val="both"/>
        <w:rPr>
          <w:rFonts w:ascii="Calibri" w:hAnsi="Calibri"/>
          <w:sz w:val="24"/>
          <w:szCs w:val="24"/>
        </w:rPr>
      </w:pPr>
      <w:r>
        <w:rPr>
          <w:b/>
          <w:bCs/>
          <w:sz w:val="24"/>
          <w:szCs w:val="24"/>
        </w:rPr>
        <w:t>5.6</w:t>
      </w:r>
      <w:r>
        <w:rPr>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sz w:val="24"/>
          <w:szCs w:val="24"/>
        </w:rPr>
      </w:pPr>
      <w:r>
        <w:rPr>
          <w:b/>
          <w:bCs/>
          <w:sz w:val="24"/>
          <w:szCs w:val="24"/>
        </w:rPr>
        <w:t>5.7</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5.8</w:t>
      </w:r>
      <w:r>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5.8.1</w:t>
      </w:r>
      <w:r>
        <w:rPr>
          <w:sz w:val="24"/>
          <w:szCs w:val="24"/>
        </w:rPr>
        <w:t>. Fica o Contratado obrigado a apresentar memória de cálculo referente ao reajustamento de preços do valor remanescente, sempre que este ocorrer.</w:t>
      </w:r>
    </w:p>
    <w:p>
      <w:pPr>
        <w:pStyle w:val="Normal"/>
        <w:jc w:val="both"/>
        <w:rPr>
          <w:rFonts w:ascii="Calibri" w:hAnsi="Calibri"/>
          <w:sz w:val="24"/>
          <w:szCs w:val="24"/>
        </w:rPr>
      </w:pPr>
      <w:r>
        <w:rPr>
          <w:b/>
          <w:bCs/>
          <w:sz w:val="24"/>
          <w:szCs w:val="24"/>
        </w:rPr>
        <w:t>5.9</w:t>
      </w:r>
      <w:r>
        <w:rPr>
          <w:sz w:val="24"/>
          <w:szCs w:val="24"/>
        </w:rPr>
        <w:t>. Nas aferições finais, o índice utilizado para reajuste será, obrigatoriamente, o definitivo.</w:t>
      </w:r>
    </w:p>
    <w:p>
      <w:pPr>
        <w:pStyle w:val="Normal"/>
        <w:jc w:val="both"/>
        <w:rPr>
          <w:rFonts w:ascii="Calibri" w:hAnsi="Calibri"/>
          <w:sz w:val="24"/>
          <w:szCs w:val="24"/>
        </w:rPr>
      </w:pPr>
      <w:r>
        <w:rPr>
          <w:b/>
          <w:bCs/>
          <w:sz w:val="24"/>
          <w:szCs w:val="24"/>
        </w:rPr>
        <w:t>5.10</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sz w:val="24"/>
          <w:szCs w:val="24"/>
        </w:rPr>
      </w:pPr>
      <w:r>
        <w:rPr>
          <w:b/>
          <w:bCs/>
          <w:sz w:val="24"/>
          <w:szCs w:val="24"/>
        </w:rPr>
        <w:t>5.11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5.12</w:t>
      </w:r>
      <w:r>
        <w:rPr>
          <w:sz w:val="24"/>
          <w:szCs w:val="24"/>
        </w:rPr>
        <w:t>. O reajuste será realizado por apostilamento.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6. DA FONTE DE RECURSOS</w:t>
            </w:r>
            <w:r>
              <w:rPr>
                <w:rFonts w:cs="Calibri Light" w:cstheme="majorHAnsi"/>
                <w:kern w:val="0"/>
                <w:sz w:val="24"/>
                <w:szCs w:val="24"/>
                <w:lang w:val="pt-BR" w:bidi="ar-SA"/>
              </w:rPr>
              <w:t>:</w:t>
            </w:r>
          </w:p>
        </w:tc>
      </w:tr>
    </w:tbl>
    <w:p>
      <w:pPr>
        <w:pStyle w:val="Normal"/>
        <w:jc w:val="both"/>
        <w:rPr>
          <w:rFonts w:ascii="Calibri" w:hAnsi="Calibri" w:eastAsia="Calibri" w:cs=""/>
          <w:color w:val="auto"/>
          <w:kern w:val="0"/>
          <w:sz w:val="24"/>
          <w:szCs w:val="24"/>
          <w:lang w:val="pt-BR" w:eastAsia="en-US" w:bidi="ar-SA"/>
        </w:rPr>
      </w:pPr>
      <w:r>
        <w:rPr>
          <w:rFonts w:eastAsia="Calibri" w:cs="" w:cstheme="minorBidi" w:eastAsiaTheme="minorHAnsi"/>
          <w:b/>
          <w:bCs/>
          <w:color w:val="auto"/>
          <w:kern w:val="0"/>
          <w:sz w:val="24"/>
          <w:szCs w:val="24"/>
          <w:lang w:val="pt-BR" w:eastAsia="en-US" w:bidi="ar-SA"/>
        </w:rPr>
        <w:t>6.1</w:t>
      </w:r>
      <w:r>
        <w:rPr>
          <w:rFonts w:eastAsia="Calibri" w:cs="" w:cstheme="minorBidi" w:eastAsiaTheme="minorHAnsi"/>
          <w:color w:val="auto"/>
          <w:kern w:val="0"/>
          <w:sz w:val="24"/>
          <w:szCs w:val="24"/>
          <w:lang w:val="pt-BR" w:eastAsia="en-US" w:bidi="ar-SA"/>
        </w:rPr>
        <w:t>. A despesa correrá por conta da seguinte dotação orçamentária:</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08 Secretaria de Município da Educação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08.02 Complexo Educacional</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08.02.12 Educação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08.02.12.361 Ensino Fundamental</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08.02.12.361.0012 Programa Rio Grande + Cuidado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08.02.12.361.0012.2264 Manutenção do Ensino Fundamental</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3.3.90.30.00.00.00.00 Material de Consumo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3.3.90.30.39.00.00.00 Material para manutenção de veículos</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Código Reduzido: 716</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Recurso: MDE 1500- 0020</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r>
    </w:p>
    <w:tbl>
      <w:tblPr>
        <w:tblStyle w:val="Tabelacomgrade"/>
        <w:tblW w:w="8476" w:type="dxa"/>
        <w:jc w:val="left"/>
        <w:tblInd w:w="132" w:type="dxa"/>
        <w:tblLayout w:type="fixed"/>
        <w:tblCellMar>
          <w:top w:w="0" w:type="dxa"/>
          <w:left w:w="108" w:type="dxa"/>
          <w:bottom w:w="0" w:type="dxa"/>
          <w:right w:w="108" w:type="dxa"/>
        </w:tblCellMar>
        <w:tblLook w:val="04a0" w:firstRow="1" w:noVBand="1" w:lastRow="0" w:firstColumn="1" w:lastColumn="0" w:noHBand="0"/>
      </w:tblPr>
      <w:tblGrid>
        <w:gridCol w:w="8476"/>
      </w:tblGrid>
      <w:tr>
        <w:trPr/>
        <w:tc>
          <w:tcPr>
            <w:tcW w:w="8476"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7. DO MODELO DE EXECUÇÃO E GESTÃO CONTRATUAIS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7.1</w:t>
      </w:r>
      <w:r>
        <w:rPr>
          <w:rFonts w:cs="Calibri Light" w:cstheme="majorHAnsi"/>
          <w:sz w:val="24"/>
          <w:szCs w:val="24"/>
          <w:lang w:val="pt-BR"/>
        </w:rPr>
        <w:t>. O regime de execução contratual, o modelo de gestão, assim como os prazos e condições de conclusão, entrega, observação e recebimento definitivo constam no Termo de Referência, anexo a este Contrato.</w:t>
      </w:r>
    </w:p>
    <w:p>
      <w:pPr>
        <w:pStyle w:val="Normal"/>
        <w:jc w:val="both"/>
        <w:rPr>
          <w:rFonts w:ascii="Calibri" w:hAnsi="Calibri"/>
          <w:sz w:val="24"/>
          <w:szCs w:val="24"/>
        </w:rPr>
      </w:pPr>
      <w:r>
        <w:rPr>
          <w:rFonts w:cs="Calibri Light" w:cstheme="majorHAnsi"/>
          <w:b/>
          <w:bCs/>
          <w:sz w:val="24"/>
          <w:szCs w:val="24"/>
          <w:lang w:val="pt-BR"/>
        </w:rPr>
        <w:t xml:space="preserve">7.2. </w:t>
      </w:r>
      <w:r>
        <w:rPr>
          <w:rFonts w:cs="Calibri Light" w:cstheme="majorHAnsi"/>
          <w:sz w:val="24"/>
          <w:szCs w:val="24"/>
          <w:lang w:val="pt-BR"/>
        </w:rPr>
        <w:t>Para a execução contratual não será permitida, sob nenhuma hipótese, a utilização de veículo de tração animal.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8. DA SUBCONTRATAÇÃO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8.1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9. DAS OBRIGAÇÕES DA CONTRATANTE</w:t>
            </w:r>
            <w:r>
              <w:rPr>
                <w:rFonts w:cs="Calibri Light" w:cstheme="majorHAnsi"/>
                <w:kern w:val="0"/>
                <w:sz w:val="24"/>
                <w:szCs w:val="24"/>
                <w:lang w:val="pt-BR" w:bidi="ar-SA"/>
              </w:rPr>
              <w:t>:</w:t>
            </w:r>
          </w:p>
        </w:tc>
      </w:tr>
    </w:tbl>
    <w:p>
      <w:pPr>
        <w:pStyle w:val="BodyText"/>
        <w:spacing w:before="0" w:after="0"/>
        <w:jc w:val="both"/>
        <w:rPr>
          <w:rFonts w:ascii="Calibri" w:hAnsi="Calibri" w:cs="Calibri Light"/>
          <w:sz w:val="24"/>
          <w:szCs w:val="24"/>
        </w:rPr>
      </w:pPr>
      <w:bookmarkStart w:id="1" w:name="docs-internal-guid-6fb75278-7fff-ea42-48"/>
      <w:bookmarkEnd w:id="1"/>
      <w:r>
        <w:rPr>
          <w:rFonts w:cs="Calibri Light" w:cstheme="majorHAnsi"/>
          <w:b/>
          <w:bCs/>
          <w:sz w:val="24"/>
          <w:szCs w:val="24"/>
          <w:shd w:fill="auto" w:val="clear"/>
          <w:lang w:val="pt-BR"/>
        </w:rPr>
        <w:t>9.1.</w:t>
      </w:r>
      <w:r>
        <w:rPr>
          <w:rFonts w:cs="Calibri Light" w:cstheme="majorHAnsi"/>
          <w:sz w:val="24"/>
          <w:szCs w:val="24"/>
          <w:shd w:fill="auto" w:val="clear"/>
          <w:lang w:val="pt-BR"/>
        </w:rPr>
        <w:t xml:space="preserve"> Exigir o cumprimento de todas as obrigações assumidas pelo Contratado, de acordo com Aviso de Dispensa Eletrônica, Autorização de Contratação Direta ou o instrumento editalício e seus anexos.</w:t>
      </w:r>
    </w:p>
    <w:p>
      <w:pPr>
        <w:pStyle w:val="BodyText"/>
        <w:bidi w:val="0"/>
        <w:spacing w:before="0" w:after="0"/>
        <w:ind w:hanging="0" w:left="0" w:right="0"/>
        <w:jc w:val="both"/>
        <w:rPr/>
      </w:pPr>
      <w:r>
        <w:rPr>
          <w:b/>
          <w:bCs/>
          <w:shd w:fill="auto" w:val="clear"/>
        </w:rPr>
        <w:t xml:space="preserve">9.2. </w:t>
      </w:r>
      <w:r>
        <w:rPr>
          <w:shd w:fill="auto" w:val="clear"/>
        </w:rPr>
        <w:t>Receber o objeto no prazo e condições estabelecidas no Termo de Referência ou Projeto Básico.</w:t>
      </w:r>
    </w:p>
    <w:p>
      <w:pPr>
        <w:pStyle w:val="BodyText"/>
        <w:bidi w:val="0"/>
        <w:spacing w:before="0" w:after="0"/>
        <w:ind w:hanging="0" w:left="0" w:right="0"/>
        <w:jc w:val="both"/>
        <w:rPr/>
      </w:pPr>
      <w:r>
        <w:rPr>
          <w:b/>
          <w:bCs/>
          <w:shd w:fill="auto" w:val="clear"/>
        </w:rPr>
        <w:t>9.3.</w:t>
      </w:r>
      <w:r>
        <w:rPr>
          <w:shd w:fill="auto" w:val="clear"/>
        </w:rPr>
        <w:t xml:space="preserve"> Notificar o Contratado, por escrito, sobre vícios, defeitos ou incorreções verificadas no objeto fornecido/prestado, para que seja por ele substituído, reparado ou corrigido, no total ou em parte, às suas expensas.</w:t>
      </w:r>
    </w:p>
    <w:p>
      <w:pPr>
        <w:pStyle w:val="BodyText"/>
        <w:bidi w:val="0"/>
        <w:spacing w:before="0" w:after="0"/>
        <w:ind w:hanging="0" w:left="0" w:right="0"/>
        <w:jc w:val="both"/>
        <w:rPr/>
      </w:pPr>
      <w:r>
        <w:rPr>
          <w:b/>
          <w:bCs/>
          <w:shd w:fill="auto" w:val="clear"/>
        </w:rPr>
        <w:t xml:space="preserve">9.4. </w:t>
      </w:r>
      <w:r>
        <w:rPr>
          <w:shd w:fill="auto" w:val="clear"/>
        </w:rPr>
        <w:t>Acompanhar e fiscalizar a execução do contrato e o cumprimento das obrigações pelo Contratado.</w:t>
      </w:r>
    </w:p>
    <w:p>
      <w:pPr>
        <w:pStyle w:val="BodyText"/>
        <w:bidi w:val="0"/>
        <w:spacing w:before="0" w:after="0"/>
        <w:ind w:hanging="0" w:left="0" w:right="0"/>
        <w:jc w:val="both"/>
        <w:rPr/>
      </w:pPr>
      <w:r>
        <w:rPr>
          <w:b/>
          <w:bCs/>
          <w:shd w:fill="auto" w:val="clear"/>
        </w:rPr>
        <w:t>9.5.</w:t>
      </w:r>
      <w:r>
        <w:rPr>
          <w:shd w:fill="auto" w:val="clear"/>
        </w:rPr>
        <w:t xml:space="preserve"> Efetuar o pagamento ao Contratado do valor correspondente ao fornecimento do objeto, no prazo, forma e condições estabelecidos no presente.</w:t>
      </w:r>
    </w:p>
    <w:p>
      <w:pPr>
        <w:pStyle w:val="BodyText"/>
        <w:bidi w:val="0"/>
        <w:spacing w:before="0" w:after="0"/>
        <w:ind w:hanging="0" w:left="0" w:right="0"/>
        <w:jc w:val="both"/>
        <w:rPr/>
      </w:pPr>
      <w:r>
        <w:rPr>
          <w:b/>
          <w:bCs/>
          <w:shd w:fill="auto" w:val="clear"/>
        </w:rPr>
        <w:t>9.6.</w:t>
      </w:r>
      <w:r>
        <w:rPr>
          <w:shd w:fill="auto" w:val="clear"/>
        </w:rPr>
        <w:t xml:space="preserve"> Aplicar ao Contratado sanções previstas na Lei e neste instrumento.</w:t>
      </w:r>
    </w:p>
    <w:p>
      <w:pPr>
        <w:pStyle w:val="BodyText"/>
        <w:bidi w:val="0"/>
        <w:spacing w:before="0" w:after="0"/>
        <w:ind w:hanging="0" w:left="0" w:right="0"/>
        <w:jc w:val="both"/>
        <w:rPr/>
      </w:pPr>
      <w:r>
        <w:rPr>
          <w:b/>
          <w:bCs/>
          <w:shd w:fill="auto" w:val="clear"/>
        </w:rPr>
        <w:t>9.7.</w:t>
      </w:r>
      <w:r>
        <w:rPr>
          <w:shd w:fill="auto" w:val="clear"/>
        </w:rPr>
        <w:t xml:space="preserve"> Emitir decisão sobre todas as solicitações e reclamações relacionadas à execução do presente, ressalvados os requerimentos manifestamente impertinentes, meramente protelatórios ou de nenhum interesse para a boa execução do ajuste.</w:t>
      </w:r>
    </w:p>
    <w:p>
      <w:pPr>
        <w:pStyle w:val="BodyText"/>
        <w:bidi w:val="0"/>
        <w:spacing w:before="0" w:after="0"/>
        <w:ind w:hanging="0" w:left="284" w:right="0"/>
        <w:jc w:val="both"/>
        <w:rPr/>
      </w:pPr>
      <w:r>
        <w:rPr>
          <w:b/>
          <w:bCs/>
          <w:shd w:fill="auto" w:val="clear"/>
        </w:rPr>
        <w:t>9.7.1.</w:t>
      </w:r>
      <w:r>
        <w:rPr>
          <w:shd w:fill="auto" w:val="clear"/>
        </w:rPr>
        <w:t xml:space="preserve"> Concluída a instrução do requerimento, a Administração terá o prazo de 30 (trinta) dias para decidir, admitida a prorrogação motivada por igual período.</w:t>
      </w:r>
    </w:p>
    <w:p>
      <w:pPr>
        <w:pStyle w:val="BodyText"/>
        <w:bidi w:val="0"/>
        <w:spacing w:before="0" w:after="0"/>
        <w:ind w:hanging="0" w:left="0" w:right="0"/>
        <w:jc w:val="both"/>
        <w:rPr/>
      </w:pPr>
      <w:r>
        <w:rPr>
          <w:b/>
          <w:bCs/>
          <w:shd w:fill="auto" w:val="clear"/>
        </w:rPr>
        <w:t>9.8.</w:t>
      </w:r>
      <w:r>
        <w:rPr>
          <w:shd w:fill="auto" w:val="clear"/>
        </w:rPr>
        <w:t xml:space="preserve"> Responder eventuais pedidos de reestabelecimento do equilíbrio econômico-financeiro feitos pelo Contratado no prazo máximo de 30 (trinta) dias.</w:t>
      </w:r>
    </w:p>
    <w:p>
      <w:pPr>
        <w:pStyle w:val="BodyText"/>
        <w:bidi w:val="0"/>
        <w:spacing w:before="0" w:after="0"/>
        <w:ind w:hanging="0" w:left="0" w:right="0"/>
        <w:jc w:val="both"/>
        <w:rPr/>
      </w:pPr>
      <w:r>
        <w:rPr>
          <w:b/>
          <w:bCs/>
          <w:shd w:fill="auto" w:val="clear"/>
        </w:rPr>
        <w:t>9.9.</w:t>
      </w:r>
      <w:r>
        <w:rPr>
          <w:shd w:fill="auto" w:val="clea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BodyText"/>
        <w:bidi w:val="0"/>
        <w:spacing w:before="0" w:after="0"/>
        <w:ind w:hanging="0" w:left="0" w:right="0"/>
        <w:jc w:val="both"/>
        <w:rPr/>
      </w:pPr>
      <w:r>
        <w:rPr>
          <w:b/>
          <w:bCs/>
          <w:shd w:fill="auto" w:val="clear"/>
        </w:rPr>
        <w:t xml:space="preserve">9.10. </w:t>
      </w:r>
      <w:r>
        <w:rPr>
          <w:shd w:fill="auto" w:val="clear"/>
        </w:rPr>
        <w:t>Notificar os emitentes das garantias contratuais quanto ao início de processo administrativo para apuração de descumprimento de cláusulas contratuais.</w:t>
      </w:r>
    </w:p>
    <w:p>
      <w:pPr>
        <w:pStyle w:val="BodyText"/>
        <w:bidi w:val="0"/>
        <w:spacing w:before="0" w:after="0"/>
        <w:ind w:hanging="0" w:left="0" w:right="0"/>
        <w:jc w:val="both"/>
        <w:rPr/>
      </w:pPr>
      <w:r>
        <w:rPr>
          <w:b/>
          <w:bCs/>
          <w:shd w:fill="auto" w:val="clear"/>
        </w:rPr>
        <w:t>9.11.</w:t>
      </w:r>
      <w:r>
        <w:rPr>
          <w:shd w:fill="auto" w:val="clear"/>
        </w:rPr>
        <w:t xml:space="preserve"> Não praticar atos de ingerência na administração do Contratado, tais como:</w:t>
      </w:r>
    </w:p>
    <w:p>
      <w:pPr>
        <w:pStyle w:val="BodyText"/>
        <w:bidi w:val="0"/>
        <w:spacing w:before="0" w:after="0"/>
        <w:ind w:hanging="0" w:left="284" w:right="0"/>
        <w:jc w:val="both"/>
        <w:rPr/>
      </w:pPr>
      <w:r>
        <w:rPr>
          <w:b/>
          <w:bCs/>
          <w:shd w:fill="auto" w:val="clear"/>
        </w:rPr>
        <w:t>9.11.1.</w:t>
      </w:r>
      <w:r>
        <w:rPr>
          <w:shd w:fill="auto" w:val="clear"/>
        </w:rPr>
        <w:t xml:space="preserve">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BodyText"/>
        <w:bidi w:val="0"/>
        <w:spacing w:before="0" w:after="0"/>
        <w:ind w:hanging="0" w:left="284" w:right="0"/>
        <w:jc w:val="both"/>
        <w:rPr/>
      </w:pPr>
      <w:r>
        <w:rPr>
          <w:b/>
          <w:bCs/>
          <w:shd w:fill="auto" w:val="clear"/>
        </w:rPr>
        <w:t>9.11.2.</w:t>
      </w:r>
      <w:r>
        <w:rPr>
          <w:shd w:fill="auto" w:val="clear"/>
        </w:rPr>
        <w:t xml:space="preserve"> Direcionar a contratação de pessoas para trabalhar no Contratado.</w:t>
      </w:r>
    </w:p>
    <w:p>
      <w:pPr>
        <w:pStyle w:val="BodyText"/>
        <w:bidi w:val="0"/>
        <w:spacing w:before="0" w:after="0"/>
        <w:ind w:hanging="0" w:left="284" w:right="0"/>
        <w:jc w:val="both"/>
        <w:rPr/>
      </w:pPr>
      <w:r>
        <w:rPr>
          <w:b/>
          <w:bCs/>
          <w:shd w:fill="auto" w:val="clear"/>
        </w:rPr>
        <w:t>9.11.3.</w:t>
      </w:r>
      <w:r>
        <w:rPr>
          <w:shd w:fill="auto" w:val="clear"/>
        </w:rPr>
        <w:t xml:space="preserve">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BodyText"/>
        <w:bidi w:val="0"/>
        <w:spacing w:before="0" w:after="0"/>
        <w:ind w:hanging="0" w:left="0" w:right="0"/>
        <w:jc w:val="both"/>
        <w:rPr/>
      </w:pPr>
      <w:r>
        <w:rPr>
          <w:b/>
          <w:bCs/>
          <w:shd w:fill="auto" w:val="clear"/>
        </w:rPr>
        <w:t>9.12.</w:t>
      </w:r>
      <w:r>
        <w:rPr>
          <w:shd w:fill="auto" w:val="clear"/>
        </w:rPr>
        <w:t xml:space="preserve"> Fornecer por escrito as informações necessárias para o desenvolvimento dos serviços objeto do contrato.</w:t>
      </w:r>
    </w:p>
    <w:p>
      <w:pPr>
        <w:pStyle w:val="BodyText"/>
        <w:bidi w:val="0"/>
        <w:spacing w:before="0" w:after="0"/>
        <w:ind w:hanging="0" w:left="0" w:right="0"/>
        <w:jc w:val="both"/>
        <w:rPr/>
      </w:pPr>
      <w:r>
        <w:rPr>
          <w:b/>
          <w:bCs/>
          <w:shd w:fill="auto" w:val="clear"/>
        </w:rPr>
        <w:t>9.13.</w:t>
      </w:r>
      <w:r>
        <w:rPr>
          <w:shd w:fill="auto" w:val="clear"/>
        </w:rPr>
        <w:t xml:space="preserve"> Realizar avaliações periódicas da qualidade dos serviços, após seu recebimento.</w:t>
      </w:r>
    </w:p>
    <w:p>
      <w:pPr>
        <w:pStyle w:val="BodyText"/>
        <w:bidi w:val="0"/>
        <w:spacing w:before="0" w:after="0"/>
        <w:ind w:hanging="0" w:left="0" w:right="0"/>
        <w:jc w:val="both"/>
        <w:rPr>
          <w:shd w:fill="auto" w:val="clear"/>
        </w:rPr>
      </w:pPr>
      <w:r>
        <w:rPr>
          <w:shd w:fill="auto" w:val="clear"/>
        </w:rPr>
        <w:t>9.14.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BodyText"/>
        <w:bidi w:val="0"/>
        <w:spacing w:before="0" w:after="0"/>
        <w:ind w:hanging="0" w:left="0" w:right="0"/>
        <w:jc w:val="both"/>
        <w:rPr/>
      </w:pPr>
      <w:r>
        <w:rPr>
          <w:b/>
          <w:bCs/>
          <w:shd w:fill="auto" w:val="clear"/>
        </w:rPr>
        <w:t>9.15.</w:t>
      </w:r>
      <w:r>
        <w:rPr>
          <w:shd w:fill="auto" w:val="clear"/>
        </w:rPr>
        <w:t xml:space="preserve"> Previamente à expedição da ordem de serviço, verificar pendências, liberar áreas e/ou adotar providências cabíveis para a regularidade do início da sua execução.</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10. DAS OBRIGAÇÕES DO CONTRATADO</w:t>
            </w:r>
            <w:r>
              <w:rPr>
                <w:rFonts w:cs="Calibri Light" w:cstheme="majorHAnsi"/>
                <w:kern w:val="0"/>
                <w:sz w:val="24"/>
                <w:szCs w:val="24"/>
                <w:lang w:val="pt-BR" w:bidi="ar-SA"/>
              </w:rPr>
              <w:t>:</w:t>
            </w:r>
          </w:p>
        </w:tc>
      </w:tr>
    </w:tbl>
    <w:p>
      <w:pPr>
        <w:pStyle w:val="BodyText"/>
        <w:spacing w:before="0" w:after="0"/>
        <w:jc w:val="both"/>
        <w:rPr/>
      </w:pPr>
      <w:bookmarkStart w:id="2" w:name="docs-internal-guid-740f492e-7fff-6c93-38"/>
      <w:bookmarkEnd w:id="2"/>
      <w:r>
        <w:rPr>
          <w:rFonts w:cs="Calibri Light" w:cstheme="majorHAnsi"/>
          <w:b/>
          <w:bCs/>
          <w:sz w:val="24"/>
          <w:szCs w:val="24"/>
          <w:shd w:fill="auto" w:val="clear"/>
          <w:lang w:val="pt-BR"/>
        </w:rPr>
        <w:t xml:space="preserve">10.1. </w:t>
      </w:r>
      <w:r>
        <w:rPr>
          <w:rFonts w:cs="Calibri Light" w:cstheme="majorHAnsi"/>
          <w:sz w:val="24"/>
          <w:szCs w:val="24"/>
          <w:shd w:fill="auto" w:val="clear"/>
          <w:lang w:val="pt-BR"/>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BodyText"/>
        <w:bidi w:val="0"/>
        <w:spacing w:before="0" w:after="0"/>
        <w:ind w:hanging="0" w:left="0" w:right="0"/>
        <w:jc w:val="both"/>
        <w:rPr/>
      </w:pPr>
      <w:r>
        <w:rPr>
          <w:b/>
          <w:bCs/>
          <w:shd w:fill="auto" w:val="clear"/>
        </w:rPr>
        <w:t xml:space="preserve">10.2. </w:t>
      </w:r>
      <w:r>
        <w:rPr>
          <w:shd w:fill="auto" w:val="clear"/>
        </w:rPr>
        <w:t>Atender às determinações regulares emitidas pelo fiscal do contrato ou autoridade superior.</w:t>
      </w:r>
    </w:p>
    <w:p>
      <w:pPr>
        <w:pStyle w:val="BodyText"/>
        <w:bidi w:val="0"/>
        <w:spacing w:before="0" w:after="0"/>
        <w:ind w:hanging="0" w:left="0" w:right="0"/>
        <w:jc w:val="both"/>
        <w:rPr/>
      </w:pPr>
      <w:r>
        <w:rPr>
          <w:b/>
          <w:bCs/>
          <w:shd w:fill="auto" w:val="clear"/>
        </w:rPr>
        <w:t>10.3.</w:t>
      </w:r>
      <w:r>
        <w:rPr>
          <w:shd w:fill="auto" w:val="clear"/>
        </w:rPr>
        <w:t xml:space="preserve"> Manter preposto aceito pela Administração no local da obra ou do serviço para representá-lo na execução do contrato.</w:t>
      </w:r>
    </w:p>
    <w:p>
      <w:pPr>
        <w:pStyle w:val="BodyText"/>
        <w:bidi w:val="0"/>
        <w:spacing w:before="0" w:after="0"/>
        <w:ind w:hanging="0" w:left="284" w:right="0"/>
        <w:jc w:val="both"/>
        <w:rPr/>
      </w:pPr>
      <w:r>
        <w:rPr>
          <w:b/>
          <w:bCs/>
          <w:shd w:fill="auto" w:val="clear"/>
        </w:rPr>
        <w:t xml:space="preserve">10.3.1. </w:t>
      </w:r>
      <w:r>
        <w:rPr>
          <w:shd w:fill="auto" w:val="clear"/>
        </w:rPr>
        <w:t>A indicação ou a manutenção do preposto da empresa poderá ser recusada pelo órgão ou entidade, desde que devidamente justificada, devendo a empresa designar outro para o exercício da atividade.</w:t>
      </w:r>
    </w:p>
    <w:p>
      <w:pPr>
        <w:pStyle w:val="BodyText"/>
        <w:bidi w:val="0"/>
        <w:spacing w:before="0" w:after="0"/>
        <w:ind w:hanging="0" w:left="0" w:right="0"/>
        <w:jc w:val="both"/>
        <w:rPr/>
      </w:pPr>
      <w:r>
        <w:rPr>
          <w:b/>
          <w:bCs/>
          <w:shd w:fill="auto" w:val="clear"/>
        </w:rPr>
        <w:t>10.4.</w:t>
      </w:r>
      <w:r>
        <w:rPr>
          <w:shd w:fill="auto" w:val="clea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BodyText"/>
        <w:bidi w:val="0"/>
        <w:spacing w:before="0" w:after="0"/>
        <w:ind w:hanging="0" w:left="0" w:right="0"/>
        <w:jc w:val="both"/>
        <w:rPr/>
      </w:pPr>
      <w:r>
        <w:rPr>
          <w:b/>
          <w:bCs/>
          <w:shd w:fill="auto" w:val="clear"/>
        </w:rPr>
        <w:t xml:space="preserve">10.5. </w:t>
      </w:r>
      <w:r>
        <w:rPr>
          <w:shd w:fill="auto" w:val="clear"/>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BodyText"/>
        <w:bidi w:val="0"/>
        <w:spacing w:before="0" w:after="0"/>
        <w:ind w:hanging="0" w:left="0" w:right="0"/>
        <w:jc w:val="both"/>
        <w:rPr/>
      </w:pPr>
      <w:r>
        <w:rPr>
          <w:b/>
          <w:bCs/>
          <w:shd w:fill="auto" w:val="clear"/>
        </w:rPr>
        <w:t xml:space="preserve">10.6. </w:t>
      </w:r>
      <w:r>
        <w:rPr>
          <w:shd w:fill="auto" w:val="clea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BodyText"/>
        <w:bidi w:val="0"/>
        <w:spacing w:before="0" w:after="0"/>
        <w:ind w:hanging="0" w:left="0" w:right="0"/>
        <w:jc w:val="both"/>
        <w:rPr/>
      </w:pPr>
      <w:r>
        <w:rPr>
          <w:b/>
          <w:bCs/>
          <w:shd w:fill="auto" w:val="clear"/>
        </w:rPr>
        <w:t>10.7.</w:t>
      </w:r>
      <w:r>
        <w:rPr>
          <w:shd w:fill="auto" w:val="clear"/>
        </w:rPr>
        <w:t xml:space="preserve"> Efetuar comunicação ao Contratante, assim que tiver ciência da impossibilidade de realização ou finalização do serviço no prazo estabelecido, para adoção de ações de contingência cabíveis.</w:t>
      </w:r>
    </w:p>
    <w:p>
      <w:pPr>
        <w:pStyle w:val="BodyText"/>
        <w:bidi w:val="0"/>
        <w:spacing w:before="0" w:after="0"/>
        <w:ind w:hanging="0" w:left="0" w:right="0"/>
        <w:jc w:val="both"/>
        <w:rPr/>
      </w:pPr>
      <w:r>
        <w:rPr>
          <w:b/>
          <w:bCs/>
          <w:shd w:fill="auto" w:val="clear"/>
        </w:rPr>
        <w:t xml:space="preserve">10.8. </w:t>
      </w:r>
      <w:r>
        <w:rPr>
          <w:shd w:fill="auto" w:val="clear"/>
        </w:rPr>
        <w:t>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BodyText"/>
        <w:bidi w:val="0"/>
        <w:spacing w:before="0" w:after="0"/>
        <w:ind w:hanging="0" w:left="0" w:right="0"/>
        <w:jc w:val="both"/>
        <w:rPr/>
      </w:pPr>
      <w:r>
        <w:rPr>
          <w:b/>
          <w:bCs/>
          <w:shd w:fill="auto" w:val="clear"/>
        </w:rPr>
        <w:t>10.9.</w:t>
      </w:r>
      <w:r>
        <w:rPr>
          <w:shd w:fill="auto" w:val="clear"/>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BodyText"/>
        <w:bidi w:val="0"/>
        <w:spacing w:before="0" w:after="0"/>
        <w:ind w:hanging="0" w:left="284" w:right="0"/>
        <w:jc w:val="both"/>
        <w:rPr>
          <w:shd w:fill="auto" w:val="clear"/>
        </w:rPr>
      </w:pPr>
      <w:r>
        <w:rPr>
          <w:shd w:fill="auto" w:val="clear"/>
        </w:rPr>
        <w:t>1) prova de regularidade relativa à Seguridade Social;</w:t>
      </w:r>
    </w:p>
    <w:p>
      <w:pPr>
        <w:pStyle w:val="BodyText"/>
        <w:bidi w:val="0"/>
        <w:spacing w:before="0" w:after="0"/>
        <w:ind w:hanging="0" w:left="284" w:right="0"/>
        <w:jc w:val="both"/>
        <w:rPr>
          <w:shd w:fill="auto" w:val="clear"/>
        </w:rPr>
      </w:pPr>
      <w:r>
        <w:rPr>
          <w:shd w:fill="auto" w:val="clear"/>
        </w:rPr>
        <w:t>2) certidão conjunta relativa aos tributos federais e à Dívida Ativa da União; </w:t>
      </w:r>
    </w:p>
    <w:p>
      <w:pPr>
        <w:pStyle w:val="BodyText"/>
        <w:bidi w:val="0"/>
        <w:spacing w:before="0" w:after="0"/>
        <w:ind w:hanging="0" w:left="284" w:right="0"/>
        <w:jc w:val="both"/>
        <w:rPr>
          <w:shd w:fill="auto" w:val="clear"/>
        </w:rPr>
      </w:pPr>
      <w:r>
        <w:rPr>
          <w:shd w:fill="auto" w:val="clear"/>
        </w:rPr>
        <w:t>3) certidões que comprovem a regularidade perante a Fazenda Estadual e Municipal do domicílio ou sede do contratado; </w:t>
      </w:r>
    </w:p>
    <w:p>
      <w:pPr>
        <w:pStyle w:val="BodyText"/>
        <w:bidi w:val="0"/>
        <w:spacing w:before="0" w:after="0"/>
        <w:ind w:hanging="0" w:left="284" w:right="0"/>
        <w:jc w:val="both"/>
        <w:rPr>
          <w:shd w:fill="auto" w:val="clear"/>
        </w:rPr>
      </w:pPr>
      <w:r>
        <w:rPr>
          <w:shd w:fill="auto" w:val="clear"/>
        </w:rPr>
        <w:t>4) Certidão de Regularidade do FGTS-CRF; e </w:t>
      </w:r>
    </w:p>
    <w:p>
      <w:pPr>
        <w:pStyle w:val="BodyText"/>
        <w:bidi w:val="0"/>
        <w:spacing w:before="0" w:after="0"/>
        <w:ind w:hanging="0" w:left="284" w:right="0"/>
        <w:jc w:val="both"/>
        <w:rPr>
          <w:shd w:fill="auto" w:val="clear"/>
        </w:rPr>
      </w:pPr>
      <w:r>
        <w:rPr>
          <w:shd w:fill="auto" w:val="clear"/>
        </w:rPr>
        <w:t>5) Certidão Negativa de Débitos Trabalhistas (CNDT).</w:t>
      </w:r>
    </w:p>
    <w:p>
      <w:pPr>
        <w:pStyle w:val="BodyText"/>
        <w:bidi w:val="0"/>
        <w:spacing w:before="0" w:after="0"/>
        <w:ind w:hanging="0" w:left="0" w:right="0"/>
        <w:jc w:val="both"/>
        <w:rPr/>
      </w:pPr>
      <w:r>
        <w:rPr>
          <w:b/>
          <w:bCs/>
          <w:shd w:fill="auto" w:val="clear"/>
        </w:rPr>
        <w:t>10.10.</w:t>
      </w:r>
      <w:r>
        <w:rPr>
          <w:shd w:fill="auto" w:val="clear"/>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BodyText"/>
        <w:bidi w:val="0"/>
        <w:spacing w:before="0" w:after="0"/>
        <w:ind w:hanging="0" w:left="0" w:right="0"/>
        <w:jc w:val="both"/>
        <w:rPr/>
      </w:pPr>
      <w:r>
        <w:rPr>
          <w:b/>
          <w:bCs/>
          <w:shd w:fill="auto" w:val="clear"/>
        </w:rPr>
        <w:t xml:space="preserve">10.11. </w:t>
      </w:r>
      <w:r>
        <w:rPr>
          <w:shd w:fill="auto" w:val="clear"/>
        </w:rPr>
        <w:t>Comunicar ao Fiscal do contrato, no prazo de 24 (vinte e quatro) horas, qualquer ocorrência anormal ou acidente que se verifique no local dos serviços.</w:t>
      </w:r>
    </w:p>
    <w:p>
      <w:pPr>
        <w:pStyle w:val="BodyText"/>
        <w:bidi w:val="0"/>
        <w:spacing w:before="0" w:after="0"/>
        <w:ind w:hanging="0" w:left="0" w:right="0"/>
        <w:jc w:val="both"/>
        <w:rPr/>
      </w:pPr>
      <w:r>
        <w:rPr>
          <w:b/>
          <w:bCs/>
          <w:shd w:fill="auto" w:val="clear"/>
        </w:rPr>
        <w:t xml:space="preserve">10.12. </w:t>
      </w:r>
      <w:r>
        <w:rPr>
          <w:shd w:fill="auto" w:val="clear"/>
        </w:rPr>
        <w:t>Prestar todo esclarecimento ou informação solicitada pelo Contratante, garantindo-lhes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10.13.</w:t>
      </w:r>
      <w:r>
        <w:rPr>
          <w:shd w:fill="auto" w:val="clear"/>
        </w:rPr>
        <w:t xml:space="preserve"> Paralisar, por determinação do Contratante, qualquer atividade que não esteja sendo executada de acordo com a boa técnica ou que ponha em risco a segurança de pessoas ou bens de terceiros.</w:t>
      </w:r>
    </w:p>
    <w:p>
      <w:pPr>
        <w:pStyle w:val="BodyText"/>
        <w:bidi w:val="0"/>
        <w:spacing w:before="0" w:after="0"/>
        <w:ind w:hanging="0" w:left="0" w:right="0"/>
        <w:jc w:val="both"/>
        <w:rPr/>
      </w:pPr>
      <w:r>
        <w:rPr>
          <w:b/>
          <w:bCs/>
          <w:shd w:fill="auto" w:val="clear"/>
        </w:rPr>
        <w:t>10.14.</w:t>
      </w:r>
      <w:r>
        <w:rPr>
          <w:shd w:fill="auto" w:val="clear"/>
        </w:rPr>
        <w:t xml:space="preserve"> Promover a guarda, manutenção e vigilância de materiais, ferramentas, e tudo o que for necessário à execução do objeto, durante a vigência do contrato.</w:t>
      </w:r>
    </w:p>
    <w:p>
      <w:pPr>
        <w:pStyle w:val="BodyText"/>
        <w:bidi w:val="0"/>
        <w:spacing w:before="0" w:after="0"/>
        <w:ind w:hanging="0" w:left="0" w:right="0"/>
        <w:jc w:val="both"/>
        <w:rPr/>
      </w:pPr>
      <w:r>
        <w:rPr>
          <w:b/>
          <w:bCs/>
          <w:shd w:fill="auto" w:val="clear"/>
        </w:rPr>
        <w:t>10.15.</w:t>
      </w:r>
      <w:r>
        <w:rPr>
          <w:shd w:fill="auto" w:val="clear"/>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pPr>
        <w:pStyle w:val="BodyText"/>
        <w:bidi w:val="0"/>
        <w:spacing w:before="0" w:after="0"/>
        <w:ind w:hanging="0" w:left="0" w:right="0"/>
        <w:jc w:val="both"/>
        <w:rPr/>
      </w:pPr>
      <w:r>
        <w:rPr>
          <w:b/>
          <w:bCs/>
          <w:shd w:fill="auto" w:val="clear"/>
        </w:rPr>
        <w:t xml:space="preserve">10.16. </w:t>
      </w:r>
      <w:r>
        <w:rPr>
          <w:shd w:fill="auto" w:val="clear"/>
        </w:rPr>
        <w:t>Submeter previamente, por escrito, ao Contratante, para análise e aprovação, quaisquer mudanças nos métodos executivos que fujam às especificações do Termo de Referência ou instrumento congênere.</w:t>
      </w:r>
    </w:p>
    <w:p>
      <w:pPr>
        <w:pStyle w:val="BodyText"/>
        <w:bidi w:val="0"/>
        <w:spacing w:before="0" w:after="0"/>
        <w:ind w:hanging="0" w:left="0" w:right="0"/>
        <w:jc w:val="both"/>
        <w:rPr/>
      </w:pPr>
      <w:r>
        <w:rPr>
          <w:b/>
          <w:bCs/>
          <w:shd w:fill="auto" w:val="clear"/>
        </w:rPr>
        <w:t xml:space="preserve">10.17. </w:t>
      </w:r>
      <w:r>
        <w:rPr>
          <w:shd w:fill="auto" w:val="clear"/>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BodyText"/>
        <w:bidi w:val="0"/>
        <w:spacing w:before="0" w:after="0"/>
        <w:ind w:hanging="0" w:left="0" w:right="0"/>
        <w:jc w:val="both"/>
        <w:rPr/>
      </w:pPr>
      <w:r>
        <w:rPr>
          <w:b/>
          <w:bCs/>
          <w:shd w:fill="auto" w:val="clear"/>
        </w:rPr>
        <w:t>10.18.</w:t>
      </w:r>
      <w:r>
        <w:rPr>
          <w:shd w:fill="auto" w:val="clear"/>
        </w:rPr>
        <w:t xml:space="preserve"> Manter durante toda a vigência do contrato, em compatibilidade com as obrigações assumidas, todas as condições exigidas para habilitação ou para qualificação, na contratação direta.</w:t>
      </w:r>
    </w:p>
    <w:p>
      <w:pPr>
        <w:pStyle w:val="BodyText"/>
        <w:bidi w:val="0"/>
        <w:spacing w:before="0" w:after="0"/>
        <w:ind w:hanging="0" w:left="0" w:right="0"/>
        <w:jc w:val="both"/>
        <w:rPr/>
      </w:pPr>
      <w:r>
        <w:rPr>
          <w:b/>
          <w:bCs/>
          <w:shd w:fill="auto" w:val="clear"/>
        </w:rPr>
        <w:t>10.19.</w:t>
      </w:r>
      <w:r>
        <w:rPr>
          <w:shd w:fill="auto" w:val="clear"/>
        </w:rPr>
        <w:t xml:space="preserve">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BodyText"/>
        <w:bidi w:val="0"/>
        <w:spacing w:before="0" w:after="0"/>
        <w:ind w:hanging="0" w:left="284" w:right="0"/>
        <w:jc w:val="both"/>
        <w:rPr/>
      </w:pPr>
      <w:r>
        <w:rPr>
          <w:b/>
          <w:bCs/>
          <w:shd w:fill="auto" w:val="clear"/>
        </w:rPr>
        <w:t>10.19.1.</w:t>
      </w:r>
      <w:r>
        <w:rPr>
          <w:shd w:fill="auto" w:val="clear"/>
        </w:rPr>
        <w:t xml:space="preserve"> Comprovar a reserva de cargos a que se refere a cláusula acima, no prazo fixado pelo fiscal do contrato, com a indicação dos empregados que preencheram as referidas vagas.</w:t>
      </w:r>
    </w:p>
    <w:p>
      <w:pPr>
        <w:pStyle w:val="BodyText"/>
        <w:bidi w:val="0"/>
        <w:spacing w:before="0" w:after="0"/>
        <w:ind w:hanging="0" w:left="0" w:right="0"/>
        <w:jc w:val="both"/>
        <w:rPr/>
      </w:pPr>
      <w:r>
        <w:rPr>
          <w:b/>
          <w:bCs/>
          <w:shd w:fill="auto" w:val="clear"/>
        </w:rPr>
        <w:t>10.20.</w:t>
      </w:r>
      <w:r>
        <w:rPr>
          <w:shd w:fill="auto" w:val="clear"/>
        </w:rPr>
        <w:t xml:space="preserve"> Guardar sigilo sobre todas as informações obtidas em decorrência do cumprimento do contrato.</w:t>
      </w:r>
    </w:p>
    <w:p>
      <w:pPr>
        <w:pStyle w:val="BodyText"/>
        <w:bidi w:val="0"/>
        <w:spacing w:before="0" w:after="0"/>
        <w:ind w:hanging="0" w:left="0" w:right="0"/>
        <w:jc w:val="both"/>
        <w:rPr/>
      </w:pPr>
      <w:r>
        <w:rPr>
          <w:b/>
          <w:bCs/>
          <w:shd w:fill="auto" w:val="clear"/>
        </w:rPr>
        <w:t xml:space="preserve">10.21. </w:t>
      </w:r>
      <w:r>
        <w:rPr>
          <w:shd w:fill="auto" w:val="clea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BodyText"/>
        <w:bidi w:val="0"/>
        <w:spacing w:before="0" w:after="0"/>
        <w:ind w:hanging="0" w:left="0" w:right="0"/>
        <w:jc w:val="both"/>
        <w:rPr/>
      </w:pPr>
      <w:r>
        <w:rPr>
          <w:b/>
          <w:bCs/>
          <w:shd w:fill="auto" w:val="clear"/>
        </w:rPr>
        <w:t xml:space="preserve">10.22. </w:t>
      </w:r>
      <w:r>
        <w:rPr>
          <w:shd w:fill="auto" w:val="clear"/>
        </w:rPr>
        <w:t>Cumprir, além dos postulados legais vigentes de âmbito federal, estadual ou municipal, as normas de segurança do Contratante.</w:t>
      </w:r>
    </w:p>
    <w:p>
      <w:pPr>
        <w:pStyle w:val="BodyText"/>
        <w:bidi w:val="0"/>
        <w:spacing w:before="0" w:after="0"/>
        <w:ind w:hanging="0" w:left="0" w:right="0"/>
        <w:jc w:val="both"/>
        <w:rPr/>
      </w:pPr>
      <w:r>
        <w:rPr>
          <w:b/>
          <w:bCs/>
          <w:shd w:fill="auto" w:val="clear"/>
        </w:rPr>
        <w:t>10.23.</w:t>
      </w:r>
      <w:r>
        <w:rPr>
          <w:shd w:fill="auto" w:val="clear"/>
        </w:rPr>
        <w:t xml:space="preserve"> Assegurar aos seus trabalhadores ambiente de trabalho, inclusive equipamentos e instalações, em condições adequadas ao cumprimento das normas de saúde, segurança e bem-estar no trabalho.</w:t>
      </w:r>
    </w:p>
    <w:p>
      <w:pPr>
        <w:pStyle w:val="BodyText"/>
        <w:bidi w:val="0"/>
        <w:spacing w:before="0" w:after="0"/>
        <w:ind w:hanging="0" w:left="0" w:right="0"/>
        <w:jc w:val="both"/>
        <w:rPr/>
      </w:pPr>
      <w:r>
        <w:rPr>
          <w:b/>
          <w:bCs/>
          <w:shd w:fill="auto" w:val="clear"/>
        </w:rPr>
        <w:t xml:space="preserve">10.24. </w:t>
      </w:r>
      <w:r>
        <w:rPr>
          <w:shd w:fill="auto" w:val="clear"/>
        </w:rPr>
        <w:t>Garantir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10.25.</w:t>
      </w:r>
      <w:r>
        <w:rPr>
          <w:shd w:fill="auto" w:val="clear"/>
        </w:rPr>
        <w:t xml:space="preserve"> Promover a organização técnica e administrativa dos serviços, de modo a conduzi-los eficaz e eficientemente, de acordo com os documentos e especificações que integram o Termo de Referência, no prazo determinado.</w:t>
      </w:r>
    </w:p>
    <w:p>
      <w:pPr>
        <w:pStyle w:val="BodyText"/>
        <w:bidi w:val="0"/>
        <w:spacing w:before="0" w:after="0"/>
        <w:ind w:hanging="0" w:left="0" w:right="0"/>
        <w:jc w:val="both"/>
        <w:rPr/>
      </w:pPr>
      <w:r>
        <w:rPr>
          <w:b/>
          <w:bCs/>
          <w:shd w:fill="auto" w:val="clear"/>
        </w:rPr>
        <w:t>10.26.</w:t>
      </w:r>
      <w:r>
        <w:rPr>
          <w:shd w:fill="auto" w:val="clear"/>
        </w:rPr>
        <w:t xml:space="preserve">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BodyText"/>
        <w:bidi w:val="0"/>
        <w:spacing w:before="0" w:after="0"/>
        <w:ind w:hanging="0" w:left="0" w:right="0"/>
        <w:jc w:val="both"/>
        <w:rPr/>
      </w:pPr>
      <w:r>
        <w:rPr>
          <w:b/>
          <w:bCs/>
          <w:shd w:fill="auto" w:val="clear"/>
        </w:rPr>
        <w:t xml:space="preserve">10.27. </w:t>
      </w:r>
      <w:r>
        <w:rPr>
          <w:shd w:fill="auto" w:val="clear"/>
        </w:rPr>
        <w:t>Manter os empregados nos horários predeterminados pelo Contratante.</w:t>
      </w:r>
    </w:p>
    <w:p>
      <w:pPr>
        <w:pStyle w:val="BodyText"/>
        <w:bidi w:val="0"/>
        <w:spacing w:before="0" w:after="0"/>
        <w:ind w:hanging="0" w:left="0" w:right="0"/>
        <w:jc w:val="both"/>
        <w:rPr/>
      </w:pPr>
      <w:r>
        <w:rPr>
          <w:b/>
          <w:bCs/>
          <w:shd w:fill="auto" w:val="clear"/>
        </w:rPr>
        <w:t xml:space="preserve">10.28. </w:t>
      </w:r>
      <w:r>
        <w:rPr>
          <w:shd w:fill="auto" w:val="clear"/>
        </w:rPr>
        <w:t>Apresentar os empregados devidamente identificados por meio de crachá.</w:t>
      </w:r>
    </w:p>
    <w:p>
      <w:pPr>
        <w:pStyle w:val="BodyText"/>
        <w:bidi w:val="0"/>
        <w:spacing w:before="0" w:after="0"/>
        <w:ind w:hanging="0" w:left="0" w:right="0"/>
        <w:jc w:val="both"/>
        <w:rPr/>
      </w:pPr>
      <w:r>
        <w:rPr>
          <w:b/>
          <w:bCs/>
          <w:shd w:fill="auto" w:val="clear"/>
        </w:rPr>
        <w:t>10.29.</w:t>
      </w:r>
      <w:r>
        <w:rPr>
          <w:shd w:fill="auto" w:val="clear"/>
        </w:rPr>
        <w:t xml:space="preserve"> Apresentar ao Contratante, quando for o caso, a relação nominal dos empregados que adentrarão no órgão para a execução do serviço.</w:t>
      </w:r>
    </w:p>
    <w:p>
      <w:pPr>
        <w:pStyle w:val="BodyText"/>
        <w:bidi w:val="0"/>
        <w:spacing w:before="0" w:after="0"/>
        <w:ind w:hanging="0" w:left="0" w:right="0"/>
        <w:jc w:val="both"/>
        <w:rPr/>
      </w:pPr>
      <w:r>
        <w:rPr>
          <w:b/>
          <w:bCs/>
          <w:shd w:fill="auto" w:val="clear"/>
        </w:rPr>
        <w:t xml:space="preserve">10.30. </w:t>
      </w:r>
      <w:r>
        <w:rPr>
          <w:shd w:fill="auto" w:val="clear"/>
        </w:rPr>
        <w:t>Observar os preceitos da legislação sobre a jornada de trabalho, conforme a categoria profissional.</w:t>
      </w:r>
    </w:p>
    <w:p>
      <w:pPr>
        <w:pStyle w:val="BodyText"/>
        <w:bidi w:val="0"/>
        <w:spacing w:before="0" w:after="0"/>
        <w:ind w:hanging="0" w:left="0" w:right="0"/>
        <w:jc w:val="both"/>
        <w:rPr/>
      </w:pPr>
      <w:r>
        <w:rPr>
          <w:b/>
          <w:bCs/>
          <w:shd w:fill="auto" w:val="clear"/>
        </w:rPr>
        <w:t xml:space="preserve">10.31. </w:t>
      </w:r>
      <w:r>
        <w:rPr>
          <w:shd w:fill="auto" w:val="clea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BodyText"/>
        <w:bidi w:val="0"/>
        <w:spacing w:before="0" w:after="0"/>
        <w:ind w:hanging="0" w:left="0" w:right="0"/>
        <w:jc w:val="both"/>
        <w:rPr/>
      </w:pPr>
      <w:r>
        <w:rPr>
          <w:b/>
          <w:bCs/>
          <w:shd w:fill="auto" w:val="clear"/>
        </w:rPr>
        <w:t>10.32.</w:t>
      </w:r>
      <w:r>
        <w:rPr>
          <w:shd w:fill="auto" w:val="clear"/>
        </w:rPr>
        <w:t xml:space="preserve"> Instruir seus empregados quanto à necessidade de acatar as Normas Internas do Contratante.</w:t>
      </w:r>
    </w:p>
    <w:p>
      <w:pPr>
        <w:pStyle w:val="BodyText"/>
        <w:bidi w:val="0"/>
        <w:spacing w:before="0" w:after="0"/>
        <w:ind w:hanging="0" w:left="0" w:right="0"/>
        <w:jc w:val="both"/>
        <w:rPr/>
      </w:pPr>
      <w:r>
        <w:rPr>
          <w:b/>
          <w:bCs/>
          <w:shd w:fill="auto" w:val="clear"/>
        </w:rPr>
        <w:t>10.33.</w:t>
      </w:r>
      <w:r>
        <w:rPr>
          <w:shd w:fill="auto" w:val="clear"/>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BodyText"/>
        <w:bidi w:val="0"/>
        <w:spacing w:before="0" w:after="0"/>
        <w:ind w:hanging="0" w:left="0" w:right="0"/>
        <w:jc w:val="both"/>
        <w:rPr/>
      </w:pPr>
      <w:r>
        <w:rPr>
          <w:b/>
          <w:bCs/>
          <w:shd w:fill="auto" w:val="clear"/>
        </w:rPr>
        <w:t xml:space="preserve">10.34. </w:t>
      </w:r>
      <w:r>
        <w:rPr>
          <w:shd w:fill="auto" w:val="clear"/>
        </w:rPr>
        <w:t>Instruir os seus empregados, quanto à prevenção de incêndios nas áreas do Contratante.</w:t>
      </w:r>
    </w:p>
    <w:p>
      <w:pPr>
        <w:pStyle w:val="BodyText"/>
        <w:bidi w:val="0"/>
        <w:spacing w:before="0" w:after="0"/>
        <w:ind w:hanging="0" w:left="0" w:right="0"/>
        <w:jc w:val="both"/>
        <w:rPr/>
      </w:pPr>
      <w:r>
        <w:rPr>
          <w:b/>
          <w:bCs/>
          <w:shd w:fill="auto" w:val="clear"/>
        </w:rPr>
        <w:t>10.35.</w:t>
      </w:r>
      <w:r>
        <w:rPr>
          <w:shd w:fill="auto" w:val="clear"/>
        </w:rPr>
        <w:t xml:space="preserve"> Adotar as providências e precauções necessárias, inclusive consulta nos respectivos órgãos, se necessário for, a fim de que não venham a ser danificadas as redes hidrossanitárias, elétricas e de comunicação.</w:t>
      </w:r>
    </w:p>
    <w:p>
      <w:pPr>
        <w:pStyle w:val="BodyText"/>
        <w:bidi w:val="0"/>
        <w:spacing w:before="0" w:after="0"/>
        <w:ind w:hanging="0" w:left="0" w:right="0"/>
        <w:jc w:val="both"/>
        <w:rPr/>
      </w:pPr>
      <w:r>
        <w:rPr>
          <w:b/>
          <w:bCs/>
          <w:shd w:fill="auto" w:val="clear"/>
        </w:rPr>
        <w:t>10.36.</w:t>
      </w:r>
      <w:r>
        <w:rPr>
          <w:shd w:fill="auto" w:val="clear"/>
        </w:rPr>
        <w:t xml:space="preserve"> Estar registrada ou inscrita no Conselho Profissional competente, conforme as áreas de atuação previstas no Termo de Referência, em plena validade.</w:t>
      </w:r>
    </w:p>
    <w:p>
      <w:pPr>
        <w:pStyle w:val="BodyText"/>
        <w:bidi w:val="0"/>
        <w:spacing w:before="0" w:after="0"/>
        <w:ind w:hanging="0" w:left="0" w:right="0"/>
        <w:jc w:val="both"/>
        <w:rPr/>
      </w:pPr>
      <w:r>
        <w:rPr>
          <w:b/>
          <w:bCs/>
          <w:shd w:fill="auto" w:val="clear"/>
        </w:rPr>
        <w:t xml:space="preserve">10.37. </w:t>
      </w:r>
      <w:r>
        <w:rPr>
          <w:shd w:fill="auto" w:val="clear"/>
        </w:rPr>
        <w:t>Obter junto aos órgãos competentes, conforme o disposto no Termo de Referência ou Projeto Básico, as licenças necessárias e demais documentos e autorizações exigíveis, na forma da legislação aplicável.</w:t>
      </w:r>
    </w:p>
    <w:p>
      <w:pPr>
        <w:pStyle w:val="BodyText"/>
        <w:bidi w:val="0"/>
        <w:spacing w:before="0" w:after="0"/>
        <w:ind w:hanging="0" w:left="0" w:right="0"/>
        <w:jc w:val="both"/>
        <w:rPr/>
      </w:pPr>
      <w:r>
        <w:rPr>
          <w:b/>
          <w:bCs/>
          <w:shd w:fill="auto" w:val="clear"/>
        </w:rPr>
        <w:t xml:space="preserve">10.38. </w:t>
      </w:r>
      <w:r>
        <w:rPr>
          <w:shd w:fill="auto" w:val="clear"/>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BodyText"/>
        <w:bidi w:val="0"/>
        <w:spacing w:before="0" w:after="0"/>
        <w:ind w:hanging="0" w:left="0" w:right="0"/>
        <w:jc w:val="both"/>
        <w:rPr/>
      </w:pPr>
      <w:r>
        <w:rPr>
          <w:b/>
          <w:bCs/>
          <w:shd w:fill="auto" w:val="clear"/>
        </w:rPr>
        <w:t>10.39.</w:t>
      </w:r>
      <w:r>
        <w:rPr>
          <w:shd w:fill="auto" w:val="clear"/>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BodyText"/>
        <w:bidi w:val="0"/>
        <w:spacing w:before="0" w:after="0"/>
        <w:ind w:hanging="0" w:left="0" w:right="0"/>
        <w:jc w:val="both"/>
        <w:rPr/>
      </w:pPr>
      <w:r>
        <w:rPr>
          <w:b/>
          <w:bCs/>
          <w:shd w:fill="auto" w:val="clear"/>
        </w:rPr>
        <w:t>10.40.</w:t>
      </w:r>
      <w:r>
        <w:rPr>
          <w:shd w:fill="auto" w:val="clear"/>
        </w:rPr>
        <w:t xml:space="preserve"> O gerenciamento dos resíduos originários da contratação deverá obedecer às diretrizes técnicas e procedimentos da Lei Municipal 5.876/2004, do Decreto Municipal 20.107/2023 e demais legislações aplicáveis.</w:t>
      </w:r>
    </w:p>
    <w:p>
      <w:pPr>
        <w:pStyle w:val="BodyText"/>
        <w:bidi w:val="0"/>
        <w:spacing w:before="0" w:after="0"/>
        <w:ind w:hanging="0" w:left="0" w:right="0"/>
        <w:jc w:val="both"/>
        <w:rPr/>
      </w:pPr>
      <w:r>
        <w:rPr>
          <w:b/>
          <w:bCs/>
          <w:shd w:fill="auto" w:val="clear"/>
        </w:rPr>
        <w:t>10.41.</w:t>
      </w:r>
      <w:r>
        <w:rPr>
          <w:shd w:fill="auto" w:val="clear"/>
        </w:rPr>
        <w:t xml:space="preserve">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BodyText"/>
        <w:bidi w:val="0"/>
        <w:spacing w:before="0" w:after="0"/>
        <w:ind w:hanging="0" w:left="0" w:right="0"/>
        <w:jc w:val="both"/>
        <w:rPr/>
      </w:pPr>
      <w:r>
        <w:rPr>
          <w:b/>
          <w:bCs/>
          <w:shd w:fill="auto" w:val="clear"/>
        </w:rPr>
        <w:t xml:space="preserve">10.42. </w:t>
      </w:r>
      <w:r>
        <w:rPr>
          <w:shd w:fill="auto" w:val="clear"/>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11. DA GARANTIA DE EXECUÇÃO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Não haverá exigência de garantia de execução.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12. DA GARANTIA CONTRATUAL</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12.1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13. DAS INFRAÇÕES E SANÇÕES ADMINISTRATIVAS</w:t>
            </w:r>
            <w:r>
              <w:rPr>
                <w:rFonts w:cs="Calibri Light" w:cstheme="majorHAnsi"/>
                <w:kern w:val="0"/>
                <w:sz w:val="24"/>
                <w:szCs w:val="24"/>
                <w:lang w:val="pt-BR" w:bidi="ar-SA"/>
              </w:rPr>
              <w:t>:</w:t>
            </w:r>
          </w:p>
        </w:tc>
      </w:tr>
    </w:tbl>
    <w:p>
      <w:pPr>
        <w:pStyle w:val="Normal"/>
        <w:jc w:val="both"/>
        <w:rPr>
          <w:rFonts w:ascii="Calibri" w:hAnsi="Calibri"/>
          <w:sz w:val="24"/>
          <w:szCs w:val="24"/>
        </w:rPr>
      </w:pPr>
      <w:r>
        <w:rPr>
          <w:b/>
          <w:bCs/>
          <w:sz w:val="24"/>
          <w:szCs w:val="24"/>
        </w:rPr>
        <w:t>13.1</w:t>
      </w:r>
      <w:r>
        <w:rPr>
          <w:sz w:val="24"/>
          <w:szCs w:val="24"/>
        </w:rPr>
        <w:t>. Comete infração administrativa, nos termos da Lei 14.133/2021, o Contratado que:</w:t>
      </w:r>
    </w:p>
    <w:p>
      <w:pPr>
        <w:pStyle w:val="Normal"/>
        <w:ind w:hanging="0" w:left="284"/>
        <w:jc w:val="both"/>
        <w:rPr>
          <w:rFonts w:ascii="Calibri" w:hAnsi="Calibri"/>
          <w:sz w:val="24"/>
          <w:szCs w:val="24"/>
        </w:rPr>
      </w:pPr>
      <w:r>
        <w:rPr>
          <w:b/>
          <w:bCs/>
          <w:sz w:val="24"/>
          <w:szCs w:val="24"/>
        </w:rPr>
        <w:t>a</w:t>
      </w:r>
      <w:r>
        <w:rPr>
          <w:sz w:val="24"/>
          <w:szCs w:val="24"/>
        </w:rPr>
        <w:t>) der causa à inexecução parcial do contrato;</w:t>
      </w:r>
    </w:p>
    <w:p>
      <w:pPr>
        <w:pStyle w:val="Normal"/>
        <w:ind w:hanging="0" w:left="284"/>
        <w:jc w:val="both"/>
        <w:rPr>
          <w:rFonts w:ascii="Calibri" w:hAnsi="Calibri"/>
          <w:sz w:val="24"/>
          <w:szCs w:val="24"/>
        </w:rPr>
      </w:pPr>
      <w:r>
        <w:rPr>
          <w:b/>
          <w:bCs/>
          <w:sz w:val="24"/>
          <w:szCs w:val="24"/>
        </w:rPr>
        <w:t>b</w:t>
      </w:r>
      <w:r>
        <w:rPr>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b/>
          <w:bCs/>
          <w:sz w:val="24"/>
          <w:szCs w:val="24"/>
        </w:rPr>
        <w:t>c</w:t>
      </w:r>
      <w:r>
        <w:rPr>
          <w:sz w:val="24"/>
          <w:szCs w:val="24"/>
        </w:rPr>
        <w:t>) der causa à inexecução total do contrato;</w:t>
      </w:r>
    </w:p>
    <w:p>
      <w:pPr>
        <w:pStyle w:val="Normal"/>
        <w:ind w:hanging="0" w:left="284"/>
        <w:jc w:val="both"/>
        <w:rPr>
          <w:rFonts w:ascii="Calibri" w:hAnsi="Calibri"/>
          <w:sz w:val="24"/>
          <w:szCs w:val="24"/>
        </w:rPr>
      </w:pPr>
      <w:r>
        <w:rPr>
          <w:b/>
          <w:bCs/>
          <w:sz w:val="24"/>
          <w:szCs w:val="24"/>
        </w:rPr>
        <w:t>d</w:t>
      </w:r>
      <w:r>
        <w:rPr>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b/>
          <w:bCs/>
          <w:sz w:val="24"/>
          <w:szCs w:val="24"/>
        </w:rPr>
        <w:t>e</w:t>
      </w:r>
      <w:r>
        <w:rPr>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b/>
          <w:bCs/>
          <w:sz w:val="24"/>
          <w:szCs w:val="24"/>
        </w:rPr>
        <w:t>f)</w:t>
      </w:r>
      <w:r>
        <w:rPr>
          <w:sz w:val="24"/>
          <w:szCs w:val="24"/>
        </w:rPr>
        <w:t xml:space="preserve"> praticar ato fraudulento na execução do contrato;</w:t>
      </w:r>
    </w:p>
    <w:p>
      <w:pPr>
        <w:pStyle w:val="Normal"/>
        <w:ind w:hanging="0" w:left="284"/>
        <w:jc w:val="both"/>
        <w:rPr>
          <w:rFonts w:ascii="Calibri" w:hAnsi="Calibri"/>
          <w:sz w:val="24"/>
          <w:szCs w:val="24"/>
        </w:rPr>
      </w:pPr>
      <w:r>
        <w:rPr>
          <w:b/>
          <w:bCs/>
          <w:sz w:val="24"/>
          <w:szCs w:val="24"/>
        </w:rPr>
        <w:t>g</w:t>
      </w:r>
      <w:r>
        <w:rPr>
          <w:sz w:val="24"/>
          <w:szCs w:val="24"/>
        </w:rPr>
        <w:t>) comportar-se de modo inidôneo ou cometer fraude de qualquer natureza;</w:t>
      </w:r>
    </w:p>
    <w:p>
      <w:pPr>
        <w:pStyle w:val="Normal"/>
        <w:ind w:hanging="0" w:left="284"/>
        <w:jc w:val="both"/>
        <w:rPr>
          <w:rFonts w:ascii="Calibri" w:hAnsi="Calibri"/>
          <w:sz w:val="24"/>
          <w:szCs w:val="24"/>
        </w:rPr>
      </w:pPr>
      <w:r>
        <w:rPr>
          <w:b/>
          <w:bCs/>
          <w:sz w:val="24"/>
          <w:szCs w:val="24"/>
        </w:rPr>
        <w:t>h</w:t>
      </w:r>
      <w:r>
        <w:rPr>
          <w:sz w:val="24"/>
          <w:szCs w:val="24"/>
        </w:rPr>
        <w:t>) praticar ato lesivo previsto no art. 5º da Lei 12.846/2013.</w:t>
      </w:r>
    </w:p>
    <w:p>
      <w:pPr>
        <w:pStyle w:val="Normal"/>
        <w:jc w:val="both"/>
        <w:rPr>
          <w:rFonts w:ascii="Calibri" w:hAnsi="Calibri"/>
          <w:sz w:val="24"/>
          <w:szCs w:val="24"/>
        </w:rPr>
      </w:pPr>
      <w:r>
        <w:rPr>
          <w:b/>
          <w:bCs/>
          <w:sz w:val="24"/>
          <w:szCs w:val="24"/>
        </w:rPr>
        <w:t>13.2</w:t>
      </w:r>
      <w:r>
        <w:rPr>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b/>
          <w:bCs/>
          <w:sz w:val="24"/>
          <w:szCs w:val="24"/>
        </w:rPr>
        <w:t>13.2.1</w:t>
      </w:r>
      <w:r>
        <w:rPr>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b/>
          <w:bCs/>
          <w:sz w:val="24"/>
          <w:szCs w:val="24"/>
        </w:rPr>
        <w:t>13.2.2</w:t>
      </w:r>
      <w:r>
        <w:rPr>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b/>
          <w:bCs/>
          <w:sz w:val="24"/>
          <w:szCs w:val="24"/>
        </w:rPr>
        <w:t>13.2.3</w:t>
      </w:r>
      <w:r>
        <w:rPr>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b/>
          <w:bCs/>
          <w:sz w:val="24"/>
          <w:szCs w:val="24"/>
        </w:rPr>
        <w:t>13.2.4</w:t>
      </w:r>
      <w:r>
        <w:rPr>
          <w:sz w:val="24"/>
          <w:szCs w:val="24"/>
        </w:rPr>
        <w:t>. Multa:</w:t>
      </w:r>
    </w:p>
    <w:p>
      <w:pPr>
        <w:pStyle w:val="Normal"/>
        <w:ind w:hanging="0" w:left="567"/>
        <w:jc w:val="both"/>
        <w:rPr>
          <w:rFonts w:ascii="Calibri" w:hAnsi="Calibri"/>
          <w:sz w:val="24"/>
          <w:szCs w:val="24"/>
        </w:rPr>
      </w:pPr>
      <w:r>
        <w:rPr>
          <w:b/>
          <w:bCs/>
          <w:sz w:val="24"/>
          <w:szCs w:val="24"/>
        </w:rPr>
        <w:t>13.2.4.1</w:t>
      </w:r>
      <w:r>
        <w:rPr>
          <w:sz w:val="24"/>
          <w:szCs w:val="24"/>
        </w:rPr>
        <w:t>. Moratória de 1% (um por cento) por dia até o limite de 30 (trinta) dias, sobre o valor total do(s) produto(s) ou serviço(s), pelo atraso na entrega ou entregue(s) com atraso.</w:t>
      </w:r>
    </w:p>
    <w:p>
      <w:pPr>
        <w:pStyle w:val="Normal"/>
        <w:ind w:hanging="0" w:left="1134"/>
        <w:jc w:val="both"/>
        <w:rPr>
          <w:rFonts w:ascii="Calibri" w:hAnsi="Calibri"/>
          <w:sz w:val="24"/>
          <w:szCs w:val="24"/>
        </w:rPr>
      </w:pPr>
      <w:r>
        <w:rPr>
          <w:b/>
          <w:bCs/>
          <w:sz w:val="24"/>
          <w:szCs w:val="24"/>
        </w:rPr>
        <w:t>a</w:t>
      </w:r>
      <w:r>
        <w:rPr>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b/>
          <w:bCs/>
          <w:sz w:val="24"/>
          <w:szCs w:val="24"/>
        </w:rPr>
        <w:t>13.2.4.2</w:t>
      </w:r>
      <w:r>
        <w:rPr>
          <w:sz w:val="24"/>
          <w:szCs w:val="24"/>
        </w:rPr>
        <w:t>. Compensatória, para as infrações descritas nas alíneas “e” a “h” do item 13.1, de 15 % (quinze por cento) do valor do Contrato.</w:t>
      </w:r>
    </w:p>
    <w:p>
      <w:pPr>
        <w:pStyle w:val="Normal"/>
        <w:ind w:hanging="0" w:left="567"/>
        <w:jc w:val="both"/>
        <w:rPr>
          <w:rFonts w:ascii="Calibri" w:hAnsi="Calibri"/>
          <w:sz w:val="24"/>
          <w:szCs w:val="24"/>
        </w:rPr>
      </w:pPr>
      <w:r>
        <w:rPr>
          <w:b/>
          <w:bCs/>
          <w:sz w:val="24"/>
          <w:szCs w:val="24"/>
        </w:rPr>
        <w:t>13.2.4.3</w:t>
      </w:r>
      <w:r>
        <w:rPr>
          <w:sz w:val="24"/>
          <w:szCs w:val="24"/>
        </w:rPr>
        <w:t xml:space="preserve">. Compensatória, para as infrações previstas nas alíneas “b”, “c” e “d” do item 13.1, de 20% (vinte por cento) do valor do Contrato. </w:t>
      </w:r>
    </w:p>
    <w:p>
      <w:pPr>
        <w:pStyle w:val="Normal"/>
        <w:ind w:hanging="0" w:left="567"/>
        <w:jc w:val="both"/>
        <w:rPr>
          <w:rFonts w:ascii="Calibri" w:hAnsi="Calibri"/>
          <w:sz w:val="24"/>
          <w:szCs w:val="24"/>
        </w:rPr>
      </w:pPr>
      <w:r>
        <w:rPr>
          <w:b/>
          <w:bCs/>
          <w:sz w:val="24"/>
          <w:szCs w:val="24"/>
        </w:rPr>
        <w:t>13.2.4.4</w:t>
      </w:r>
      <w:r>
        <w:rPr>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b/>
          <w:bCs/>
          <w:sz w:val="24"/>
          <w:szCs w:val="24"/>
        </w:rPr>
        <w:t>13.3</w:t>
      </w:r>
      <w:r>
        <w:rPr>
          <w:sz w:val="24"/>
          <w:szCs w:val="24"/>
        </w:rPr>
        <w:t>. A aplicação das sanções previstas neste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b/>
          <w:bCs/>
          <w:sz w:val="24"/>
          <w:szCs w:val="24"/>
        </w:rPr>
        <w:t>13.3.1</w:t>
      </w:r>
      <w:r>
        <w:rPr>
          <w:sz w:val="24"/>
          <w:szCs w:val="24"/>
        </w:rPr>
        <w:t>. Todas as sanções previstas neste poderão ser aplicadas cumulativamente com a multa (art. 156, § 7º, da Lei 14.133/2021).</w:t>
      </w:r>
    </w:p>
    <w:p>
      <w:pPr>
        <w:pStyle w:val="Normal"/>
        <w:ind w:hanging="0" w:left="284"/>
        <w:jc w:val="both"/>
        <w:rPr>
          <w:rFonts w:ascii="Calibri" w:hAnsi="Calibri"/>
          <w:sz w:val="24"/>
          <w:szCs w:val="24"/>
        </w:rPr>
      </w:pPr>
      <w:r>
        <w:rPr>
          <w:b/>
          <w:bCs/>
          <w:sz w:val="24"/>
          <w:szCs w:val="24"/>
        </w:rPr>
        <w:t>13.3.2</w:t>
      </w:r>
      <w:r>
        <w:rPr>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b/>
          <w:bCs/>
          <w:sz w:val="24"/>
          <w:szCs w:val="24"/>
        </w:rPr>
        <w:t>13.3.3</w:t>
      </w:r>
      <w:r>
        <w:rPr>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hanging="0" w:left="284"/>
        <w:jc w:val="both"/>
        <w:rPr>
          <w:rFonts w:ascii="Calibri" w:hAnsi="Calibri"/>
          <w:sz w:val="24"/>
          <w:szCs w:val="24"/>
        </w:rPr>
      </w:pPr>
      <w:r>
        <w:rPr>
          <w:b/>
          <w:bCs/>
          <w:sz w:val="24"/>
          <w:szCs w:val="24"/>
        </w:rPr>
        <w:t>13.3.4</w:t>
      </w:r>
      <w:r>
        <w:rPr>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b/>
          <w:bCs/>
          <w:sz w:val="24"/>
          <w:szCs w:val="24"/>
        </w:rPr>
        <w:t>13.4</w:t>
      </w:r>
      <w:r>
        <w:rPr>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b/>
          <w:bCs/>
          <w:sz w:val="24"/>
          <w:szCs w:val="24"/>
        </w:rPr>
        <w:t>13.5</w:t>
      </w:r>
      <w:r>
        <w:rPr>
          <w:sz w:val="24"/>
          <w:szCs w:val="24"/>
        </w:rPr>
        <w:t>. Na aplicação das sanções serão considerados (art. 156, § 1º, da Lei 14.133/2021):</w:t>
      </w:r>
    </w:p>
    <w:p>
      <w:pPr>
        <w:pStyle w:val="Normal"/>
        <w:ind w:hanging="0" w:left="284"/>
        <w:jc w:val="both"/>
        <w:rPr>
          <w:rFonts w:ascii="Calibri" w:hAnsi="Calibri"/>
          <w:sz w:val="24"/>
          <w:szCs w:val="24"/>
        </w:rPr>
      </w:pPr>
      <w:r>
        <w:rPr>
          <w:b/>
          <w:bCs/>
          <w:sz w:val="24"/>
          <w:szCs w:val="24"/>
        </w:rPr>
        <w:t>a</w:t>
      </w:r>
      <w:r>
        <w:rPr>
          <w:sz w:val="24"/>
          <w:szCs w:val="24"/>
        </w:rPr>
        <w:t>) a natureza e a gravidade da infração cometida;</w:t>
      </w:r>
    </w:p>
    <w:p>
      <w:pPr>
        <w:pStyle w:val="Normal"/>
        <w:ind w:hanging="0" w:left="284"/>
        <w:jc w:val="both"/>
        <w:rPr>
          <w:rFonts w:ascii="Calibri" w:hAnsi="Calibri"/>
          <w:sz w:val="24"/>
          <w:szCs w:val="24"/>
        </w:rPr>
      </w:pPr>
      <w:r>
        <w:rPr>
          <w:b/>
          <w:bCs/>
          <w:sz w:val="24"/>
          <w:szCs w:val="24"/>
        </w:rPr>
        <w:t>b</w:t>
      </w:r>
      <w:r>
        <w:rPr>
          <w:sz w:val="24"/>
          <w:szCs w:val="24"/>
        </w:rPr>
        <w:t>) as peculiaridades do caso concreto;</w:t>
      </w:r>
    </w:p>
    <w:p>
      <w:pPr>
        <w:pStyle w:val="Normal"/>
        <w:ind w:hanging="0" w:left="284"/>
        <w:jc w:val="both"/>
        <w:rPr>
          <w:rFonts w:ascii="Calibri" w:hAnsi="Calibri"/>
          <w:sz w:val="24"/>
          <w:szCs w:val="24"/>
        </w:rPr>
      </w:pPr>
      <w:r>
        <w:rPr>
          <w:b/>
          <w:bCs/>
          <w:sz w:val="24"/>
          <w:szCs w:val="24"/>
        </w:rPr>
        <w:t>c</w:t>
      </w:r>
      <w:r>
        <w:rPr>
          <w:sz w:val="24"/>
          <w:szCs w:val="24"/>
        </w:rPr>
        <w:t>) as circunstâncias agravantes ou atenuantes;</w:t>
      </w:r>
    </w:p>
    <w:p>
      <w:pPr>
        <w:pStyle w:val="Normal"/>
        <w:ind w:hanging="0" w:left="284"/>
        <w:jc w:val="both"/>
        <w:rPr>
          <w:rFonts w:ascii="Calibri" w:hAnsi="Calibri"/>
          <w:sz w:val="24"/>
          <w:szCs w:val="24"/>
        </w:rPr>
      </w:pPr>
      <w:r>
        <w:rPr>
          <w:b/>
          <w:bCs/>
          <w:sz w:val="24"/>
          <w:szCs w:val="24"/>
        </w:rPr>
        <w:t>d</w:t>
      </w:r>
      <w:r>
        <w:rPr>
          <w:sz w:val="24"/>
          <w:szCs w:val="24"/>
        </w:rPr>
        <w:t>) os danos que dela provierem para o Contratante;</w:t>
      </w:r>
    </w:p>
    <w:p>
      <w:pPr>
        <w:pStyle w:val="Normal"/>
        <w:ind w:hanging="0" w:left="284"/>
        <w:jc w:val="both"/>
        <w:rPr>
          <w:rFonts w:ascii="Calibri" w:hAnsi="Calibri"/>
          <w:sz w:val="24"/>
          <w:szCs w:val="24"/>
        </w:rPr>
      </w:pPr>
      <w:r>
        <w:rPr>
          <w:b/>
          <w:bCs/>
          <w:sz w:val="24"/>
          <w:szCs w:val="24"/>
        </w:rPr>
        <w:t>e</w:t>
      </w:r>
      <w:r>
        <w:rPr>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b/>
          <w:bCs/>
          <w:sz w:val="24"/>
          <w:szCs w:val="24"/>
        </w:rPr>
        <w:t>13.6</w:t>
      </w:r>
      <w:r>
        <w:rPr>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b/>
          <w:bCs/>
          <w:sz w:val="24"/>
          <w:szCs w:val="24"/>
        </w:rPr>
        <w:t>13.7</w:t>
      </w:r>
      <w:r>
        <w:rPr>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b/>
          <w:bCs/>
          <w:sz w:val="24"/>
          <w:szCs w:val="24"/>
        </w:rPr>
        <w:t>13.8</w:t>
      </w:r>
      <w:r>
        <w:rPr>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b/>
          <w:bCs/>
          <w:sz w:val="24"/>
          <w:szCs w:val="24"/>
        </w:rPr>
        <w:t>13.9</w:t>
      </w:r>
      <w:r>
        <w:rPr>
          <w:sz w:val="24"/>
          <w:szCs w:val="24"/>
        </w:rPr>
        <w:t>. 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b/>
          <w:bCs/>
          <w:sz w:val="24"/>
          <w:szCs w:val="24"/>
        </w:rPr>
        <w:t>13.10</w:t>
      </w:r>
      <w:r>
        <w:rPr>
          <w:sz w:val="24"/>
          <w:szCs w:val="24"/>
        </w:rPr>
        <w:t>.</w:t>
      </w:r>
      <w:bookmarkStart w:id="3" w:name="_Hlk153021524"/>
      <w:r>
        <w:rPr>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3"/>
      <w:r>
        <w:rPr>
          <w:sz w:val="24"/>
          <w:szCs w:val="24"/>
        </w:rPr>
        <w:t>.</w:t>
      </w:r>
    </w:p>
    <w:p>
      <w:pPr>
        <w:pStyle w:val="Normal"/>
        <w:jc w:val="both"/>
        <w:rPr>
          <w:rFonts w:ascii="Calibri" w:hAnsi="Calibri" w:cs="Calibri Light"/>
          <w:sz w:val="24"/>
          <w:szCs w:val="24"/>
        </w:rPr>
      </w:pPr>
      <w:r>
        <w:rPr>
          <w:rFonts w:cs="Calibri Light"/>
          <w:sz w:val="24"/>
          <w:szCs w:val="24"/>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14. DA EXTINÇÃO DO CONTRATO</w:t>
            </w:r>
            <w:r>
              <w:rPr>
                <w:rFonts w:cs="Calibri Light" w:cstheme="majorHAnsi"/>
                <w:kern w:val="0"/>
                <w:sz w:val="24"/>
                <w:szCs w:val="24"/>
                <w:lang w:val="pt-BR" w:bidi="ar-SA"/>
              </w:rPr>
              <w:t>:</w:t>
            </w:r>
          </w:p>
        </w:tc>
      </w:tr>
    </w:tbl>
    <w:p>
      <w:pPr>
        <w:pStyle w:val="Normal"/>
        <w:jc w:val="both"/>
        <w:rPr>
          <w:rFonts w:cs="Calibri Light"/>
          <w:lang w:val="pt-BR"/>
        </w:rPr>
      </w:pPr>
      <w:r>
        <w:rPr>
          <w:rFonts w:cs="Calibri Light"/>
          <w:lang w:val="pt-BR"/>
        </w:rPr>
      </w:r>
    </w:p>
    <w:p>
      <w:pPr>
        <w:pStyle w:val="Normal"/>
        <w:jc w:val="both"/>
        <w:rPr>
          <w:rFonts w:ascii="Calibri" w:hAnsi="Calibri"/>
          <w:sz w:val="24"/>
          <w:szCs w:val="24"/>
        </w:rPr>
      </w:pPr>
      <w:r>
        <w:rPr>
          <w:rFonts w:cs="Calibri Light" w:cstheme="majorHAnsi"/>
          <w:b/>
          <w:bCs/>
          <w:sz w:val="24"/>
          <w:szCs w:val="24"/>
          <w:lang w:val="pt-BR"/>
        </w:rPr>
        <w:t>14.1</w:t>
      </w:r>
      <w:r>
        <w:rPr>
          <w:rFonts w:cs="Calibri Light" w:cstheme="majorHAnsi"/>
          <w:sz w:val="24"/>
          <w:szCs w:val="24"/>
          <w:lang w:val="pt-BR"/>
        </w:rPr>
        <w:t>. O contrato se extingue quando cumpridas as obrigações de ambas as partes, ainda que isso ocorra antes do prazo estipulado para tanto.</w:t>
      </w:r>
    </w:p>
    <w:p>
      <w:pPr>
        <w:pStyle w:val="Normal"/>
        <w:jc w:val="both"/>
        <w:rPr>
          <w:rFonts w:ascii="Calibri" w:hAnsi="Calibri"/>
          <w:sz w:val="24"/>
          <w:szCs w:val="24"/>
        </w:rPr>
      </w:pPr>
      <w:r>
        <w:rPr>
          <w:rFonts w:cs="Calibri Light" w:cstheme="majorHAnsi"/>
          <w:b/>
          <w:bCs/>
          <w:sz w:val="24"/>
          <w:szCs w:val="24"/>
          <w:lang w:val="pt-BR"/>
        </w:rPr>
        <w:t>14.2</w:t>
      </w:r>
      <w:r>
        <w:rPr>
          <w:rFonts w:cs="Calibri Light" w:cstheme="majorHAnsi"/>
          <w:sz w:val="24"/>
          <w:szCs w:val="24"/>
          <w:lang w:val="pt-BR"/>
        </w:rPr>
        <w:t>. Se as obrigações não forem cumpridas no prazo estipulado, a vigência ficará prorrogada até a conclusão do objeto, caso em que deverá a Administração providenciar a readequação do cronograma fixado para o contrato.</w:t>
      </w:r>
    </w:p>
    <w:p>
      <w:pPr>
        <w:pStyle w:val="Normal"/>
        <w:ind w:hanging="0" w:left="284"/>
        <w:jc w:val="both"/>
        <w:rPr>
          <w:rFonts w:ascii="Calibri" w:hAnsi="Calibri"/>
          <w:sz w:val="24"/>
          <w:szCs w:val="24"/>
        </w:rPr>
      </w:pPr>
      <w:r>
        <w:rPr>
          <w:rFonts w:cs="Calibri Light" w:cstheme="majorHAnsi"/>
          <w:b/>
          <w:bCs/>
          <w:sz w:val="24"/>
          <w:szCs w:val="24"/>
          <w:lang w:val="pt-BR"/>
        </w:rPr>
        <w:t>14.2.1</w:t>
      </w:r>
      <w:r>
        <w:rPr>
          <w:rFonts w:cs="Calibri Light" w:cstheme="majorHAnsi"/>
          <w:sz w:val="24"/>
          <w:szCs w:val="24"/>
          <w:lang w:val="pt-BR"/>
        </w:rPr>
        <w:t>. Quando a não conclusão do contrato referida no item anterior decorrer de culpa do contratado:</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ficará ele constituído em mora, sendo-lhe aplicáveis as respectivas sanções administrativas;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poderá a Administração optar pela extinção do contrato e, nesse caso, adotará as medidas admitidas em lei para a continuidade da execução contratual.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15. DOS CASOS OMISSOS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15.1</w:t>
      </w:r>
      <w:r>
        <w:rPr>
          <w:rFonts w:cs="Calibri Light" w:cstheme="majorHAnsi"/>
          <w:sz w:val="24"/>
          <w:szCs w:val="24"/>
          <w:lang w:val="pt-BR"/>
        </w:rPr>
        <w:t>. Os casos omissos serão decididos pela Contratante, segundo as disposições contidas na Lei 14.133/2021, demais normas aplicáveis e normas e princípios gerais dos contratos.</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16. DAS ALTERAÇÕES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16.1</w:t>
      </w:r>
      <w:r>
        <w:rPr>
          <w:rFonts w:cs="Calibri Light" w:cstheme="majorHAnsi"/>
          <w:sz w:val="24"/>
          <w:szCs w:val="24"/>
          <w:lang w:val="pt-BR"/>
        </w:rPr>
        <w:t>. Eventuais alterações contratuais reger-se-ão pela disciplina dos arts. 124 e seguintes da Lei 14.133/2021.</w:t>
      </w:r>
    </w:p>
    <w:p>
      <w:pPr>
        <w:pStyle w:val="Normal"/>
        <w:jc w:val="both"/>
        <w:rPr>
          <w:rFonts w:ascii="Calibri" w:hAnsi="Calibri"/>
          <w:sz w:val="24"/>
          <w:szCs w:val="24"/>
        </w:rPr>
      </w:pPr>
      <w:r>
        <w:rPr>
          <w:rFonts w:cs="Calibri Light" w:cstheme="majorHAnsi"/>
          <w:b/>
          <w:bCs/>
          <w:sz w:val="24"/>
          <w:szCs w:val="24"/>
          <w:lang w:val="pt-BR"/>
        </w:rPr>
        <w:t>16.2</w:t>
      </w:r>
      <w:r>
        <w:rPr>
          <w:rFonts w:cs="Calibri Light" w:cstheme="majorHAnsi"/>
          <w:sz w:val="24"/>
          <w:szCs w:val="24"/>
          <w:lang w:val="pt-BR"/>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cs="Calibri Light" w:cstheme="majorHAnsi"/>
          <w:b/>
          <w:bCs/>
          <w:sz w:val="24"/>
          <w:szCs w:val="24"/>
          <w:lang w:val="pt-BR"/>
        </w:rPr>
        <w:t>16.3</w:t>
      </w:r>
      <w:r>
        <w:rPr>
          <w:rFonts w:cs="Calibri Light" w:cstheme="majorHAnsi"/>
          <w:sz w:val="24"/>
          <w:szCs w:val="24"/>
          <w:lang w:val="pt-BR"/>
        </w:rPr>
        <w:t>. Registros que não caracterizam alteração do contrato podem ser realizados por simples apostila, dispensada a celebração de termo aditivo, na forma do art. 136 da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17. DA PUBLICAÇÃO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17.1</w:t>
      </w:r>
      <w:r>
        <w:rPr>
          <w:rFonts w:cs="Calibri Light" w:cstheme="majorHAnsi"/>
          <w:sz w:val="24"/>
          <w:szCs w:val="24"/>
          <w:lang w:val="pt-BR"/>
        </w:rPr>
        <w:t>. Incumbirá ao Contratante providenciar a publicação deste instrumento nos termos e condições previstas na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18. DO FORO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18.1</w:t>
      </w:r>
      <w:r>
        <w:rPr>
          <w:rFonts w:cs="Calibri Light" w:cstheme="majorHAnsi"/>
          <w:sz w:val="24"/>
          <w:szCs w:val="24"/>
          <w:lang w:val="pt-BR"/>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rFonts w:cs="Calibri Light" w:cstheme="majorHAnsi"/>
          <w:sz w:val="24"/>
          <w:szCs w:val="24"/>
          <w:lang w:val="pt-BR"/>
        </w:rPr>
        <w:t xml:space="preserve">Rio Grande, </w:t>
      </w:r>
      <w:r>
        <w:rPr>
          <w:rFonts w:cs="Calibri Light" w:cstheme="majorHAnsi"/>
          <w:sz w:val="24"/>
          <w:szCs w:val="24"/>
          <w:lang w:val="pt-BR"/>
        </w:rPr>
        <w:t>29</w:t>
      </w:r>
      <w:r>
        <w:rPr>
          <w:rFonts w:cs="Calibri Light" w:cstheme="majorHAnsi"/>
          <w:sz w:val="24"/>
          <w:szCs w:val="24"/>
          <w:lang w:val="pt-BR"/>
        </w:rPr>
        <w:t xml:space="preserve"> de julho de 2026.</w:t>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both"/>
        <w:rPr>
          <w:rFonts w:ascii="Calibri" w:hAnsi="Calibri" w:cs="Calibri Light"/>
          <w:sz w:val="24"/>
          <w:szCs w:val="24"/>
          <w:lang w:val="pt-BR"/>
        </w:rPr>
      </w:pPr>
      <w:r>
        <w:rPr>
          <w:rFonts w:cs="Calibri Light"/>
          <w:sz w:val="24"/>
          <w:szCs w:val="24"/>
          <w:lang w:val="pt-BR"/>
        </w:rPr>
      </w:r>
    </w:p>
    <w:p>
      <w:pPr>
        <w:pStyle w:val="Normal"/>
        <w:spacing w:lineRule="auto" w:line="276"/>
        <w:jc w:val="center"/>
        <w:rPr>
          <w:rFonts w:ascii="Aptos Narrow" w:hAnsi="Aptos Narrow" w:cs="Calibri Light"/>
          <w:b/>
          <w:bCs/>
          <w:sz w:val="24"/>
          <w:lang w:val="pt-BR"/>
        </w:rPr>
      </w:pPr>
      <w:r>
        <w:rPr>
          <w:rFonts w:eastAsia="Calibri" w:cs="Calibri Light" w:ascii="Aptos Narrow" w:hAnsi="Aptos Narrow" w:cstheme="majorHAnsi"/>
          <w:b/>
          <w:bCs/>
          <w:color w:val="auto"/>
          <w:kern w:val="0"/>
          <w:sz w:val="24"/>
          <w:szCs w:val="24"/>
          <w:lang w:val="pt-BR" w:eastAsia="en-US" w:bidi="ar-SA"/>
        </w:rPr>
        <w:t>Leandro Pereira Cardozo</w:t>
      </w:r>
    </w:p>
    <w:p>
      <w:pPr>
        <w:pStyle w:val="Normal"/>
        <w:jc w:val="center"/>
        <w:rPr>
          <w:rFonts w:ascii="Aptos Narrow" w:hAnsi="Aptos Narrow" w:cs="Calibri Light"/>
          <w:b/>
          <w:bCs/>
          <w:sz w:val="24"/>
          <w:lang w:val="pt-BR"/>
        </w:rPr>
      </w:pPr>
      <w:bookmarkStart w:id="4" w:name="_Hlk126604625"/>
      <w:r>
        <w:rPr>
          <w:rFonts w:cs="Arial" w:ascii="Aptos Narrow" w:hAnsi="Aptos Narrow"/>
          <w:b/>
          <w:bCs/>
          <w:sz w:val="24"/>
          <w:szCs w:val="24"/>
          <w:lang w:val="pt-BR"/>
        </w:rPr>
        <w:t>Secretário de Município de Compras e Licitações</w:t>
      </w:r>
      <w:bookmarkEnd w:id="4"/>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lang w:val="pt-BR"/>
        </w:rPr>
      </w:pPr>
      <w:r>
        <w:rPr>
          <w:sz w:val="24"/>
          <w:szCs w:val="24"/>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Cambria">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5802630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9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-6120130</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9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400050</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4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5802630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9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-6120130</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9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400050</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4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-2062480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4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-2062480</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4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Default">
    <w:name w:val="Default"/>
    <w:qFormat/>
    <w:pPr>
      <w:widowControl/>
      <w:suppressAutoHyphens w:val="true"/>
      <w:bidi w:val="0"/>
      <w:spacing w:before="0" w:after="0"/>
      <w:jc w:val="left"/>
    </w:pPr>
    <w:rPr>
      <w:rFonts w:ascii="Cambria" w:hAnsi="Cambria" w:eastAsia="Calibri" w:cs=""/>
      <w:color w:val="000000"/>
      <w:kern w:val="0"/>
      <w:sz w:val="24"/>
      <w:szCs w:val="24"/>
      <w:lang w:val="pt-BR" w:eastAsia="en-US" w:bidi="ar-SA"/>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1018</TotalTime>
  <Application>LibreOffice/26.2.4.2$Windows_X86_64 LibreOffice_project/0229ac93fcf0d7cbc6376066c6f35021cef002dc</Application>
  <AppVersion>15.0000</AppVersion>
  <Pages>14</Pages>
  <Words>4752</Words>
  <Characters>27342</Characters>
  <CharactersWithSpaces>31920</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2025-02-05T09:09:00Z</dcterms:created>
  <dc:creator>Maria Teresa F Corrêa</dc:creator>
  <dc:description/>
  <dc:language>pt-BR</dc:language>
  <cp:lastModifiedBy/>
  <cp:lastPrinted>2024-06-25T13:28:21Z</cp:lastPrinted>
  <dcterms:modified xsi:type="dcterms:W3CDTF">2026-07-29T15:10:17Z</dcterms:modified>
  <cp:revision>125</cp:revision>
  <dc:subject/>
  <dc:title>Parecer Juridico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