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114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jogos e recursos pedagógicos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</w:t>
      </w:r>
      <w:r>
        <w:rPr>
          <w:rFonts w:eastAsia="Times New Roman" w:cs="Arial" w:ascii="Arial" w:hAnsi="Arial"/>
          <w:sz w:val="22"/>
          <w:szCs w:val="22"/>
        </w:rPr>
        <w:t>6</w:t>
      </w:r>
      <w:r>
        <w:rPr>
          <w:rFonts w:eastAsia="Times New Roman" w:cs="Arial" w:ascii="Arial" w:hAnsi="Arial"/>
          <w:sz w:val="22"/>
          <w:szCs w:val="22"/>
        </w:rPr>
        <w:t>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9" behindDoc="1" locked="0" layoutInCell="1" allowOverlap="1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4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17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2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7" behindDoc="1" locked="0" layoutInCell="1" allowOverlap="1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2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LibreOffice/26.2.4.2$Windows_X86_64 LibreOffice_project/0229ac93fcf0d7cbc6376066c6f35021cef002dc</Application>
  <AppVersion>15.0000</AppVersion>
  <Pages>2</Pages>
  <Words>346</Words>
  <Characters>2479</Characters>
  <CharactersWithSpaces>2754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2026-10-08T10:33:08Z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