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b/>
          <w:bCs/>
          <w:sz w:val="24"/>
          <w:highlight w:val="cyan"/>
        </w:rPr>
      </w:pPr>
      <w:r>
        <w:rPr>
          <w:rFonts w:ascii="Aptos Narrow" w:hAnsi="Aptos Narrow"/>
          <w:b/>
          <w:bCs/>
          <w:sz w:val="24"/>
          <w:highlight w:val="cyan"/>
        </w:rPr>
      </w:r>
    </w:p>
    <w:p>
      <w:pPr>
        <w:pStyle w:val="Normal"/>
        <w:widowControl/>
        <w:suppressAutoHyphens w:val="true"/>
        <w:bidi w:val="0"/>
        <w:spacing w:before="0" w:after="0"/>
        <w:ind w:hanging="0" w:left="3912" w:right="0"/>
        <w:jc w:val="both"/>
        <w:rPr>
          <w:rFonts w:ascii="Aptos Narrow" w:hAnsi="Aptos Narrow"/>
          <w:b/>
          <w:bCs/>
          <w:sz w:val="24"/>
        </w:rPr>
      </w:pPr>
      <w:r>
        <w:rPr>
          <w:rFonts w:ascii="Aptos Narrow" w:hAnsi="Aptos Narrow"/>
          <w:b/>
          <w:bCs/>
          <w:sz w:val="24"/>
        </w:rPr>
        <w:t xml:space="preserve">CONTRATO ADMINISTRATIVO </w:t>
      </w:r>
      <w:r>
        <w:rPr>
          <w:rFonts w:ascii="Aptos Narrow" w:hAnsi="Aptos Narrow"/>
          <w:b/>
          <w:bCs/>
          <w:sz w:val="24"/>
          <w:highlight w:val="yellow"/>
        </w:rPr>
        <w:t>000/2026</w:t>
      </w:r>
      <w:r>
        <w:rPr>
          <w:rFonts w:ascii="Aptos Narrow" w:hAnsi="Aptos Narrow"/>
          <w:b/>
          <w:bCs/>
          <w:sz w:val="24"/>
        </w:rPr>
        <w:t>, FIRMADO ENTRE O MUNICÍPIO DO RIO GRANDE/RS, POR INTERMÉDIO DA SECRETARIA DE MUNICÍPIO DE COMPRAS E LICITAÇÕES E [</w:t>
      </w:r>
      <w:r>
        <w:rPr>
          <w:rFonts w:ascii="Aptos Narrow" w:hAnsi="Aptos Narrow"/>
          <w:b/>
          <w:bCs/>
          <w:sz w:val="24"/>
          <w:highlight w:val="yellow"/>
        </w:rPr>
        <w:t>NOME DO CONTRATADO</w:t>
      </w:r>
      <w:r>
        <w:rPr>
          <w:rFonts w:ascii="Aptos Narrow" w:hAnsi="Aptos Narrow"/>
          <w:b/>
          <w:bCs/>
          <w:sz w:val="24"/>
        </w:rPr>
        <w:t xml:space="preserve">], DE ACORDO COM A </w:t>
      </w:r>
      <w:r>
        <w:rPr>
          <w:rFonts w:ascii="Aptos Narrow" w:hAnsi="Aptos Narrow"/>
          <w:b/>
          <w:bCs/>
          <w:sz w:val="24"/>
          <w:highlight w:val="yellow"/>
        </w:rPr>
        <w:t xml:space="preserve">CONCORRÊNCIA </w:t>
      </w:r>
      <w:r>
        <w:rPr>
          <w:rFonts w:ascii="Aptos Narrow" w:hAnsi="Aptos Narrow"/>
          <w:b/>
          <w:bCs/>
          <w:sz w:val="24"/>
          <w:highlight w:val="yellow"/>
        </w:rPr>
        <w:t>058</w:t>
      </w:r>
      <w:r>
        <w:rPr>
          <w:rFonts w:ascii="Aptos Narrow" w:hAnsi="Aptos Narrow"/>
          <w:b/>
          <w:bCs/>
          <w:sz w:val="24"/>
          <w:highlight w:val="yellow"/>
        </w:rPr>
        <w:t>/2026, SOB A FORMA ELETRÔNICA</w:t>
      </w:r>
      <w:r>
        <w:rPr>
          <w:rFonts w:ascii="Aptos Narrow" w:hAnsi="Aptos Narrow"/>
          <w:b/>
          <w:bCs/>
          <w:sz w:val="24"/>
        </w:rPr>
        <w:t>, OBRA DE ENGENHARIA PARA MELHORIA NA ESTRUTURA DA ÁREA OCUPADA PELA ALDEIA GOJ TÁNH E NA ÁREA DO ACAMPAMENTO SAZONAL DA POPULAÇÃO KAINGANG, NO MUNICÍPIO DE RIO GRANDE/RS.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CONTRATANTE</w:t>
      </w:r>
      <w:r>
        <w:rPr>
          <w:rFonts w:ascii="Aptos Narrow" w:hAnsi="Aptos Narrow"/>
          <w:sz w:val="24"/>
        </w:rPr>
        <w:t xml:space="preserve">: MUNICÍPIO DO RIO GRANDE,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rPr>
        <w:t>pelo Secretário de Município de Compras e Licitações – SMCLIC, Sr. Leandro Pereira Cardozo, inscrito no CPF 978.764.960-91.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CONTRATADO(A)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 xml:space="preserve">Tendo em vista o que consta no Processo Administrativo Digital </w:t>
      </w:r>
      <w:r>
        <w:rPr>
          <w:rFonts w:ascii="Aptos Narrow" w:hAnsi="Aptos Narrow"/>
          <w:b/>
          <w:bCs/>
          <w:sz w:val="24"/>
        </w:rPr>
        <w:t>40977</w:t>
      </w:r>
      <w:r>
        <w:rPr>
          <w:rFonts w:cs="" w:ascii="Aptos Narrow" w:hAnsi="Aptos Narrow" w:cstheme="minorBidi"/>
          <w:b/>
          <w:bCs/>
          <w:sz w:val="24"/>
          <w:shd w:fill="auto" w:val="clear"/>
        </w:rPr>
        <w:t>/2026</w:t>
      </w:r>
      <w:r>
        <w:rPr>
          <w:rFonts w:ascii="Aptos Narrow" w:hAnsi="Aptos Narrow"/>
          <w:sz w:val="24"/>
        </w:rPr>
        <w:t xml:space="preserve"> e em observância às disposições da Lei 14.133, de 1º de abril de 2021, dos Decretos  Municipais 19.707 de 19/01/2023 e 19.710, de 24/01/2023; resolvem celebrar o presente, decorrente da </w:t>
      </w:r>
      <w:r>
        <w:rPr>
          <w:rFonts w:cs="" w:ascii="Aptos Narrow" w:hAnsi="Aptos Narrow" w:cstheme="minorBidi"/>
          <w:sz w:val="24"/>
          <w:shd w:fill="auto" w:val="clear"/>
        </w:rPr>
        <w:t>Concorrência 0</w:t>
      </w:r>
      <w:r>
        <w:rPr>
          <w:rFonts w:cs="" w:ascii="Aptos Narrow" w:hAnsi="Aptos Narrow" w:cstheme="minorBidi"/>
          <w:sz w:val="24"/>
          <w:shd w:fill="auto" w:val="clear"/>
        </w:rPr>
        <w:t>58</w:t>
      </w:r>
      <w:r>
        <w:rPr>
          <w:rFonts w:cs="" w:ascii="Aptos Narrow" w:hAnsi="Aptos Narrow" w:cstheme="minorBidi"/>
          <w:sz w:val="24"/>
          <w:shd w:fill="FFFF00" w:val="clear"/>
        </w:rPr>
        <w:t>/2026</w:t>
      </w:r>
      <w:r>
        <w:rPr>
          <w:rFonts w:cs="" w:ascii="Aptos Narrow" w:hAnsi="Aptos Narrow" w:cstheme="minorBidi"/>
          <w:sz w:val="24"/>
          <w:shd w:fill="auto" w:val="clear"/>
        </w:rPr>
        <w:t>,</w:t>
      </w:r>
      <w:r>
        <w:rPr>
          <w:rFonts w:ascii="Aptos Narrow" w:hAnsi="Aptos Narrow"/>
          <w:sz w:val="24"/>
        </w:rPr>
        <w:t xml:space="preserve"> sob a forma eletrônica, mediante as cláusulas e condições seguintes: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PRIMEIRA - DO OBJETO:</w:t>
            </w:r>
          </w:p>
        </w:tc>
      </w:tr>
    </w:tbl>
    <w:p>
      <w:pPr>
        <w:pStyle w:val="Normal"/>
        <w:jc w:val="both"/>
        <w:rPr>
          <w:rFonts w:ascii="Aptos Narrow" w:hAnsi="Aptos Narrow"/>
          <w:sz w:val="24"/>
        </w:rPr>
      </w:pPr>
      <w:r>
        <w:rPr>
          <w:rFonts w:ascii="Aptos Narrow" w:hAnsi="Aptos Narrow"/>
          <w:b/>
          <w:bCs/>
          <w:sz w:val="24"/>
        </w:rPr>
        <w:t>1.1</w:t>
      </w:r>
      <w:r>
        <w:rPr>
          <w:rFonts w:ascii="Aptos Narrow" w:hAnsi="Aptos Narrow"/>
          <w:sz w:val="24"/>
        </w:rPr>
        <w:t>. Constitui objeto deste instrumento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xml:space="preserve"> a execução de Obra de engenharia para Melhoria na estrutura da área ocupada pela Aldeia Goj Tánh e na área do Acampamento sazonal da população Kaingang, no Município de Rio Grande/RS,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PT" w:eastAsia="zh-CN" w:bidi="hi-IN"/>
        </w:rPr>
        <w:t>conforme condições, quantidades e exigências estabelecidas de acordo com Memorial Descritivo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Termo de Referência e demais termos e documentos técnicos anexos ao processo</w:t>
      </w:r>
      <w:r>
        <w:rPr>
          <w:rFonts w:ascii="Aptos Narrow" w:hAnsi="Aptos Narrow"/>
          <w:sz w:val="24"/>
        </w:rPr>
        <w:t>, na forma abaixo descrita:</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tbl>
      <w:tblPr>
        <w:tblStyle w:val="Tabelacomgrade"/>
        <w:tblW w:w="9225"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690"/>
        <w:gridCol w:w="3654"/>
        <w:gridCol w:w="1429"/>
        <w:gridCol w:w="1083"/>
        <w:gridCol w:w="1304"/>
        <w:gridCol w:w="1065"/>
      </w:tblGrid>
      <w:tr>
        <w:trPr/>
        <w:tc>
          <w:tcPr>
            <w:tcW w:w="690"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Item</w:t>
            </w:r>
          </w:p>
        </w:tc>
        <w:tc>
          <w:tcPr>
            <w:tcW w:w="365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Descrição</w:t>
            </w:r>
          </w:p>
        </w:tc>
        <w:tc>
          <w:tcPr>
            <w:tcW w:w="1429"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Unidade de medida</w:t>
            </w:r>
          </w:p>
        </w:tc>
        <w:tc>
          <w:tcPr>
            <w:tcW w:w="1083"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Qtde.</w:t>
            </w:r>
          </w:p>
        </w:tc>
        <w:tc>
          <w:tcPr>
            <w:tcW w:w="130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Unit.</w:t>
            </w:r>
          </w:p>
        </w:tc>
        <w:tc>
          <w:tcPr>
            <w:tcW w:w="1065"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Total</w:t>
            </w:r>
          </w:p>
        </w:tc>
      </w:tr>
      <w:tr>
        <w:trPr/>
        <w:tc>
          <w:tcPr>
            <w:tcW w:w="69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01</w:t>
            </w:r>
          </w:p>
        </w:tc>
        <w:tc>
          <w:tcPr>
            <w:tcW w:w="3654" w:type="dxa"/>
            <w:tcBorders/>
          </w:tcPr>
          <w:p>
            <w:pPr>
              <w:pStyle w:val="Normal"/>
              <w:widowControl w:val="false"/>
              <w:suppressAutoHyphens w:val="false"/>
              <w:rPr>
                <w:rFonts w:ascii="Aptos Narrow" w:hAnsi="Aptos Narrow" w:cs="Calibri Light"/>
                <w:sz w:val="24"/>
                <w:szCs w:val="20"/>
              </w:rPr>
            </w:pPr>
            <w:r>
              <w:rPr>
                <w:rFonts w:eastAsia="Aptos Narrow" w:cs="Calibri Light" w:ascii="Aptos Narrow" w:hAnsi="Aptos Narrow"/>
                <w:b w:val="false"/>
                <w:i w:val="false"/>
                <w:caps w:val="false"/>
                <w:smallCaps w:val="false"/>
                <w:strike w:val="false"/>
                <w:dstrike w:val="false"/>
                <w:color w:val="000000"/>
                <w:kern w:val="0"/>
                <w:position w:val="0"/>
                <w:sz w:val="24"/>
                <w:szCs w:val="20"/>
                <w:u w:val="none"/>
                <w:shd w:fill="auto" w:val="clear"/>
                <w:vertAlign w:val="baseline"/>
                <w:lang w:val="pt-PT" w:eastAsia="zh-CN" w:bidi="hi-IN"/>
              </w:rPr>
              <w:t>Obra de engenharia para Melhoria na estrutura da área ocupada pela Aldeia Goj Tánh e na área do Acampamento sazonal da população Kaingang, no Município de Rio Grande/RS</w:t>
            </w:r>
          </w:p>
        </w:tc>
        <w:tc>
          <w:tcPr>
            <w:tcW w:w="1429"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unid</w:t>
            </w:r>
          </w:p>
        </w:tc>
        <w:tc>
          <w:tcPr>
            <w:tcW w:w="1083"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01</w:t>
            </w:r>
          </w:p>
        </w:tc>
        <w:tc>
          <w:tcPr>
            <w:tcW w:w="1304"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06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r>
    </w:tbl>
    <w:p>
      <w:pPr>
        <w:pStyle w:val="Normal"/>
        <w:jc w:val="both"/>
        <w:rPr>
          <w:rFonts w:ascii="Aptos Narrow" w:hAnsi="Aptos Narrow"/>
          <w:sz w:val="24"/>
        </w:rPr>
      </w:pPr>
      <w:r>
        <w:rPr>
          <w:rFonts w:ascii="Aptos Narrow" w:hAnsi="Aptos Narrow"/>
          <w:sz w:val="24"/>
        </w:rPr>
        <w:tab/>
        <w:tab/>
        <w:tab/>
        <w:tab/>
        <w:tab/>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São anexos a este instrumento e vinculam esta contratação, independentemente de transcrição:</w:t>
      </w:r>
    </w:p>
    <w:p>
      <w:pPr>
        <w:pStyle w:val="Normal"/>
        <w:ind w:hanging="0" w:left="284"/>
        <w:jc w:val="both"/>
        <w:rPr>
          <w:rFonts w:ascii="Aptos Narrow" w:hAnsi="Aptos Narrow"/>
          <w:sz w:val="24"/>
        </w:rPr>
      </w:pPr>
      <w:r>
        <w:rPr>
          <w:rFonts w:ascii="Aptos Narrow" w:hAnsi="Aptos Narrow"/>
          <w:b/>
          <w:bCs/>
          <w:sz w:val="24"/>
        </w:rPr>
        <w:t>1.2.1</w:t>
      </w:r>
      <w:r>
        <w:rPr>
          <w:rFonts w:ascii="Aptos Narrow" w:hAnsi="Aptos Narrow"/>
          <w:sz w:val="24"/>
        </w:rPr>
        <w:t>. O Termo de Referência que embasou a contratação.</w:t>
      </w:r>
    </w:p>
    <w:p>
      <w:pPr>
        <w:pStyle w:val="Normal"/>
        <w:ind w:hanging="0" w:left="284"/>
        <w:jc w:val="both"/>
        <w:rPr>
          <w:rFonts w:ascii="Aptos Narrow" w:hAnsi="Aptos Narrow"/>
          <w:sz w:val="24"/>
        </w:rPr>
      </w:pPr>
      <w:r>
        <w:rPr>
          <w:rFonts w:ascii="Aptos Narrow" w:hAnsi="Aptos Narrow"/>
          <w:b/>
          <w:bCs/>
          <w:sz w:val="24"/>
        </w:rPr>
        <w:t>1.2.2</w:t>
      </w:r>
      <w:r>
        <w:rPr>
          <w:rFonts w:ascii="Aptos Narrow" w:hAnsi="Aptos Narrow"/>
          <w:sz w:val="24"/>
        </w:rPr>
        <w:t>. O Edital da Licitação.</w:t>
      </w:r>
    </w:p>
    <w:p>
      <w:pPr>
        <w:pStyle w:val="Normal"/>
        <w:ind w:hanging="0" w:left="284"/>
        <w:jc w:val="both"/>
        <w:rPr>
          <w:rFonts w:ascii="Aptos Narrow" w:hAnsi="Aptos Narrow"/>
          <w:sz w:val="24"/>
        </w:rPr>
      </w:pPr>
      <w:r>
        <w:rPr>
          <w:rFonts w:ascii="Aptos Narrow" w:hAnsi="Aptos Narrow"/>
          <w:b/>
          <w:bCs/>
          <w:sz w:val="24"/>
        </w:rPr>
        <w:t>1.2.3</w:t>
      </w:r>
      <w:r>
        <w:rPr>
          <w:rFonts w:ascii="Aptos Narrow" w:hAnsi="Aptos Narrow"/>
          <w:sz w:val="24"/>
        </w:rPr>
        <w:t>. A Proposta do Contratado.</w:t>
      </w:r>
    </w:p>
    <w:p>
      <w:pPr>
        <w:pStyle w:val="Normal"/>
        <w:ind w:hanging="0" w:left="284"/>
        <w:jc w:val="both"/>
        <w:rPr>
          <w:rFonts w:ascii="Aptos Narrow" w:hAnsi="Aptos Narrow"/>
          <w:sz w:val="24"/>
        </w:rPr>
      </w:pPr>
      <w:r>
        <w:rPr>
          <w:rFonts w:ascii="Aptos Narrow" w:hAnsi="Aptos Narrow"/>
          <w:b/>
          <w:bCs/>
          <w:sz w:val="24"/>
        </w:rPr>
        <w:t>1.2.4</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xml:space="preserve">. O regime de execução contratual será o de </w:t>
      </w:r>
      <w:r>
        <w:rPr>
          <w:rFonts w:cs="" w:ascii="Aptos Narrow" w:hAnsi="Aptos Narrow" w:cstheme="minorBidi"/>
          <w:sz w:val="24"/>
          <w:shd w:fill="auto" w:val="clear"/>
        </w:rPr>
        <w:t>empreitada por preço global.</w:t>
      </w:r>
      <w:r>
        <w:rPr>
          <w:rFonts w:ascii="Aptos Narrow" w:hAnsi="Aptos Narrow"/>
          <w:sz w:val="24"/>
        </w:rPr>
        <w:t xml:space="preserve"> </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SEGUNDA - DA EXECUÇÃO,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O prazo de execução dos serviços será de 05 (cinco) meses, contados a partir da ordem de inícios dos serviços, estando inclusos os prazos para os recebimentos provisório e definitivo, ou seja, engloba e encerra tanto a execução física dos serviços quanto os prazos regulamentares para a emissão dos Termos de Recebimento Provisório e Definitivo a entrega total da obra.</w:t>
      </w:r>
    </w:p>
    <w:p>
      <w:pPr>
        <w:pStyle w:val="Normal"/>
        <w:jc w:val="both"/>
        <w:rPr/>
      </w:pPr>
      <w:r>
        <w:rPr>
          <w:rFonts w:ascii="Aptos Narrow" w:hAnsi="Aptos Narrow"/>
          <w:b/>
          <w:bCs/>
          <w:sz w:val="24"/>
        </w:rPr>
        <w:t xml:space="preserve">2.2. </w:t>
      </w:r>
      <w:r>
        <w:rPr>
          <w:rFonts w:ascii="Aptos Narrow" w:hAnsi="Aptos Narrow"/>
          <w:b w:val="false"/>
          <w:bCs w:val="false"/>
          <w:sz w:val="24"/>
        </w:rPr>
        <w:t>O prazo de vigência da contratação é de 12 meses, contados da assinatura do contrato, na forma do art. 105 da Lei 14.133/2021</w:t>
      </w:r>
      <w:r>
        <w:rPr>
          <w:rFonts w:ascii="Aptos Narrow" w:hAnsi="Aptos Narrow"/>
          <w:b/>
          <w:bCs/>
          <w:sz w:val="24"/>
        </w:rPr>
        <w:t>.</w:t>
      </w:r>
    </w:p>
    <w:p>
      <w:pPr>
        <w:pStyle w:val="Normal"/>
        <w:jc w:val="both"/>
        <w:rPr>
          <w:rFonts w:ascii="Aptos Narrow" w:hAnsi="Aptos Narrow"/>
          <w:sz w:val="24"/>
        </w:rPr>
      </w:pPr>
      <w:r>
        <w:rPr>
          <w:rFonts w:ascii="Aptos Narrow" w:hAnsi="Aptos Narrow"/>
          <w:b/>
          <w:bCs/>
          <w:sz w:val="24"/>
        </w:rPr>
        <w:t>2.3</w:t>
      </w:r>
      <w:r>
        <w:rPr>
          <w:rFonts w:ascii="Aptos Narrow" w:hAnsi="Aptos Narrow"/>
          <w:sz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TERCEIRA - DO PREÇO:</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total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 xml:space="preserve">), sendo que os pagamentos serão conforme as medições efetivas, estas sendo realizadas de acordo com cada etapa prevista no cronograma físico-financeiro da obra. </w:t>
      </w:r>
    </w:p>
    <w:p>
      <w:pPr>
        <w:pStyle w:val="Normal"/>
        <w:jc w:val="both"/>
        <w:rPr>
          <w:rFonts w:ascii="Aptos Narrow" w:hAnsi="Aptos Narrow"/>
          <w:sz w:val="24"/>
        </w:rPr>
      </w:pPr>
      <w:r>
        <w:rPr>
          <w:rFonts w:ascii="Aptos Narrow" w:hAnsi="Aptos Narrow"/>
          <w:b/>
          <w:bCs/>
          <w:sz w:val="24"/>
        </w:rPr>
        <w:t>3.2</w:t>
      </w:r>
      <w:r>
        <w:rPr>
          <w:rFonts w:ascii="Aptos Narrow" w:hAnsi="Aptos Narrow"/>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QUARTA - DA FORMA DE PAGAMENTO:</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xml:space="preserve">. </w:t>
      </w:r>
      <w:r>
        <w:rPr>
          <w:rFonts w:eastAsia="HG Mincho Light J" w:cs="Times New Roman" w:ascii="Aptos Narrow" w:hAnsi="Aptos Narrow"/>
          <w:color w:val="000000"/>
          <w:kern w:val="0"/>
          <w:sz w:val="24"/>
          <w:szCs w:val="24"/>
          <w:lang w:val="pt-PT" w:eastAsia="zh-CN" w:bidi="ar-SA"/>
        </w:rPr>
        <w:t>A liquidação e o pagamento se dará na forma do art 1°, VIII da Ordem de Serviço n° 001, de 14 de fevereiro de 2025 do Gabinete da Prefeita.</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QUINTA - DO REAJUSTE:</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data do orçamento estimado.</w:t>
      </w:r>
    </w:p>
    <w:p>
      <w:pPr>
        <w:pStyle w:val="Normal"/>
        <w:ind w:hanging="0" w:left="284"/>
        <w:jc w:val="both"/>
        <w:rPr>
          <w:rFonts w:ascii="Aptos Narrow" w:hAnsi="Aptos Narrow" w:eastAsia="Calibri" w:cs=""/>
          <w:color w:val="auto"/>
          <w:kern w:val="0"/>
          <w:sz w:val="24"/>
          <w:szCs w:val="24"/>
          <w:highlight w:val="none"/>
          <w:shd w:fill="auto" w:val="clear"/>
          <w:lang w:val="pt-BR" w:eastAsia="en-US" w:bidi="ar-SA"/>
        </w:rPr>
      </w:pPr>
      <w:r>
        <w:rPr>
          <w:rFonts w:eastAsia="Calibri" w:cs="" w:ascii="Aptos Narrow" w:hAnsi="Aptos Narrow" w:cstheme="minorBidi" w:eastAsiaTheme="minorHAnsi"/>
          <w:b/>
          <w:bCs/>
          <w:color w:val="000000"/>
          <w:kern w:val="0"/>
          <w:sz w:val="24"/>
          <w:szCs w:val="24"/>
          <w:shd w:fill="auto" w:val="clear"/>
          <w:lang w:val="pt-BR" w:eastAsia="en-US" w:bidi="ar-SA"/>
        </w:rPr>
        <w:t>5.1.1</w:t>
      </w:r>
      <w:r>
        <w:rPr>
          <w:rFonts w:eastAsia="Calibri" w:cs="" w:ascii="Aptos Narrow" w:hAnsi="Aptos Narrow" w:cstheme="minorBidi" w:eastAsiaTheme="minorHAnsi"/>
          <w:color w:val="000000"/>
          <w:kern w:val="0"/>
          <w:sz w:val="24"/>
          <w:szCs w:val="24"/>
          <w:shd w:fill="auto" w:val="clear"/>
          <w:lang w:val="pt-BR" w:eastAsia="en-US" w:bidi="ar-SA"/>
        </w:rPr>
        <w:t>. O orçamento estimado pela Administração baseou-se nas planilhas referenciais, elaboradas com no SINAPI do mês de fevereiro do ano de 2026.</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Aptos Narrow" w:hAnsi="Aptos Narrow"/>
          <w:sz w:val="24"/>
        </w:rPr>
      </w:pPr>
      <w:r>
        <w:rPr>
          <w:rFonts w:ascii="Aptos Narrow" w:hAnsi="Aptos Narrow"/>
          <w:b/>
          <w:bCs/>
          <w:sz w:val="24"/>
        </w:rPr>
        <w:t>5.4.1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O reajuste será realizado por apostilamento.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SEXTA - DA FONTE DE RECURSOS:</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Normal"/>
        <w:jc w:val="both"/>
        <w:rPr>
          <w:rFonts w:ascii="Aptos Narrow" w:hAnsi="Aptos Narrow"/>
        </w:rPr>
      </w:pPr>
      <w:r>
        <w:rPr>
          <w:rFonts w:ascii="Aptos Narrow" w:hAnsi="Aptos Narrow"/>
        </w:rPr>
        <w:t>16 – SECRETARIA DE MUNICÍPIO DO CASSINO</w:t>
      </w:r>
    </w:p>
    <w:p>
      <w:pPr>
        <w:pStyle w:val="Normal"/>
        <w:jc w:val="both"/>
        <w:rPr>
          <w:rFonts w:ascii="Aptos Narrow" w:hAnsi="Aptos Narrow"/>
        </w:rPr>
      </w:pPr>
      <w:r>
        <w:rPr>
          <w:rFonts w:ascii="Aptos Narrow" w:hAnsi="Aptos Narrow"/>
        </w:rPr>
        <w:t>002 - COMPLEXO TÉCNICO</w:t>
      </w:r>
    </w:p>
    <w:p>
      <w:pPr>
        <w:pStyle w:val="Normal"/>
        <w:jc w:val="both"/>
        <w:rPr>
          <w:rFonts w:ascii="Aptos Narrow" w:hAnsi="Aptos Narrow"/>
        </w:rPr>
      </w:pPr>
      <w:r>
        <w:rPr>
          <w:rFonts w:ascii="Aptos Narrow" w:hAnsi="Aptos Narrow"/>
        </w:rPr>
        <w:t>15 - URBANISMO</w:t>
      </w:r>
    </w:p>
    <w:p>
      <w:pPr>
        <w:pStyle w:val="Normal"/>
        <w:jc w:val="both"/>
        <w:rPr>
          <w:rFonts w:ascii="Aptos Narrow" w:hAnsi="Aptos Narrow"/>
        </w:rPr>
      </w:pPr>
      <w:r>
        <w:rPr>
          <w:rFonts w:ascii="Aptos Narrow" w:hAnsi="Aptos Narrow"/>
        </w:rPr>
        <w:t>451 - INFRA-ESTRUTURA URBANA</w:t>
      </w:r>
    </w:p>
    <w:p>
      <w:pPr>
        <w:pStyle w:val="Normal"/>
        <w:jc w:val="both"/>
        <w:rPr>
          <w:rFonts w:ascii="Aptos Narrow" w:hAnsi="Aptos Narrow"/>
        </w:rPr>
      </w:pPr>
      <w:r>
        <w:rPr>
          <w:rFonts w:ascii="Aptos Narrow" w:hAnsi="Aptos Narrow"/>
        </w:rPr>
        <w:t>0007 - PROGRAMA BAIRRO VIVO</w:t>
      </w:r>
    </w:p>
    <w:p>
      <w:pPr>
        <w:pStyle w:val="Normal"/>
        <w:jc w:val="both"/>
        <w:rPr>
          <w:rFonts w:ascii="Aptos Narrow" w:hAnsi="Aptos Narrow"/>
        </w:rPr>
      </w:pPr>
      <w:r>
        <w:rPr>
          <w:rFonts w:ascii="Aptos Narrow" w:hAnsi="Aptos Narrow"/>
        </w:rPr>
        <w:t>2101 - MANUTENÇÃO DE ÁREAS E EQUIPAMENTOS PÚBLICOS</w:t>
      </w:r>
    </w:p>
    <w:p>
      <w:pPr>
        <w:pStyle w:val="Normal"/>
        <w:jc w:val="both"/>
        <w:rPr>
          <w:rFonts w:ascii="Aptos Narrow" w:hAnsi="Aptos Narrow"/>
        </w:rPr>
      </w:pPr>
      <w:r>
        <w:rPr>
          <w:rFonts w:ascii="Aptos Narrow" w:hAnsi="Aptos Narrow"/>
        </w:rPr>
        <w:t>ELEMENTO DE DESPESA: 4.4.90.51 – Obras e Instalações</w:t>
      </w:r>
    </w:p>
    <w:p>
      <w:pPr>
        <w:pStyle w:val="Normal"/>
        <w:jc w:val="both"/>
        <w:rPr>
          <w:rFonts w:ascii="Aptos Narrow" w:hAnsi="Aptos Narrow"/>
        </w:rPr>
      </w:pPr>
      <w:r>
        <w:rPr>
          <w:rFonts w:ascii="Aptos Narrow" w:hAnsi="Aptos Narrow"/>
        </w:rPr>
        <w:t>RECURSO: 1669.2146 - Povos Indígenas PE 5002263-94.2026.4.04.7101/MPF</w:t>
      </w:r>
    </w:p>
    <w:p>
      <w:pPr>
        <w:pStyle w:val="Normal"/>
        <w:jc w:val="both"/>
        <w:rPr>
          <w:rFonts w:ascii="Aptos Narrow" w:hAnsi="Aptos Narrow"/>
        </w:rPr>
      </w:pPr>
      <w:r>
        <w:rPr>
          <w:rFonts w:ascii="Aptos Narrow" w:hAnsi="Aptos Narrow"/>
        </w:rPr>
        <w:t>CÓD REDUZIDO: 3019</w:t>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modelo de gestão, assim como os prazos e condições de conclusão, entrega, observação e recebimento constam no Termo de Referência/Memorial Descritivo.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Referência/Memorial Descritivo e demais anexos da licitação.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memorial descritivo/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pPr>
        <w:pStyle w:val="Normal"/>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pPr>
        <w:pStyle w:val="Normal"/>
        <w:ind w:hanging="0"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pPr>
        <w:pStyle w:val="Normal"/>
        <w:ind w:hanging="0"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pPr>
        <w:pStyle w:val="Normal"/>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pPr>
        <w:pStyle w:val="Normal"/>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 DAS OBRIGAÇÕES DO CONTRATADO: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da obra ou do serviço para representá-lo na execução do contrato.</w:t>
      </w:r>
    </w:p>
    <w:p>
      <w:pPr>
        <w:pStyle w:val="Normal"/>
        <w:ind w:hanging="0" w:left="284"/>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sz w:val="24"/>
        </w:rPr>
      </w:pPr>
      <w:r>
        <w:rPr>
          <w:rFonts w:ascii="Aptos Narrow" w:hAnsi="Aptos Narrow"/>
          <w:b/>
          <w:bCs/>
          <w:sz w:val="24"/>
        </w:rPr>
        <w:t>10.6</w:t>
      </w:r>
      <w:r>
        <w:rPr>
          <w:rFonts w:ascii="Aptos Narrow" w:hAnsi="Aptos Narrow"/>
          <w:sz w:val="24"/>
        </w:rPr>
        <w:t>. Não utilizar</w:t>
      </w:r>
      <w:r>
        <w:rPr>
          <w:rFonts w:cs="Calibri Light" w:ascii="Aptos Narrow" w:hAnsi="Aptos Narrow" w:cstheme="majorHAnsi"/>
          <w:sz w:val="24"/>
          <w:lang w:val="pt-BR"/>
        </w:rPr>
        <w:t>, sob nenhuma hipótese, veículo de tração animal para a execução do objeto contratual.</w:t>
      </w:r>
    </w:p>
    <w:p>
      <w:pPr>
        <w:pStyle w:val="Normal"/>
        <w:jc w:val="both"/>
        <w:rPr>
          <w:rFonts w:ascii="Aptos Narrow" w:hAnsi="Aptos Narrow"/>
          <w:sz w:val="24"/>
        </w:rPr>
      </w:pPr>
      <w:r>
        <w:rPr>
          <w:rFonts w:ascii="Aptos Narrow" w:hAnsi="Aptos Narrow"/>
          <w:b/>
          <w:bCs/>
          <w:sz w:val="24"/>
        </w:rPr>
        <w:t>10.7</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Aptos Narrow" w:hAnsi="Aptos Narrow"/>
          <w:sz w:val="24"/>
        </w:rPr>
      </w:pPr>
      <w:r>
        <w:rPr>
          <w:rFonts w:ascii="Aptos Narrow" w:hAnsi="Aptos Narrow"/>
          <w:b/>
          <w:bCs/>
          <w:sz w:val="24"/>
        </w:rPr>
        <w:t>1</w:t>
      </w:r>
      <w:r>
        <w:rPr>
          <w:rFonts w:ascii="Aptos Narrow" w:hAnsi="Aptos Narrow"/>
          <w:sz w:val="24"/>
        </w:rPr>
        <w:t>) prova de regularidade relativa à Seguridade Social;</w:t>
      </w:r>
    </w:p>
    <w:p>
      <w:pPr>
        <w:pStyle w:val="Normal"/>
        <w:ind w:hanging="0"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hanging="0" w:left="284"/>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hanging="0"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pPr>
        <w:pStyle w:val="Normal"/>
        <w:ind w:hanging="0"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Promover a guarda, manutenção e vigilância de materiais, ferramentas,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Aptos Narrow" w:hAnsi="Aptos Narrow"/>
          <w:sz w:val="24"/>
        </w:rPr>
      </w:pPr>
      <w:r>
        <w:rPr>
          <w:rFonts w:ascii="Aptos Narrow" w:hAnsi="Aptos Narrow"/>
          <w:b/>
          <w:bCs/>
          <w:sz w:val="24"/>
        </w:rPr>
        <w:t>10.20.1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10.22</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Aptos Narrow" w:hAnsi="Aptos Narrow"/>
          <w:sz w:val="24"/>
        </w:rPr>
      </w:pPr>
      <w:r>
        <w:rPr>
          <w:rFonts w:ascii="Aptos Narrow" w:hAnsi="Aptos Narrow"/>
          <w:b/>
          <w:bCs/>
          <w:sz w:val="24"/>
        </w:rPr>
        <w:t>10.23</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ascii="Aptos Narrow" w:hAnsi="Aptos Narrow"/>
          <w:b/>
          <w:bCs/>
          <w:sz w:val="24"/>
        </w:rPr>
        <w:t>10.24</w:t>
      </w:r>
      <w:r>
        <w:rPr>
          <w:rFonts w:ascii="Aptos Narrow" w:hAnsi="Aptos Narrow"/>
          <w:sz w:val="24"/>
        </w:rPr>
        <w:t>. Assegurar aos seus trabalhadores ambiente de trabalho, inclusive equipamentos e instalações, em condições adequadas ao cumprimento das normas de saúde, segurança e bem-estar no trabalho.</w:t>
      </w:r>
    </w:p>
    <w:p>
      <w:pPr>
        <w:pStyle w:val="Normal"/>
        <w:jc w:val="both"/>
        <w:rPr>
          <w:rFonts w:ascii="Aptos Narrow" w:hAnsi="Aptos Narrow"/>
          <w:sz w:val="24"/>
        </w:rPr>
      </w:pPr>
      <w:r>
        <w:rPr>
          <w:rFonts w:ascii="Aptos Narrow" w:hAnsi="Aptos Narrow"/>
          <w:b/>
          <w:bCs/>
          <w:sz w:val="24"/>
        </w:rPr>
        <w:t>10.25</w:t>
      </w:r>
      <w:r>
        <w:rPr>
          <w:rFonts w:ascii="Aptos Narrow" w:hAnsi="Aptos Narrow"/>
          <w:sz w:val="24"/>
        </w:rPr>
        <w:t>. Garantir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10.26</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Aptos Narrow" w:hAnsi="Aptos Narrow"/>
          <w:sz w:val="24"/>
        </w:rPr>
      </w:pPr>
      <w:r>
        <w:rPr>
          <w:rFonts w:ascii="Aptos Narrow" w:hAnsi="Aptos Narrow"/>
          <w:b/>
          <w:bCs/>
          <w:sz w:val="24"/>
        </w:rPr>
        <w:t>10.27</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Aptos Narrow" w:hAnsi="Aptos Narrow"/>
          <w:sz w:val="24"/>
        </w:rPr>
      </w:pPr>
      <w:r>
        <w:rPr>
          <w:rFonts w:ascii="Aptos Narrow" w:hAnsi="Aptos Narrow"/>
          <w:b/>
          <w:bCs/>
          <w:sz w:val="24"/>
        </w:rPr>
        <w:t>10.28</w:t>
      </w:r>
      <w:r>
        <w:rPr>
          <w:rFonts w:ascii="Aptos Narrow" w:hAnsi="Aptos Narrow"/>
          <w:sz w:val="24"/>
        </w:rPr>
        <w:t>. Manter os empregados nos horários predeterminados pelo Contratante.</w:t>
      </w:r>
    </w:p>
    <w:p>
      <w:pPr>
        <w:pStyle w:val="Normal"/>
        <w:jc w:val="both"/>
        <w:rPr>
          <w:rFonts w:ascii="Aptos Narrow" w:hAnsi="Aptos Narrow"/>
          <w:sz w:val="24"/>
        </w:rPr>
      </w:pPr>
      <w:r>
        <w:rPr>
          <w:rFonts w:ascii="Aptos Narrow" w:hAnsi="Aptos Narrow"/>
          <w:b/>
          <w:bCs/>
          <w:sz w:val="24"/>
        </w:rPr>
        <w:t>10.29</w:t>
      </w:r>
      <w:r>
        <w:rPr>
          <w:rFonts w:ascii="Aptos Narrow" w:hAnsi="Aptos Narrow"/>
          <w:sz w:val="24"/>
        </w:rPr>
        <w:t>. Apresentar os empregados devidamente identificados por meio de crachá.</w:t>
      </w:r>
    </w:p>
    <w:p>
      <w:pPr>
        <w:pStyle w:val="Normal"/>
        <w:jc w:val="both"/>
        <w:rPr>
          <w:rFonts w:ascii="Aptos Narrow" w:hAnsi="Aptos Narrow"/>
          <w:sz w:val="24"/>
        </w:rPr>
      </w:pPr>
      <w:r>
        <w:rPr>
          <w:rFonts w:ascii="Aptos Narrow" w:hAnsi="Aptos Narrow"/>
          <w:b/>
          <w:bCs/>
          <w:sz w:val="24"/>
        </w:rPr>
        <w:t>10.30</w:t>
      </w:r>
      <w:r>
        <w:rPr>
          <w:rFonts w:ascii="Aptos Narrow" w:hAnsi="Aptos Narrow"/>
          <w:sz w:val="24"/>
        </w:rPr>
        <w:t>. Apresentar ao Contratante, quando for o caso, a relação nominal dos empregados que adentrarão no órgão para a execução do serviço.</w:t>
      </w:r>
    </w:p>
    <w:p>
      <w:pPr>
        <w:pStyle w:val="Normal"/>
        <w:jc w:val="both"/>
        <w:rPr>
          <w:rFonts w:ascii="Aptos Narrow" w:hAnsi="Aptos Narrow"/>
          <w:sz w:val="24"/>
        </w:rPr>
      </w:pPr>
      <w:r>
        <w:rPr>
          <w:rFonts w:ascii="Aptos Narrow" w:hAnsi="Aptos Narrow"/>
          <w:b/>
          <w:bCs/>
          <w:sz w:val="24"/>
        </w:rPr>
        <w:t>10.31</w:t>
      </w:r>
      <w:r>
        <w:rPr>
          <w:rFonts w:ascii="Aptos Narrow" w:hAnsi="Aptos Narrow"/>
          <w:sz w:val="24"/>
        </w:rPr>
        <w:t>. Observar os preceitos da legislação sobre a jornada de trabalho, conforme a categoria profissional.</w:t>
      </w:r>
    </w:p>
    <w:p>
      <w:pPr>
        <w:pStyle w:val="Normal"/>
        <w:jc w:val="both"/>
        <w:rPr>
          <w:rFonts w:ascii="Aptos Narrow" w:hAnsi="Aptos Narrow"/>
          <w:sz w:val="24"/>
        </w:rPr>
      </w:pPr>
      <w:r>
        <w:rPr>
          <w:rFonts w:ascii="Aptos Narrow" w:hAnsi="Aptos Narrow"/>
          <w:b/>
          <w:bCs/>
          <w:sz w:val="24"/>
        </w:rPr>
        <w:t>10.32</w:t>
      </w:r>
      <w:r>
        <w:rPr>
          <w:rFonts w:ascii="Aptos Narrow" w:hAnsi="Aptos Narrow"/>
          <w:sz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Aptos Narrow" w:hAnsi="Aptos Narrow"/>
          <w:sz w:val="24"/>
        </w:rPr>
      </w:pPr>
      <w:r>
        <w:rPr>
          <w:rFonts w:ascii="Aptos Narrow" w:hAnsi="Aptos Narrow"/>
          <w:b/>
          <w:bCs/>
          <w:sz w:val="24"/>
        </w:rPr>
        <w:t>10.33</w:t>
      </w:r>
      <w:r>
        <w:rPr>
          <w:rFonts w:ascii="Aptos Narrow" w:hAnsi="Aptos Narrow"/>
          <w:sz w:val="24"/>
        </w:rPr>
        <w:t>. Instruir seus empregados quanto à necessidade de acatar as Normas Internas do Contratante.</w:t>
      </w:r>
    </w:p>
    <w:p>
      <w:pPr>
        <w:pStyle w:val="Normal"/>
        <w:jc w:val="both"/>
        <w:rPr>
          <w:rFonts w:ascii="Aptos Narrow" w:hAnsi="Aptos Narrow"/>
          <w:sz w:val="24"/>
        </w:rPr>
      </w:pPr>
      <w:r>
        <w:rPr>
          <w:rFonts w:ascii="Aptos Narrow" w:hAnsi="Aptos Narrow"/>
          <w:b/>
          <w:bCs/>
          <w:sz w:val="24"/>
        </w:rPr>
        <w:t>10.34</w:t>
      </w:r>
      <w:r>
        <w:rPr>
          <w:rFonts w:ascii="Aptos Narrow" w:hAnsi="Aptos Narrow"/>
          <w:sz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Aptos Narrow" w:hAnsi="Aptos Narrow"/>
          <w:sz w:val="24"/>
        </w:rPr>
      </w:pPr>
      <w:r>
        <w:rPr>
          <w:rFonts w:ascii="Aptos Narrow" w:hAnsi="Aptos Narrow"/>
          <w:b/>
          <w:bCs/>
          <w:sz w:val="24"/>
        </w:rPr>
        <w:t>10.35</w:t>
      </w:r>
      <w:r>
        <w:rPr>
          <w:rFonts w:ascii="Aptos Narrow" w:hAnsi="Aptos Narrow"/>
          <w:sz w:val="24"/>
        </w:rPr>
        <w:t>. Instruir os seus empregados, quanto à prevenção de incêndios nas áreas do Contratante.</w:t>
      </w:r>
    </w:p>
    <w:p>
      <w:pPr>
        <w:pStyle w:val="Normal"/>
        <w:jc w:val="both"/>
        <w:rPr>
          <w:rFonts w:ascii="Aptos Narrow" w:hAnsi="Aptos Narrow"/>
          <w:sz w:val="24"/>
        </w:rPr>
      </w:pPr>
      <w:r>
        <w:rPr>
          <w:rFonts w:ascii="Aptos Narrow" w:hAnsi="Aptos Narrow"/>
          <w:b/>
          <w:bCs/>
          <w:sz w:val="24"/>
        </w:rPr>
        <w:t>10.36</w:t>
      </w:r>
      <w:r>
        <w:rPr>
          <w:rFonts w:ascii="Aptos Narrow" w:hAnsi="Aptos Narrow"/>
          <w:sz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Aptos Narrow" w:hAnsi="Aptos Narrow"/>
          <w:sz w:val="24"/>
        </w:rPr>
      </w:pPr>
      <w:r>
        <w:rPr>
          <w:rFonts w:ascii="Aptos Narrow" w:hAnsi="Aptos Narrow"/>
          <w:b/>
          <w:bCs/>
          <w:sz w:val="24"/>
        </w:rPr>
        <w:t>10.37</w:t>
      </w:r>
      <w:r>
        <w:rPr>
          <w:rFonts w:ascii="Aptos Narrow" w:hAnsi="Aptos Narrow"/>
          <w:sz w:val="24"/>
        </w:rPr>
        <w:t>. Estar registrada ou inscrita no Conselho Profissional competente, conforme as áreas de atuação previstas no Termo de Referência, em plena validade.</w:t>
      </w:r>
    </w:p>
    <w:p>
      <w:pPr>
        <w:pStyle w:val="Normal"/>
        <w:jc w:val="both"/>
        <w:rPr>
          <w:rFonts w:ascii="Aptos Narrow" w:hAnsi="Aptos Narrow"/>
          <w:sz w:val="24"/>
        </w:rPr>
      </w:pPr>
      <w:r>
        <w:rPr>
          <w:rFonts w:ascii="Aptos Narrow" w:hAnsi="Aptos Narrow"/>
          <w:b/>
          <w:bCs/>
          <w:sz w:val="24"/>
        </w:rPr>
        <w:t>10.38</w:t>
      </w:r>
      <w:r>
        <w:rPr>
          <w:rFonts w:ascii="Aptos Narrow" w:hAnsi="Aptos Narrow"/>
          <w:sz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Aptos Narrow" w:hAnsi="Aptos Narrow"/>
          <w:sz w:val="24"/>
        </w:rPr>
      </w:pPr>
      <w:r>
        <w:rPr>
          <w:rFonts w:ascii="Aptos Narrow" w:hAnsi="Aptos Narrow"/>
          <w:b/>
          <w:bCs/>
          <w:sz w:val="24"/>
        </w:rPr>
        <w:t>10.39</w:t>
      </w:r>
      <w:r>
        <w:rPr>
          <w:rFonts w:ascii="Aptos Narrow" w:hAnsi="Aptos Narrow"/>
          <w:sz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Aptos Narrow" w:hAnsi="Aptos Narrow"/>
          <w:sz w:val="24"/>
        </w:rPr>
      </w:pPr>
      <w:r>
        <w:rPr>
          <w:rFonts w:ascii="Aptos Narrow" w:hAnsi="Aptos Narrow"/>
          <w:b/>
          <w:bCs/>
          <w:sz w:val="24"/>
        </w:rPr>
        <w:t>10.40</w:t>
      </w:r>
      <w:r>
        <w:rPr>
          <w:rFonts w:ascii="Aptos Narrow" w:hAnsi="Aptos Narrow"/>
          <w:sz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Aptos Narrow" w:hAnsi="Aptos Narrow"/>
          <w:sz w:val="24"/>
        </w:rPr>
      </w:pPr>
      <w:r>
        <w:rPr>
          <w:rFonts w:ascii="Aptos Narrow" w:hAnsi="Aptos Narrow"/>
          <w:b/>
          <w:bCs/>
          <w:sz w:val="24"/>
        </w:rPr>
        <w:t>10.41</w:t>
      </w:r>
      <w:r>
        <w:rPr>
          <w:rFonts w:ascii="Aptos Narrow" w:hAnsi="Aptos Narrow"/>
          <w:sz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Aptos Narrow" w:hAnsi="Aptos Narrow"/>
          <w:sz w:val="24"/>
        </w:rPr>
      </w:pPr>
      <w:r>
        <w:rPr>
          <w:rFonts w:ascii="Aptos Narrow" w:hAnsi="Aptos Narrow"/>
          <w:b/>
          <w:bCs/>
          <w:sz w:val="24"/>
        </w:rPr>
        <w:t>10.42</w:t>
      </w:r>
      <w:r>
        <w:rPr>
          <w:rFonts w:ascii="Aptos Narrow" w:hAnsi="Aptos Narrow"/>
          <w:sz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Aptos Narrow" w:hAnsi="Aptos Narrow"/>
          <w:sz w:val="24"/>
        </w:rPr>
      </w:pPr>
      <w:r>
        <w:rPr>
          <w:rFonts w:ascii="Aptos Narrow" w:hAnsi="Aptos Narrow"/>
          <w:b/>
          <w:bCs/>
          <w:sz w:val="24"/>
        </w:rPr>
        <w:t>10.43</w:t>
      </w:r>
      <w:r>
        <w:rPr>
          <w:rFonts w:ascii="Aptos Narrow" w:hAnsi="Aptos Narrow"/>
          <w:sz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Aptos Narrow" w:hAnsi="Aptos Narrow"/>
          <w:sz w:val="24"/>
        </w:rPr>
      </w:pPr>
      <w:r>
        <w:rPr>
          <w:rFonts w:ascii="Aptos Narrow" w:hAnsi="Aptos Narrow"/>
          <w:sz w:val="24"/>
        </w:rPr>
        <w:t xml:space="preserve"> </w:t>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PRIMEIRA - DA GARANTIA DE EXECUÇÃO CONTRATUAL:</w:t>
            </w:r>
          </w:p>
        </w:tc>
      </w:tr>
    </w:tbl>
    <w:p>
      <w:pPr>
        <w:pStyle w:val="Normal"/>
        <w:jc w:val="both"/>
        <w:rPr>
          <w:rFonts w:ascii="Aptos Narrow" w:hAnsi="Aptos Narrow"/>
          <w:sz w:val="24"/>
        </w:rPr>
      </w:pPr>
      <w:bookmarkStart w:id="0" w:name="_Hlk153545902"/>
      <w:bookmarkEnd w:id="0"/>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SMCLIC, no endereço eletrônico </w:t>
      </w:r>
      <w:r>
        <w:rPr>
          <w:rFonts w:cs="" w:ascii="Aptos Narrow" w:hAnsi="Aptos Narrow" w:cstheme="minorBidi"/>
          <w:sz w:val="24"/>
          <w:shd w:fill="auto" w:val="clear"/>
        </w:rPr>
        <w:t>contratos.riogrande@gmail.com</w:t>
      </w:r>
      <w:r>
        <w:rPr>
          <w:rFonts w:ascii="Aptos Narrow" w:hAnsi="Aptos Narrow"/>
          <w:sz w:val="24"/>
        </w:rPr>
        <w:t>, o documento comprobatório da garantia prestada;</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hanging="0" w:left="284"/>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prejuízos diretos causados ao Contratante decorrentes de culpa ou dolo durante a execução do contrato;</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multas moratórias e compensatórias aplicadas pelo Contratante à Contratada;</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obrigações trabalhistas e previdenciárias de qualquer natureza não adimplidas pela Contratada.</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hanging="0" w:left="284"/>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sz w:val="24"/>
        </w:rPr>
      </w:pPr>
      <w:r>
        <w:rPr>
          <w:rFonts w:ascii="Aptos Narrow" w:hAnsi="Aptos Narrow"/>
          <w:sz w:val="24"/>
        </w:rPr>
      </w:r>
      <w:bookmarkStart w:id="1" w:name="_Hlk153545902_Copia_1"/>
      <w:bookmarkEnd w:id="1"/>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hanging="0"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hanging="0"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hanging="0"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hanging="0" w:left="284"/>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hanging="0" w:left="567"/>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pelo atraso na entrega ou entregue(s) com atraso.</w:t>
      </w:r>
    </w:p>
    <w:p>
      <w:pPr>
        <w:pStyle w:val="Normal"/>
        <w:ind w:hanging="0"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hanging="0" w:left="567"/>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hanging="0" w:left="567"/>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Contrato poderão ser aplicadas cumulativamente com a multa (art. 156, § 7º, da Lei 14.133/2021).</w:t>
      </w:r>
    </w:p>
    <w:p>
      <w:pPr>
        <w:pStyle w:val="Normal"/>
        <w:ind w:hanging="0" w:left="284"/>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hanging="0" w:left="284"/>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2"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cumpridas as obrigações de ambas as partes, ainda que isso ocorra antes do prazo estipulado para tanto.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Quando a não conclusão do contrato referida no item anterior decorrer de culpa do contratado:</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ficará ele constituído em mora, sendo-lhe aplicáveis as respectivas sanções administrativas; e</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poderá a Administração optar pela extinção do contrato e, nesse caso, adotará as medidas admitidas em lei para a continuidade da execução contratual.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right"/>
        <w:rPr>
          <w:rFonts w:ascii="Aptos Narrow" w:hAnsi="Aptos Narrow"/>
          <w:sz w:val="24"/>
        </w:rPr>
      </w:pPr>
      <w:r>
        <w:rPr>
          <w:rFonts w:eastAsia="Calibri" w:cs="" w:cstheme="minorBidi" w:eastAsiaTheme="minorHAnsi"/>
          <w:sz w:val="24"/>
          <w:shd w:fill="FFFF00" w:val="clear"/>
        </w:rPr>
        <w:t>Rio Grande, xxx de xxxx de 202x.</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eastAsia="Calibri" w:cs="" w:cstheme="minorBidi" w:eastAsiaTheme="minorHAnsi"/>
          <w:b/>
          <w:bCs/>
          <w:sz w:val="24"/>
          <w:shd w:fill="FFFF00" w:val="clear"/>
        </w:rPr>
        <w:t>xxxxx</w:t>
      </w:r>
    </w:p>
    <w:p>
      <w:pPr>
        <w:pStyle w:val="Normal"/>
        <w:jc w:val="center"/>
        <w:rPr>
          <w:rFonts w:ascii="Aptos Narrow" w:hAnsi="Aptos Narrow"/>
          <w:sz w:val="24"/>
        </w:rPr>
      </w:pPr>
      <w:r>
        <w:rPr>
          <w:rFonts w:eastAsia="Calibri" w:cs="" w:cstheme="minorBidi" w:eastAsiaTheme="minorHAnsi"/>
          <w:sz w:val="24"/>
          <w:shd w:fill="FFFF00" w:val="clear"/>
        </w:rPr>
        <w:t>Contratado</w:t>
      </w:r>
    </w:p>
    <w:p>
      <w:pPr>
        <w:pStyle w:val="Normal"/>
        <w:jc w:val="center"/>
        <w:rPr>
          <w:highlight w:val="none"/>
          <w:shd w:fill="FFFF00" w:val="clear"/>
        </w:rPr>
      </w:pPr>
      <w:r>
        <w:rPr>
          <w:shd w:fill="FFFF00" w:val="clear"/>
        </w:rPr>
      </w:r>
    </w:p>
    <w:p>
      <w:pPr>
        <w:pStyle w:val="Normal"/>
        <w:jc w:val="center"/>
        <w:rPr>
          <w:rFonts w:ascii="Aptos Narrow" w:hAnsi="Aptos Narrow"/>
          <w:b/>
          <w:bCs/>
          <w:sz w:val="24"/>
        </w:rPr>
      </w:pPr>
      <w:r>
        <w:rPr>
          <w:rFonts w:eastAsia="Calibri" w:cs="" w:cstheme="minorBidi" w:eastAsiaTheme="minorHAnsi"/>
          <w:b/>
          <w:bCs/>
          <w:sz w:val="24"/>
          <w:shd w:fill="FFFF00" w:val="clear"/>
        </w:rPr>
        <w:t>xxxxxxx</w:t>
      </w:r>
    </w:p>
    <w:p>
      <w:pPr>
        <w:pStyle w:val="Normal"/>
        <w:jc w:val="center"/>
        <w:rPr>
          <w:highlight w:val="none"/>
          <w:shd w:fill="FFFF00" w:val="clear"/>
        </w:rPr>
      </w:pPr>
      <w:r>
        <w:rPr>
          <w:rFonts w:eastAsia="Calibri" w:cs="" w:cstheme="minorBidi" w:eastAsiaTheme="minorHAnsi"/>
          <w:sz w:val="24"/>
          <w:shd w:fill="FFFF00" w:val="clear"/>
        </w:rPr>
        <w:t>Secretário de Município xxxxxx</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b/>
          <w:bCs/>
          <w:sz w:val="24"/>
        </w:rPr>
        <w:t>Leandro Pereira Cardozo</w:t>
      </w:r>
    </w:p>
    <w:p>
      <w:pPr>
        <w:pStyle w:val="Normal"/>
        <w:jc w:val="center"/>
        <w:rPr>
          <w:rFonts w:ascii="Aptos Narrow" w:hAnsi="Aptos Narrow"/>
          <w:sz w:val="24"/>
        </w:rPr>
      </w:pPr>
      <w:r>
        <w:rPr>
          <w:rFonts w:ascii="Aptos Narrow" w:hAnsi="Aptos Narrow"/>
          <w:sz w:val="24"/>
        </w:rPr>
        <w:t>Secretário de Município de Compras e Licitações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w:t>
      </w:r>
      <w:r>
        <w:rPr>
          <w:rFonts w:eastAsia="HG Mincho Light J" w:cs="Times New Roman" w:ascii="Aptos Narrow" w:hAnsi="Aptos Narrow"/>
          <w:b/>
          <w:bCs/>
          <w:color w:val="000000"/>
          <w:kern w:val="0"/>
          <w:sz w:val="24"/>
          <w:szCs w:val="24"/>
          <w:shd w:fill="FFFF00" w:val="clear"/>
          <w:lang w:val="pt-PT" w:eastAsia="zh-CN" w:bidi="ar-SA"/>
        </w:rPr>
        <w:t>xx/2026</w:t>
      </w:r>
    </w:p>
    <w:p>
      <w:pPr>
        <w:pStyle w:val="Normal"/>
        <w:spacing w:lineRule="auto" w:line="360"/>
        <w:ind w:hanging="0" w:left="1416" w:right="0"/>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shd w:fill="FFFF00" w:val="clear"/>
          <w:lang w:val="pt-PT" w:eastAsia="zh-CN" w:bidi="ar-SA"/>
        </w:rPr>
        <w:t>xxxxxx</w:t>
      </w:r>
    </w:p>
    <w:p>
      <w:pPr>
        <w:pStyle w:val="Normal"/>
        <w:jc w:val="center"/>
        <w:rPr>
          <w:rFonts w:ascii="Aptos Narrow" w:hAnsi="Aptos Narrow" w:eastAsia="HG Mincho Light J" w:cs="Times New Roman"/>
          <w:b/>
          <w:bCs/>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color w:val="000000"/>
          <w:kern w:val="0"/>
          <w:sz w:val="24"/>
          <w:szCs w:val="24"/>
          <w:shd w:fill="FFFF00" w:val="clear"/>
          <w:lang w:val="pt-PT" w:eastAsia="zh-CN" w:bidi="ar-SA"/>
        </w:rPr>
        <w:t>Secretário de Município xxxxx</w:t>
      </w:r>
    </w:p>
    <w:p>
      <w:pPr>
        <w:pStyle w:val="WW-Padro"/>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shd w:fill="FFFF00" w:val="clear"/>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hanging="0" w:left="0" w:right="0"/>
        <w:jc w:val="center"/>
        <w:rPr>
          <w:b/>
          <w:bCs/>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hanging="0" w:left="1416" w:right="0"/>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r>
    </w:p>
    <w:p>
      <w:pPr>
        <w:pStyle w:val="WW-Padro"/>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EMPRESA:  xxxxxxx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CONTRATO: xxxx/202x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EDITAL:  xxxxxx nº xxxx/202x</w:t>
      </w:r>
    </w:p>
    <w:p>
      <w:pPr>
        <w:pStyle w:val="Normal"/>
        <w:ind w:hanging="0" w:left="1416" w:right="0"/>
        <w:jc w:val="both"/>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jc w:val="both"/>
        <w:rPr>
          <w:highlight w:val="none"/>
          <w:shd w:fill="FFFF00" w:val="clear"/>
        </w:rPr>
      </w:pPr>
      <w:r>
        <w:rPr>
          <w:rFonts w:eastAsia="HG Mincho Light J" w:cs="Times New Roman" w:ascii="Aptos Narrow" w:hAnsi="Aptos Narrow"/>
          <w:b/>
          <w:bCs/>
          <w:i w:val="false"/>
          <w:iCs w:val="false"/>
          <w:color w:val="000000"/>
          <w:kern w:val="0"/>
          <w:sz w:val="24"/>
          <w:szCs w:val="24"/>
          <w:shd w:fill="FFFF00" w:val="clear"/>
          <w:lang w:val="pt-PT" w:eastAsia="zh-CN" w:bidi="ar-SA"/>
        </w:rPr>
        <w:t xml:space="preserve">OBJETO: </w:t>
      </w:r>
      <w:r>
        <w:rPr>
          <w:rFonts w:eastAsia="HG Mincho Light J" w:cs="Times New Roman" w:ascii="Aptos Narrow" w:hAnsi="Aptos Narrow"/>
          <w:b/>
          <w:bCs/>
          <w:i w:val="false"/>
          <w:iCs w:val="false"/>
          <w:color w:val="000000"/>
          <w:spacing w:val="-3"/>
          <w:kern w:val="0"/>
          <w:sz w:val="24"/>
          <w:szCs w:val="24"/>
          <w:shd w:fill="FFFF00" w:val="clear"/>
          <w:lang w:val="pt-PT" w:eastAsia="zh-CN" w:bidi="ar-SA"/>
        </w:rPr>
        <w:t xml:space="preserve"> 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DATA DO INÍCIO: __ / __ / ___.</w:t>
      </w:r>
    </w:p>
    <w:p>
      <w:pPr>
        <w:pStyle w:val="Normal"/>
        <w:ind w:hanging="0" w:left="1416"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i w:val="false"/>
          <w:iCs w:val="false"/>
          <w:color w:val="000000"/>
          <w:kern w:val="0"/>
          <w:sz w:val="24"/>
          <w:szCs w:val="24"/>
          <w:shd w:fill="FFFF00" w:val="clear"/>
          <w:lang w:val="pt-PT" w:eastAsia="zh-CN" w:bidi="ar-SA"/>
        </w:rPr>
        <w:t>xxxxxxxxxxx</w:t>
      </w:r>
    </w:p>
    <w:p>
      <w:pPr>
        <w:pStyle w:val="Normal"/>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t xml:space="preserve">Contratada </w:t>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i w:val="false"/>
          <w:iCs w:val="false"/>
          <w:color w:val="000000"/>
          <w:kern w:val="0"/>
          <w:sz w:val="24"/>
          <w:szCs w:val="24"/>
          <w:lang w:val="pt-PT" w:eastAsia="zh-CN" w:bidi="ar-SA"/>
        </w:rPr>
      </w:pPr>
      <w:r>
        <w:rPr>
          <w:rFonts w:eastAsia="HG Mincho Light J" w:cs="Times New Roman" w:ascii="Aptos Narrow" w:hAnsi="Aptos Narrow"/>
          <w:b/>
          <w:i w:val="false"/>
          <w:iCs w:val="false"/>
          <w:color w:val="000000"/>
          <w:kern w:val="0"/>
          <w:sz w:val="24"/>
          <w:szCs w:val="24"/>
          <w:shd w:fill="FFFF00" w:val="clear"/>
          <w:lang w:val="pt-PT" w:eastAsia="zh-CN" w:bidi="ar-SA"/>
        </w:rPr>
        <w:t>xxxxxxxxxx</w:t>
      </w:r>
    </w:p>
    <w:p>
      <w:pPr>
        <w:pStyle w:val="WW-Padro"/>
        <w:ind w:hanging="0" w:left="0" w:right="0"/>
        <w:jc w:val="center"/>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i w:val="false"/>
          <w:iCs w:val="false"/>
          <w:color w:val="000000"/>
          <w:kern w:val="0"/>
          <w:sz w:val="24"/>
          <w:szCs w:val="24"/>
          <w:shd w:fill="FFFF00" w:val="clear"/>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8" behindDoc="1" locked="0" layoutInCell="1" allowOverlap="1" wp14:anchorId="69ADF8BA">
              <wp:simplePos x="0" y="0"/>
              <wp:positionH relativeFrom="column">
                <wp:posOffset>5791200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93"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210"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41"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7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9"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71" behindDoc="1" locked="0" layoutInCell="1" allowOverlap="1" wp14:anchorId="154B6775">
              <wp:simplePos x="0" y="0"/>
              <wp:positionH relativeFrom="column">
                <wp:posOffset>-6125845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3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23" behindDoc="1" locked="0" layoutInCell="1" allowOverlap="1" wp14:anchorId="76B9F30E">
              <wp:simplePos x="0" y="0"/>
              <wp:positionH relativeFrom="column">
                <wp:posOffset>3575685</wp:posOffset>
              </wp:positionH>
              <wp:positionV relativeFrom="paragraph">
                <wp:posOffset>394335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8" behindDoc="1" locked="0" layoutInCell="1" allowOverlap="1" wp14:anchorId="69ADF8BA">
              <wp:simplePos x="0" y="0"/>
              <wp:positionH relativeFrom="column">
                <wp:posOffset>5791200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93"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210"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41"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7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9"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71" behindDoc="1" locked="0" layoutInCell="1" allowOverlap="1" wp14:anchorId="154B6775">
              <wp:simplePos x="0" y="0"/>
              <wp:positionH relativeFrom="column">
                <wp:posOffset>-6125845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3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23" behindDoc="1" locked="0" layoutInCell="1" allowOverlap="1" wp14:anchorId="76B9F30E">
              <wp:simplePos x="0" y="0"/>
              <wp:positionH relativeFrom="column">
                <wp:posOffset>3575685</wp:posOffset>
              </wp:positionH>
              <wp:positionV relativeFrom="paragraph">
                <wp:posOffset>394335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8"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5" behindDoc="1" locked="0" layoutInCell="1" allowOverlap="1" wp14:anchorId="3F7DB15E">
              <wp:simplePos x="0" y="0"/>
              <wp:positionH relativeFrom="column">
                <wp:posOffset>-4059555</wp:posOffset>
              </wp:positionH>
              <wp:positionV relativeFrom="paragraph">
                <wp:posOffset>-2056765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8"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5" behindDoc="1" locked="0" layoutInCell="1" allowOverlap="1" wp14:anchorId="3F7DB15E">
              <wp:simplePos x="0" y="0"/>
              <wp:positionH relativeFrom="column">
                <wp:posOffset>-4059555</wp:posOffset>
              </wp:positionH>
              <wp:positionV relativeFrom="paragraph">
                <wp:posOffset>-2056765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Calibri" w:hAnsi="Calibri"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1449</TotalTime>
  <Application>LibreOffice/26.2.4.2$Windows_X86_64 LibreOffice_project/0229ac93fcf0d7cbc6376066c6f35021cef002dc</Application>
  <AppVersion>15.0000</AppVersion>
  <Pages>17</Pages>
  <Words>4895</Words>
  <Characters>28237</Characters>
  <CharactersWithSpaces>32935</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2025-06-17T15:29:00Z</dcterms:created>
  <dc:creator>Sarah Garcia Lemos Ahmad</dc:creator>
  <dc:description/>
  <dc:language>pt-BR</dc:language>
  <cp:lastModifiedBy/>
  <cp:lastPrinted>2023-07-04T13:37:17Z</cp:lastPrinted>
  <dcterms:modified xsi:type="dcterms:W3CDTF">2026-10-22T11:44:35Z</dcterms:modified>
  <cp:revision>170</cp:revision>
  <dc:subject/>
  <dc:title>TR Serviços e Obras Engenharia 2026.docx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