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ind w:hanging="0" w:left="5103"/>
        <w:jc w:val="both"/>
        <w:rPr>
          <w:rFonts w:ascii="Aptos Narrow" w:hAnsi="Aptos Narrow"/>
          <w:b/>
          <w:bCs/>
          <w:sz w:val="24"/>
        </w:rPr>
      </w:pPr>
      <w:r>
        <w:rPr>
          <w:rFonts w:ascii="Aptos Narrow" w:hAnsi="Aptos Narrow"/>
          <w:b/>
          <w:bCs/>
          <w:sz w:val="24"/>
        </w:rPr>
        <w:t xml:space="preserve">CONTRATO DE OUTORGA DE USO DE BEM PÚBLICO </w:t>
      </w:r>
      <w:r>
        <w:rPr>
          <w:rFonts w:ascii="Aptos Narrow" w:hAnsi="Aptos Narrow"/>
          <w:b/>
          <w:bCs/>
          <w:sz w:val="24"/>
          <w:shd w:fill="auto" w:val="clear"/>
        </w:rPr>
        <w:t>0xx/2026</w:t>
      </w:r>
      <w:r>
        <w:rPr>
          <w:rFonts w:ascii="Aptos Narrow" w:hAnsi="Aptos Narrow"/>
          <w:b/>
          <w:bCs/>
          <w:sz w:val="24"/>
        </w:rPr>
        <w:t>, FIRMADO ENTRE O MUNICÍPIO DO RIO GRANDE/RS, POR INTERMÉDIO DA SECRETARIA DE MUNICÍPIO DE COMPRAS E LICITAÇÕES E [</w:t>
      </w:r>
      <w:r>
        <w:rPr>
          <w:rFonts w:ascii="Aptos Narrow" w:hAnsi="Aptos Narrow"/>
          <w:b/>
          <w:bCs/>
          <w:sz w:val="24"/>
          <w:highlight w:val="yellow"/>
        </w:rPr>
        <w:t>NOME DO OUTORGADO</w:t>
      </w:r>
      <w:r>
        <w:rPr>
          <w:rFonts w:ascii="Aptos Narrow" w:hAnsi="Aptos Narrow"/>
          <w:b/>
          <w:bCs/>
          <w:sz w:val="24"/>
        </w:rPr>
        <w:t xml:space="preserve">], DE ACORDO COM O </w:t>
      </w:r>
      <w:r>
        <w:rPr>
          <w:rFonts w:ascii="Aptos Narrow" w:hAnsi="Aptos Narrow"/>
          <w:b/>
          <w:bCs/>
          <w:sz w:val="24"/>
          <w:shd w:fill="auto" w:val="clear"/>
        </w:rPr>
        <w:t xml:space="preserve">LEILÃO </w:t>
      </w:r>
      <w:r>
        <w:rPr>
          <w:rFonts w:ascii="Aptos Narrow" w:hAnsi="Aptos Narrow"/>
          <w:b/>
          <w:bCs/>
          <w:sz w:val="24"/>
          <w:shd w:fill="auto" w:val="clear"/>
        </w:rPr>
        <w:t>002</w:t>
      </w:r>
      <w:r>
        <w:rPr>
          <w:rFonts w:ascii="Aptos Narrow" w:hAnsi="Aptos Narrow"/>
          <w:b/>
          <w:bCs/>
          <w:sz w:val="24"/>
          <w:shd w:fill="auto" w:val="clear"/>
        </w:rPr>
        <w:t xml:space="preserve">/2026, SOB A FORMA PRESENCIAL, </w:t>
      </w:r>
      <w:r>
        <w:rPr>
          <w:rFonts w:ascii="Aptos Narrow" w:hAnsi="Aptos Narrow"/>
          <w:b/>
          <w:bCs/>
          <w:sz w:val="24"/>
        </w:rPr>
        <w:t>PARA OUTORGA DE USO ONEROSO DE BEM PÚBLICO.</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CONCEDENTE</w:t>
      </w:r>
      <w:r>
        <w:rPr>
          <w:rFonts w:ascii="Aptos Narrow" w:hAnsi="Aptos Narrow"/>
          <w:sz w:val="24"/>
        </w:rPr>
        <w:t>: MUNICÍPIO DO RIO GRANDE, com sede administrativa, sito Largo Eng. João Fernandes Moreira, s/n, inscrito no CNPJ nº 88.566.872/0001-62, neste ato representado, conforme declaração de competência pelo Secretário de Município de Compras e Licitações – SMCLIC, Sr. Leandro Pereira Cardozo, inscrito no CPF 978 764 960 91.</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CONCESSIONÁRIA</w:t>
      </w:r>
      <w:r>
        <w:rPr>
          <w:rFonts w:ascii="Aptos Narrow" w:hAnsi="Aptos Narrow"/>
          <w:sz w:val="24"/>
        </w:rPr>
        <w:t>: ............................., CNPJ/CPF ................., estabelecida no Município de ................, Rua ..............., nº ............., .............,  CEP: ........... neste ato representada pelo Sr(a). ............, na qualidade de ............, portador(a) do CPF ...............</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t xml:space="preserve">Tendo em vista o que consta no Processo Administrativo Digital </w:t>
      </w:r>
      <w:r>
        <w:rPr>
          <w:rFonts w:ascii="Aptos Narrow" w:hAnsi="Aptos Narrow"/>
          <w:sz w:val="24"/>
          <w:shd w:fill="FFFF00" w:val="clear"/>
        </w:rPr>
        <w:t>19247</w:t>
      </w:r>
      <w:r>
        <w:rPr>
          <w:rFonts w:ascii="Aptos Narrow" w:hAnsi="Aptos Narrow"/>
          <w:sz w:val="24"/>
        </w:rPr>
        <w:t>/</w:t>
      </w:r>
      <w:r>
        <w:rPr>
          <w:rFonts w:ascii="Aptos Narrow" w:hAnsi="Aptos Narrow"/>
          <w:sz w:val="24"/>
          <w:shd w:fill="FFFF00" w:val="clear"/>
        </w:rPr>
        <w:t>2026</w:t>
      </w:r>
      <w:r>
        <w:rPr>
          <w:rFonts w:ascii="Aptos Narrow" w:hAnsi="Aptos Narrow"/>
          <w:sz w:val="24"/>
        </w:rPr>
        <w:t xml:space="preserve"> e em observância às disposições da Lei 14.133, de 1º de abril de 2021, dos Decretos  Municipais 19.706, 19.707, ambos de 19/01/2023 e 19.710, de 24/01/2023; resolvem celebrar o presente, decorrente do </w:t>
      </w:r>
      <w:r>
        <w:rPr>
          <w:rFonts w:ascii="Aptos Narrow" w:hAnsi="Aptos Narrow"/>
          <w:sz w:val="24"/>
          <w:shd w:fill="auto" w:val="clear"/>
        </w:rPr>
        <w:t xml:space="preserve">Leilão Presencial </w:t>
      </w:r>
      <w:r>
        <w:rPr>
          <w:rFonts w:ascii="Aptos Narrow" w:hAnsi="Aptos Narrow"/>
          <w:sz w:val="24"/>
          <w:shd w:fill="FFFF00" w:val="clear"/>
        </w:rPr>
        <w:t xml:space="preserve"> </w:t>
      </w:r>
      <w:r>
        <w:rPr>
          <w:rFonts w:ascii="Aptos Narrow" w:hAnsi="Aptos Narrow"/>
          <w:sz w:val="24"/>
          <w:shd w:fill="FFFF00" w:val="clear"/>
        </w:rPr>
        <w:t>002</w:t>
      </w:r>
      <w:r>
        <w:rPr>
          <w:rFonts w:ascii="Aptos Narrow" w:hAnsi="Aptos Narrow"/>
          <w:sz w:val="24"/>
          <w:shd w:fill="auto" w:val="clear"/>
        </w:rPr>
        <w:t>/2026</w:t>
      </w:r>
      <w:r>
        <w:rPr>
          <w:rFonts w:ascii="Aptos Narrow" w:hAnsi="Aptos Narrow"/>
          <w:sz w:val="24"/>
        </w:rPr>
        <w:t>, mediante as cláusulas e condições seguintes:</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PRIMEIRA - DO OBJETO:</w:t>
            </w:r>
          </w:p>
        </w:tc>
      </w:tr>
    </w:tbl>
    <w:p>
      <w:pPr>
        <w:pStyle w:val="Standard"/>
        <w:jc w:val="both"/>
        <w:rPr>
          <w:rFonts w:ascii="Aptos Narrow" w:hAnsi="Aptos Narrow"/>
          <w:sz w:val="24"/>
        </w:rPr>
      </w:pPr>
      <w:r>
        <w:rPr>
          <w:rFonts w:ascii="Aptos Narrow" w:hAnsi="Aptos Narrow"/>
          <w:b/>
          <w:bCs/>
          <w:sz w:val="24"/>
        </w:rPr>
        <w:t>1.1</w:t>
      </w:r>
      <w:r>
        <w:rPr>
          <w:rFonts w:ascii="Aptos Narrow" w:hAnsi="Aptos Narrow"/>
          <w:sz w:val="24"/>
        </w:rPr>
        <w:t>. Constitui objeto deste contrato a concessão de uso</w:t>
      </w:r>
      <w:r>
        <w:rPr>
          <w:rFonts w:eastAsia="HG Mincho Light J" w:cs="Times New Roman" w:ascii="Aptos Narrow" w:hAnsi="Aptos Narrow"/>
          <w:color w:val="000000"/>
          <w:kern w:val="2"/>
          <w:sz w:val="24"/>
          <w:szCs w:val="24"/>
          <w:lang w:val="pt-PT" w:eastAsia="zh-CN" w:bidi="ar-SA"/>
        </w:rPr>
        <w:t xml:space="preserve"> do </w:t>
      </w:r>
      <w:r>
        <w:rPr>
          <w:rFonts w:eastAsia="HG Mincho Light J" w:cs="Times New Roman" w:ascii="Aptos Narrow" w:hAnsi="Aptos Narrow"/>
          <w:b/>
          <w:bCs/>
          <w:color w:val="000000"/>
          <w:kern w:val="2"/>
          <w:sz w:val="24"/>
          <w:szCs w:val="24"/>
          <w:lang w:val="pt-PT" w:eastAsia="zh-CN" w:bidi="ar-SA"/>
        </w:rPr>
        <w:t>Quarto</w:t>
      </w:r>
      <w:r>
        <w:rPr>
          <w:rFonts w:eastAsia="HG Mincho Light J" w:cs="Times New Roman" w:ascii="Aptos Narrow" w:hAnsi="Aptos Narrow"/>
          <w:b/>
          <w:bCs/>
          <w:color w:val="000000"/>
          <w:kern w:val="2"/>
          <w:sz w:val="24"/>
          <w:szCs w:val="24"/>
          <w:shd w:fill="auto" w:val="clear"/>
          <w:lang w:val="pt-PT" w:eastAsia="zh-CN" w:bidi="ar-SA"/>
        </w:rPr>
        <w:t xml:space="preserve"> nº 21/21a</w:t>
      </w:r>
      <w:r>
        <w:rPr>
          <w:rFonts w:eastAsia="HG Mincho Light J" w:cs="Arial" w:ascii="Arial" w:hAnsi="Arial"/>
          <w:b/>
          <w:bCs/>
          <w:color w:val="000000"/>
          <w:kern w:val="0"/>
          <w:sz w:val="24"/>
          <w:szCs w:val="24"/>
          <w:shd w:fill="auto" w:val="clear"/>
          <w:lang w:val="pt-BR" w:eastAsia="zh-CN" w:bidi="zxx"/>
        </w:rPr>
        <w:t>,</w:t>
      </w:r>
      <w:r>
        <w:rPr>
          <w:rFonts w:eastAsia="HG Mincho Light J" w:cs="Times New Roman" w:ascii="Aptos Narrow" w:hAnsi="Aptos Narrow"/>
          <w:b/>
          <w:bCs/>
          <w:color w:val="000000"/>
          <w:kern w:val="2"/>
          <w:sz w:val="24"/>
          <w:szCs w:val="24"/>
          <w:shd w:fill="auto" w:val="clear"/>
          <w:lang w:val="pt-PT" w:eastAsia="zh-CN" w:bidi="ar-SA"/>
        </w:rPr>
        <w:t xml:space="preserve"> com 101,78 m², incluindo a execução de obra de reforma estrutural e adequação arquitetônica do espaço, indispensável para sua utilização comercial </w:t>
      </w:r>
      <w:r>
        <w:rPr>
          <w:rFonts w:eastAsia="WenQuanYi Zen Hei;MS Gothic" w:cs="Arial" w:ascii="Arial" w:hAnsi="Arial"/>
          <w:b/>
          <w:bCs/>
          <w:color w:val="000000"/>
          <w:kern w:val="0"/>
          <w:sz w:val="24"/>
          <w:szCs w:val="24"/>
          <w:shd w:fill="auto" w:val="clear"/>
          <w:lang w:val="pt-BR" w:eastAsia="zxx" w:bidi="ar-SA"/>
        </w:rPr>
        <w:t>no Mercado Público Municipal, endereço: Praça Xavier Ferreira nº 444, Centro – Rio Grande/RS</w:t>
      </w:r>
      <w:r>
        <w:rPr>
          <w:rStyle w:val="Emphasis"/>
          <w:rFonts w:eastAsia="WenQuanYi Zen Hei;MS Gothic" w:cs="Arial" w:ascii="Arial" w:hAnsi="Arial"/>
          <w:b/>
          <w:bCs/>
          <w:i w:val="false"/>
          <w:iCs w:val="false"/>
          <w:color w:val="000000"/>
          <w:kern w:val="0"/>
          <w:sz w:val="24"/>
          <w:szCs w:val="24"/>
          <w:shd w:fill="auto" w:val="clear"/>
          <w:lang w:val="pt-BR" w:eastAsia="zxx" w:bidi="ar-SA"/>
        </w:rPr>
        <w:t>,</w:t>
      </w:r>
      <w:r>
        <w:rPr>
          <w:rFonts w:eastAsia="HG Mincho Light J" w:cs="Times New Roman" w:ascii="Aptos Narrow" w:hAnsi="Aptos Narrow"/>
          <w:b w:val="false"/>
          <w:bCs w:val="false"/>
          <w:color w:val="000000"/>
          <w:kern w:val="2"/>
          <w:sz w:val="24"/>
          <w:szCs w:val="24"/>
          <w:shd w:fill="auto" w:val="clear"/>
          <w:lang w:val="pt-PT" w:eastAsia="zh-CN" w:bidi="ar-SA"/>
        </w:rPr>
        <w:t xml:space="preserve"> </w:t>
      </w:r>
      <w:r>
        <w:rPr>
          <w:rFonts w:eastAsia="HG Mincho Light J" w:cs="Times New Roman" w:ascii="Aptos Narrow" w:hAnsi="Aptos Narrow"/>
          <w:b/>
          <w:bCs/>
          <w:color w:val="000000"/>
          <w:kern w:val="2"/>
          <w:sz w:val="24"/>
          <w:szCs w:val="24"/>
          <w:shd w:fill="auto" w:val="clear"/>
          <w:lang w:val="pt-PT" w:eastAsia="zh-CN" w:bidi="ar-SA"/>
        </w:rPr>
        <w:t xml:space="preserve">para </w:t>
      </w:r>
      <w:r>
        <w:rPr>
          <w:rFonts w:eastAsia="HG Mincho Light J" w:cs="Times New Roman" w:ascii="Aptos Narrow" w:hAnsi="Aptos Narrow"/>
          <w:b/>
          <w:bCs/>
          <w:color w:val="000000"/>
          <w:kern w:val="2"/>
          <w:sz w:val="24"/>
          <w:szCs w:val="24"/>
          <w:lang w:val="pt-PT" w:eastAsia="zh-CN" w:bidi="ar-SA"/>
        </w:rPr>
        <w:t xml:space="preserve"> exploração comercial exclusiva e obrigatória</w:t>
      </w:r>
      <w:r>
        <w:rPr>
          <w:rFonts w:eastAsia="WenQuanYi Zen Hei;MS Gothic" w:cs="Arial" w:ascii="Arial" w:hAnsi="Arial"/>
          <w:b/>
          <w:bCs/>
          <w:color w:val="auto"/>
          <w:kern w:val="0"/>
          <w:sz w:val="24"/>
          <w:szCs w:val="24"/>
          <w:lang w:val="pt-BR" w:eastAsia="zxx" w:bidi="ar-SA"/>
        </w:rPr>
        <w:t xml:space="preserve"> ao ramo de comércio de restaurante, lancheria, bar e similares</w:t>
      </w:r>
      <w:r>
        <w:rPr>
          <w:rFonts w:eastAsia="HG Mincho Light J" w:cs="Times New Roman" w:ascii="Aptos Narrow" w:hAnsi="Aptos Narrow"/>
          <w:b/>
          <w:bCs/>
          <w:color w:val="000000"/>
          <w:kern w:val="2"/>
          <w:sz w:val="24"/>
          <w:szCs w:val="24"/>
          <w:shd w:fill="auto" w:val="clear"/>
          <w:lang w:val="pt-PT" w:eastAsia="zh-CN" w:bidi="ar-SA"/>
        </w:rPr>
        <w:t>.</w:t>
      </w:r>
    </w:p>
    <w:p>
      <w:pPr>
        <w:pStyle w:val="Normal"/>
        <w:jc w:val="both"/>
        <w:rPr>
          <w:rFonts w:ascii="Aptos Narrow" w:hAnsi="Aptos Narrow"/>
          <w:sz w:val="24"/>
        </w:rPr>
      </w:pPr>
      <w:r>
        <w:rPr>
          <w:rFonts w:ascii="Aptos Narrow" w:hAnsi="Aptos Narrow"/>
          <w:b/>
          <w:bCs/>
          <w:sz w:val="24"/>
        </w:rPr>
        <w:t>1.2</w:t>
      </w:r>
      <w:r>
        <w:rPr>
          <w:rFonts w:ascii="Aptos Narrow" w:hAnsi="Aptos Narrow"/>
          <w:sz w:val="24"/>
        </w:rPr>
        <w:t xml:space="preserve">. As áreas destina-se exclusivamente para exploração comercial, conforme estabelecido no Termo de Referência, </w:t>
      </w:r>
      <w:r>
        <w:rPr>
          <w:rFonts w:eastAsia="HG Mincho Light J" w:cs="Times New Roman" w:ascii="Aptos Narrow" w:hAnsi="Aptos Narrow"/>
          <w:color w:val="000000"/>
          <w:kern w:val="0"/>
          <w:sz w:val="24"/>
          <w:szCs w:val="24"/>
          <w:lang w:val="pt-PT" w:eastAsia="zh-CN" w:bidi="ar-SA"/>
        </w:rPr>
        <w:t>sendo expressamente vedado</w:t>
      </w:r>
      <w:r>
        <w:rPr>
          <w:rFonts w:ascii="Aptos Narrow" w:hAnsi="Aptos Narrow"/>
          <w:sz w:val="24"/>
        </w:rPr>
        <w:t xml:space="preserve"> o seu uso por terceiros, a qualquer título ou forma, ou pelo Outorgado, para outras finalidades.</w:t>
      </w:r>
    </w:p>
    <w:p>
      <w:pPr>
        <w:pStyle w:val="Normal"/>
        <w:jc w:val="both"/>
        <w:rPr>
          <w:rFonts w:ascii="Aptos Narrow" w:hAnsi="Aptos Narrow"/>
          <w:sz w:val="24"/>
        </w:rPr>
      </w:pPr>
      <w:r>
        <w:rPr>
          <w:rFonts w:ascii="Aptos Narrow" w:hAnsi="Aptos Narrow"/>
          <w:b/>
          <w:bCs/>
          <w:sz w:val="24"/>
        </w:rPr>
        <w:t>1.3</w:t>
      </w:r>
      <w:r>
        <w:rPr>
          <w:rFonts w:ascii="Aptos Narrow" w:hAnsi="Aptos Narrow"/>
          <w:sz w:val="24"/>
        </w:rPr>
        <w:t>. São anexos a este instrumento e vinculam, independentemente de transcrição:</w:t>
      </w:r>
    </w:p>
    <w:p>
      <w:pPr>
        <w:pStyle w:val="Normal"/>
        <w:ind w:hanging="0" w:left="284"/>
        <w:jc w:val="both"/>
        <w:rPr>
          <w:rFonts w:ascii="Aptos Narrow" w:hAnsi="Aptos Narrow"/>
          <w:sz w:val="24"/>
        </w:rPr>
      </w:pPr>
      <w:r>
        <w:rPr>
          <w:rFonts w:ascii="Aptos Narrow" w:hAnsi="Aptos Narrow"/>
          <w:b/>
          <w:bCs/>
          <w:sz w:val="24"/>
        </w:rPr>
        <w:t>1.3.1</w:t>
      </w:r>
      <w:r>
        <w:rPr>
          <w:rFonts w:ascii="Aptos Narrow" w:hAnsi="Aptos Narrow"/>
          <w:sz w:val="24"/>
        </w:rPr>
        <w:t>. O Termo de Referência que embasou a contratação.</w:t>
      </w:r>
    </w:p>
    <w:p>
      <w:pPr>
        <w:pStyle w:val="Normal"/>
        <w:ind w:hanging="0" w:left="284"/>
        <w:jc w:val="both"/>
        <w:rPr>
          <w:rFonts w:ascii="Aptos Narrow" w:hAnsi="Aptos Narrow"/>
          <w:sz w:val="24"/>
        </w:rPr>
      </w:pPr>
      <w:r>
        <w:rPr>
          <w:rFonts w:ascii="Aptos Narrow" w:hAnsi="Aptos Narrow"/>
          <w:b/>
          <w:bCs/>
          <w:sz w:val="24"/>
        </w:rPr>
        <w:t>1.3.2</w:t>
      </w:r>
      <w:r>
        <w:rPr>
          <w:rFonts w:ascii="Aptos Narrow" w:hAnsi="Aptos Narrow"/>
          <w:sz w:val="24"/>
        </w:rPr>
        <w:t>. O Edital da Licitação.</w:t>
      </w:r>
    </w:p>
    <w:p>
      <w:pPr>
        <w:pStyle w:val="Normal"/>
        <w:ind w:hanging="0" w:left="284"/>
        <w:jc w:val="both"/>
        <w:rPr>
          <w:rFonts w:ascii="Aptos Narrow" w:hAnsi="Aptos Narrow"/>
          <w:sz w:val="24"/>
        </w:rPr>
      </w:pPr>
      <w:r>
        <w:rPr>
          <w:rFonts w:ascii="Aptos Narrow" w:hAnsi="Aptos Narrow"/>
          <w:b/>
          <w:bCs/>
          <w:sz w:val="24"/>
        </w:rPr>
        <w:t>1.3.3</w:t>
      </w:r>
      <w:r>
        <w:rPr>
          <w:rFonts w:ascii="Aptos Narrow" w:hAnsi="Aptos Narrow"/>
          <w:sz w:val="24"/>
        </w:rPr>
        <w:t>. A Proposta da Outorgado.</w:t>
      </w:r>
    </w:p>
    <w:p>
      <w:pPr>
        <w:pStyle w:val="Normal"/>
        <w:ind w:hanging="0" w:left="284"/>
        <w:jc w:val="both"/>
        <w:rPr>
          <w:rFonts w:ascii="Aptos Narrow" w:hAnsi="Aptos Narrow"/>
          <w:sz w:val="24"/>
        </w:rPr>
      </w:pPr>
      <w:r>
        <w:rPr>
          <w:rFonts w:ascii="Aptos Narrow" w:hAnsi="Aptos Narrow"/>
          <w:b/>
          <w:bCs/>
          <w:sz w:val="24"/>
        </w:rPr>
        <w:t>1.3.4</w:t>
      </w:r>
      <w:r>
        <w:rPr>
          <w:rFonts w:ascii="Aptos Narrow" w:hAnsi="Aptos Narrow"/>
          <w:sz w:val="24"/>
        </w:rPr>
        <w:t>. Eventuais anexos dos documentos supracitados.</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SEGUNDA - DA VIGÊNCIA E PRORROGAÇÃO:</w:t>
            </w:r>
          </w:p>
        </w:tc>
      </w:tr>
    </w:tbl>
    <w:p>
      <w:pPr>
        <w:pStyle w:val="Normal"/>
        <w:jc w:val="both"/>
        <w:rPr>
          <w:rFonts w:ascii="Aptos Narrow" w:hAnsi="Aptos Narrow"/>
          <w:sz w:val="24"/>
        </w:rPr>
      </w:pPr>
      <w:r>
        <w:rPr>
          <w:rFonts w:ascii="Aptos Narrow" w:hAnsi="Aptos Narrow"/>
          <w:b/>
          <w:bCs/>
          <w:sz w:val="24"/>
        </w:rPr>
        <w:t>2.1</w:t>
      </w:r>
      <w:r>
        <w:rPr>
          <w:rFonts w:ascii="Aptos Narrow" w:hAnsi="Aptos Narrow"/>
          <w:sz w:val="24"/>
        </w:rPr>
        <w:t xml:space="preserve">. A concessão terá vigência de 20 (vinte) anos, eventual prorrogação dependerá de fundamento legal, interesse público devidamente motivado, demonstração de vantajosidade para a Administração e atendimento aos demais requisitos legais e contratuais aplicáveis, não constituindo direito automático do outorgado nos termos da legislação vigente, desde que demonstrado o interesse público. O prazo foi definido com base em estudo de viabilidade técnico-econômica, considerando a necessidade de amortização dos investimentos a serem realizados pelo outorgado, especialmente em razão das obras de reforma estrutural e adequação arquitetônica do espaço. A fixação do prazo observa os princípios da eficiência, da economicidade e da vantajosidade, previstos no inciso II do Art. 110 da Lei nº 14.133/2021, por se tratar de contratação com características de concessão e com investimento relevante por parte do particular, contados a partir da assinatura do respectivo termo, contados da assinatura da </w:t>
      </w:r>
      <w:r>
        <w:rPr>
          <w:rFonts w:ascii="Aptos Narrow" w:hAnsi="Aptos Narrow"/>
          <w:sz w:val="24"/>
          <w:u w:val="single"/>
        </w:rPr>
        <w:t>Ordem de Início da Concessão de Uso.</w:t>
      </w:r>
      <w:r>
        <w:rPr>
          <w:rFonts w:ascii="Aptos Narrow" w:hAnsi="Aptos Narrow"/>
          <w:sz w:val="24"/>
        </w:rPr>
        <w:t xml:space="preserve"> </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TERCEIRA - DO VALOR:</w:t>
            </w:r>
          </w:p>
        </w:tc>
      </w:tr>
    </w:tbl>
    <w:p>
      <w:pPr>
        <w:pStyle w:val="Normal"/>
        <w:jc w:val="both"/>
        <w:rPr>
          <w:rFonts w:ascii="Aptos Narrow" w:hAnsi="Aptos Narrow"/>
          <w:sz w:val="24"/>
        </w:rPr>
      </w:pPr>
      <w:r>
        <w:rPr>
          <w:rFonts w:ascii="Aptos Narrow" w:hAnsi="Aptos Narrow"/>
          <w:b/>
          <w:bCs/>
          <w:sz w:val="24"/>
        </w:rPr>
        <w:t>3.1</w:t>
      </w:r>
      <w:r>
        <w:rPr>
          <w:rFonts w:ascii="Aptos Narrow" w:hAnsi="Aptos Narrow"/>
          <w:sz w:val="24"/>
        </w:rPr>
        <w:t xml:space="preserve">. O valor mensal da concessão é de R$ </w:t>
      </w:r>
      <w:r>
        <w:rPr>
          <w:rFonts w:ascii="Aptos Narrow" w:hAnsi="Aptos Narrow"/>
          <w:sz w:val="24"/>
          <w:highlight w:val="yellow"/>
        </w:rPr>
        <w:t>0000,00</w:t>
      </w:r>
      <w:r>
        <w:rPr>
          <w:rFonts w:ascii="Aptos Narrow" w:hAnsi="Aptos Narrow"/>
          <w:sz w:val="24"/>
        </w:rPr>
        <w:t xml:space="preserve"> (</w:t>
      </w:r>
      <w:r>
        <w:rPr>
          <w:rFonts w:ascii="Aptos Narrow" w:hAnsi="Aptos Narrow"/>
          <w:sz w:val="24"/>
          <w:highlight w:val="yellow"/>
        </w:rPr>
        <w:t>valor por extenso</w:t>
      </w:r>
      <w:r>
        <w:rPr>
          <w:rFonts w:ascii="Aptos Narrow" w:hAnsi="Aptos Narrow"/>
          <w:sz w:val="24"/>
        </w:rPr>
        <w:t>).</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QUARTA - DA FORMA DE PAGAMENTO E PERÍODO DE CARÊNCIA:</w:t>
            </w:r>
          </w:p>
        </w:tc>
      </w:tr>
    </w:tbl>
    <w:p>
      <w:pPr>
        <w:pStyle w:val="Normal"/>
        <w:jc w:val="both"/>
        <w:rPr>
          <w:rFonts w:ascii="Aptos Narrow" w:hAnsi="Aptos Narrow"/>
          <w:sz w:val="24"/>
        </w:rPr>
      </w:pPr>
      <w:r>
        <w:rPr>
          <w:rFonts w:ascii="Aptos Narrow" w:hAnsi="Aptos Narrow"/>
          <w:b/>
          <w:bCs/>
          <w:sz w:val="24"/>
        </w:rPr>
        <w:t>4.1</w:t>
      </w:r>
      <w:r>
        <w:rPr>
          <w:rFonts w:ascii="Aptos Narrow" w:hAnsi="Aptos Narrow"/>
          <w:sz w:val="24"/>
        </w:rPr>
        <w:t>. O pagamento mensal da concessão será até o 5º (quinto) dia útil, do mês subsequente ao vencido.</w:t>
      </w:r>
    </w:p>
    <w:p>
      <w:pPr>
        <w:pStyle w:val="Normal"/>
        <w:jc w:val="both"/>
        <w:rPr>
          <w:rFonts w:ascii="Aptos Narrow" w:hAnsi="Aptos Narrow"/>
          <w:sz w:val="24"/>
        </w:rPr>
      </w:pPr>
      <w:r>
        <w:rPr>
          <w:rFonts w:ascii="Aptos Narrow" w:hAnsi="Aptos Narrow"/>
          <w:b/>
          <w:bCs/>
          <w:sz w:val="24"/>
        </w:rPr>
        <w:t>4.2</w:t>
      </w:r>
      <w:r>
        <w:rPr>
          <w:rFonts w:ascii="Aptos Narrow" w:hAnsi="Aptos Narrow"/>
          <w:sz w:val="24"/>
        </w:rPr>
        <w:t>. Os boletos relativos ao pagamento, serão emitidos pela Secretaria de Município de, Agricultura e Pesca - SMAP e entregues/enviados ao Outorgado.</w:t>
      </w:r>
    </w:p>
    <w:p>
      <w:pPr>
        <w:pStyle w:val="Normal"/>
        <w:jc w:val="both"/>
        <w:rPr>
          <w:rFonts w:ascii="Aptos Narrow" w:hAnsi="Aptos Narrow"/>
          <w:sz w:val="24"/>
        </w:rPr>
      </w:pPr>
      <w:r>
        <w:rPr>
          <w:rFonts w:ascii="Aptos Narrow" w:hAnsi="Aptos Narrow"/>
          <w:b/>
          <w:bCs/>
          <w:sz w:val="24"/>
        </w:rPr>
        <w:t>4.3</w:t>
      </w:r>
      <w:r>
        <w:rPr>
          <w:rFonts w:ascii="Aptos Narrow" w:hAnsi="Aptos Narrow"/>
          <w:sz w:val="24"/>
        </w:rPr>
        <w:t>. Em caso de atraso no pagamento mensal, será aplicada multa moratória de 10% (dez por cento), sobre o valor do débito, acrescido de juros legais.</w:t>
      </w:r>
    </w:p>
    <w:p>
      <w:pPr>
        <w:pStyle w:val="Normal"/>
        <w:jc w:val="both"/>
        <w:rPr>
          <w:rFonts w:ascii="Aptos Narrow" w:hAnsi="Aptos Narrow"/>
          <w:sz w:val="24"/>
          <w:highlight w:val="none"/>
          <w:shd w:fill="FFFF00" w:val="clear"/>
        </w:rPr>
      </w:pPr>
      <w:r>
        <w:rPr>
          <w:rFonts w:ascii="Aptos Narrow" w:hAnsi="Aptos Narrow"/>
          <w:b/>
          <w:bCs/>
          <w:sz w:val="24"/>
          <w:shd w:fill="FFFF00" w:val="clear"/>
        </w:rPr>
        <w:t>4.4.</w:t>
      </w:r>
      <w:r>
        <w:rPr>
          <w:rFonts w:ascii="Aptos Narrow" w:hAnsi="Aptos Narrow"/>
          <w:sz w:val="24"/>
          <w:shd w:fill="FFFF00" w:val="clear"/>
        </w:rPr>
        <w:t xml:space="preserve"> Durante o período de execução da obra, 240 (duzentos e quarenta dias), conforme Cronograma físico-financeiro, e disposições do Termo de Referência, haverá carência no pagamento da outorga.</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QUINTA - DO REAJUSTE:</w:t>
            </w:r>
          </w:p>
        </w:tc>
      </w:tr>
    </w:tbl>
    <w:p>
      <w:pPr>
        <w:pStyle w:val="Normal"/>
        <w:jc w:val="both"/>
        <w:rPr>
          <w:rFonts w:ascii="Aptos Narrow" w:hAnsi="Aptos Narrow"/>
          <w:sz w:val="24"/>
        </w:rPr>
      </w:pPr>
      <w:r>
        <w:rPr>
          <w:rFonts w:ascii="Aptos Narrow" w:hAnsi="Aptos Narrow"/>
          <w:b/>
          <w:bCs/>
          <w:sz w:val="24"/>
        </w:rPr>
        <w:t>5.1</w:t>
      </w:r>
      <w:r>
        <w:rPr>
          <w:rFonts w:ascii="Aptos Narrow" w:hAnsi="Aptos Narrow"/>
          <w:sz w:val="24"/>
        </w:rPr>
        <w:t xml:space="preserve">. Após o interregno de um ano, o pagamento mensal será reajustado, mediante a aplicação </w:t>
      </w:r>
      <w:bookmarkStart w:id="0" w:name="_Hlk153460833"/>
      <w:r>
        <w:rPr>
          <w:rFonts w:ascii="Aptos Narrow" w:hAnsi="Aptos Narrow"/>
          <w:sz w:val="24"/>
        </w:rPr>
        <w:t xml:space="preserve">do índice INPC-IBGE (Índice Nacional de Preços ao Consumidor), de acordo com o disposto na OS 006/2023/SMGAL. </w:t>
      </w:r>
      <w:bookmarkEnd w:id="0"/>
    </w:p>
    <w:p>
      <w:pPr>
        <w:pStyle w:val="Normal"/>
        <w:jc w:val="both"/>
        <w:rPr>
          <w:rFonts w:ascii="Aptos Narrow" w:hAnsi="Aptos Narrow"/>
          <w:sz w:val="24"/>
        </w:rPr>
      </w:pPr>
      <w:r>
        <w:rPr>
          <w:rFonts w:ascii="Aptos Narrow" w:hAnsi="Aptos Narrow"/>
          <w:b/>
          <w:bCs/>
          <w:sz w:val="24"/>
        </w:rPr>
        <w:t>5.2</w:t>
      </w:r>
      <w:r>
        <w:rPr>
          <w:rFonts w:ascii="Aptos Narrow" w:hAnsi="Aptos Narrow"/>
          <w:sz w:val="24"/>
        </w:rPr>
        <w:t>. Nos reajustes subsequentes ao primeiro, o interregno mínimo de um ano será contado a partir dos efeitos financeiros do último reajuste.</w:t>
      </w:r>
    </w:p>
    <w:p>
      <w:pPr>
        <w:pStyle w:val="Normal"/>
        <w:ind w:hanging="0" w:left="284"/>
        <w:jc w:val="both"/>
        <w:rPr>
          <w:rFonts w:ascii="Aptos Narrow" w:hAnsi="Aptos Narrow"/>
          <w:sz w:val="24"/>
        </w:rPr>
      </w:pPr>
      <w:r>
        <w:rPr>
          <w:rFonts w:ascii="Aptos Narrow" w:hAnsi="Aptos Narrow"/>
          <w:b/>
          <w:bCs/>
          <w:sz w:val="24"/>
        </w:rPr>
        <w:t>5.2.1</w:t>
      </w:r>
      <w:r>
        <w:rPr>
          <w:rFonts w:ascii="Aptos Narrow" w:hAnsi="Aptos Narrow"/>
          <w:sz w:val="24"/>
        </w:rPr>
        <w:t>. No caso de atraso ou não divulgação do índice de reajustamento, o Outorgado pagará ao Outorgante a importância calculada pela última variação conhecida, liquidando a diferença correspondente tão logo seja divulgado o índice definitivo.</w:t>
      </w:r>
    </w:p>
    <w:p>
      <w:pPr>
        <w:pStyle w:val="Normal"/>
        <w:ind w:hanging="0" w:left="284"/>
        <w:jc w:val="both"/>
        <w:rPr>
          <w:rFonts w:ascii="Aptos Narrow" w:hAnsi="Aptos Narrow"/>
          <w:sz w:val="24"/>
        </w:rPr>
      </w:pPr>
      <w:r>
        <w:rPr>
          <w:rFonts w:ascii="Aptos Narrow" w:hAnsi="Aptos Narrow"/>
          <w:b/>
          <w:bCs/>
          <w:sz w:val="24"/>
        </w:rPr>
        <w:t>5.2.2</w:t>
      </w:r>
      <w:r>
        <w:rPr>
          <w:rFonts w:ascii="Aptos Narrow" w:hAnsi="Aptos Narrow"/>
          <w:sz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Aptos Narrow" w:hAnsi="Aptos Narrow"/>
          <w:sz w:val="24"/>
        </w:rPr>
      </w:pPr>
      <w:r>
        <w:rPr>
          <w:rFonts w:ascii="Aptos Narrow" w:hAnsi="Aptos Narrow"/>
          <w:b/>
          <w:bCs/>
          <w:sz w:val="24"/>
        </w:rPr>
        <w:t>5.2.2.1</w:t>
      </w:r>
      <w:r>
        <w:rPr>
          <w:rFonts w:ascii="Aptos Narrow" w:hAnsi="Aptos Narrow"/>
          <w:sz w:val="24"/>
        </w:rPr>
        <w:t>. Na ausência de previsão legal quanto ao índice substituto, as partes elegerão novo índice oficial, para reajustamento do preço do valor remanescente, por meio de termo aditivo.</w:t>
      </w:r>
    </w:p>
    <w:p>
      <w:pPr>
        <w:pStyle w:val="Normal"/>
        <w:jc w:val="both"/>
        <w:rPr>
          <w:rFonts w:ascii="Aptos Narrow" w:hAnsi="Aptos Narrow"/>
          <w:sz w:val="24"/>
        </w:rPr>
      </w:pPr>
      <w:r>
        <w:rPr>
          <w:rFonts w:ascii="Aptos Narrow" w:hAnsi="Aptos Narrow"/>
          <w:b/>
          <w:bCs/>
          <w:sz w:val="24"/>
        </w:rPr>
        <w:t>5.3</w:t>
      </w:r>
      <w:r>
        <w:rPr>
          <w:rFonts w:ascii="Aptos Narrow" w:hAnsi="Aptos Narrow"/>
          <w:sz w:val="24"/>
        </w:rPr>
        <w:t>. O reajuste será formalizado mediante simples apostila, conforme dispõe o art. 136 da Lei 14.133/2021.</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SEXTA - DAS OBRIGAÇÕES DO OUTORGANTE:</w:t>
            </w:r>
          </w:p>
        </w:tc>
      </w:tr>
    </w:tbl>
    <w:p>
      <w:pPr>
        <w:pStyle w:val="Normal"/>
        <w:jc w:val="both"/>
        <w:rPr>
          <w:rFonts w:ascii="Aptos Narrow" w:hAnsi="Aptos Narrow"/>
          <w:sz w:val="24"/>
        </w:rPr>
      </w:pPr>
      <w:r>
        <w:rPr>
          <w:rFonts w:ascii="Aptos Narrow" w:hAnsi="Aptos Narrow"/>
          <w:b/>
          <w:bCs/>
          <w:sz w:val="24"/>
        </w:rPr>
        <w:t>6.1</w:t>
      </w:r>
      <w:r>
        <w:rPr>
          <w:rFonts w:ascii="Aptos Narrow" w:hAnsi="Aptos Narrow"/>
          <w:sz w:val="24"/>
        </w:rPr>
        <w:t xml:space="preserve">. Exigir o cumprimento de todas as obrigações assumidas pelo Outorgado, de acordo com o este instrumento e seus anexos, inclusive a execução das obras, projetos e demais obrigações especificadas nos documentos técnicos que são anexos do edital de Leilão. </w:t>
      </w:r>
    </w:p>
    <w:p>
      <w:pPr>
        <w:pStyle w:val="Normal"/>
        <w:jc w:val="both"/>
        <w:rPr>
          <w:rFonts w:ascii="Aptos Narrow" w:hAnsi="Aptos Narrow"/>
          <w:sz w:val="24"/>
        </w:rPr>
      </w:pPr>
      <w:r>
        <w:rPr>
          <w:rFonts w:ascii="Aptos Narrow" w:hAnsi="Aptos Narrow"/>
          <w:b/>
          <w:bCs/>
          <w:sz w:val="24"/>
        </w:rPr>
        <w:t>6.2</w:t>
      </w:r>
      <w:r>
        <w:rPr>
          <w:rFonts w:ascii="Aptos Narrow" w:hAnsi="Aptos Narrow"/>
          <w:sz w:val="24"/>
        </w:rPr>
        <w:t>. Acompanhar e fiscalizar a execução do presente e o cumprimento das obrigações pelo Outorgado.</w:t>
      </w:r>
    </w:p>
    <w:p>
      <w:pPr>
        <w:pStyle w:val="Normal"/>
        <w:jc w:val="both"/>
        <w:rPr>
          <w:rFonts w:ascii="Aptos Narrow" w:hAnsi="Aptos Narrow"/>
          <w:sz w:val="24"/>
        </w:rPr>
      </w:pPr>
      <w:r>
        <w:rPr>
          <w:rFonts w:ascii="Aptos Narrow" w:hAnsi="Aptos Narrow"/>
          <w:b/>
          <w:bCs/>
          <w:sz w:val="24"/>
        </w:rPr>
        <w:t>6.3</w:t>
      </w:r>
      <w:r>
        <w:rPr>
          <w:rFonts w:ascii="Aptos Narrow" w:hAnsi="Aptos Narrow"/>
          <w:sz w:val="24"/>
        </w:rPr>
        <w:t>. Aplicar ao Outorgado as sanções previstas na Lei e neste instrumento.</w:t>
      </w:r>
    </w:p>
    <w:p>
      <w:pPr>
        <w:pStyle w:val="Normal"/>
        <w:jc w:val="both"/>
        <w:rPr>
          <w:rFonts w:ascii="Aptos Narrow" w:hAnsi="Aptos Narrow"/>
          <w:sz w:val="24"/>
        </w:rPr>
      </w:pPr>
      <w:r>
        <w:rPr>
          <w:rFonts w:ascii="Aptos Narrow" w:hAnsi="Aptos Narrow"/>
          <w:b/>
          <w:bCs/>
          <w:sz w:val="24"/>
        </w:rPr>
        <w:t>6.4</w:t>
      </w:r>
      <w:r>
        <w:rPr>
          <w:rFonts w:ascii="Aptos Narrow" w:hAnsi="Aptos Narrow"/>
          <w:sz w:val="24"/>
        </w:rPr>
        <w:t>. Emitir decisão sobre todas as solicitações e reclamações relacionadas à execução do presente, ressalvados os requerimentos manifestamente impertinentes, meramente protelatórios ou de nenhum interesse para a boa execução do ajuste.</w:t>
      </w:r>
    </w:p>
    <w:p>
      <w:pPr>
        <w:pStyle w:val="Normal"/>
        <w:ind w:hanging="0" w:left="284"/>
        <w:jc w:val="both"/>
        <w:rPr>
          <w:rFonts w:ascii="Aptos Narrow" w:hAnsi="Aptos Narrow"/>
          <w:sz w:val="24"/>
        </w:rPr>
      </w:pPr>
      <w:r>
        <w:rPr>
          <w:rFonts w:ascii="Aptos Narrow" w:hAnsi="Aptos Narrow"/>
          <w:b/>
          <w:bCs/>
          <w:sz w:val="24"/>
        </w:rPr>
        <w:t>6.4.1</w:t>
      </w:r>
      <w:r>
        <w:rPr>
          <w:rFonts w:ascii="Aptos Narrow" w:hAnsi="Aptos Narrow"/>
          <w:sz w:val="24"/>
        </w:rPr>
        <w:t>. Concluída a instrução do requerimento, a Administração terá o prazo de 30 (trinta) dias para decidir, admitida a prorrogação motivada por igual período.</w:t>
      </w:r>
    </w:p>
    <w:p>
      <w:pPr>
        <w:pStyle w:val="Normal"/>
        <w:jc w:val="both"/>
        <w:rPr>
          <w:rFonts w:ascii="Aptos Narrow" w:hAnsi="Aptos Narrow"/>
          <w:sz w:val="24"/>
        </w:rPr>
      </w:pPr>
      <w:r>
        <w:rPr>
          <w:rFonts w:ascii="Aptos Narrow" w:hAnsi="Aptos Narrow"/>
          <w:b/>
          <w:bCs/>
          <w:sz w:val="24"/>
        </w:rPr>
        <w:t>6.5</w:t>
      </w:r>
      <w:r>
        <w:rPr>
          <w:rFonts w:ascii="Aptos Narrow" w:hAnsi="Aptos Narrow"/>
          <w:sz w:val="24"/>
        </w:rPr>
        <w:t>. A Administração não responderá por quaisquer compromissos assumidos pelo ao Outorgado com terceiros, bem como por qualquer dano causado a terceiros em decorrência de ato do Outorgado, de seus empregados, prepostos ou subordinados.</w:t>
      </w:r>
    </w:p>
    <w:p>
      <w:pPr>
        <w:pStyle w:val="Normal"/>
        <w:jc w:val="both"/>
        <w:rPr>
          <w:rFonts w:ascii="Aptos Narrow" w:hAnsi="Aptos Narrow"/>
          <w:sz w:val="24"/>
        </w:rPr>
      </w:pPr>
      <w:r>
        <w:rPr>
          <w:rFonts w:ascii="Aptos Narrow" w:hAnsi="Aptos Narrow"/>
          <w:b/>
          <w:bCs/>
          <w:sz w:val="24"/>
        </w:rPr>
        <w:t>6.6</w:t>
      </w:r>
      <w:r>
        <w:rPr>
          <w:rFonts w:ascii="Aptos Narrow" w:hAnsi="Aptos Narrow"/>
          <w:sz w:val="24"/>
        </w:rPr>
        <w:t>. Não praticar atos de ingerência, tais como:</w:t>
      </w:r>
    </w:p>
    <w:p>
      <w:pPr>
        <w:pStyle w:val="Normal"/>
        <w:ind w:hanging="0" w:left="284"/>
        <w:jc w:val="both"/>
        <w:rPr>
          <w:rFonts w:ascii="Aptos Narrow" w:hAnsi="Aptos Narrow"/>
          <w:sz w:val="24"/>
        </w:rPr>
      </w:pPr>
      <w:r>
        <w:rPr>
          <w:rFonts w:ascii="Aptos Narrow" w:hAnsi="Aptos Narrow"/>
          <w:b/>
          <w:bCs/>
          <w:sz w:val="24"/>
        </w:rPr>
        <w:t>6.6.1</w:t>
      </w:r>
      <w:r>
        <w:rPr>
          <w:rFonts w:ascii="Aptos Narrow" w:hAnsi="Aptos Narrow"/>
          <w:sz w:val="24"/>
        </w:rPr>
        <w:t>. Exercer poder de mando sobre os empregados do Outorgado, devendo reportar-se somente aos responsáveis por ela indicados.</w:t>
      </w:r>
    </w:p>
    <w:p>
      <w:pPr>
        <w:pStyle w:val="Normal"/>
        <w:ind w:hanging="0" w:left="284"/>
        <w:jc w:val="both"/>
        <w:rPr>
          <w:rFonts w:ascii="Aptos Narrow" w:hAnsi="Aptos Narrow"/>
          <w:sz w:val="24"/>
        </w:rPr>
      </w:pPr>
      <w:r>
        <w:rPr>
          <w:rFonts w:ascii="Aptos Narrow" w:hAnsi="Aptos Narrow"/>
          <w:b/>
          <w:bCs/>
          <w:sz w:val="24"/>
        </w:rPr>
        <w:t>6.6.2</w:t>
      </w:r>
      <w:r>
        <w:rPr>
          <w:rFonts w:ascii="Aptos Narrow" w:hAnsi="Aptos Narrow"/>
          <w:sz w:val="24"/>
        </w:rPr>
        <w:t>. Direcionar a contratação de pessoas para trabalhar no Outorgado.</w:t>
      </w:r>
    </w:p>
    <w:p>
      <w:pPr>
        <w:pStyle w:val="Normal"/>
        <w:ind w:hanging="0" w:left="284"/>
        <w:jc w:val="both"/>
        <w:rPr>
          <w:rFonts w:ascii="Aptos Narrow" w:hAnsi="Aptos Narrow"/>
          <w:sz w:val="24"/>
        </w:rPr>
      </w:pPr>
      <w:r>
        <w:rPr>
          <w:rFonts w:ascii="Aptos Narrow" w:hAnsi="Aptos Narrow"/>
          <w:b/>
          <w:bCs/>
          <w:sz w:val="24"/>
        </w:rPr>
        <w:t>6.6.3</w:t>
      </w:r>
      <w:r>
        <w:rPr>
          <w:rFonts w:ascii="Aptos Narrow" w:hAnsi="Aptos Narrow"/>
          <w:sz w:val="24"/>
        </w:rPr>
        <w:t>. Promover ou aceitar o desvio de função dos trabalhadores do Outorgado, mediante a utilização destes em atividades distintas.</w:t>
      </w:r>
    </w:p>
    <w:p>
      <w:pPr>
        <w:pStyle w:val="Normal"/>
        <w:jc w:val="both"/>
        <w:rPr>
          <w:rFonts w:ascii="Aptos Narrow" w:hAnsi="Aptos Narrow"/>
          <w:sz w:val="24"/>
        </w:rPr>
      </w:pPr>
      <w:r>
        <w:rPr>
          <w:rFonts w:ascii="Aptos Narrow" w:hAnsi="Aptos Narrow"/>
          <w:b/>
          <w:bCs/>
          <w:sz w:val="24"/>
        </w:rPr>
        <w:t>6.4</w:t>
      </w:r>
      <w:r>
        <w:rPr>
          <w:rFonts w:ascii="Aptos Narrow" w:hAnsi="Aptos Narrow"/>
          <w:sz w:val="24"/>
        </w:rPr>
        <w:t xml:space="preserve">. A emissão da </w:t>
      </w:r>
      <w:r>
        <w:rPr>
          <w:rFonts w:ascii="Aptos Narrow" w:hAnsi="Aptos Narrow"/>
          <w:sz w:val="24"/>
          <w:u w:val="single"/>
        </w:rPr>
        <w:t>Ordem de Início da Autorga de Uso</w:t>
      </w:r>
      <w:r>
        <w:rPr>
          <w:rFonts w:ascii="Aptos Narrow" w:hAnsi="Aptos Narrow"/>
          <w:sz w:val="24"/>
        </w:rPr>
        <w:t>, condicionada a apresentação:</w:t>
      </w:r>
    </w:p>
    <w:p>
      <w:pPr>
        <w:pStyle w:val="Normal"/>
        <w:ind w:hanging="0" w:left="284"/>
        <w:jc w:val="both"/>
        <w:rPr>
          <w:rFonts w:ascii="Aptos Narrow" w:hAnsi="Aptos Narrow"/>
          <w:sz w:val="24"/>
        </w:rPr>
      </w:pPr>
      <w:r>
        <w:rPr>
          <w:rFonts w:ascii="Aptos Narrow" w:hAnsi="Aptos Narrow"/>
          <w:b/>
          <w:bCs/>
          <w:sz w:val="24"/>
        </w:rPr>
        <w:t>6.4.1</w:t>
      </w:r>
      <w:r>
        <w:rPr>
          <w:rFonts w:ascii="Aptos Narrow" w:hAnsi="Aptos Narrow"/>
          <w:sz w:val="24"/>
        </w:rPr>
        <w:t>. do Alvará de Funcionamento, emitido pela Secretaria de Município da Fazenda - SMF.</w:t>
      </w:r>
    </w:p>
    <w:p>
      <w:pPr>
        <w:pStyle w:val="Normal"/>
        <w:ind w:hanging="0" w:left="284"/>
        <w:jc w:val="both"/>
        <w:rPr>
          <w:rFonts w:ascii="Aptos Narrow" w:hAnsi="Aptos Narrow"/>
          <w:sz w:val="24"/>
        </w:rPr>
      </w:pPr>
      <w:r>
        <w:rPr>
          <w:rFonts w:ascii="Aptos Narrow" w:hAnsi="Aptos Narrow"/>
          <w:b/>
          <w:bCs/>
          <w:sz w:val="24"/>
        </w:rPr>
        <w:t>6.4.2</w:t>
      </w:r>
      <w:r>
        <w:rPr>
          <w:rFonts w:ascii="Aptos Narrow" w:hAnsi="Aptos Narrow"/>
          <w:sz w:val="24"/>
        </w:rPr>
        <w:t>. do Alvará Sanitário, emitido pela Secretaria de Município da Saúde – SMS, quando aplicável.</w:t>
      </w:r>
    </w:p>
    <w:p>
      <w:pPr>
        <w:pStyle w:val="Normal"/>
        <w:ind w:hanging="0" w:left="284"/>
        <w:jc w:val="both"/>
        <w:rPr>
          <w:rFonts w:ascii="Aptos Narrow" w:hAnsi="Aptos Narrow"/>
          <w:sz w:val="24"/>
        </w:rPr>
      </w:pPr>
      <w:r>
        <w:rPr>
          <w:rFonts w:ascii="Aptos Narrow" w:hAnsi="Aptos Narrow"/>
          <w:b/>
          <w:bCs/>
          <w:sz w:val="24"/>
        </w:rPr>
        <w:t>6.4.3</w:t>
      </w:r>
      <w:r>
        <w:rPr>
          <w:rFonts w:ascii="Aptos Narrow" w:hAnsi="Aptos Narrow"/>
          <w:sz w:val="24"/>
        </w:rPr>
        <w:t>. comprovação das ligações definitivas de energia, água, telefone e gás, quando aplicáveis.</w:t>
      </w:r>
    </w:p>
    <w:p>
      <w:pPr>
        <w:pStyle w:val="Normal"/>
        <w:ind w:hanging="0" w:left="284"/>
        <w:jc w:val="both"/>
        <w:rPr>
          <w:rFonts w:ascii="Aptos Narrow" w:hAnsi="Aptos Narrow"/>
          <w:sz w:val="24"/>
        </w:rPr>
      </w:pPr>
      <w:r>
        <w:rPr>
          <w:rFonts w:ascii="Aptos Narrow" w:hAnsi="Aptos Narrow"/>
          <w:b/>
          <w:bCs/>
          <w:sz w:val="24"/>
        </w:rPr>
        <w:t>6.4.4</w:t>
      </w:r>
      <w:r>
        <w:rPr>
          <w:rFonts w:ascii="Aptos Narrow" w:hAnsi="Aptos Narrow"/>
          <w:sz w:val="24"/>
        </w:rPr>
        <w:t>. laudo de vistoria do Corpo de Bombeiros aprovando o serviço, quando aplicável.</w:t>
      </w:r>
    </w:p>
    <w:p>
      <w:pPr>
        <w:pStyle w:val="Normal"/>
        <w:jc w:val="both"/>
        <w:rPr>
          <w:rFonts w:ascii="Aptos Narrow" w:hAnsi="Aptos Narrow"/>
          <w:sz w:val="24"/>
        </w:rPr>
      </w:pPr>
      <w:r>
        <w:rPr>
          <w:rFonts w:ascii="Aptos Narrow" w:hAnsi="Aptos Narrow"/>
          <w:b/>
          <w:bCs/>
          <w:sz w:val="24"/>
        </w:rPr>
        <w:t>6.5</w:t>
      </w:r>
      <w:r>
        <w:rPr>
          <w:rFonts w:ascii="Aptos Narrow" w:hAnsi="Aptos Narrow"/>
          <w:sz w:val="24"/>
        </w:rPr>
        <w:t>. Previamente à expedição da ordem de início, verificar pendências, liberar áreas e/ou adotar providências cabíveis.</w:t>
      </w:r>
    </w:p>
    <w:p>
      <w:pPr>
        <w:pStyle w:val="Normal"/>
        <w:jc w:val="both"/>
        <w:rPr>
          <w:rFonts w:ascii="Aptos Narrow" w:hAnsi="Aptos Narrow"/>
          <w:b/>
          <w:bCs/>
          <w:sz w:val="24"/>
        </w:rPr>
      </w:pPr>
      <w:r>
        <w:rPr>
          <w:rFonts w:ascii="Aptos Narrow" w:hAnsi="Aptos Narrow"/>
          <w:b/>
          <w:bCs/>
          <w:sz w:val="24"/>
        </w:rPr>
        <w:t xml:space="preserve">6.6. </w:t>
      </w:r>
      <w:r>
        <w:rPr>
          <w:rFonts w:ascii="Aptos Narrow" w:hAnsi="Aptos Narrow"/>
          <w:b w:val="false"/>
          <w:bCs w:val="false"/>
          <w:sz w:val="24"/>
          <w:shd w:fill="FFFF00" w:val="clear"/>
        </w:rPr>
        <w:t>Exigir láudo técnico atestando o pleno comprimento das obrigações do Outorgado quanto a execução das obras especificadas nos documentos técnicos que acompanham o processo</w:t>
      </w:r>
      <w:r>
        <w:rPr>
          <w:rFonts w:ascii="Aptos Narrow" w:hAnsi="Aptos Narrow"/>
          <w:b/>
          <w:bCs/>
          <w:sz w:val="24"/>
          <w:shd w:fill="FFFF00" w:val="clear"/>
        </w:rPr>
        <w:t>.</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SÉTIMA - DAS OBRIGAÇÕES DO OUTORGADO:</w:t>
            </w:r>
          </w:p>
        </w:tc>
      </w:tr>
    </w:tbl>
    <w:p>
      <w:pPr>
        <w:pStyle w:val="Normal"/>
        <w:jc w:val="both"/>
        <w:rPr>
          <w:rFonts w:ascii="Aptos Narrow" w:hAnsi="Aptos Narrow"/>
          <w:sz w:val="24"/>
        </w:rPr>
      </w:pPr>
      <w:r>
        <w:rPr>
          <w:rFonts w:ascii="Aptos Narrow" w:hAnsi="Aptos Narrow"/>
          <w:b/>
          <w:bCs/>
          <w:sz w:val="24"/>
        </w:rPr>
        <w:t>7.1</w:t>
      </w:r>
      <w:r>
        <w:rPr>
          <w:rFonts w:ascii="Aptos Narrow" w:hAnsi="Aptos Narrow"/>
          <w:sz w:val="24"/>
        </w:rPr>
        <w:t>. O Outorgado deve cumprir todas as obrigações constantes deste e em seus anexos, assumindo como exclusivamente seus os riscos e as despesas decorrentes da boa e perfeita execução do objeto.</w:t>
      </w:r>
    </w:p>
    <w:p>
      <w:pPr>
        <w:pStyle w:val="Normal"/>
        <w:jc w:val="both"/>
        <w:rPr>
          <w:rFonts w:ascii="Aptos Narrow" w:hAnsi="Aptos Narrow"/>
          <w:sz w:val="24"/>
        </w:rPr>
      </w:pPr>
      <w:r>
        <w:rPr>
          <w:rFonts w:ascii="Aptos Narrow" w:hAnsi="Aptos Narrow"/>
          <w:b/>
          <w:bCs/>
          <w:sz w:val="24"/>
        </w:rPr>
        <w:t>7.2</w:t>
      </w:r>
      <w:r>
        <w:rPr>
          <w:rFonts w:ascii="Aptos Narrow" w:hAnsi="Aptos Narrow"/>
          <w:sz w:val="24"/>
        </w:rPr>
        <w:t>. Manter as características da referida dependência, obedecendo-se o padrão existente, bem como todos os pagamentos relativos às despesas decorrentes  da instalação, uso e manutenção do bem imóvel, ora cedido, bem como tributos municipais, estaduais, taxas de água, esgoto, condomínio de energia elétrica, encargos sociais e outros que por ventura vierem a surgir.</w:t>
      </w:r>
    </w:p>
    <w:p>
      <w:pPr>
        <w:pStyle w:val="Normal"/>
        <w:jc w:val="both"/>
        <w:rPr>
          <w:rFonts w:ascii="Aptos Narrow" w:hAnsi="Aptos Narrow"/>
          <w:sz w:val="24"/>
        </w:rPr>
      </w:pPr>
      <w:r>
        <w:rPr>
          <w:rFonts w:ascii="Aptos Narrow" w:hAnsi="Aptos Narrow"/>
          <w:b/>
          <w:bCs/>
          <w:sz w:val="24"/>
        </w:rPr>
        <w:t>7.3</w:t>
      </w:r>
      <w:r>
        <w:rPr>
          <w:rFonts w:ascii="Aptos Narrow" w:hAnsi="Aptos Narrow"/>
          <w:sz w:val="24"/>
        </w:rPr>
        <w:t>. Cumprimento do Decreto 13.335 de 04 de maio de 2015, que regulamenta a organização e o funcionamento das dependências do Mercado Público Municipal.</w:t>
      </w:r>
    </w:p>
    <w:p>
      <w:pPr>
        <w:pStyle w:val="Normal"/>
        <w:jc w:val="both"/>
        <w:rPr>
          <w:rFonts w:ascii="Aptos Narrow" w:hAnsi="Aptos Narrow"/>
          <w:sz w:val="24"/>
        </w:rPr>
      </w:pPr>
      <w:r>
        <w:rPr>
          <w:rFonts w:ascii="Aptos Narrow" w:hAnsi="Aptos Narrow"/>
          <w:b/>
          <w:bCs/>
          <w:sz w:val="24"/>
        </w:rPr>
        <w:t>7.4</w:t>
      </w:r>
      <w:r>
        <w:rPr>
          <w:rFonts w:ascii="Aptos Narrow" w:hAnsi="Aptos Narrow"/>
          <w:sz w:val="24"/>
        </w:rPr>
        <w:t xml:space="preserve">. Ao julgar necessário quaisquer benfeitorias, esta só deve ocorre, com a devida autorização pelo Concedente, fiscalizada e com projeto aprovado pela Secretaria de Município de Coordenação, Planejamento, Habitação e Regularização Fundiária - SMCPHRF. </w:t>
      </w:r>
    </w:p>
    <w:p>
      <w:pPr>
        <w:pStyle w:val="Normal"/>
        <w:ind w:hanging="0" w:left="284"/>
        <w:jc w:val="both"/>
        <w:rPr>
          <w:rFonts w:ascii="Aptos Narrow" w:hAnsi="Aptos Narrow"/>
          <w:sz w:val="24"/>
        </w:rPr>
      </w:pPr>
      <w:r>
        <w:rPr>
          <w:rFonts w:ascii="Aptos Narrow" w:hAnsi="Aptos Narrow"/>
          <w:b/>
          <w:bCs/>
          <w:sz w:val="24"/>
        </w:rPr>
        <w:t>7.4.1</w:t>
      </w:r>
      <w:r>
        <w:rPr>
          <w:rFonts w:ascii="Aptos Narrow" w:hAnsi="Aptos Narrow"/>
          <w:sz w:val="24"/>
        </w:rPr>
        <w:t>. Os custos das benfeitorias realizadas não serão abatidos no valor dos pagamentos mensais.</w:t>
      </w:r>
    </w:p>
    <w:p>
      <w:pPr>
        <w:pStyle w:val="Normal"/>
        <w:ind w:hanging="0" w:left="284"/>
        <w:jc w:val="both"/>
        <w:rPr>
          <w:rFonts w:ascii="Aptos Narrow" w:hAnsi="Aptos Narrow"/>
          <w:sz w:val="24"/>
        </w:rPr>
      </w:pPr>
      <w:r>
        <w:rPr>
          <w:rFonts w:ascii="Aptos Narrow" w:hAnsi="Aptos Narrow"/>
          <w:b/>
          <w:bCs/>
          <w:sz w:val="24"/>
        </w:rPr>
        <w:t>7.4.2</w:t>
      </w:r>
      <w:r>
        <w:rPr>
          <w:rFonts w:ascii="Aptos Narrow" w:hAnsi="Aptos Narrow"/>
          <w:sz w:val="24"/>
        </w:rPr>
        <w:t>. As benfeitorias realizadas, desde que autorizadas, não terão direito a indenização no final da vigência, eis que as mesmas passam a integrar o patrimônio do Município.</w:t>
      </w:r>
    </w:p>
    <w:p>
      <w:pPr>
        <w:pStyle w:val="Normal"/>
        <w:jc w:val="both"/>
        <w:rPr>
          <w:rFonts w:ascii="Aptos Narrow" w:hAnsi="Aptos Narrow"/>
          <w:sz w:val="24"/>
        </w:rPr>
      </w:pPr>
      <w:r>
        <w:rPr>
          <w:rFonts w:ascii="Aptos Narrow" w:hAnsi="Aptos Narrow"/>
          <w:b/>
          <w:bCs/>
          <w:sz w:val="24"/>
        </w:rPr>
        <w:t>7.5</w:t>
      </w:r>
      <w:r>
        <w:rPr>
          <w:rFonts w:ascii="Aptos Narrow" w:hAnsi="Aptos Narrow"/>
          <w:sz w:val="24"/>
        </w:rPr>
        <w:t>. O Outorgado ao término da vigência da outorga, deverá devolver a dependência em perfeitas condições de uso, independente de notificação judicial ou extrajudicial.</w:t>
      </w:r>
    </w:p>
    <w:p>
      <w:pPr>
        <w:pStyle w:val="Normal"/>
        <w:jc w:val="both"/>
        <w:rPr>
          <w:rFonts w:ascii="Aptos Narrow" w:hAnsi="Aptos Narrow"/>
          <w:sz w:val="24"/>
        </w:rPr>
      </w:pPr>
      <w:r>
        <w:rPr>
          <w:rFonts w:ascii="Aptos Narrow" w:hAnsi="Aptos Narrow"/>
          <w:b/>
          <w:bCs/>
          <w:sz w:val="24"/>
        </w:rPr>
        <w:t>7.6</w:t>
      </w:r>
      <w:r>
        <w:rPr>
          <w:rFonts w:ascii="Aptos Narrow" w:hAnsi="Aptos Narrow"/>
          <w:sz w:val="24"/>
        </w:rPr>
        <w:t>. O Outorgado deverá manter o comércio em perfeito funcionamento, durante os doze meses de cada ano de vigência, sem interrupção, sendo que o seu descumprimento sem qualquer justificativa, devidamente comprovada, sujeitará à aplicação das sanções previstas na Cláusula Nona.</w:t>
      </w:r>
    </w:p>
    <w:p>
      <w:pPr>
        <w:pStyle w:val="Normal"/>
        <w:jc w:val="both"/>
        <w:rPr>
          <w:rFonts w:ascii="Aptos Narrow" w:hAnsi="Aptos Narrow"/>
          <w:sz w:val="24"/>
        </w:rPr>
      </w:pPr>
      <w:r>
        <w:rPr>
          <w:rFonts w:ascii="Aptos Narrow" w:hAnsi="Aptos Narrow"/>
          <w:b/>
          <w:bCs/>
          <w:sz w:val="24"/>
        </w:rPr>
        <w:t>7.7</w:t>
      </w:r>
      <w:r>
        <w:rPr>
          <w:rFonts w:ascii="Aptos Narrow" w:hAnsi="Aptos Narrow"/>
          <w:sz w:val="24"/>
        </w:rPr>
        <w:t>. Não serão permitidas a colocação e comercialização de mercadorias fora da dependência locada ou colocação de mesas e cadeiras no passeio público (calçada), salvo autorização formal da SMPAC.</w:t>
      </w:r>
    </w:p>
    <w:p>
      <w:pPr>
        <w:pStyle w:val="Normal"/>
        <w:jc w:val="both"/>
        <w:rPr>
          <w:rFonts w:ascii="Aptos Narrow" w:hAnsi="Aptos Narrow"/>
          <w:sz w:val="24"/>
        </w:rPr>
      </w:pPr>
      <w:r>
        <w:rPr>
          <w:rFonts w:ascii="Aptos Narrow" w:hAnsi="Aptos Narrow"/>
          <w:b/>
          <w:bCs/>
          <w:sz w:val="24"/>
        </w:rPr>
        <w:t>7.8</w:t>
      </w:r>
      <w:r>
        <w:rPr>
          <w:rFonts w:ascii="Aptos Narrow" w:hAnsi="Aptos Narrow"/>
          <w:sz w:val="24"/>
        </w:rPr>
        <w:t xml:space="preserve">. Não será </w:t>
      </w:r>
      <w:r>
        <w:rPr>
          <w:rFonts w:cs="Calibri Light" w:ascii="Aptos Narrow" w:hAnsi="Aptos Narrow" w:cstheme="majorHAnsi"/>
          <w:sz w:val="24"/>
          <w:lang w:val="pt-BR"/>
        </w:rPr>
        <w:t>permitida, sob nenhuma hipótese, a utilização de veículo de tração animal para a execução contratual.</w:t>
      </w:r>
    </w:p>
    <w:p>
      <w:pPr>
        <w:pStyle w:val="Normal"/>
        <w:jc w:val="both"/>
        <w:rPr>
          <w:rFonts w:ascii="Aptos Narrow" w:hAnsi="Aptos Narrow"/>
          <w:sz w:val="24"/>
        </w:rPr>
      </w:pPr>
      <w:r>
        <w:rPr>
          <w:rFonts w:ascii="Aptos Narrow" w:hAnsi="Aptos Narrow"/>
          <w:b/>
          <w:bCs/>
          <w:sz w:val="24"/>
        </w:rPr>
        <w:t>7.9</w:t>
      </w:r>
      <w:r>
        <w:rPr>
          <w:rFonts w:ascii="Aptos Narrow" w:hAnsi="Aptos Narrow"/>
          <w:sz w:val="24"/>
        </w:rPr>
        <w:t>.Deverá o Outorgado fazer uso de produtos de limpeza e conservação de superfícies e objetos inanimados que obedeçam às classificações e especificações determinadas pela ANVISA.</w:t>
      </w:r>
    </w:p>
    <w:p>
      <w:pPr>
        <w:pStyle w:val="Normal"/>
        <w:jc w:val="both"/>
        <w:rPr>
          <w:rFonts w:ascii="Aptos Narrow" w:hAnsi="Aptos Narrow"/>
          <w:sz w:val="24"/>
        </w:rPr>
      </w:pPr>
      <w:r>
        <w:rPr>
          <w:rFonts w:ascii="Aptos Narrow" w:hAnsi="Aptos Narrow"/>
          <w:b/>
          <w:bCs/>
          <w:sz w:val="24"/>
        </w:rPr>
        <w:t>7.10</w:t>
      </w:r>
      <w:r>
        <w:rPr>
          <w:rFonts w:ascii="Aptos Narrow" w:hAnsi="Aptos Narrow"/>
          <w:sz w:val="24"/>
        </w:rPr>
        <w:t>. Utilizar de medidas para evitar o desperdício de água tratada e energia elétrica.</w:t>
      </w:r>
    </w:p>
    <w:p>
      <w:pPr>
        <w:pStyle w:val="Normal"/>
        <w:jc w:val="both"/>
        <w:rPr>
          <w:rFonts w:ascii="Aptos Narrow" w:hAnsi="Aptos Narrow"/>
          <w:sz w:val="24"/>
        </w:rPr>
      </w:pPr>
      <w:r>
        <w:rPr>
          <w:rFonts w:ascii="Aptos Narrow" w:hAnsi="Aptos Narrow"/>
          <w:b/>
          <w:bCs/>
          <w:sz w:val="24"/>
        </w:rPr>
        <w:t>7.11</w:t>
      </w:r>
      <w:r>
        <w:rPr>
          <w:rFonts w:ascii="Aptos Narrow" w:hAnsi="Aptos Narrow"/>
          <w:sz w:val="24"/>
        </w:rPr>
        <w:t>. Respeitar as Normas Brasileiras – NBR publicadas pela Associação Brasileira de Normas Técnicas sobre resíduos sólidos, no que couber.</w:t>
      </w:r>
    </w:p>
    <w:p>
      <w:pPr>
        <w:pStyle w:val="Normal"/>
        <w:jc w:val="both"/>
        <w:rPr>
          <w:rFonts w:ascii="Aptos Narrow" w:hAnsi="Aptos Narrow"/>
          <w:sz w:val="24"/>
        </w:rPr>
      </w:pPr>
      <w:r>
        <w:rPr>
          <w:rFonts w:ascii="Aptos Narrow" w:hAnsi="Aptos Narrow"/>
          <w:b/>
          <w:bCs/>
          <w:sz w:val="24"/>
        </w:rPr>
        <w:t>7.12</w:t>
      </w:r>
      <w:r>
        <w:rPr>
          <w:rFonts w:ascii="Aptos Narrow" w:hAnsi="Aptos Narrow"/>
          <w:sz w:val="24"/>
        </w:rPr>
        <w:t>. Não contratar, durante a vigência do contrato, cônjuge, companheiro ou parente em linha reta, colateral ou por afinidade, até o terceiro grau, de dirigente do contratante ou do Fiscal ou Gestor do contrato, nos termos do art. 48, parágrafo único, da Lei 14.133/2021.</w:t>
      </w:r>
    </w:p>
    <w:p>
      <w:pPr>
        <w:pStyle w:val="Normal"/>
        <w:jc w:val="both"/>
        <w:rPr>
          <w:rFonts w:ascii="Aptos Narrow" w:hAnsi="Aptos Narrow"/>
          <w:sz w:val="24"/>
        </w:rPr>
      </w:pPr>
      <w:r>
        <w:rPr>
          <w:rFonts w:ascii="Aptos Narrow" w:hAnsi="Aptos Narrow"/>
          <w:b/>
          <w:bCs/>
          <w:sz w:val="24"/>
        </w:rPr>
        <w:t>7.13</w:t>
      </w:r>
      <w:r>
        <w:rPr>
          <w:rFonts w:ascii="Aptos Narrow" w:hAnsi="Aptos Narrow"/>
          <w:sz w:val="24"/>
        </w:rPr>
        <w:t>. Comunicar ao Fiscal do contrato, no prazo de 24 (vinte e quatro) horas, qualquer ocorrência anormal ou acidente que se verifique no local dos serviços.</w:t>
      </w:r>
    </w:p>
    <w:p>
      <w:pPr>
        <w:pStyle w:val="Normal"/>
        <w:jc w:val="both"/>
        <w:rPr>
          <w:rFonts w:ascii="Aptos Narrow" w:hAnsi="Aptos Narrow"/>
          <w:sz w:val="24"/>
        </w:rPr>
      </w:pPr>
      <w:r>
        <w:rPr>
          <w:rFonts w:ascii="Aptos Narrow" w:hAnsi="Aptos Narrow"/>
          <w:b/>
          <w:bCs/>
          <w:sz w:val="24"/>
        </w:rPr>
        <w:t>7.14</w:t>
      </w:r>
      <w:r>
        <w:rPr>
          <w:rFonts w:ascii="Aptos Narrow" w:hAnsi="Aptos Narrow"/>
          <w:sz w:val="24"/>
        </w:rPr>
        <w:t>. Prestar todo esclarecimento ou informação solicitada pelo Outorgante, garantindo-lhes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7.15</w:t>
      </w:r>
      <w:r>
        <w:rPr>
          <w:rFonts w:ascii="Aptos Narrow" w:hAnsi="Aptos Narrow"/>
          <w:sz w:val="24"/>
        </w:rPr>
        <w:t>. Paralisar, por determinação do Outorgante, qualquer atividade que não esteja sendo executada de acordo com a boa técnica ou que ponha em risco a segurança de pessoas ou bens de terceiros.</w:t>
      </w:r>
    </w:p>
    <w:p>
      <w:pPr>
        <w:pStyle w:val="Normal"/>
        <w:jc w:val="both"/>
        <w:rPr>
          <w:rFonts w:ascii="Aptos Narrow" w:hAnsi="Aptos Narrow"/>
          <w:sz w:val="24"/>
        </w:rPr>
      </w:pPr>
      <w:r>
        <w:rPr>
          <w:rFonts w:ascii="Aptos Narrow" w:hAnsi="Aptos Narrow"/>
          <w:b/>
          <w:bCs/>
          <w:sz w:val="24"/>
        </w:rPr>
        <w:t>7.16</w:t>
      </w:r>
      <w:r>
        <w:rPr>
          <w:rFonts w:ascii="Aptos Narrow" w:hAnsi="Aptos Narrow"/>
          <w:sz w:val="24"/>
        </w:rPr>
        <w:t>. Conduzir os trabalhos com estrita observância às normas da legislação pertinente, cumprindo as determinações dos Poderes Públicos, mantendo sempre limpo o local da concessão e nas melhores condições de segurança, higiene e disciplina.</w:t>
      </w:r>
    </w:p>
    <w:p>
      <w:pPr>
        <w:pStyle w:val="Normal"/>
        <w:jc w:val="both"/>
        <w:rPr>
          <w:rFonts w:ascii="Aptos Narrow" w:hAnsi="Aptos Narrow"/>
          <w:sz w:val="24"/>
        </w:rPr>
      </w:pPr>
      <w:r>
        <w:rPr>
          <w:rFonts w:ascii="Aptos Narrow" w:hAnsi="Aptos Narrow"/>
          <w:b/>
          <w:bCs/>
          <w:sz w:val="24"/>
        </w:rPr>
        <w:t>7.17</w:t>
      </w:r>
      <w:r>
        <w:rPr>
          <w:rFonts w:ascii="Aptos Narrow" w:hAnsi="Aptos Narrow"/>
          <w:sz w:val="24"/>
        </w:rPr>
        <w:t>. Submeter previamente, por escrito, ao Outorgante, para análise e aprovação, quaisquer mudanças nos métodos executivos que fujam às especificações do Termo de Referência ou instrumento congênere.</w:t>
      </w:r>
    </w:p>
    <w:p>
      <w:pPr>
        <w:pStyle w:val="Normal"/>
        <w:jc w:val="both"/>
        <w:rPr>
          <w:rFonts w:ascii="Aptos Narrow" w:hAnsi="Aptos Narrow"/>
          <w:sz w:val="24"/>
        </w:rPr>
      </w:pPr>
      <w:r>
        <w:rPr>
          <w:rFonts w:ascii="Aptos Narrow" w:hAnsi="Aptos Narrow"/>
          <w:b/>
          <w:bCs/>
          <w:sz w:val="24"/>
        </w:rPr>
        <w:t>7.18</w:t>
      </w:r>
      <w:r>
        <w:rPr>
          <w:rFonts w:ascii="Aptos Narrow" w:hAnsi="Aptos Narrow"/>
          <w:sz w:val="24"/>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jc w:val="both"/>
        <w:rPr>
          <w:rFonts w:ascii="Aptos Narrow" w:hAnsi="Aptos Narrow"/>
          <w:sz w:val="24"/>
        </w:rPr>
      </w:pPr>
      <w:r>
        <w:rPr>
          <w:rFonts w:ascii="Aptos Narrow" w:hAnsi="Aptos Narrow"/>
          <w:b/>
          <w:bCs/>
          <w:sz w:val="24"/>
        </w:rPr>
        <w:t>7.19</w:t>
      </w:r>
      <w:r>
        <w:rPr>
          <w:rFonts w:ascii="Aptos Narrow" w:hAnsi="Aptos Narrow"/>
          <w:sz w:val="24"/>
        </w:rPr>
        <w:t>. Cumprir, além dos postulados legais vigentes de âmbito federal, estadual ou municipal, as normas de segurança do Concedente.</w:t>
      </w:r>
    </w:p>
    <w:p>
      <w:pPr>
        <w:pStyle w:val="Normal"/>
        <w:jc w:val="both"/>
        <w:rPr>
          <w:rFonts w:ascii="Aptos Narrow" w:hAnsi="Aptos Narrow"/>
          <w:sz w:val="24"/>
        </w:rPr>
      </w:pPr>
      <w:r>
        <w:rPr>
          <w:rFonts w:ascii="Aptos Narrow" w:hAnsi="Aptos Narrow"/>
          <w:b/>
          <w:bCs/>
          <w:sz w:val="24"/>
        </w:rPr>
        <w:t>7.20.</w:t>
      </w:r>
      <w:r>
        <w:rPr>
          <w:rFonts w:ascii="Aptos Narrow" w:hAnsi="Aptos Narrow"/>
          <w:sz w:val="24"/>
        </w:rPr>
        <w:t xml:space="preserve"> </w:t>
      </w:r>
      <w:r>
        <w:rPr>
          <w:rFonts w:ascii="Aptos Narrow" w:hAnsi="Aptos Narrow"/>
          <w:sz w:val="24"/>
          <w:shd w:fill="FFFF00" w:val="clear"/>
        </w:rPr>
        <w:t>Realizar as obras, projetos e demais obrigações pertinentes, conforme Termo de Referência, Memorial Descritivo e Projetos anexos do edital.</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OITAVA - DA SUBCONTRATAÇÃO OU TRANSFERÊNCIA:</w:t>
            </w:r>
          </w:p>
        </w:tc>
      </w:tr>
    </w:tbl>
    <w:p>
      <w:pPr>
        <w:pStyle w:val="Normal"/>
        <w:jc w:val="both"/>
        <w:rPr>
          <w:rFonts w:ascii="Aptos Narrow" w:hAnsi="Aptos Narrow"/>
          <w:sz w:val="24"/>
        </w:rPr>
      </w:pPr>
      <w:r>
        <w:rPr>
          <w:rFonts w:ascii="Aptos Narrow" w:hAnsi="Aptos Narrow"/>
          <w:b/>
          <w:bCs/>
          <w:sz w:val="24"/>
        </w:rPr>
        <w:t>8.1</w:t>
      </w:r>
      <w:r>
        <w:rPr>
          <w:rFonts w:ascii="Aptos Narrow" w:hAnsi="Aptos Narrow"/>
          <w:sz w:val="24"/>
        </w:rPr>
        <w:t>. Qualquer cessão, subcontratação ou transferência, será nula de pleno direito e sem qualquer efeito, além de constituir infração passível das culminações legais e da Outorga.</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NONA - DAS INFRAÇÕES E SANÇÕES ADMINISTRATIVAS:</w:t>
            </w:r>
          </w:p>
        </w:tc>
      </w:tr>
    </w:tbl>
    <w:p>
      <w:pPr>
        <w:pStyle w:val="Normal"/>
        <w:jc w:val="both"/>
        <w:rPr>
          <w:rFonts w:ascii="Aptos Narrow" w:hAnsi="Aptos Narrow"/>
          <w:sz w:val="24"/>
        </w:rPr>
      </w:pPr>
      <w:r>
        <w:rPr>
          <w:rFonts w:ascii="Aptos Narrow" w:hAnsi="Aptos Narrow"/>
          <w:b/>
          <w:bCs/>
          <w:sz w:val="24"/>
        </w:rPr>
        <w:t>9.1</w:t>
      </w:r>
      <w:r>
        <w:rPr>
          <w:rFonts w:ascii="Aptos Narrow" w:hAnsi="Aptos Narrow"/>
          <w:sz w:val="24"/>
        </w:rPr>
        <w:t>. Comete infração administrativa, nos termos da Lei 14.133/2021, o Outorgado que:</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der causa à inexecução parcial do contrato;</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der causa à inexecução parcial do contrato que cause grave dano à Administração ou ao funcionamento dos serviços públicos ou ao interesse coletivo;</w:t>
      </w:r>
    </w:p>
    <w:p>
      <w:pPr>
        <w:pStyle w:val="Normal"/>
        <w:ind w:hanging="0" w:left="284"/>
        <w:jc w:val="both"/>
        <w:rPr>
          <w:rFonts w:ascii="Aptos Narrow" w:hAnsi="Aptos Narrow"/>
          <w:sz w:val="24"/>
        </w:rPr>
      </w:pPr>
      <w:r>
        <w:rPr>
          <w:rFonts w:ascii="Aptos Narrow" w:hAnsi="Aptos Narrow"/>
          <w:b/>
          <w:bCs/>
          <w:sz w:val="24"/>
        </w:rPr>
        <w:t>c</w:t>
      </w:r>
      <w:r>
        <w:rPr>
          <w:rFonts w:ascii="Aptos Narrow" w:hAnsi="Aptos Narrow"/>
          <w:sz w:val="24"/>
        </w:rPr>
        <w:t>) der causa à inexecução total do contrato;</w:t>
      </w:r>
    </w:p>
    <w:p>
      <w:pPr>
        <w:pStyle w:val="Normal"/>
        <w:ind w:hanging="0" w:left="284"/>
        <w:jc w:val="both"/>
        <w:rPr>
          <w:rFonts w:ascii="Aptos Narrow" w:hAnsi="Aptos Narrow"/>
          <w:sz w:val="24"/>
        </w:rPr>
      </w:pPr>
      <w:r>
        <w:rPr>
          <w:rFonts w:ascii="Aptos Narrow" w:hAnsi="Aptos Narrow"/>
          <w:b/>
          <w:bCs/>
          <w:sz w:val="24"/>
        </w:rPr>
        <w:t>d</w:t>
      </w:r>
      <w:r>
        <w:rPr>
          <w:rFonts w:ascii="Aptos Narrow" w:hAnsi="Aptos Narrow"/>
          <w:sz w:val="24"/>
        </w:rPr>
        <w:t>) ensejar o retardamento da execução sem motivo justificado;</w:t>
      </w:r>
    </w:p>
    <w:p>
      <w:pPr>
        <w:pStyle w:val="Normal"/>
        <w:ind w:hanging="0" w:left="284"/>
        <w:jc w:val="both"/>
        <w:rPr>
          <w:rFonts w:ascii="Aptos Narrow" w:hAnsi="Aptos Narrow"/>
          <w:sz w:val="24"/>
        </w:rPr>
      </w:pPr>
      <w:r>
        <w:rPr>
          <w:rFonts w:ascii="Aptos Narrow" w:hAnsi="Aptos Narrow"/>
          <w:b/>
          <w:bCs/>
          <w:sz w:val="24"/>
        </w:rPr>
        <w:t>e</w:t>
      </w:r>
      <w:r>
        <w:rPr>
          <w:rFonts w:ascii="Aptos Narrow" w:hAnsi="Aptos Narrow"/>
          <w:sz w:val="24"/>
        </w:rPr>
        <w:t>) apresentar documentação falsa ou prestar declaração falsa durante a execução do contrato;</w:t>
      </w:r>
    </w:p>
    <w:p>
      <w:pPr>
        <w:pStyle w:val="Normal"/>
        <w:ind w:hanging="0" w:left="284"/>
        <w:jc w:val="both"/>
        <w:rPr>
          <w:rFonts w:ascii="Aptos Narrow" w:hAnsi="Aptos Narrow"/>
          <w:sz w:val="24"/>
        </w:rPr>
      </w:pPr>
      <w:r>
        <w:rPr>
          <w:rFonts w:ascii="Aptos Narrow" w:hAnsi="Aptos Narrow"/>
          <w:b/>
          <w:bCs/>
          <w:sz w:val="24"/>
        </w:rPr>
        <w:t>f)</w:t>
      </w:r>
      <w:r>
        <w:rPr>
          <w:rFonts w:ascii="Aptos Narrow" w:hAnsi="Aptos Narrow"/>
          <w:sz w:val="24"/>
        </w:rPr>
        <w:t xml:space="preserve"> praticar ato fraudulento na execução do contrato;</w:t>
      </w:r>
    </w:p>
    <w:p>
      <w:pPr>
        <w:pStyle w:val="Normal"/>
        <w:ind w:hanging="0" w:left="284"/>
        <w:jc w:val="both"/>
        <w:rPr>
          <w:rFonts w:ascii="Aptos Narrow" w:hAnsi="Aptos Narrow"/>
          <w:sz w:val="24"/>
        </w:rPr>
      </w:pPr>
      <w:r>
        <w:rPr>
          <w:rFonts w:ascii="Aptos Narrow" w:hAnsi="Aptos Narrow"/>
          <w:b/>
          <w:bCs/>
          <w:sz w:val="24"/>
        </w:rPr>
        <w:t>g</w:t>
      </w:r>
      <w:r>
        <w:rPr>
          <w:rFonts w:ascii="Aptos Narrow" w:hAnsi="Aptos Narrow"/>
          <w:sz w:val="24"/>
        </w:rPr>
        <w:t>) comportar-se de modo inidôneo ou cometer fraude de qualquer natureza;</w:t>
      </w:r>
    </w:p>
    <w:p>
      <w:pPr>
        <w:pStyle w:val="Normal"/>
        <w:ind w:hanging="0" w:left="284"/>
        <w:jc w:val="both"/>
        <w:rPr>
          <w:rFonts w:ascii="Aptos Narrow" w:hAnsi="Aptos Narrow"/>
          <w:sz w:val="24"/>
        </w:rPr>
      </w:pPr>
      <w:r>
        <w:rPr>
          <w:rFonts w:ascii="Aptos Narrow" w:hAnsi="Aptos Narrow"/>
          <w:b/>
          <w:bCs/>
          <w:sz w:val="24"/>
        </w:rPr>
        <w:t>h</w:t>
      </w:r>
      <w:r>
        <w:rPr>
          <w:rFonts w:ascii="Aptos Narrow" w:hAnsi="Aptos Narrow"/>
          <w:sz w:val="24"/>
        </w:rPr>
        <w:t>) praticar ato lesivo previsto no art. 5º da Lei 12.846/2013.</w:t>
      </w:r>
    </w:p>
    <w:p>
      <w:pPr>
        <w:pStyle w:val="Normal"/>
        <w:jc w:val="both"/>
        <w:rPr>
          <w:rFonts w:ascii="Aptos Narrow" w:hAnsi="Aptos Narrow"/>
          <w:sz w:val="24"/>
        </w:rPr>
      </w:pPr>
      <w:r>
        <w:rPr>
          <w:rFonts w:ascii="Aptos Narrow" w:hAnsi="Aptos Narrow"/>
          <w:b/>
          <w:bCs/>
          <w:sz w:val="24"/>
        </w:rPr>
        <w:t>9.2</w:t>
      </w:r>
      <w:r>
        <w:rPr>
          <w:rFonts w:ascii="Aptos Narrow" w:hAnsi="Aptos Narrow"/>
          <w:sz w:val="24"/>
        </w:rPr>
        <w:t>. Serão aplicadas ao contratado que incorrer nas infrações acima descritas as seguintes sanções:</w:t>
      </w:r>
    </w:p>
    <w:p>
      <w:pPr>
        <w:pStyle w:val="Normal"/>
        <w:ind w:hanging="0" w:left="284"/>
        <w:jc w:val="both"/>
        <w:rPr>
          <w:rFonts w:ascii="Aptos Narrow" w:hAnsi="Aptos Narrow"/>
          <w:sz w:val="24"/>
        </w:rPr>
      </w:pPr>
      <w:r>
        <w:rPr>
          <w:rFonts w:ascii="Aptos Narrow" w:hAnsi="Aptos Narrow"/>
          <w:b/>
          <w:bCs/>
          <w:sz w:val="24"/>
        </w:rPr>
        <w:t>9.2.1</w:t>
      </w:r>
      <w:r>
        <w:rPr>
          <w:rFonts w:ascii="Aptos Narrow" w:hAnsi="Aptos Narrow"/>
          <w:sz w:val="24"/>
        </w:rPr>
        <w:t>. Advertência, quando o Outorgado der causa à inexecução parcial do contrato, sempre que não se justificar a imposição de penalidade mais grave (art. 156, § 2º, da Lei 14.133/2021).</w:t>
      </w:r>
    </w:p>
    <w:p>
      <w:pPr>
        <w:pStyle w:val="Normal"/>
        <w:ind w:hanging="0" w:left="284"/>
        <w:jc w:val="both"/>
        <w:rPr>
          <w:rFonts w:ascii="Aptos Narrow" w:hAnsi="Aptos Narrow"/>
          <w:sz w:val="24"/>
        </w:rPr>
      </w:pPr>
      <w:r>
        <w:rPr>
          <w:rFonts w:ascii="Aptos Narrow" w:hAnsi="Aptos Narrow"/>
          <w:b/>
          <w:bCs/>
          <w:sz w:val="24"/>
        </w:rPr>
        <w:t>9.2.2</w:t>
      </w:r>
      <w:r>
        <w:rPr>
          <w:rFonts w:ascii="Aptos Narrow" w:hAnsi="Aptos Narrow"/>
          <w:sz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Aptos Narrow" w:hAnsi="Aptos Narrow"/>
          <w:sz w:val="24"/>
        </w:rPr>
      </w:pPr>
      <w:r>
        <w:rPr>
          <w:rFonts w:ascii="Aptos Narrow" w:hAnsi="Aptos Narrow"/>
          <w:b/>
          <w:bCs/>
          <w:sz w:val="24"/>
        </w:rPr>
        <w:t>9.2.3</w:t>
      </w:r>
      <w:r>
        <w:rPr>
          <w:rFonts w:ascii="Aptos Narrow" w:hAnsi="Aptos Narrow"/>
          <w:sz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Aptos Narrow" w:hAnsi="Aptos Narrow"/>
          <w:sz w:val="24"/>
        </w:rPr>
      </w:pPr>
      <w:r>
        <w:rPr>
          <w:rFonts w:ascii="Aptos Narrow" w:hAnsi="Aptos Narrow"/>
          <w:b/>
          <w:bCs/>
          <w:sz w:val="24"/>
        </w:rPr>
        <w:t>9.2.4</w:t>
      </w:r>
      <w:r>
        <w:rPr>
          <w:rFonts w:ascii="Aptos Narrow" w:hAnsi="Aptos Narrow"/>
          <w:sz w:val="24"/>
        </w:rPr>
        <w:t>. Multa:</w:t>
      </w:r>
    </w:p>
    <w:p>
      <w:pPr>
        <w:pStyle w:val="Normal"/>
        <w:ind w:hanging="0" w:left="567"/>
        <w:jc w:val="both"/>
        <w:rPr>
          <w:rFonts w:ascii="Aptos Narrow" w:hAnsi="Aptos Narrow"/>
          <w:sz w:val="24"/>
        </w:rPr>
      </w:pPr>
      <w:r>
        <w:rPr>
          <w:rFonts w:ascii="Aptos Narrow" w:hAnsi="Aptos Narrow"/>
          <w:b/>
          <w:bCs/>
          <w:sz w:val="24"/>
        </w:rPr>
        <w:t>9.2.4.1</w:t>
      </w:r>
      <w:r>
        <w:rPr>
          <w:rFonts w:ascii="Aptos Narrow" w:hAnsi="Aptos Narrow"/>
          <w:sz w:val="24"/>
        </w:rPr>
        <w:t>. Moratória de 10% (dez por cento), sobre o valor da concessão pelo lapso de tempo devidamente comprovado pelo não funcionamento da atividade.</w:t>
      </w:r>
    </w:p>
    <w:p>
      <w:pPr>
        <w:pStyle w:val="Normal"/>
        <w:ind w:hanging="0" w:left="1134"/>
        <w:jc w:val="both"/>
        <w:rPr>
          <w:rFonts w:ascii="Aptos Narrow" w:hAnsi="Aptos Narrow"/>
          <w:sz w:val="24"/>
        </w:rPr>
      </w:pPr>
      <w:r>
        <w:rPr>
          <w:rFonts w:ascii="Aptos Narrow" w:hAnsi="Aptos Narrow"/>
          <w:b/>
          <w:bCs/>
          <w:sz w:val="24"/>
        </w:rPr>
        <w:t>a</w:t>
      </w:r>
      <w:r>
        <w:rPr>
          <w:rFonts w:ascii="Aptos Narrow" w:hAnsi="Aptos Narrow"/>
          <w:sz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Aptos Narrow" w:hAnsi="Aptos Narrow"/>
          <w:sz w:val="24"/>
        </w:rPr>
      </w:pPr>
      <w:r>
        <w:rPr>
          <w:rFonts w:ascii="Aptos Narrow" w:hAnsi="Aptos Narrow"/>
          <w:b/>
          <w:bCs/>
          <w:sz w:val="24"/>
        </w:rPr>
        <w:t>9.2.4.2</w:t>
      </w:r>
      <w:r>
        <w:rPr>
          <w:rFonts w:ascii="Aptos Narrow" w:hAnsi="Aptos Narrow"/>
          <w:sz w:val="24"/>
        </w:rPr>
        <w:t>. Compensatória, para as infrações descritas nas alíneas “e” a “h” do item 9.1, de 15 % (quinze por cento) do valor da concessão.</w:t>
      </w:r>
    </w:p>
    <w:p>
      <w:pPr>
        <w:pStyle w:val="Normal"/>
        <w:ind w:hanging="0" w:left="567"/>
        <w:jc w:val="both"/>
        <w:rPr>
          <w:rFonts w:ascii="Aptos Narrow" w:hAnsi="Aptos Narrow"/>
          <w:sz w:val="24"/>
        </w:rPr>
      </w:pPr>
      <w:r>
        <w:rPr>
          <w:rFonts w:ascii="Aptos Narrow" w:hAnsi="Aptos Narrow"/>
          <w:b/>
          <w:bCs/>
          <w:sz w:val="24"/>
        </w:rPr>
        <w:t>9.2.4.3</w:t>
      </w:r>
      <w:r>
        <w:rPr>
          <w:rFonts w:ascii="Aptos Narrow" w:hAnsi="Aptos Narrow"/>
          <w:sz w:val="24"/>
        </w:rPr>
        <w:t xml:space="preserve">. Compensatória, para as infrações previstas nas alíneas “b”, “c” e “d” do item 9.1, de 20% (vinte por cento) do valor da concessão. </w:t>
      </w:r>
    </w:p>
    <w:p>
      <w:pPr>
        <w:pStyle w:val="Normal"/>
        <w:ind w:hanging="0" w:left="567"/>
        <w:jc w:val="both"/>
        <w:rPr>
          <w:rFonts w:ascii="Aptos Narrow" w:hAnsi="Aptos Narrow"/>
          <w:sz w:val="24"/>
        </w:rPr>
      </w:pPr>
      <w:r>
        <w:rPr>
          <w:rFonts w:ascii="Aptos Narrow" w:hAnsi="Aptos Narrow"/>
          <w:b/>
          <w:bCs/>
          <w:sz w:val="24"/>
        </w:rPr>
        <w:t>9.2.4.4</w:t>
      </w:r>
      <w:r>
        <w:rPr>
          <w:rFonts w:ascii="Aptos Narrow" w:hAnsi="Aptos Narrow"/>
          <w:sz w:val="24"/>
        </w:rPr>
        <w:t>. Compensatória para infração descrita na alínea “a” do item 9.1, a multa será de 10% (dez por cento)  do valor da concessão.</w:t>
      </w:r>
    </w:p>
    <w:p>
      <w:pPr>
        <w:pStyle w:val="Normal"/>
        <w:jc w:val="both"/>
        <w:rPr>
          <w:rFonts w:ascii="Aptos Narrow" w:hAnsi="Aptos Narrow"/>
          <w:sz w:val="24"/>
        </w:rPr>
      </w:pPr>
      <w:r>
        <w:rPr>
          <w:rFonts w:ascii="Aptos Narrow" w:hAnsi="Aptos Narrow"/>
          <w:b/>
          <w:bCs/>
          <w:sz w:val="24"/>
        </w:rPr>
        <w:t>9.3</w:t>
      </w:r>
      <w:r>
        <w:rPr>
          <w:rFonts w:ascii="Aptos Narrow" w:hAnsi="Aptos Narrow"/>
          <w:sz w:val="24"/>
        </w:rPr>
        <w:t>. A aplicação das sanções previstas neste não exclui, em hipótese alguma, a obrigação de reparação integral do dano causado ao Concedente (art. 156, § 9º, da Lei 14.133/2021).</w:t>
      </w:r>
    </w:p>
    <w:p>
      <w:pPr>
        <w:pStyle w:val="Normal"/>
        <w:ind w:hanging="0" w:left="284"/>
        <w:jc w:val="both"/>
        <w:rPr>
          <w:rFonts w:ascii="Aptos Narrow" w:hAnsi="Aptos Narrow"/>
          <w:sz w:val="24"/>
        </w:rPr>
      </w:pPr>
      <w:r>
        <w:rPr>
          <w:rFonts w:ascii="Aptos Narrow" w:hAnsi="Aptos Narrow"/>
          <w:b/>
          <w:bCs/>
          <w:sz w:val="24"/>
        </w:rPr>
        <w:t>9.3.1</w:t>
      </w:r>
      <w:r>
        <w:rPr>
          <w:rFonts w:ascii="Aptos Narrow" w:hAnsi="Aptos Narrow"/>
          <w:sz w:val="24"/>
        </w:rPr>
        <w:t>. Todas as sanções previstas neste contrato poderão ser aplicadas cumulativamente com a multa (art. 156, § 7º, da Lei 14.133/2021).</w:t>
      </w:r>
    </w:p>
    <w:p>
      <w:pPr>
        <w:pStyle w:val="Normal"/>
        <w:ind w:hanging="0" w:left="284"/>
        <w:jc w:val="both"/>
        <w:rPr>
          <w:rFonts w:ascii="Aptos Narrow" w:hAnsi="Aptos Narrow"/>
          <w:sz w:val="24"/>
        </w:rPr>
      </w:pPr>
      <w:r>
        <w:rPr>
          <w:rFonts w:ascii="Aptos Narrow" w:hAnsi="Aptos Narrow"/>
          <w:b/>
          <w:bCs/>
          <w:sz w:val="24"/>
        </w:rPr>
        <w:t>9.3.2</w:t>
      </w:r>
      <w:r>
        <w:rPr>
          <w:rFonts w:ascii="Aptos Narrow" w:hAnsi="Aptos Narrow"/>
          <w:sz w:val="24"/>
        </w:rPr>
        <w:t>. Antes da aplicação da multa será facultada a defesa do interessado no prazo de 15 (quinze) dias úteis, contado da data de sua intimação (art. 157, da Lei 14.133/2021).</w:t>
      </w:r>
    </w:p>
    <w:p>
      <w:pPr>
        <w:pStyle w:val="Normal"/>
        <w:ind w:hanging="0" w:left="284"/>
        <w:jc w:val="both"/>
        <w:rPr>
          <w:rFonts w:ascii="Aptos Narrow" w:hAnsi="Aptos Narrow"/>
          <w:sz w:val="24"/>
        </w:rPr>
      </w:pPr>
      <w:r>
        <w:rPr>
          <w:rFonts w:ascii="Aptos Narrow" w:hAnsi="Aptos Narrow"/>
          <w:b/>
          <w:bCs/>
          <w:sz w:val="24"/>
        </w:rPr>
        <w:t>9.3.3</w:t>
      </w:r>
      <w:r>
        <w:rPr>
          <w:rFonts w:ascii="Aptos Narrow" w:hAnsi="Aptos Narrow"/>
          <w:sz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Aptos Narrow" w:hAnsi="Aptos Narrow"/>
          <w:sz w:val="24"/>
        </w:rPr>
      </w:pPr>
      <w:r>
        <w:rPr>
          <w:rFonts w:ascii="Aptos Narrow" w:hAnsi="Aptos Narrow"/>
          <w:b/>
          <w:bCs/>
          <w:sz w:val="24"/>
        </w:rPr>
        <w:t>9.4</w:t>
      </w:r>
      <w:r>
        <w:rPr>
          <w:rFonts w:ascii="Aptos Narrow" w:hAnsi="Aptos Narrow"/>
          <w:sz w:val="24"/>
        </w:rPr>
        <w:t>. A aplicação das sanções realizar-se-á em processo administrativo que assegure o contraditório e a ampla defesa ao Outorgado, observando-se o procedimento previsto no caput e parágrafos do art. 158 da Lei 14.133/2021, para as penalidades de impedimento de licitar e contratar e de declaração de inidoneidade para licitar ou contratar.</w:t>
      </w:r>
    </w:p>
    <w:p>
      <w:pPr>
        <w:pStyle w:val="Normal"/>
        <w:jc w:val="both"/>
        <w:rPr>
          <w:rFonts w:ascii="Aptos Narrow" w:hAnsi="Aptos Narrow"/>
          <w:sz w:val="24"/>
        </w:rPr>
      </w:pPr>
      <w:r>
        <w:rPr>
          <w:rFonts w:ascii="Aptos Narrow" w:hAnsi="Aptos Narrow"/>
          <w:b/>
          <w:bCs/>
          <w:sz w:val="24"/>
        </w:rPr>
        <w:t>9.5</w:t>
      </w:r>
      <w:r>
        <w:rPr>
          <w:rFonts w:ascii="Aptos Narrow" w:hAnsi="Aptos Narrow"/>
          <w:sz w:val="24"/>
        </w:rPr>
        <w:t>. Na aplicação das sanções serão considerados (art. 156, § 1º, da Lei 14.133/2021):</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a natureza e a gravidade da infração cometida;</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as peculiaridades do caso concreto;</w:t>
      </w:r>
    </w:p>
    <w:p>
      <w:pPr>
        <w:pStyle w:val="Normal"/>
        <w:ind w:hanging="0" w:left="284"/>
        <w:jc w:val="both"/>
        <w:rPr>
          <w:rFonts w:ascii="Aptos Narrow" w:hAnsi="Aptos Narrow"/>
          <w:sz w:val="24"/>
        </w:rPr>
      </w:pPr>
      <w:r>
        <w:rPr>
          <w:rFonts w:ascii="Aptos Narrow" w:hAnsi="Aptos Narrow"/>
          <w:b/>
          <w:bCs/>
          <w:sz w:val="24"/>
        </w:rPr>
        <w:t>c</w:t>
      </w:r>
      <w:r>
        <w:rPr>
          <w:rFonts w:ascii="Aptos Narrow" w:hAnsi="Aptos Narrow"/>
          <w:sz w:val="24"/>
        </w:rPr>
        <w:t>) as circunstâncias agravantes ou atenuantes;</w:t>
      </w:r>
    </w:p>
    <w:p>
      <w:pPr>
        <w:pStyle w:val="Normal"/>
        <w:ind w:hanging="0" w:left="284"/>
        <w:jc w:val="both"/>
        <w:rPr>
          <w:rFonts w:ascii="Aptos Narrow" w:hAnsi="Aptos Narrow"/>
          <w:sz w:val="24"/>
        </w:rPr>
      </w:pPr>
      <w:r>
        <w:rPr>
          <w:rFonts w:ascii="Aptos Narrow" w:hAnsi="Aptos Narrow"/>
          <w:b/>
          <w:bCs/>
          <w:sz w:val="24"/>
        </w:rPr>
        <w:t>d</w:t>
      </w:r>
      <w:r>
        <w:rPr>
          <w:rFonts w:ascii="Aptos Narrow" w:hAnsi="Aptos Narrow"/>
          <w:sz w:val="24"/>
        </w:rPr>
        <w:t>) os danos que dela provierem para o Concedente;</w:t>
      </w:r>
    </w:p>
    <w:p>
      <w:pPr>
        <w:pStyle w:val="Normal"/>
        <w:ind w:hanging="0" w:left="284"/>
        <w:jc w:val="both"/>
        <w:rPr>
          <w:rFonts w:ascii="Aptos Narrow" w:hAnsi="Aptos Narrow"/>
          <w:sz w:val="24"/>
        </w:rPr>
      </w:pPr>
      <w:r>
        <w:rPr>
          <w:rFonts w:ascii="Aptos Narrow" w:hAnsi="Aptos Narrow"/>
          <w:b/>
          <w:bCs/>
          <w:sz w:val="24"/>
        </w:rPr>
        <w:t>e</w:t>
      </w:r>
      <w:r>
        <w:rPr>
          <w:rFonts w:ascii="Aptos Narrow" w:hAnsi="Aptos Narrow"/>
          <w:sz w:val="24"/>
        </w:rPr>
        <w:t>) a implantação ou o aperfeiçoamento de programa de integridade, conforme normas e orientações dos órgãos de controle.</w:t>
      </w:r>
    </w:p>
    <w:p>
      <w:pPr>
        <w:pStyle w:val="Normal"/>
        <w:jc w:val="both"/>
        <w:rPr>
          <w:rFonts w:ascii="Aptos Narrow" w:hAnsi="Aptos Narrow"/>
          <w:sz w:val="24"/>
        </w:rPr>
      </w:pPr>
      <w:r>
        <w:rPr>
          <w:rFonts w:ascii="Aptos Narrow" w:hAnsi="Aptos Narrow"/>
          <w:b/>
          <w:bCs/>
          <w:sz w:val="24"/>
        </w:rPr>
        <w:t>9.6</w:t>
      </w:r>
      <w:r>
        <w:rPr>
          <w:rFonts w:ascii="Aptos Narrow" w:hAnsi="Aptos Narrow"/>
          <w:sz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Aptos Narrow" w:hAnsi="Aptos Narrow"/>
          <w:sz w:val="24"/>
        </w:rPr>
      </w:pPr>
      <w:r>
        <w:rPr>
          <w:rFonts w:ascii="Aptos Narrow" w:hAnsi="Aptos Narrow"/>
          <w:b/>
          <w:bCs/>
          <w:sz w:val="24"/>
        </w:rPr>
        <w:t>9.7</w:t>
      </w:r>
      <w:r>
        <w:rPr>
          <w:rFonts w:ascii="Aptos Narrow" w:hAnsi="Aptos Narrow"/>
          <w:sz w:val="24"/>
        </w:rPr>
        <w:t>. A personalidade jurídica do Outorgado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Outorgante, observados, em todos os casos, o contraditório, a ampla defesa e a obrigatoriedade de análise jurídica prévia (art. 160, da Lei 14.133/2021).</w:t>
      </w:r>
    </w:p>
    <w:p>
      <w:pPr>
        <w:pStyle w:val="Normal"/>
        <w:jc w:val="both"/>
        <w:rPr>
          <w:rFonts w:ascii="Aptos Narrow" w:hAnsi="Aptos Narrow"/>
          <w:sz w:val="24"/>
        </w:rPr>
      </w:pPr>
      <w:r>
        <w:rPr>
          <w:rFonts w:ascii="Aptos Narrow" w:hAnsi="Aptos Narrow"/>
          <w:b/>
          <w:bCs/>
          <w:sz w:val="24"/>
        </w:rPr>
        <w:t>9.8</w:t>
      </w:r>
      <w:r>
        <w:rPr>
          <w:rFonts w:ascii="Aptos Narrow" w:hAnsi="Aptos Narrow"/>
          <w:sz w:val="24"/>
        </w:rPr>
        <w:t>.  O Outorgante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Aptos Narrow" w:hAnsi="Aptos Narrow"/>
          <w:sz w:val="24"/>
        </w:rPr>
      </w:pPr>
      <w:r>
        <w:rPr>
          <w:rFonts w:ascii="Aptos Narrow" w:hAnsi="Aptos Narrow"/>
          <w:b/>
          <w:bCs/>
          <w:sz w:val="24"/>
        </w:rPr>
        <w:t>9.9</w:t>
      </w:r>
      <w:r>
        <w:rPr>
          <w:rFonts w:ascii="Aptos Narrow" w:hAnsi="Aptos Narrow"/>
          <w:sz w:val="24"/>
        </w:rPr>
        <w:t>. As sanções de impedimento de licitar e contratar e declaração de inidoneidade para licitar ou contratar são passíveis de reabilitação na forma do art. 163 da Lei 14.133/2021.</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 DA EXTINÇÃO DO CONTRATO:</w:t>
            </w:r>
          </w:p>
        </w:tc>
      </w:tr>
    </w:tbl>
    <w:p>
      <w:pPr>
        <w:pStyle w:val="Normal"/>
        <w:jc w:val="both"/>
        <w:rPr>
          <w:rFonts w:ascii="Aptos Narrow" w:hAnsi="Aptos Narrow"/>
          <w:sz w:val="24"/>
        </w:rPr>
      </w:pPr>
      <w:r>
        <w:rPr>
          <w:rFonts w:ascii="Aptos Narrow" w:hAnsi="Aptos Narrow"/>
          <w:b/>
          <w:bCs/>
          <w:sz w:val="24"/>
        </w:rPr>
        <w:t>10.1</w:t>
      </w:r>
      <w:r>
        <w:rPr>
          <w:rFonts w:ascii="Aptos Narrow" w:hAnsi="Aptos Narrow"/>
          <w:sz w:val="24"/>
        </w:rPr>
        <w:t>. O contrato se extingue quando vencido o prazo nele estipulado, independentemente de terem sido cumpridas ou não as obrigações de ambas as partes contraentes.</w:t>
      </w:r>
    </w:p>
    <w:p>
      <w:pPr>
        <w:pStyle w:val="Normal"/>
        <w:jc w:val="both"/>
        <w:rPr>
          <w:rFonts w:ascii="Aptos Narrow" w:hAnsi="Aptos Narrow"/>
          <w:sz w:val="24"/>
        </w:rPr>
      </w:pPr>
      <w:r>
        <w:rPr>
          <w:rFonts w:ascii="Aptos Narrow" w:hAnsi="Aptos Narrow"/>
          <w:b/>
          <w:bCs/>
          <w:sz w:val="24"/>
        </w:rPr>
        <w:t>10.2</w:t>
      </w:r>
      <w:r>
        <w:rPr>
          <w:rFonts w:ascii="Aptos Narrow" w:hAnsi="Aptos Narrow"/>
          <w:sz w:val="24"/>
        </w:rPr>
        <w:t>. O contrato pode ser extinto antes de cumpridas as obrigações nele estipuladas, ou antes do prazo nele fixado, por algum dos motivos previstos no art. 137 da Lei 14.133/2021, bem como amigavelmente, assegurados o contraditório e a ampla defesa.</w:t>
      </w:r>
    </w:p>
    <w:p>
      <w:pPr>
        <w:pStyle w:val="Normal"/>
        <w:ind w:hanging="0" w:left="284"/>
        <w:jc w:val="both"/>
        <w:rPr>
          <w:rFonts w:ascii="Aptos Narrow" w:hAnsi="Aptos Narrow"/>
          <w:sz w:val="24"/>
        </w:rPr>
      </w:pPr>
      <w:r>
        <w:rPr>
          <w:rFonts w:ascii="Aptos Narrow" w:hAnsi="Aptos Narrow"/>
          <w:b/>
          <w:bCs/>
          <w:sz w:val="24"/>
        </w:rPr>
        <w:t>10.2.1</w:t>
      </w:r>
      <w:r>
        <w:rPr>
          <w:rFonts w:ascii="Aptos Narrow" w:hAnsi="Aptos Narrow"/>
          <w:sz w:val="24"/>
        </w:rPr>
        <w:t>. Nesta hipótese, aplicam-se também os artigos 138 e 139 da mesma Lei.</w:t>
      </w:r>
    </w:p>
    <w:p>
      <w:pPr>
        <w:pStyle w:val="Normal"/>
        <w:jc w:val="both"/>
        <w:rPr>
          <w:rFonts w:ascii="Aptos Narrow" w:hAnsi="Aptos Narrow"/>
          <w:sz w:val="24"/>
        </w:rPr>
      </w:pPr>
      <w:r>
        <w:rPr>
          <w:rFonts w:ascii="Aptos Narrow" w:hAnsi="Aptos Narrow"/>
          <w:b/>
          <w:bCs/>
          <w:sz w:val="24"/>
        </w:rPr>
        <w:t>10.3</w:t>
      </w:r>
      <w:r>
        <w:rPr>
          <w:rFonts w:ascii="Aptos Narrow" w:hAnsi="Aptos Narrow"/>
          <w:sz w:val="24"/>
        </w:rPr>
        <w:t>. O termo de rescisão, sempre que possível, será precedido:</w:t>
      </w:r>
    </w:p>
    <w:p>
      <w:pPr>
        <w:pStyle w:val="Normal"/>
        <w:ind w:hanging="0" w:left="284"/>
        <w:jc w:val="both"/>
        <w:rPr>
          <w:rFonts w:ascii="Aptos Narrow" w:hAnsi="Aptos Narrow"/>
          <w:sz w:val="24"/>
        </w:rPr>
      </w:pPr>
      <w:r>
        <w:rPr>
          <w:rFonts w:ascii="Aptos Narrow" w:hAnsi="Aptos Narrow"/>
          <w:b/>
          <w:bCs/>
          <w:sz w:val="24"/>
        </w:rPr>
        <w:t>10.3.1</w:t>
      </w:r>
      <w:r>
        <w:rPr>
          <w:rFonts w:ascii="Aptos Narrow" w:hAnsi="Aptos Narrow"/>
          <w:sz w:val="24"/>
        </w:rPr>
        <w:t>. Relação dos pagamentos já efetuados e ainda devidos.</w:t>
      </w:r>
    </w:p>
    <w:p>
      <w:pPr>
        <w:pStyle w:val="Normal"/>
        <w:ind w:hanging="0" w:left="284"/>
        <w:jc w:val="both"/>
        <w:rPr>
          <w:rFonts w:ascii="Aptos Narrow" w:hAnsi="Aptos Narrow"/>
          <w:sz w:val="24"/>
        </w:rPr>
      </w:pPr>
      <w:r>
        <w:rPr>
          <w:rFonts w:ascii="Aptos Narrow" w:hAnsi="Aptos Narrow"/>
          <w:b/>
          <w:bCs/>
          <w:sz w:val="24"/>
        </w:rPr>
        <w:t>10.3.2</w:t>
      </w:r>
      <w:r>
        <w:rPr>
          <w:rFonts w:ascii="Aptos Narrow" w:hAnsi="Aptos Narrow"/>
          <w:sz w:val="24"/>
        </w:rPr>
        <w:t>. Indenizações e multas.</w:t>
      </w:r>
    </w:p>
    <w:p>
      <w:pPr>
        <w:pStyle w:val="Normal"/>
        <w:jc w:val="both"/>
        <w:rPr>
          <w:rFonts w:ascii="Aptos Narrow" w:hAnsi="Aptos Narrow"/>
          <w:sz w:val="24"/>
        </w:rPr>
      </w:pPr>
      <w:r>
        <w:rPr>
          <w:rFonts w:ascii="Aptos Narrow" w:hAnsi="Aptos Narrow"/>
          <w:b/>
          <w:bCs/>
          <w:sz w:val="24"/>
        </w:rPr>
        <w:t>10.4</w:t>
      </w:r>
      <w:r>
        <w:rPr>
          <w:rFonts w:ascii="Aptos Narrow" w:hAnsi="Aptos Narrow"/>
          <w:sz w:val="24"/>
        </w:rPr>
        <w:t>. O contrato poderá ser extinto caso se constate que o Outorgado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 IV, da Lei 14.133/2021).</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PRIMEIRA - DOS CASOS OMISSOS:</w:t>
            </w:r>
          </w:p>
        </w:tc>
      </w:tr>
    </w:tbl>
    <w:p>
      <w:pPr>
        <w:pStyle w:val="Normal"/>
        <w:jc w:val="both"/>
        <w:rPr>
          <w:rFonts w:ascii="Aptos Narrow" w:hAnsi="Aptos Narrow"/>
          <w:sz w:val="24"/>
        </w:rPr>
      </w:pPr>
      <w:r>
        <w:rPr>
          <w:rFonts w:ascii="Aptos Narrow" w:hAnsi="Aptos Narrow"/>
          <w:b/>
          <w:bCs/>
          <w:sz w:val="24"/>
        </w:rPr>
        <w:t>11.1</w:t>
      </w:r>
      <w:r>
        <w:rPr>
          <w:rFonts w:ascii="Aptos Narrow" w:hAnsi="Aptos Narrow"/>
          <w:sz w:val="24"/>
        </w:rPr>
        <w:t>. Os casos omissos serão decididos pela Outorgante, segundo as disposições contidas na Lei 14.133/2021, demais normas aplicáveis e normas e princípios gerais dos contratos.</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SEGUNDA - DAS ALTERAÇÕES:</w:t>
            </w:r>
          </w:p>
        </w:tc>
      </w:tr>
    </w:tbl>
    <w:p>
      <w:pPr>
        <w:pStyle w:val="Normal"/>
        <w:jc w:val="both"/>
        <w:rPr>
          <w:rFonts w:ascii="Aptos Narrow" w:hAnsi="Aptos Narrow"/>
          <w:sz w:val="24"/>
        </w:rPr>
      </w:pPr>
      <w:r>
        <w:rPr>
          <w:rFonts w:ascii="Aptos Narrow" w:hAnsi="Aptos Narrow"/>
          <w:b/>
          <w:bCs/>
          <w:sz w:val="24"/>
        </w:rPr>
        <w:t>12.1</w:t>
      </w:r>
      <w:r>
        <w:rPr>
          <w:rFonts w:ascii="Aptos Narrow" w:hAnsi="Aptos Narrow"/>
          <w:sz w:val="24"/>
        </w:rPr>
        <w:t>. Eventuais alterações contratuais reger-se-ão pela disciplina dos arts. 124 e seguintes da Lei 14.133/2021.</w:t>
      </w:r>
    </w:p>
    <w:p>
      <w:pPr>
        <w:pStyle w:val="Normal"/>
        <w:jc w:val="both"/>
        <w:rPr>
          <w:rFonts w:ascii="Aptos Narrow" w:hAnsi="Aptos Narrow"/>
          <w:sz w:val="24"/>
        </w:rPr>
      </w:pPr>
      <w:r>
        <w:rPr>
          <w:rFonts w:ascii="Aptos Narrow" w:hAnsi="Aptos Narrow"/>
          <w:b/>
          <w:bCs/>
          <w:sz w:val="24"/>
        </w:rPr>
        <w:t>12.2</w:t>
      </w:r>
      <w:r>
        <w:rPr>
          <w:rFonts w:ascii="Aptos Narrow" w:hAnsi="Aptos Narrow"/>
          <w:sz w:val="24"/>
        </w:rPr>
        <w:t>. Registros que não caracterizam alteração do contrato podem ser realizados por simples apostila, dispensada a celebração de termo aditivo, na forma do art. 136 da Lei 14.133/2021.</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TERCEIRA - DA PUBLICAÇÃO:</w:t>
            </w:r>
          </w:p>
        </w:tc>
      </w:tr>
    </w:tbl>
    <w:p>
      <w:pPr>
        <w:pStyle w:val="Normal"/>
        <w:jc w:val="both"/>
        <w:rPr>
          <w:rFonts w:ascii="Aptos Narrow" w:hAnsi="Aptos Narrow"/>
          <w:sz w:val="24"/>
        </w:rPr>
      </w:pPr>
      <w:r>
        <w:rPr>
          <w:rFonts w:ascii="Aptos Narrow" w:hAnsi="Aptos Narrow"/>
          <w:b/>
          <w:bCs/>
          <w:sz w:val="24"/>
        </w:rPr>
        <w:t>13.1</w:t>
      </w:r>
      <w:r>
        <w:rPr>
          <w:rFonts w:ascii="Aptos Narrow" w:hAnsi="Aptos Narrow"/>
          <w:sz w:val="24"/>
        </w:rPr>
        <w:t>. Incumbirá ao Outorgante providenciar a publicação deste instrumento nos termos e condições previstas na Lei 14.133/2021.</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QUARTA - DO FORO:</w:t>
            </w:r>
          </w:p>
        </w:tc>
      </w:tr>
    </w:tbl>
    <w:p>
      <w:pPr>
        <w:pStyle w:val="Normal"/>
        <w:jc w:val="both"/>
        <w:rPr>
          <w:rFonts w:ascii="Aptos Narrow" w:hAnsi="Aptos Narrow"/>
          <w:sz w:val="24"/>
        </w:rPr>
      </w:pPr>
      <w:r>
        <w:rPr>
          <w:rFonts w:ascii="Aptos Narrow" w:hAnsi="Aptos Narrow"/>
          <w:b/>
          <w:bCs/>
          <w:sz w:val="24"/>
        </w:rPr>
        <w:t>14.1</w:t>
      </w:r>
      <w:r>
        <w:rPr>
          <w:rFonts w:ascii="Aptos Narrow" w:hAnsi="Aptos Narrow"/>
          <w:sz w:val="24"/>
        </w:rPr>
        <w:t>. É eleito o Foro da Comarca do Rio Grande/RS, para dirimir os litígios que decorrerem da execução deste Contrato de Outorga que não possam ser compostos pela conciliação, conforme art. 92, §1º da Lei 14.133/2021.</w:t>
      </w:r>
    </w:p>
    <w:p>
      <w:pPr>
        <w:pStyle w:val="Normal"/>
        <w:jc w:val="both"/>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t>[Local/Data]</w:t>
      </w:r>
    </w:p>
    <w:p>
      <w:pPr>
        <w:pStyle w:val="Normal"/>
        <w:jc w:val="center"/>
        <w:rPr>
          <w:rFonts w:ascii="Aptos Narrow" w:hAnsi="Aptos Narrow"/>
          <w:sz w:val="24"/>
        </w:rPr>
      </w:pPr>
      <w:r>
        <w:rPr>
          <w:rFonts w:ascii="Aptos Narrow" w:hAnsi="Aptos Narrow"/>
          <w:sz w:val="24"/>
        </w:rPr>
      </w:r>
    </w:p>
    <w:p>
      <w:pPr>
        <w:pStyle w:val="Normal"/>
        <w:spacing w:lineRule="auto" w:line="276"/>
        <w:jc w:val="center"/>
        <w:rPr>
          <w:b/>
          <w:bCs/>
        </w:rPr>
      </w:pPr>
      <w:r>
        <w:rPr>
          <w:rFonts w:eastAsia="HG Mincho Light J" w:cs="Times New Roman" w:ascii="Aptos Narrow" w:hAnsi="Aptos Narrow"/>
          <w:b/>
          <w:bCs/>
          <w:color w:val="000000"/>
          <w:kern w:val="0"/>
          <w:sz w:val="24"/>
          <w:szCs w:val="24"/>
          <w:lang w:val="pt-PT" w:eastAsia="zh-CN" w:bidi="ar-SA"/>
        </w:rPr>
        <w:t>Leandro Pereira Cardozo</w:t>
      </w:r>
    </w:p>
    <w:p>
      <w:pPr>
        <w:pStyle w:val="Normal"/>
        <w:jc w:val="center"/>
        <w:rPr>
          <w:b/>
          <w:bCs/>
        </w:rPr>
      </w:pPr>
      <w:r>
        <w:rPr>
          <w:rFonts w:eastAsia="HG Mincho Light J" w:cs="Times New Roman" w:ascii="Aptos Narrow" w:hAnsi="Aptos Narrow"/>
          <w:b/>
          <w:bCs/>
          <w:color w:val="000000"/>
          <w:kern w:val="0"/>
          <w:sz w:val="24"/>
          <w:szCs w:val="24"/>
          <w:lang w:val="pt-PT" w:eastAsia="zh-CN" w:bidi="ar-SA"/>
        </w:rPr>
        <w:t>Secretaria de Município de Gestão Administrativa e Licitações</w:t>
      </w:r>
    </w:p>
    <w:p>
      <w:pPr>
        <w:pStyle w:val="Normal"/>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rial Nova light" w:hAnsi="Arial Nova light"/>
          <w:i w:val="false"/>
          <w:iCs w:val="false"/>
          <w:sz w:val="24"/>
          <w:szCs w:val="24"/>
        </w:rPr>
      </w:pPr>
      <w:r>
        <w:rPr>
          <w:rFonts w:ascii="Arial Nova light" w:hAnsi="Arial Nova light"/>
          <w:i w:val="false"/>
          <w:iCs w:val="false"/>
          <w:sz w:val="24"/>
          <w:szCs w:val="24"/>
        </w:rPr>
      </w:r>
    </w:p>
    <w:p>
      <w:pPr>
        <w:pStyle w:val="Normal"/>
        <w:spacing w:lineRule="auto" w:line="360"/>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t>FISCALIZAÇÃO DO CONTRATO Nº xxx/202x</w:t>
      </w:r>
    </w:p>
    <w:p>
      <w:pPr>
        <w:pStyle w:val="Normal"/>
        <w:spacing w:lineRule="auto" w:line="360"/>
        <w:ind w:hanging="0" w:left="1416" w:right="0"/>
        <w:jc w:val="center"/>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t>ciente:</w:t>
      </w:r>
    </w:p>
    <w:p>
      <w:pPr>
        <w:pStyle w:val="Normal"/>
        <w:suppressAutoHyphens w:val="false"/>
        <w:spacing w:lineRule="auto" w:line="36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t>Edailson da Silva Almeida</w:t>
      </w:r>
    </w:p>
    <w:p>
      <w:pPr>
        <w:pStyle w:val="Normal"/>
        <w:suppressAutoHyphens w:val="false"/>
        <w:spacing w:lineRule="auto" w:line="36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t>Fiscal do Serviço</w:t>
      </w:r>
    </w:p>
    <w:p>
      <w:pPr>
        <w:pStyle w:val="Normal"/>
        <w:suppressAutoHyphens w:val="false"/>
        <w:spacing w:lineRule="auto" w:line="36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t>Nilson Roberto da Rosa Pinheiro</w:t>
      </w:r>
    </w:p>
    <w:p>
      <w:pPr>
        <w:pStyle w:val="Normal"/>
        <w:suppressAutoHyphens w:val="false"/>
        <w:spacing w:lineRule="auto" w:line="36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t>Fiscal do contrato</w:t>
      </w:r>
    </w:p>
    <w:p>
      <w:pPr>
        <w:pStyle w:val="Normal"/>
        <w:suppressAutoHyphens w:val="false"/>
        <w:spacing w:lineRule="auto" w:line="360"/>
        <w:ind w:hanging="0" w:left="1416" w:right="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jc w:val="center"/>
        <w:rPr>
          <w:b/>
          <w:bCs/>
        </w:rPr>
      </w:pPr>
      <w:r>
        <w:rPr>
          <w:rFonts w:eastAsia="HG Mincho Light J" w:cs="Times New Roman" w:ascii="Aptos Narrow" w:hAnsi="Aptos Narrow"/>
          <w:b/>
          <w:bCs/>
          <w:i w:val="false"/>
          <w:iCs w:val="false"/>
          <w:color w:val="000000"/>
          <w:kern w:val="0"/>
          <w:sz w:val="24"/>
          <w:szCs w:val="24"/>
          <w:lang w:val="pt-PT" w:eastAsia="zh-CN" w:bidi="ar-SA"/>
        </w:rPr>
        <w:t>xxxxxx</w:t>
      </w:r>
    </w:p>
    <w:p>
      <w:pPr>
        <w:pStyle w:val="Normal"/>
        <w:jc w:val="center"/>
        <w:rPr>
          <w:rFonts w:ascii="Aptos Narrow" w:hAnsi="Aptos Narrow" w:eastAsia="HG Mincho Light J" w:cs="Times New Roman"/>
          <w:b/>
          <w:bCs/>
          <w:i w:val="false"/>
          <w:iCs w:val="false"/>
          <w:color w:val="000000"/>
          <w:kern w:val="0"/>
          <w:sz w:val="24"/>
          <w:szCs w:val="24"/>
          <w:lang w:val="pt-PT" w:eastAsia="zh-CN" w:bidi="ar-SA"/>
        </w:rPr>
      </w:pPr>
      <w:r>
        <w:rPr>
          <w:rStyle w:val="Fontepargpadro2"/>
          <w:rFonts w:eastAsia="HG Mincho Light J" w:cs="Times New Roman" w:ascii="Aptos Narrow" w:hAnsi="Aptos Narrow"/>
          <w:b/>
          <w:bCs/>
          <w:i w:val="false"/>
          <w:iCs w:val="false"/>
          <w:color w:val="000000"/>
          <w:kern w:val="0"/>
          <w:sz w:val="24"/>
          <w:szCs w:val="24"/>
          <w:lang w:val="pt-PT" w:eastAsia="zh-CN" w:bidi="ar-SA"/>
        </w:rPr>
        <w:t>Secretário de Município xxxxx</w:t>
      </w:r>
    </w:p>
    <w:p>
      <w:pPr>
        <w:pStyle w:val="WW-Padro"/>
        <w:ind w:hanging="0" w:left="0" w:right="0"/>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Rio Grande, xx de xxxxx de 202x.</w:t>
      </w:r>
    </w:p>
    <w:p>
      <w:pPr>
        <w:pStyle w:val="Normal"/>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both"/>
        <w:rPr>
          <w:rFonts w:ascii="Arial Nova light" w:hAnsi="Arial Nova light"/>
          <w:sz w:val="24"/>
          <w:szCs w:val="24"/>
        </w:rPr>
      </w:pPr>
      <w:r>
        <w:rPr>
          <w:rFonts w:ascii="Arial Nova light" w:hAnsi="Arial Nova light"/>
          <w:sz w:val="24"/>
          <w:szCs w:val="24"/>
        </w:rPr>
      </w:r>
    </w:p>
    <w:p>
      <w:pPr>
        <w:pStyle w:val="Normal"/>
        <w:jc w:val="both"/>
        <w:rPr>
          <w:rFonts w:ascii="Arial Nova light" w:hAnsi="Arial Nova light"/>
          <w:sz w:val="24"/>
          <w:szCs w:val="24"/>
        </w:rPr>
      </w:pPr>
      <w:r>
        <w:rPr>
          <w:rFonts w:ascii="Arial Nova light" w:hAnsi="Arial Nova light"/>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680" w:right="680" w:gutter="0" w:header="425" w:top="1985" w:footer="936"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roman"/>
    <w:pitch w:val="variable"/>
  </w:font>
  <w:font w:name="Wingdings">
    <w:charset w:val="00"/>
    <w:family w:val="roman"/>
    <w:pitch w:val="variable"/>
  </w:font>
  <w:font w:name="StarSymbol">
    <w:altName w:val="Arial Unicode MS"/>
    <w:charset w:val="02"/>
    <w:family w:val="roman"/>
    <w:pitch w:val="variable"/>
  </w:font>
  <w:font w:name="Verdana">
    <w:charset w:val="00"/>
    <w:family w:val="roman"/>
    <w:pitch w:val="variable"/>
  </w:font>
  <w:font w:name="Segoe UI">
    <w:charset w:val="00"/>
    <w:family w:val="roman"/>
    <w:pitch w:val="variable"/>
  </w:font>
  <w:font w:name="Ecofont Vera Sans">
    <w:charset w:val="00"/>
    <w:family w:val="roman"/>
    <w:pitch w:val="variable"/>
  </w:font>
  <w:font w:name="Liberation Sans">
    <w:altName w:val="Arial"/>
    <w:charset w:val="00"/>
    <w:family w:val="swiss"/>
    <w:pitch w:val="variable"/>
  </w:font>
  <w:font w:name="Albany">
    <w:altName w:val="Arial"/>
    <w:charset w:val="00"/>
    <w:family w:val="roman"/>
    <w:pitch w:val="variable"/>
  </w:font>
  <w:font w:name="Helvetica">
    <w:altName w:val="Arial"/>
    <w:charset w:val="00"/>
    <w:family w:val="roman"/>
    <w:pitch w:val="variable"/>
  </w:font>
  <w:font w:name="DejaVu Sans">
    <w:charset w:val="00"/>
    <w:family w:val="roman"/>
    <w:pitch w:val="variable"/>
  </w:font>
  <w:font w:name="Arial Narrow">
    <w:charset w:val="00"/>
    <w:family w:val="roman"/>
    <w:pitch w:val="variable"/>
  </w:font>
  <w:font w:name="Albertus Medium">
    <w:charset w:val="00"/>
    <w:family w:val="roman"/>
    <w:pitch w:val="variable"/>
  </w:font>
  <w:font w:name="Bookman Old Style">
    <w:charset w:val="00"/>
    <w:family w:val="roman"/>
    <w:pitch w:val="variable"/>
  </w:font>
  <w:font w:name="Aptos Narrow">
    <w:charset w:val="00"/>
    <w:family w:val="roman"/>
    <w:pitch w:val="variable"/>
  </w:font>
  <w:font w:name="Arial Nova light">
    <w:charset w:val="00"/>
    <w:family w:val="roman"/>
    <w:pitch w:val="variable"/>
  </w:font>
  <w:font w:name="Arial Unicode MS">
    <w:charset w:val="00"/>
    <w:family w:val="roman"/>
    <w:pitch w:val="variable"/>
  </w:font>
  <w:font w:name="Calibri">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0"/>
      <w:jc w:val="center"/>
      <w:rPr>
        <w:rFonts w:ascii="Book Antiqua" w:hAnsi="Book Antiqua" w:cs="Arial Unicode MS"/>
        <w:b/>
        <w:i/>
      </w:rPr>
    </w:pPr>
    <w:r>
      <mc:AlternateContent>
        <mc:Choice Requires="wps">
          <w:drawing>
            <wp:anchor distT="15240" distB="15240" distL="15875" distR="14605" simplePos="0" relativeHeight="27" behindDoc="1" locked="0" layoutInCell="0" allowOverlap="1" wp14:anchorId="606EB2EA">
              <wp:simplePos x="0" y="0"/>
              <wp:positionH relativeFrom="margin">
                <wp:posOffset>2967990</wp:posOffset>
              </wp:positionH>
              <wp:positionV relativeFrom="bottomMargin">
                <wp:posOffset>255905</wp:posOffset>
              </wp:positionV>
              <wp:extent cx="301625" cy="254000"/>
              <wp:effectExtent l="15875" t="15240" r="14605" b="15240"/>
              <wp:wrapNone/>
              <wp:docPr id="3" name="Colchete Duplo 2"/>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fillRef idx="0"/>
                      <a:effectRef idx="0"/>
                      <a:fontRef idx="minor"/>
                    </wps:style>
                    <wps:txbx>
                      <w:txbxContent>
                        <w:sdt>
                          <w:sdtPr>
                            <w:id w:val="1653340659"/>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9</w:t>
                              </w:r>
                              <w:r>
                                <w:rPr>
                                  <w:rFonts w:cs="Calibri" w:ascii="Calibri" w:hAnsi="Calibri"/>
                                  <w:color w:val="000000"/>
                                </w:rPr>
                                <w:fldChar w:fldCharType="end"/>
                              </w:r>
                            </w:p>
                          </w:sdtContent>
                        </w:sdt>
                      </w:txbxContent>
                    </wps:txbx>
                    <wps:bodyPr tIns="0" bIns="0" anchor="t" upright="1">
                      <a:noAutofit/>
                    </wps:bodyPr>
                  </wps:wsp>
                </a:graphicData>
              </a:graphic>
            </wp:anchor>
          </w:drawing>
        </mc:Choice>
        <mc:Fallback>
          <w:pict>
            <v:shapetype id="_x0000_t185" coordsize="21600,21600" o:spt="185" adj="3600" path="m0@0qy@6@7l@1,qx@8@6l21600@2qy@9@10l@0,21600qx@7@9xnsem@0,21600qx@7@9l0@0qy@6@7m@1,qx@8@6l21600@2qy@9@10nfe">
              <v:stroke joinstyle="miter"/>
              <v:formulas>
                <v:f eqn="val #0"/>
                <v:f eqn="sum width 0 @0"/>
                <v:f eqn="sum height 0 @0"/>
                <v:f eqn="prod @0 2929 10000"/>
                <v:f eqn="sum width 0 @3"/>
                <v:f eqn="sum height 0 @3"/>
                <v:f eqn="sum @0 0 0"/>
                <v:f eqn="sum 0 @0 @0"/>
                <v:f eqn="sum @0 @1 0"/>
                <v:f eqn="sum 0 21600 @0"/>
                <v:f eqn="sum @0 @2 0"/>
              </v:formulas>
              <v:path gradientshapeok="t" o:connecttype="rect" textboxrect="@3,@3,@4,@5"/>
              <v:handles>
                <v:h position="0,@0"/>
              </v:handles>
            </v:shapetype>
            <v:shape id="shape_0" fillcolor="white" stroked="t" o:allowincell="f" style="position:absolute;margin-left:233.7pt;margin-top:20.15pt;width:23.7pt;height:19.95pt;mso-wrap-style:square;v-text-anchor:top;mso-position-horizontal-relative:margin" wp14:anchorId="606EB2EA" type="_x0000_t185" path="l-2147483642,-2147483642l-2147483631,-2147483630l-2147483641,0l-2147483642,-2147483642l-2147483629,-2147483628l-2147483632,-2147483640l-2147483642,-2147483642xel-2147483642,-2147483633l-2147483642,-2147483642l-2147483625,-2147483624l-2147483642,-2147483642l-2147483623,-2147483622l0,-2147483642e">
              <v:fill o:detectmouseclick="t" type="solid" color2="black"/>
              <v:stroke color="gray" weight="28440" joinstyle="round" endcap="flat"/>
              <v:textbox>
                <w:txbxContent>
                  <w:sdt>
                    <w:sdtPr>
                      <w:id w:val="1653340659"/>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9</w:t>
                        </w:r>
                        <w:r>
                          <w:rPr>
                            <w:rFonts w:cs="Calibri" w:ascii="Calibri" w:hAnsi="Calibri"/>
                            <w:color w:val="000000"/>
                          </w:rPr>
                          <w:fldChar w:fldCharType="end"/>
                        </w:r>
                      </w:p>
                    </w:sdtContent>
                  </w:sdt>
                </w:txbxContent>
              </v:textbox>
              <w10:wrap type="none"/>
            </v:shape>
          </w:pict>
        </mc:Fallback>
      </mc:AlternateContent>
    </w:r>
    <w:r>
      <w:rPr>
        <w:rFonts w:cs="Arial Unicode MS" w:ascii="Book Antiqua" w:hAnsi="Book Antiqua"/>
        <w:b/>
        <w:i/>
      </w:rPr>
      <w:t>Doe órgãos, doe sangue: Salve vidas!</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0"/>
      <w:jc w:val="center"/>
      <w:rPr>
        <w:rFonts w:ascii="Book Antiqua" w:hAnsi="Book Antiqua" w:cs="Arial Unicode MS"/>
        <w:b/>
        <w:i/>
      </w:rPr>
    </w:pPr>
    <w:r>
      <mc:AlternateContent>
        <mc:Choice Requires="wps">
          <w:drawing>
            <wp:anchor distT="15240" distB="15240" distL="15875" distR="14605" simplePos="0" relativeHeight="27" behindDoc="1" locked="0" layoutInCell="0" allowOverlap="1" wp14:anchorId="606EB2EA">
              <wp:simplePos x="0" y="0"/>
              <wp:positionH relativeFrom="margin">
                <wp:posOffset>2967990</wp:posOffset>
              </wp:positionH>
              <wp:positionV relativeFrom="bottomMargin">
                <wp:posOffset>255905</wp:posOffset>
              </wp:positionV>
              <wp:extent cx="301625" cy="254000"/>
              <wp:effectExtent l="15875" t="15240" r="14605" b="15240"/>
              <wp:wrapNone/>
              <wp:docPr id="4" name="Colchete Duplo 2"/>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fillRef idx="0"/>
                      <a:effectRef idx="0"/>
                      <a:fontRef idx="minor"/>
                    </wps:style>
                    <wps:txbx>
                      <w:txbxContent>
                        <w:sdt>
                          <w:sdtPr>
                            <w:id w:val="1653340659"/>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9</w:t>
                              </w:r>
                              <w:r>
                                <w:rPr>
                                  <w:rFonts w:cs="Calibri" w:ascii="Calibri" w:hAnsi="Calibri"/>
                                  <w:color w:val="000000"/>
                                </w:rPr>
                                <w:fldChar w:fldCharType="end"/>
                              </w:r>
                            </w:p>
                          </w:sdtContent>
                        </w:sdt>
                      </w:txbxContent>
                    </wps:txbx>
                    <wps:bodyPr tIns="0" bIns="0" anchor="t" upright="1">
                      <a:noAutofit/>
                    </wps:bodyPr>
                  </wps:wsp>
                </a:graphicData>
              </a:graphic>
            </wp:anchor>
          </w:drawing>
        </mc:Choice>
        <mc:Fallback>
          <w:pict>
            <v:shape id="shape_0" fillcolor="white" stroked="t" o:allowincell="f" style="position:absolute;margin-left:233.7pt;margin-top:20.15pt;width:23.7pt;height:19.95pt;mso-wrap-style:square;v-text-anchor:top;mso-position-horizontal-relative:margin" wp14:anchorId="606EB2EA" type="_x0000_t185" path="l-2147483642,-2147483642l-2147483631,-2147483630l-2147483641,0l-2147483642,-2147483642l-2147483629,-2147483628l-2147483632,-2147483640l-2147483642,-2147483642xel-2147483642,-2147483633l-2147483642,-2147483642l-2147483625,-2147483624l-2147483642,-2147483642l-2147483623,-2147483622l0,-2147483642e">
              <v:fill o:detectmouseclick="t" type="solid" color2="black"/>
              <v:stroke color="gray" weight="28440" joinstyle="round" endcap="flat"/>
              <v:textbox>
                <w:txbxContent>
                  <w:sdt>
                    <w:sdtPr>
                      <w:id w:val="1653340659"/>
                      <w:docPartObj>
                        <w:docPartGallery w:val="Page Numbers (Bottom of Page)"/>
                        <w:docPartUnique w:val="true"/>
                      </w:docPartObj>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9</w:t>
                        </w:r>
                        <w:r>
                          <w:rPr>
                            <w:rFonts w:cs="Calibri" w:ascii="Calibri" w:hAnsi="Calibri"/>
                            <w:color w:val="000000"/>
                          </w:rPr>
                          <w:fldChar w:fldCharType="end"/>
                        </w:r>
                      </w:p>
                    </w:sdtContent>
                  </w:sdt>
                </w:txbxContent>
              </v:textbox>
              <w10:wrap type="none"/>
            </v:shape>
          </w:pict>
        </mc:Fallback>
      </mc:AlternateContent>
    </w:r>
    <w:r>
      <w:rPr>
        <w:rFonts w:cs="Arial Unicode MS" w:ascii="Book Antiqua" w:hAnsi="Book Antiqua"/>
        <w:b/>
        <w:i/>
      </w:rPr>
      <w:t>Doe órgãos, doe sangue: Salve vidas!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left="2127"/>
      <w:jc w:val="center"/>
      <w:rPr>
        <w:sz w:val="22"/>
        <w:szCs w:val="22"/>
      </w:rPr>
    </w:pPr>
    <w:r>
      <w:drawing>
        <wp:anchor distT="0" distB="0" distL="0" distR="0" simplePos="0" relativeHeight="10" behindDoc="1" locked="0" layoutInCell="1" allowOverlap="1">
          <wp:simplePos x="0" y="0"/>
          <wp:positionH relativeFrom="column">
            <wp:posOffset>76200</wp:posOffset>
          </wp:positionH>
          <wp:positionV relativeFrom="paragraph">
            <wp:posOffset>-167640</wp:posOffset>
          </wp:positionV>
          <wp:extent cx="1107440" cy="83248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a:noFill/>
                </pic:spPr>
              </pic:pic>
            </a:graphicData>
          </a:graphic>
        </wp:anchor>
      </w:drawing>
    </w:r>
    <w:r>
      <w:rPr>
        <w:rFonts w:eastAsia="Arial Unicode MS" w:cs="Arial Unicode MS" w:ascii="Arial Unicode MS" w:hAnsi="Arial Unicode MS"/>
        <w:b/>
        <w:sz w:val="22"/>
        <w:szCs w:val="22"/>
      </w:rPr>
      <w:t>Estado do Rio Grande do Sul</w:t>
    </w:r>
  </w:p>
  <w:p>
    <w:pPr>
      <w:pStyle w:val="Normal"/>
      <w:spacing w:lineRule="auto" w:line="276"/>
      <w:ind w:hanging="0" w:left="2410"/>
      <w:jc w:val="center"/>
      <w:rPr>
        <w:sz w:val="22"/>
        <w:szCs w:val="22"/>
      </w:rPr>
    </w:pPr>
    <w:r>
      <w:rPr>
        <w:rFonts w:eastAsia="Arial Unicode MS" w:cs="Arial Unicode MS" w:ascii="Arial Unicode MS" w:hAnsi="Arial Unicode MS"/>
        <w:b/>
        <w:sz w:val="22"/>
        <w:szCs w:val="22"/>
      </w:rPr>
      <w:t>PREFEITURA MUNICIPAL DO RIO GRANDE</w:t>
    </w:r>
  </w:p>
  <w:p>
    <w:pPr>
      <w:pStyle w:val="Normal"/>
      <w:spacing w:lineRule="auto" w:line="276"/>
      <w:ind w:hanging="0" w:left="1701"/>
      <w:jc w:val="center"/>
      <w:rPr>
        <w:sz w:val="22"/>
        <w:szCs w:val="22"/>
      </w:rPr>
    </w:pPr>
    <w:r>
      <w:rPr>
        <w:rFonts w:eastAsia="Arial Unicode MS" w:cs="Arial Unicode MS" w:ascii="Arial Unicode MS" w:hAnsi="Arial Unicode MS"/>
        <w:sz w:val="22"/>
        <w:szCs w:val="22"/>
      </w:rPr>
      <w:t>Secretaria de Município de Gestão Administrativa e Licitações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left="2127"/>
      <w:jc w:val="center"/>
      <w:rPr>
        <w:sz w:val="22"/>
        <w:szCs w:val="22"/>
      </w:rPr>
    </w:pPr>
    <w:r>
      <w:drawing>
        <wp:anchor distT="0" distB="0" distL="0" distR="0" simplePos="0" relativeHeight="10" behindDoc="1" locked="0" layoutInCell="1" allowOverlap="1">
          <wp:simplePos x="0" y="0"/>
          <wp:positionH relativeFrom="column">
            <wp:posOffset>76200</wp:posOffset>
          </wp:positionH>
          <wp:positionV relativeFrom="paragraph">
            <wp:posOffset>-167640</wp:posOffset>
          </wp:positionV>
          <wp:extent cx="1107440" cy="832485"/>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a:noFill/>
                </pic:spPr>
              </pic:pic>
            </a:graphicData>
          </a:graphic>
        </wp:anchor>
      </w:drawing>
    </w:r>
    <w:r>
      <w:rPr>
        <w:rFonts w:eastAsia="Arial Unicode MS" w:cs="Arial Unicode MS" w:ascii="Arial Unicode MS" w:hAnsi="Arial Unicode MS"/>
        <w:b/>
        <w:sz w:val="22"/>
        <w:szCs w:val="22"/>
      </w:rPr>
      <w:t>Estado do Rio Grande do Sul</w:t>
    </w:r>
  </w:p>
  <w:p>
    <w:pPr>
      <w:pStyle w:val="Normal"/>
      <w:spacing w:lineRule="auto" w:line="276"/>
      <w:ind w:hanging="0" w:left="2410"/>
      <w:jc w:val="center"/>
      <w:rPr>
        <w:sz w:val="22"/>
        <w:szCs w:val="22"/>
      </w:rPr>
    </w:pPr>
    <w:r>
      <w:rPr>
        <w:rFonts w:eastAsia="Arial Unicode MS" w:cs="Arial Unicode MS" w:ascii="Arial Unicode MS" w:hAnsi="Arial Unicode MS"/>
        <w:b/>
        <w:sz w:val="22"/>
        <w:szCs w:val="22"/>
      </w:rPr>
      <w:t>PREFEITURA MUNICIPAL DO RIO GRANDE</w:t>
    </w:r>
  </w:p>
  <w:p>
    <w:pPr>
      <w:pStyle w:val="Normal"/>
      <w:spacing w:lineRule="auto" w:line="276"/>
      <w:ind w:hanging="0" w:left="1701"/>
      <w:jc w:val="center"/>
      <w:rPr>
        <w:sz w:val="22"/>
        <w:szCs w:val="22"/>
      </w:rPr>
    </w:pPr>
    <w:r>
      <w:rPr>
        <w:rFonts w:eastAsia="Arial Unicode MS" w:cs="Arial Unicode MS" w:ascii="Arial Unicode MS" w:hAnsi="Arial Unicode MS"/>
        <w:sz w:val="22"/>
        <w:szCs w:val="22"/>
      </w:rPr>
      <w:t>Secretaria de Município de Gestão Administrativa e Licitações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isplayBackgroundShape/>
  <w:embedSystemFonts/>
  <w:defaultTabStop w:val="708"/>
  <w:autoHyphenation w:val="true"/>
  <w:hyphenationZone w:val="360"/>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qFormat="1"/>
    <w:lsdException w:name="heading 5" w:uiPriority="9" w:semiHidden="1" w:unhideWhenUsed="1" w:qFormat="1"/>
    <w:lsdException w:name="heading 6" w:uiPriority="9" w:qFormat="1"/>
    <w:lsdException w:name="heading 7" w:uiPriority="9"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HG Mincho Light J" w:cs="Times New Roman"/>
      <w:color w:val="000000"/>
      <w:kern w:val="0"/>
      <w:sz w:val="20"/>
      <w:szCs w:val="24"/>
      <w:lang w:val="pt-PT" w:eastAsia="zh-CN" w:bidi="ar-SA"/>
    </w:rPr>
  </w:style>
  <w:style w:type="paragraph" w:styleId="Heading1">
    <w:name w:val="heading 1"/>
    <w:basedOn w:val="Normal"/>
    <w:next w:val="Normal"/>
    <w:qFormat/>
    <w:pPr>
      <w:keepNext w:val="true"/>
      <w:numPr>
        <w:ilvl w:val="0"/>
        <w:numId w:val="1"/>
      </w:numPr>
      <w:outlineLvl w:val="0"/>
    </w:pPr>
    <w:rPr>
      <w:sz w:val="24"/>
    </w:rPr>
  </w:style>
  <w:style w:type="paragraph" w:styleId="Heading2">
    <w:name w:val="heading 2"/>
    <w:basedOn w:val="WW-Ttulo"/>
    <w:next w:val="BodyText"/>
    <w:qFormat/>
    <w:pPr>
      <w:outlineLvl w:val="1"/>
    </w:pPr>
    <w:rPr>
      <w:b/>
      <w:i/>
    </w:rPr>
  </w:style>
  <w:style w:type="paragraph" w:styleId="Heading4">
    <w:name w:val="heading 4"/>
    <w:basedOn w:val="Normal"/>
    <w:next w:val="Normal"/>
    <w:qFormat/>
    <w:pPr>
      <w:keepNext w:val="true"/>
      <w:numPr>
        <w:ilvl w:val="3"/>
        <w:numId w:val="1"/>
      </w:numPr>
      <w:pBdr>
        <w:top w:val="single" w:sz="4" w:space="1" w:color="000000"/>
        <w:left w:val="single" w:sz="4" w:space="1" w:color="000000"/>
        <w:bottom w:val="single" w:sz="4" w:space="1" w:color="000000"/>
        <w:right w:val="single" w:sz="4" w:space="1" w:color="000000"/>
      </w:pBdr>
      <w:spacing w:lineRule="auto" w:line="480" w:before="0" w:after="120"/>
      <w:ind w:hanging="0" w:left="3841"/>
      <w:outlineLvl w:val="3"/>
    </w:pPr>
    <w:rPr>
      <w:i/>
      <w:sz w:val="24"/>
    </w:rPr>
  </w:style>
  <w:style w:type="paragraph" w:styleId="Heading6">
    <w:name w:val="heading 6"/>
    <w:basedOn w:val="Normal"/>
    <w:next w:val="Normal"/>
    <w:qFormat/>
    <w:pPr>
      <w:keepNext w:val="true"/>
      <w:numPr>
        <w:ilvl w:val="5"/>
        <w:numId w:val="1"/>
      </w:numPr>
      <w:pBdr>
        <w:top w:val="single" w:sz="4" w:space="1" w:color="000000"/>
        <w:left w:val="single" w:sz="4" w:space="1" w:color="000000"/>
        <w:bottom w:val="single" w:sz="4" w:space="1" w:color="000000"/>
        <w:right w:val="single" w:sz="4" w:space="1" w:color="000000"/>
      </w:pBdr>
      <w:jc w:val="center"/>
      <w:outlineLvl w:val="5"/>
    </w:pPr>
    <w:rPr>
      <w:b/>
      <w:bCs/>
      <w:sz w:val="28"/>
    </w:rPr>
  </w:style>
  <w:style w:type="paragraph" w:styleId="Heading7">
    <w:name w:val="heading 7"/>
    <w:basedOn w:val="Normal"/>
    <w:next w:val="Normal"/>
    <w:qFormat/>
    <w:pPr>
      <w:keepNext w:val="true"/>
      <w:numPr>
        <w:ilvl w:val="6"/>
        <w:numId w:val="1"/>
      </w:numPr>
      <w:pBdr>
        <w:top w:val="single" w:sz="4" w:space="1" w:color="000000"/>
        <w:left w:val="single" w:sz="4" w:space="1" w:color="000000"/>
        <w:bottom w:val="single" w:sz="4" w:space="1" w:color="000000"/>
        <w:right w:val="single" w:sz="4" w:space="1" w:color="000000"/>
      </w:pBdr>
      <w:outlineLvl w:val="6"/>
    </w:pPr>
    <w:rPr>
      <w:sz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ontepargpadro3" w:customStyle="1">
    <w:name w:val="Fonte parág. padrão3"/>
    <w:qFormat/>
    <w:rPr/>
  </w:style>
  <w:style w:type="character" w:styleId="WW8Num2z0" w:customStyle="1">
    <w:name w:val="WW8Num2z0"/>
    <w:qFormat/>
    <w:rPr>
      <w:rFonts w:ascii="Symbol" w:hAnsi="Symbol" w:cs="Symbol"/>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3z0" w:customStyle="1">
    <w:name w:val="WW8Num3z0"/>
    <w:qFormat/>
    <w:rPr/>
  </w:style>
  <w:style w:type="character" w:styleId="WW8Num4z0" w:customStyle="1">
    <w:name w:val="WW8Num4z0"/>
    <w:qFormat/>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Fontepargpadro2" w:customStyle="1">
    <w:name w:val="Fonte parág. padrão2"/>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8Num6z0" w:customStyle="1">
    <w:name w:val="WW8Num6z0"/>
    <w:qFormat/>
    <w:rPr>
      <w:rFonts w:ascii="Symbol" w:hAnsi="Symbol" w:cs="Symbol"/>
      <w:sz w:val="18"/>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8Num7z0" w:customStyle="1">
    <w:name w:val="WW8Num7z0"/>
    <w:qFormat/>
    <w:rPr>
      <w:rFonts w:ascii="Wingdings" w:hAnsi="Wingdings" w:cs="Wingdings"/>
    </w:rPr>
  </w:style>
  <w:style w:type="character" w:styleId="WW8Num8z0" w:customStyle="1">
    <w:name w:val="WW8Num8z0"/>
    <w:qFormat/>
    <w:rPr>
      <w:rFonts w:ascii="Wingdings" w:hAnsi="Wingdings" w:cs="Wingdings"/>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WW-Absatz-Standardschriftart111111111111111111111111111111111111111111111111111111111111" w:customStyle="1">
    <w:name w:val="WW-Absatz-Standardschriftart111111111111111111111111111111111111111111111111111111111111"/>
    <w:qFormat/>
    <w:rPr/>
  </w:style>
  <w:style w:type="character" w:styleId="WW-Absatz-Standardschriftart1111111111111111111111111111111111111111111111111111111111111" w:customStyle="1">
    <w:name w:val="WW-Absatz-Standardschriftart1111111111111111111111111111111111111111111111111111111111111"/>
    <w:qFormat/>
    <w:rPr/>
  </w:style>
  <w:style w:type="character" w:styleId="WW-Absatz-Standardschriftart11111111111111111111111111111111111111111111111111111111111111" w:customStyle="1">
    <w:name w:val="WW-Absatz-Standardschriftart11111111111111111111111111111111111111111111111111111111111111"/>
    <w:qFormat/>
    <w:rPr/>
  </w:style>
  <w:style w:type="character" w:styleId="WW-Absatz-Standardschriftart111111111111111111111111111111111111111111111111111111111111111" w:customStyle="1">
    <w:name w:val="WW-Absatz-Standardschriftart111111111111111111111111111111111111111111111111111111111111111"/>
    <w:qFormat/>
    <w:rPr/>
  </w:style>
  <w:style w:type="character" w:styleId="WW-Absatz-Standardschriftart1111111111111111111111111111111111111111111111111111111111111111" w:customStyle="1">
    <w:name w:val="WW-Absatz-Standardschriftart1111111111111111111111111111111111111111111111111111111111111111"/>
    <w:qFormat/>
    <w:rPr/>
  </w:style>
  <w:style w:type="character" w:styleId="WW-Absatz-Standardschriftart11111111111111111111111111111111111111111111111111111111111111111" w:customStyle="1">
    <w:name w:val="WW-Absatz-Standardschriftart11111111111111111111111111111111111111111111111111111111111111111"/>
    <w:qFormat/>
    <w:rPr/>
  </w:style>
  <w:style w:type="character" w:styleId="WW-Absatz-Standardschriftart111111111111111111111111111111111111111111111111111111111111111111" w:customStyle="1">
    <w:name w:val="WW-Absatz-Standardschriftart111111111111111111111111111111111111111111111111111111111111111111"/>
    <w:qFormat/>
    <w:rPr/>
  </w:style>
  <w:style w:type="character" w:styleId="WW-Absatz-Standardschriftart1111111111111111111111111111111111111111111111111111111111111111111" w:customStyle="1">
    <w:name w:val="WW-Absatz-Standardschriftart1111111111111111111111111111111111111111111111111111111111111111111"/>
    <w:qFormat/>
    <w:rPr/>
  </w:style>
  <w:style w:type="character" w:styleId="WW-Absatz-Standardschriftart11111111111111111111111111111111111111111111111111111111111111111111" w:customStyle="1">
    <w:name w:val="WW-Absatz-Standardschriftart11111111111111111111111111111111111111111111111111111111111111111111"/>
    <w:qFormat/>
    <w:rPr/>
  </w:style>
  <w:style w:type="character" w:styleId="WW-Absatz-Standardschriftart111111111111111111111111111111111111111111111111111111111111111111111" w:customStyle="1">
    <w:name w:val="WW-Absatz-Standardschriftart111111111111111111111111111111111111111111111111111111111111111111111"/>
    <w:qFormat/>
    <w:rPr/>
  </w:style>
  <w:style w:type="character" w:styleId="WW-Absatz-Standardschriftart1111111111111111111111111111111111111111111111111111111111111111111111" w:customStyle="1">
    <w:name w:val="WW-Absatz-Standardschriftart1111111111111111111111111111111111111111111111111111111111111111111111"/>
    <w:qFormat/>
    <w:rPr/>
  </w:style>
  <w:style w:type="character" w:styleId="WW-Absatz-Standardschriftart11111111111111111111111111111111111111111111111111111111111111111111111" w:customStyle="1">
    <w:name w:val="WW-Absatz-Standardschriftart11111111111111111111111111111111111111111111111111111111111111111111111"/>
    <w:qFormat/>
    <w:rPr/>
  </w:style>
  <w:style w:type="character" w:styleId="WW-Absatz-Standardschriftart111111111111111111111111111111111111111111111111111111111111111111111111" w:customStyle="1">
    <w:name w:val="WW-Absatz-Standardschriftart111111111111111111111111111111111111111111111111111111111111111111111111"/>
    <w:qFormat/>
    <w:rPr/>
  </w:style>
  <w:style w:type="character" w:styleId="WW-Absatz-Standardschriftart1111111111111111111111111111111111111111111111111111111111111111111111111" w:customStyle="1">
    <w:name w:val="WW-Absatz-Standardschriftart1111111111111111111111111111111111111111111111111111111111111111111111111"/>
    <w:qFormat/>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Pr/>
  </w:style>
  <w:style w:type="character" w:styleId="Caracteresdenotaderodap">
    <w:name w:val="Caracteres de nota de rodapé"/>
    <w:uiPriority w:val="99"/>
    <w:semiHidden/>
    <w:unhideWhenUsed/>
    <w:qFormat/>
    <w:rsid w:val="003e35fc"/>
    <w:rPr>
      <w:vertAlign w:val="superscript"/>
    </w:rPr>
  </w:style>
  <w:style w:type="character" w:styleId="Smbolosdenumerao" w:customStyle="1">
    <w:name w:val="Símbolos de numeração"/>
    <w:qFormat/>
    <w:rPr/>
  </w:style>
  <w:style w:type="character" w:styleId="Marcas" w:customStyle="1">
    <w:name w:val="Marcas"/>
    <w:qFormat/>
    <w:rPr>
      <w:rFonts w:ascii="StarSymbol" w:hAnsi="StarSymbol" w:cs="StarSymbol"/>
      <w:sz w:val="18"/>
    </w:rPr>
  </w:style>
  <w:style w:type="character" w:styleId="Hyperlink">
    <w:name w:val="Hyperlink"/>
    <w:rPr>
      <w:color w:val="000080"/>
      <w:u w:val="single"/>
    </w:rPr>
  </w:style>
  <w:style w:type="character" w:styleId="Caracteresdenotadefim" w:customStyle="1">
    <w:name w:val="Caracteres de nota de fim"/>
    <w:qFormat/>
    <w:rPr/>
  </w:style>
  <w:style w:type="character" w:styleId="Emphasis">
    <w:name w:val="Emphasis"/>
    <w:qFormat/>
    <w:rPr>
      <w:i/>
      <w:iCs/>
    </w:rPr>
  </w:style>
  <w:style w:type="character" w:styleId="Strong">
    <w:name w:val="Strong"/>
    <w:qFormat/>
    <w:rPr>
      <w:b/>
      <w:bCs/>
    </w:rPr>
  </w:style>
  <w:style w:type="character" w:styleId="WW-Fontepargpadro" w:customStyle="1">
    <w:name w:val="WW-Fonte parág. padrão"/>
    <w:qFormat/>
    <w:rPr/>
  </w:style>
  <w:style w:type="character" w:styleId="Fontepargpadro1" w:customStyle="1">
    <w:name w:val="Fonte parág. padrão1"/>
    <w:qFormat/>
    <w:rPr/>
  </w:style>
  <w:style w:type="character" w:styleId="style101" w:customStyle="1">
    <w:name w:val="style101"/>
    <w:basedOn w:val="Fontepargpadro1"/>
    <w:qFormat/>
    <w:rPr/>
  </w:style>
  <w:style w:type="character" w:styleId="titulo1" w:customStyle="1">
    <w:name w:val="titulo1"/>
    <w:qFormat/>
    <w:rPr>
      <w:rFonts w:ascii="Verdana" w:hAnsi="Verdana" w:cs="Verdana"/>
      <w:b/>
      <w:bCs/>
      <w:sz w:val="20"/>
      <w:szCs w:val="20"/>
    </w:rPr>
  </w:style>
  <w:style w:type="character" w:styleId="Marcadores" w:customStyle="1">
    <w:name w:val="Marcadores"/>
    <w:qFormat/>
    <w:rPr>
      <w:rFonts w:ascii="StarSymbol" w:hAnsi="StarSymbol" w:eastAsia="StarSymbol" w:cs="StarSymbol"/>
      <w:sz w:val="18"/>
      <w:szCs w:val="18"/>
    </w:rPr>
  </w:style>
  <w:style w:type="character" w:styleId="TextodebaloChar" w:customStyle="1">
    <w:name w:val="Texto de balão Char"/>
    <w:qFormat/>
    <w:rPr>
      <w:rFonts w:ascii="Segoe UI" w:hAnsi="Segoe UI" w:eastAsia="HG Mincho Light J" w:cs="Segoe UI"/>
      <w:color w:val="000000"/>
      <w:sz w:val="18"/>
      <w:szCs w:val="18"/>
      <w:lang w:val="pt-PT"/>
    </w:rPr>
  </w:style>
  <w:style w:type="character" w:styleId="object" w:customStyle="1">
    <w:name w:val="object"/>
    <w:qFormat/>
    <w:rPr/>
  </w:style>
  <w:style w:type="character" w:styleId="RodapChar" w:customStyle="1">
    <w:name w:val="Rodapé Char"/>
    <w:uiPriority w:val="99"/>
    <w:qFormat/>
    <w:rPr>
      <w:rFonts w:eastAsia="HG Mincho Light J"/>
      <w:color w:val="000000"/>
      <w:szCs w:val="24"/>
      <w:lang w:val="pt-PT"/>
    </w:rPr>
  </w:style>
  <w:style w:type="character" w:styleId="PargrafoNormalChar" w:customStyle="1">
    <w:name w:val="Parágrafo Normal Char"/>
    <w:qFormat/>
    <w:rPr>
      <w:rFonts w:ascii="Ecofont Vera Sans" w:hAnsi="Ecofont Vera Sans" w:cs="Arial"/>
      <w:sz w:val="22"/>
      <w:szCs w:val="24"/>
    </w:rPr>
  </w:style>
  <w:style w:type="character" w:styleId="TextodenotaderodapChar" w:customStyle="1">
    <w:name w:val="Texto de nota de rodapé Char"/>
    <w:qFormat/>
    <w:rPr>
      <w:rFonts w:ascii="Arial" w:hAnsi="Arial" w:cs="Arial"/>
    </w:rPr>
  </w:style>
  <w:style w:type="character" w:styleId="TextodenotaderodapChar1" w:customStyle="1">
    <w:name w:val="Texto de nota de rodapé Char1"/>
    <w:qFormat/>
    <w:rPr>
      <w:rFonts w:eastAsia="HG Mincho Light J"/>
      <w:color w:val="000000"/>
      <w:lang w:val="pt-PT"/>
    </w:rPr>
  </w:style>
  <w:style w:type="character" w:styleId="Refdenotaderodap1" w:customStyle="1">
    <w:name w:val="Ref. de nota de rodapé1"/>
    <w:qFormat/>
    <w:rPr>
      <w:vertAlign w:val="superscript"/>
    </w:rPr>
  </w:style>
  <w:style w:type="character" w:styleId="Recuodecorpodetexto2Char" w:customStyle="1">
    <w:name w:val="Recuo de corpo de texto 2 Char"/>
    <w:qFormat/>
    <w:rPr>
      <w:rFonts w:eastAsia="HG Mincho Light J"/>
      <w:color w:val="000000"/>
      <w:szCs w:val="24"/>
      <w:lang w:val="pt-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rFonts w:cs="Arial"/>
      <w:i/>
      <w:iCs/>
      <w:sz w:val="24"/>
    </w:rPr>
  </w:style>
  <w:style w:type="paragraph" w:styleId="ndice" w:customStyle="1">
    <w:name w:val="Índice"/>
    <w:basedOn w:val="Normal"/>
    <w:qFormat/>
    <w:pPr>
      <w:suppressLineNumbers/>
    </w:pPr>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tulo3" w:customStyle="1">
    <w:name w:val="Título3"/>
    <w:basedOn w:val="Normal"/>
    <w:next w:val="BodyText"/>
    <w:qFormat/>
    <w:pPr>
      <w:keepNext w:val="true"/>
      <w:spacing w:before="240" w:after="120"/>
    </w:pPr>
    <w:rPr>
      <w:rFonts w:ascii="Liberation Sans" w:hAnsi="Liberation Sans" w:eastAsia="Microsoft YaHei" w:cs="Arial"/>
      <w:sz w:val="28"/>
      <w:szCs w:val="28"/>
    </w:rPr>
  </w:style>
  <w:style w:type="paragraph" w:styleId="WW-Ttulo" w:customStyle="1">
    <w:name w:val="WW-Título"/>
    <w:basedOn w:val="Normal"/>
    <w:next w:val="BodyText"/>
    <w:qFormat/>
    <w:pPr>
      <w:keepNext w:val="true"/>
      <w:spacing w:before="240" w:after="120"/>
    </w:pPr>
    <w:rPr>
      <w:rFonts w:ascii="Albany" w:hAnsi="Albany" w:cs="Albany"/>
      <w:sz w:val="28"/>
    </w:rPr>
  </w:style>
  <w:style w:type="paragraph" w:styleId="Ttulo2" w:customStyle="1">
    <w:name w:val="Título2"/>
    <w:basedOn w:val="Normal"/>
    <w:next w:val="BodyText"/>
    <w:qFormat/>
    <w:pPr>
      <w:keepNext w:val="true"/>
      <w:spacing w:before="240" w:after="120"/>
    </w:pPr>
    <w:rPr>
      <w:rFonts w:ascii="Helvetica" w:hAnsi="Helvetica" w:cs="Tahoma"/>
      <w:sz w:val="28"/>
      <w:szCs w:val="28"/>
    </w:rPr>
  </w:style>
  <w:style w:type="paragraph" w:styleId="Ttulo1" w:customStyle="1">
    <w:name w:val="Título1"/>
    <w:basedOn w:val="Normal"/>
    <w:next w:val="BodyText"/>
    <w:qFormat/>
    <w:pPr>
      <w:keepNext w:val="true"/>
      <w:spacing w:before="240" w:after="120"/>
    </w:pPr>
    <w:rPr>
      <w:rFonts w:ascii="Liberation Sans" w:hAnsi="Liberation Sans" w:eastAsia="WenQuanYi Zen Hei" w:cs="Lohit Devanagari"/>
      <w:sz w:val="28"/>
      <w:szCs w:val="28"/>
    </w:rPr>
  </w:style>
  <w:style w:type="paragraph" w:styleId="Legenda1" w:customStyle="1">
    <w:name w:val="Legenda1"/>
    <w:basedOn w:val="Normal"/>
    <w:qFormat/>
    <w:pPr>
      <w:suppressLineNumbers/>
      <w:spacing w:before="120" w:after="120"/>
    </w:pPr>
    <w:rPr>
      <w:i/>
      <w:iCs/>
      <w:szCs w:val="20"/>
    </w:rPr>
  </w:style>
  <w:style w:type="paragraph" w:styleId="Captulo" w:customStyle="1">
    <w:name w:val="Capítulo"/>
    <w:basedOn w:val="Normal"/>
    <w:next w:val="BodyText"/>
    <w:qFormat/>
    <w:pPr>
      <w:keepNext w:val="true"/>
      <w:spacing w:before="240" w:after="120"/>
    </w:pPr>
    <w:rPr>
      <w:rFonts w:ascii="DejaVu Sans" w:hAnsi="DejaVu Sans" w:eastAsia="DejaVu Sans" w:cs="DejaVu Sans"/>
      <w:sz w:val="28"/>
      <w:szCs w:val="28"/>
    </w:rPr>
  </w:style>
  <w:style w:type="paragraph" w:styleId="Suspensodorecuo" w:customStyle="1">
    <w:name w:val="Suspensão do recuo"/>
    <w:basedOn w:val="Normal"/>
    <w:qFormat/>
    <w:pPr>
      <w:spacing w:lineRule="auto" w:line="360" w:before="240" w:after="0"/>
      <w:ind w:firstLine="1134"/>
    </w:pPr>
    <w:rPr/>
  </w:style>
  <w:style w:type="paragraph" w:styleId="BodyTextIndent">
    <w:name w:val="Body Text Indent"/>
    <w:basedOn w:val="Normal"/>
    <w:pPr>
      <w:ind w:firstLine="1800"/>
      <w:jc w:val="center"/>
    </w:pPr>
    <w:rPr>
      <w:b/>
      <w:bCs/>
      <w:sz w:val="32"/>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Header">
    <w:name w:val="header"/>
    <w:basedOn w:val="Normal"/>
    <w:pPr>
      <w:tabs>
        <w:tab w:val="clear" w:pos="708"/>
        <w:tab w:val="center" w:pos="4419" w:leader="none"/>
        <w:tab w:val="right" w:pos="8838" w:leader="none"/>
      </w:tabs>
    </w:pPr>
    <w:rPr/>
  </w:style>
  <w:style w:type="paragraph" w:styleId="Footer">
    <w:name w:val="footer"/>
    <w:basedOn w:val="Normal"/>
    <w:uiPriority w:val="99"/>
    <w:pPr>
      <w:tabs>
        <w:tab w:val="clear" w:pos="708"/>
        <w:tab w:val="center" w:pos="4419" w:leader="none"/>
        <w:tab w:val="right" w:pos="8838" w:leader="none"/>
      </w:tabs>
    </w:pPr>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i/>
      <w:iCs/>
    </w:rPr>
  </w:style>
  <w:style w:type="paragraph" w:styleId="Subtitle">
    <w:name w:val="Subtitle"/>
    <w:basedOn w:val="Ttulo2"/>
    <w:next w:val="BodyText"/>
    <w:qFormat/>
    <w:pPr>
      <w:jc w:val="center"/>
    </w:pPr>
    <w:rPr>
      <w:i/>
      <w:iCs/>
    </w:rPr>
  </w:style>
  <w:style w:type="paragraph" w:styleId="Citaes" w:customStyle="1">
    <w:name w:val="Citações"/>
    <w:basedOn w:val="Normal"/>
    <w:qFormat/>
    <w:pPr>
      <w:spacing w:before="0" w:after="283"/>
      <w:ind w:hanging="0" w:left="567" w:right="567"/>
    </w:pPr>
    <w:rPr/>
  </w:style>
  <w:style w:type="paragraph" w:styleId="Corpodetexto21" w:customStyle="1">
    <w:name w:val="Corpo de texto 21"/>
    <w:basedOn w:val="Normal"/>
    <w:qFormat/>
    <w:pPr>
      <w:widowControl w:val="false"/>
      <w:spacing w:lineRule="auto" w:line="360"/>
      <w:jc w:val="both"/>
    </w:pPr>
    <w:rPr>
      <w:rFonts w:ascii="Arial" w:hAnsi="Arial" w:eastAsia="Bitstream Vera Sans" w:cs="Arial"/>
    </w:rPr>
  </w:style>
  <w:style w:type="paragraph" w:styleId="western" w:customStyle="1">
    <w:name w:val="western"/>
    <w:basedOn w:val="Normal"/>
    <w:qFormat/>
    <w:pPr>
      <w:spacing w:before="280" w:after="119"/>
    </w:pPr>
    <w:rPr/>
  </w:style>
  <w:style w:type="paragraph" w:styleId="Corpodetexto31" w:customStyle="1">
    <w:name w:val="Corpo de texto 31"/>
    <w:basedOn w:val="Normal"/>
    <w:qFormat/>
    <w:pPr>
      <w:spacing w:before="0" w:after="120"/>
    </w:pPr>
    <w:rPr>
      <w:sz w:val="16"/>
      <w:szCs w:val="16"/>
    </w:rPr>
  </w:style>
  <w:style w:type="paragraph" w:styleId="Contedodoquadro" w:customStyle="1">
    <w:name w:val="Conteúdo do quadro"/>
    <w:basedOn w:val="BodyText"/>
    <w:qFormat/>
    <w:pPr/>
    <w:rPr/>
  </w:style>
  <w:style w:type="paragraph" w:styleId="Textocomum" w:customStyle="1">
    <w:name w:val="Texto comum"/>
    <w:basedOn w:val="Normal"/>
    <w:qFormat/>
    <w:pPr>
      <w:suppressAutoHyphens w:val="false"/>
      <w:spacing w:lineRule="auto" w:line="360"/>
      <w:ind w:firstLine="720" w:left="567"/>
      <w:jc w:val="both"/>
    </w:pPr>
    <w:rPr>
      <w:sz w:val="24"/>
    </w:rPr>
  </w:style>
  <w:style w:type="paragraph" w:styleId="Corpodetexto32" w:customStyle="1">
    <w:name w:val="Corpo de texto 32"/>
    <w:basedOn w:val="Normal"/>
    <w:qFormat/>
    <w:pPr>
      <w:spacing w:lineRule="auto" w:line="360"/>
    </w:pPr>
    <w:rPr>
      <w:b/>
      <w:bCs/>
    </w:rPr>
  </w:style>
  <w:style w:type="paragraph" w:styleId="Corpodetexto22" w:customStyle="1">
    <w:name w:val="Corpo de texto 22"/>
    <w:basedOn w:val="Normal"/>
    <w:qFormat/>
    <w:pPr>
      <w:widowControl w:val="false"/>
      <w:suppressAutoHyphens w:val="false"/>
      <w:spacing w:lineRule="auto" w:line="360"/>
      <w:jc w:val="both"/>
    </w:pPr>
    <w:rPr>
      <w:spacing w:val="20"/>
      <w:sz w:val="24"/>
    </w:rPr>
  </w:style>
  <w:style w:type="paragraph" w:styleId="Edital-Nvel1" w:customStyle="1">
    <w:name w:val="Edital - Nível 1"/>
    <w:basedOn w:val="Normal"/>
    <w:qFormat/>
    <w:pPr>
      <w:suppressAutoHyphens w:val="false"/>
      <w:jc w:val="both"/>
    </w:pPr>
    <w:rPr>
      <w:rFonts w:ascii="Arial Narrow" w:hAnsi="Arial Narrow" w:cs="Arial Narrow"/>
      <w:b/>
      <w:caps/>
      <w:sz w:val="22"/>
      <w:szCs w:val="22"/>
    </w:rPr>
  </w:style>
  <w:style w:type="paragraph" w:styleId="Edital-Nvel2" w:customStyle="1">
    <w:name w:val="Edital - Nível 2"/>
    <w:basedOn w:val="Normal"/>
    <w:qFormat/>
    <w:pPr>
      <w:suppressAutoHyphens w:val="false"/>
      <w:jc w:val="both"/>
    </w:pPr>
    <w:rPr>
      <w:rFonts w:ascii="Arial Narrow" w:hAnsi="Arial Narrow" w:cs="Arial Narrow"/>
      <w:sz w:val="22"/>
    </w:rPr>
  </w:style>
  <w:style w:type="paragraph" w:styleId="Edital-Nvel3" w:customStyle="1">
    <w:name w:val="Edital - Nível 3"/>
    <w:basedOn w:val="Edital-Nvel2"/>
    <w:qFormat/>
    <w:pPr/>
    <w:rPr/>
  </w:style>
  <w:style w:type="paragraph" w:styleId="StyleHeading411pt" w:customStyle="1">
    <w:name w:val="Style Heading 4 + 11 pt"/>
    <w:basedOn w:val="Heading4"/>
    <w:next w:val="Normal"/>
    <w:qFormat/>
    <w:pPr>
      <w:numPr>
        <w:ilvl w:val="0"/>
        <w:numId w:val="0"/>
      </w:numPr>
      <w:tabs>
        <w:tab w:val="clear" w:pos="708"/>
        <w:tab w:val="left" w:pos="360" w:leader="none"/>
      </w:tabs>
      <w:suppressAutoHyphens w:val="false"/>
      <w:ind w:hanging="0" w:left="3841"/>
      <w:jc w:val="both"/>
    </w:pPr>
    <w:rPr>
      <w:rFonts w:ascii="Arial" w:hAnsi="Arial" w:cs="Arial"/>
      <w:bCs/>
      <w:iCs/>
      <w:sz w:val="22"/>
    </w:rPr>
  </w:style>
  <w:style w:type="paragraph" w:styleId="Normal1" w:customStyle="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WW-Textoembloco" w:customStyle="1">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rPr>
  </w:style>
  <w:style w:type="paragraph" w:styleId="Recuodaprimeiralinha" w:customStyle="1">
    <w:name w:val="Recuo da primeira linha"/>
    <w:basedOn w:val="BodyText"/>
    <w:qFormat/>
    <w:pPr>
      <w:ind w:firstLine="283"/>
    </w:pPr>
    <w:rPr/>
  </w:style>
  <w:style w:type="paragraph" w:styleId="BalloonText">
    <w:name w:val="Balloon Text"/>
    <w:basedOn w:val="Normal"/>
    <w:qFormat/>
    <w:pPr/>
    <w:rPr>
      <w:rFonts w:ascii="Segoe UI" w:hAnsi="Segoe UI" w:cs="Segoe UI"/>
      <w:sz w:val="18"/>
      <w:szCs w:val="18"/>
    </w:rPr>
  </w:style>
  <w:style w:type="paragraph" w:styleId="Ementa-Ttulo" w:customStyle="1">
    <w:name w:val="Ementa - Título"/>
    <w:basedOn w:val="Normal"/>
    <w:qFormat/>
    <w:pPr>
      <w:suppressAutoHyphens w:val="false"/>
      <w:ind w:hanging="0" w:left="2835"/>
      <w:jc w:val="both"/>
    </w:pPr>
    <w:rPr>
      <w:rFonts w:ascii="Arial" w:hAnsi="Arial" w:cs="Arial"/>
      <w:b/>
      <w:bCs/>
      <w:caps/>
      <w:kern w:val="2"/>
      <w:sz w:val="22"/>
      <w:szCs w:val="22"/>
    </w:rPr>
  </w:style>
  <w:style w:type="paragraph" w:styleId="Ementa-Corpo" w:customStyle="1">
    <w:name w:val="Ementa - Corpo"/>
    <w:basedOn w:val="Normal"/>
    <w:qFormat/>
    <w:pPr>
      <w:suppressAutoHyphens w:val="false"/>
      <w:ind w:hanging="0" w:left="2835"/>
      <w:jc w:val="both"/>
    </w:pPr>
    <w:rPr>
      <w:rFonts w:ascii="Arial" w:hAnsi="Arial" w:cs="Arial"/>
      <w:b/>
      <w:bCs/>
      <w:kern w:val="2"/>
      <w:sz w:val="22"/>
      <w:szCs w:val="22"/>
    </w:rPr>
  </w:style>
  <w:style w:type="paragraph" w:styleId="PargrafoNormal" w:customStyle="1">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auto"/>
      <w:sz w:val="22"/>
      <w:lang w:val="x-none"/>
    </w:rPr>
  </w:style>
  <w:style w:type="paragraph" w:styleId="FootnoteText">
    <w:name w:val="footnote text"/>
    <w:basedOn w:val="Normal"/>
    <w:pPr>
      <w:suppressAutoHyphens w:val="false"/>
      <w:jc w:val="both"/>
    </w:pPr>
    <w:rPr>
      <w:rFonts w:ascii="Arial" w:hAnsi="Arial" w:eastAsia="Times New Roman" w:cs="Arial"/>
      <w:color w:val="auto"/>
      <w:szCs w:val="20"/>
      <w:lang w:val="x-none"/>
    </w:rPr>
  </w:style>
  <w:style w:type="paragraph" w:styleId="WW-Corpodetexto2" w:customStyle="1">
    <w:name w:val="WW-Corpo de texto 2"/>
    <w:basedOn w:val="Normal"/>
    <w:qFormat/>
    <w:pPr>
      <w:jc w:val="both"/>
    </w:pPr>
    <w:rPr>
      <w:rFonts w:ascii="Bookman Old Style" w:hAnsi="Bookman Old Style" w:cs="Bookman Old Style"/>
      <w:i/>
      <w:kern w:val="2"/>
    </w:rPr>
  </w:style>
  <w:style w:type="paragraph" w:styleId="Standard" w:customStyle="1">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Textbody" w:customStyle="1">
    <w:name w:val="Text body"/>
    <w:basedOn w:val="Standard"/>
    <w:qFormat/>
    <w:pPr>
      <w:spacing w:before="0" w:after="120"/>
    </w:pPr>
    <w:rPr/>
  </w:style>
  <w:style w:type="paragraph" w:styleId="NormalWeb">
    <w:name w:val="Normal (Web)"/>
    <w:basedOn w:val="Normal"/>
    <w:qFormat/>
    <w:pPr>
      <w:suppressAutoHyphens w:val="false"/>
      <w:spacing w:before="100" w:after="100"/>
    </w:pPr>
    <w:rPr>
      <w:rFonts w:eastAsia="Times New Roman"/>
      <w:color w:val="auto"/>
      <w:sz w:val="24"/>
      <w:lang w:val="pt-BR"/>
    </w:rPr>
  </w:style>
  <w:style w:type="paragraph" w:styleId="Recuodecorpodetexto21" w:customStyle="1">
    <w:name w:val="Recuo de corpo de texto 21"/>
    <w:basedOn w:val="Normal"/>
    <w:qFormat/>
    <w:pPr>
      <w:spacing w:lineRule="auto" w:line="480" w:before="0" w:after="120"/>
      <w:ind w:hanging="0" w:left="283"/>
    </w:pPr>
    <w:rPr/>
  </w:style>
  <w:style w:type="paragraph" w:styleId="texto2" w:customStyle="1">
    <w:name w:val="texto2"/>
    <w:basedOn w:val="Normal"/>
    <w:qFormat/>
    <w:pPr>
      <w:suppressAutoHyphens w:val="false"/>
      <w:spacing w:before="100" w:after="100"/>
    </w:pPr>
    <w:rPr>
      <w:rFonts w:eastAsia="Times New Roman"/>
      <w:color w:val="auto"/>
      <w:sz w:val="24"/>
      <w:lang w:val="pt-BR"/>
    </w:rPr>
  </w:style>
  <w:style w:type="paragraph" w:styleId="artart" w:customStyle="1">
    <w:name w:val="artart"/>
    <w:basedOn w:val="Normal"/>
    <w:qFormat/>
    <w:pPr>
      <w:suppressAutoHyphens w:val="false"/>
      <w:spacing w:before="100" w:after="100"/>
    </w:pPr>
    <w:rPr>
      <w:rFonts w:eastAsia="Times New Roman"/>
      <w:color w:val="auto"/>
      <w:sz w:val="24"/>
      <w:lang w:val="pt-BR"/>
    </w:rPr>
  </w:style>
  <w:style w:type="paragraph" w:styleId="ListParagraph">
    <w:name w:val="List Paragraph"/>
    <w:basedOn w:val="Normal"/>
    <w:uiPriority w:val="34"/>
    <w:qFormat/>
    <w:rsid w:val="001d033d"/>
    <w:pPr>
      <w:spacing w:before="0" w:after="0"/>
      <w:ind w:hanging="0" w:left="720"/>
      <w:contextualSpacing/>
    </w:pPr>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5e1d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Title.XSL" StyleName="Gost - Classificação por Título" Version="2003"/>
</file>

<file path=customXml/itemProps1.xml><?xml version="1.0" encoding="utf-8"?>
<ds:datastoreItem xmlns:ds="http://schemas.openxmlformats.org/officeDocument/2006/customXml" ds:itemID="{3C06B86A-EFE9-4944-993F-E98F29F31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Application>LibreOffice/26.2.4.2$Windows_X86_64 LibreOffice_project/0229ac93fcf0d7cbc6376066c6f35021cef002dc</Application>
  <AppVersion>15.0000</AppVersion>
  <Pages>9</Pages>
  <Words>3082</Words>
  <Characters>17516</Characters>
  <CharactersWithSpaces>20470</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2024-01-03T15:41:00Z</dcterms:created>
  <dc:creator>PGM</dc:creator>
  <dc:description/>
  <dc:language>pt-BR</dc:language>
  <cp:lastModifiedBy/>
  <cp:lastPrinted>2023-11-27T15:03:00Z</cp:lastPrinted>
  <dcterms:modified xsi:type="dcterms:W3CDTF">2026-10-29T12:08:34Z</dcterms:modified>
  <cp:revision>67</cp:revision>
  <dc:subject/>
  <dc:title>Parecer Juridico</dc:title>
</cp:coreProperties>
</file>

<file path=docProps/custom.xml><?xml version="1.0" encoding="utf-8"?>
<Properties xmlns="http://schemas.openxmlformats.org/officeDocument/2006/custom-properties" xmlns:vt="http://schemas.openxmlformats.org/officeDocument/2006/docPropsVTypes"/>
</file>