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 w:val="false"/>
        <w:widowControl/>
        <w:spacing w:lineRule="auto" w:line="360" w:before="200" w:after="0"/>
        <w:jc w:val="left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highlight w:val="white"/>
        </w:rPr>
        <w:t xml:space="preserve"> </w:t>
      </w: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ESTUDO TÉCNICO PRELIMINAR – LEI 14.133/2021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1 - INFORMAÇÕES BÁSICAS: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>Secretaria Requisitante: Secretaria Municipal da Saúde.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2 -SERVIDORA RESPONSÁVEL PELO PLANEJAMENTO: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>Nome: Dirce Salete do Nascimento</w:t>
      </w:r>
    </w:p>
    <w:p>
      <w:pPr>
        <w:pStyle w:val="Normal"/>
        <w:keepLines w:val="false"/>
        <w:widowControl/>
        <w:spacing w:lineRule="auto" w:line="276" w:before="200" w:after="0"/>
        <w:jc w:val="both"/>
        <w:rPr/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 xml:space="preserve">Matrícula: </w:t>
      </w:r>
      <w:r>
        <w:rPr/>
        <w:t xml:space="preserve"> 82333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3 - DESCRIÇÃO DA NECESSIDADE DA CONTRATAÇÃO:</w:t>
      </w:r>
    </w:p>
    <w:p>
      <w:pPr>
        <w:pStyle w:val="Normal"/>
        <w:keepLines w:val="false"/>
        <w:widowControl/>
        <w:spacing w:lineRule="auto" w:line="276" w:before="240" w:after="24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F0F0F"/>
          <w:sz w:val="24"/>
          <w:szCs w:val="24"/>
          <w:highlight w:val="white"/>
        </w:rPr>
        <w:t xml:space="preserve">A necessidade de contratação surge para aquisição de Impressos essenciais para dar continuidade aos atendimentos diários das Unidades de Saúde da Secretaria Municipal da Saúde. 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>Por meio deles são solicitados exames e encaminhamentos, prescrito receitas e cuidados, registrando notificações e informações clínicas dos pacientes. Estes possibilitam que as informações sejam registradas e arquivadas de forma segura, garantindo um atendimento de qualidade e contínuo, onde as informações não se perdem na comunicação.</w:t>
      </w:r>
    </w:p>
    <w:p>
      <w:pPr>
        <w:pStyle w:val="Normal"/>
        <w:keepLines w:val="false"/>
        <w:widowControl/>
        <w:spacing w:lineRule="auto" w:line="276" w:before="240" w:after="240"/>
        <w:jc w:val="both"/>
        <w:rPr>
          <w:color w:val="4D5156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F0F0F"/>
          <w:sz w:val="24"/>
          <w:szCs w:val="24"/>
          <w:highlight w:val="white"/>
        </w:rPr>
        <w:t>Os receituários médicos, são indispensáveis  para os pacientes efetuarem as compras ou fazer a retirada gratuita dos medicamentos através das farmácias do Município, Os atestados médicos  são de extrema importância para a justificativa da ausência  do colaborador no trabalho ou a ausência do estudante na escola. O prontuário serve para o</w:t>
      </w:r>
      <w:r>
        <w:rPr>
          <w:color w:val="040C28"/>
          <w:sz w:val="24"/>
          <w:szCs w:val="24"/>
          <w:highlight w:val="white"/>
        </w:rPr>
        <w:t xml:space="preserve"> </w:t>
      </w:r>
      <w:r>
        <w:rPr>
          <w:rFonts w:eastAsia="Times New Roman" w:cs="Times New Roman" w:ascii="Times New Roman" w:hAnsi="Times New Roman"/>
          <w:color w:val="040C28"/>
          <w:sz w:val="24"/>
          <w:szCs w:val="24"/>
          <w:highlight w:val="white"/>
        </w:rPr>
        <w:t>registro de todas as informações referentes aos cuidados médicos e paramédicos prestados ao paciente</w:t>
      </w:r>
      <w:r>
        <w:rPr>
          <w:color w:val="4D5156"/>
          <w:sz w:val="24"/>
          <w:szCs w:val="24"/>
          <w:highlight w:val="white"/>
        </w:rPr>
        <w:t>.</w:t>
      </w:r>
    </w:p>
    <w:p>
      <w:pPr>
        <w:pStyle w:val="Normal"/>
        <w:keepLines w:val="false"/>
        <w:widowControl/>
        <w:spacing w:lineRule="auto" w:line="240" w:before="200" w:after="0"/>
        <w:jc w:val="both"/>
        <w:rPr>
          <w:rFonts w:ascii="Times New Roman" w:hAnsi="Times New Roman" w:eastAsia="Times New Roman" w:cs="Times New Roman"/>
          <w:color w:val="0F0F0F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F0F0F"/>
          <w:sz w:val="24"/>
          <w:szCs w:val="24"/>
          <w:highlight w:val="white"/>
        </w:rPr>
        <w:t>Em síntese, a aquisição desses impressos é de notável importância para garantir a eficácia dos serviços de saúde, contribuindo para a qualidade dos atendimentos e a segurança dos procedimentos. A falta desses materiais pode comprometer a integridade dos serviços prestados, impactando negativamente na saúde.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F0F0F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F0F0F"/>
          <w:sz w:val="24"/>
          <w:szCs w:val="24"/>
          <w:highlight w:val="white"/>
        </w:rPr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4 - DESCRIÇÃO DOS REQUISITOS PARA A CONTRATAÇÃO:</w:t>
      </w:r>
    </w:p>
    <w:p>
      <w:pPr>
        <w:pStyle w:val="Normal"/>
        <w:widowControl/>
        <w:spacing w:lineRule="auto" w:line="276" w:before="200" w:after="0"/>
        <w:jc w:val="both"/>
        <w:rPr/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 xml:space="preserve">4.1. </w:t>
      </w:r>
      <w:r>
        <w:rPr>
          <w:color w:val="00000A"/>
          <w:highlight w:val="white"/>
        </w:rPr>
        <w:t>O fornecimento dos itens estará condicionado ao processo de recebimento provisório e definitivo. Isso visa assegurar a conformidade dos produtos entregues com as especificações contratadas, garantindo a plena satisfação e eficácia na utilização.</w:t>
      </w:r>
    </w:p>
    <w:p>
      <w:pPr>
        <w:pStyle w:val="Normal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>4.2. Dado o caráter de Registro de Preços, a empresa contratada deve estar preparada para fornecer os itens de forma fracionada ao longo dos doze meses. Além disso, destaca-se que, de acordo com o artigo 84 da Lei 14.133/2021, há a possibilidade de prorrogação do contrato por igual período. A flexibilidade no fornecimento contribui para a gestão eficiente dos recursos e atende às demandas dinâmicas da administração pública.</w:t>
      </w:r>
    </w:p>
    <w:p>
      <w:pPr>
        <w:pStyle w:val="Normal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 xml:space="preserve">4.3 Que os produtos sejam, preferencialmente, embalados individualmente de maneira apropriada, com o menor volume possível, utilizando materiais recicláveis e/ou que sejam recicláveis. Este cuidado visa garantir máxima proteção durante o transporte e armazenamento dos bens. </w:t>
      </w:r>
    </w:p>
    <w:p>
      <w:pPr>
        <w:pStyle w:val="Normal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5 - LEVANTAMENTO DE MERCADO:</w:t>
      </w:r>
    </w:p>
    <w:p>
      <w:pPr>
        <w:pStyle w:val="Normal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sz w:val="24"/>
          <w:szCs w:val="24"/>
          <w:highlight w:val="white"/>
        </w:rPr>
        <w:t>A análise de mercado revela a presença significativa de diversas empresas especializadas. Diante desse cenário, optou-se por implementar um Registro de Preços estruturado em itens, proporcionando a oportunidade de participação a diferentes segmentos empresariais. Além disso, a escolha pelo Sistema de Registro de Preços demonstra ser uma solução financeiramente vantajosa para o município.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 xml:space="preserve"> 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6 - DESCRIÇÃO DA SOLUÇÃO COMO UM TODO: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 xml:space="preserve">Por se tratar </w:t>
      </w:r>
      <w:r>
        <w:rPr>
          <w:rFonts w:eastAsia="Times New Roman" w:cs="Times New Roman" w:ascii="Times New Roman" w:hAnsi="Times New Roman"/>
          <w:color w:val="0F0F0F"/>
          <w:sz w:val="24"/>
          <w:szCs w:val="24"/>
          <w:highlight w:val="white"/>
        </w:rPr>
        <w:t>de um Registro de Preços para impressos hospitalares, distribuídos em diferentes itens, compreende-se que a  aquisição dos itens citados  atende, de maneira integrada, às demandas que motivaram a atual contratação.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 xml:space="preserve"> 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7 - ESTIMATIVA DAS QUANTIDADES A SEREM CONTRATADAS:</w:t>
      </w:r>
    </w:p>
    <w:p>
      <w:pPr>
        <w:pStyle w:val="Normal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F0F0F"/>
          <w:sz w:val="24"/>
          <w:szCs w:val="24"/>
          <w:highlight w:val="white"/>
        </w:rPr>
        <w:t>Os quantitativos estimados para esta contratação foram determinados com base no histórico de consumo anterior, conforme detalhado no processo. Para os itens que não apresentam um histórico de consumo, a determinação dos quantitativos considerou a real necessidade de reposição ou a ausência dos impressos, fundamentando assim a nova aquisição.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 xml:space="preserve"> </w:t>
      </w:r>
    </w:p>
    <w:p>
      <w:pPr>
        <w:pStyle w:val="Normal"/>
        <w:keepLines w:val="false"/>
        <w:widowControl/>
        <w:spacing w:lineRule="auto" w:line="360" w:before="20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keepLines w:val="false"/>
        <w:widowControl/>
        <w:spacing w:lineRule="auto" w:line="360" w:before="20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DESCRIÇÃO DOS ITEM (NS) E QUANTIDADE(S) MÁXIMA(S) DA CONTRATAÇÃO</w:t>
      </w:r>
    </w:p>
    <w:p>
      <w:pPr>
        <w:pStyle w:val="Normal"/>
        <w:keepLines w:val="false"/>
        <w:widowControl/>
        <w:spacing w:lineRule="auto" w:line="360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</w:rPr>
      </w:r>
    </w:p>
    <w:tbl>
      <w:tblPr>
        <w:tblStyle w:val="Table1"/>
        <w:tblW w:w="10980" w:type="dxa"/>
        <w:jc w:val="left"/>
        <w:tblInd w:w="-114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8" w:type="dxa"/>
          <w:bottom w:w="0" w:type="dxa"/>
          <w:right w:w="108" w:type="dxa"/>
        </w:tblCellMar>
        <w:tblLook w:val="0000"/>
      </w:tblPr>
      <w:tblGrid>
        <w:gridCol w:w="900"/>
        <w:gridCol w:w="1260"/>
        <w:gridCol w:w="7321"/>
        <w:gridCol w:w="1498"/>
      </w:tblGrid>
      <w:tr>
        <w:trPr>
          <w:trHeight w:val="1230" w:hRule="atLeast"/>
        </w:trPr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ITEM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141" w:right="105" w:hanging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highlight w:val="white"/>
                <w:u w:val="none"/>
                <w:vertAlign w:val="baseline"/>
              </w:rPr>
              <w:t>CATMAT</w:t>
            </w:r>
          </w:p>
        </w:tc>
        <w:tc>
          <w:tcPr>
            <w:tcW w:w="7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283" w:right="155" w:hanging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DESCRIÇÃO DO(S) ITEM(NS)</w:t>
            </w:r>
          </w:p>
        </w:tc>
        <w:tc>
          <w:tcPr>
            <w:tcW w:w="1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QUANT</w:t>
            </w:r>
          </w:p>
        </w:tc>
      </w:tr>
      <w:tr>
        <w:trPr>
          <w:trHeight w:val="779" w:hRule="atLeast"/>
        </w:trPr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447108</w:t>
            </w:r>
          </w:p>
        </w:tc>
        <w:tc>
          <w:tcPr>
            <w:tcW w:w="7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Atestado, papel sulfite, gramatura 75g, tamanho A4, impressão 1x0 bloco com 50 folhas. (frente) - UBSs.</w:t>
            </w:r>
          </w:p>
        </w:tc>
        <w:tc>
          <w:tcPr>
            <w:tcW w:w="149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spacing w:lineRule="auto" w:line="240" w:before="240" w:after="0"/>
              <w:jc w:val="center"/>
              <w:rPr/>
            </w:pPr>
            <w:r>
              <w:rPr>
                <w:sz w:val="20"/>
                <w:szCs w:val="20"/>
              </w:rPr>
              <w:t>5.000 blocos</w:t>
            </w:r>
          </w:p>
        </w:tc>
      </w:tr>
      <w:tr>
        <w:trPr>
          <w:trHeight w:val="660" w:hRule="atLeast"/>
        </w:trPr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7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Cadastro Domiciliar E SUS,  papel sulfite gramatura 75g, tamanho A4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highlight w:val="white"/>
              </w:rPr>
              <w:t xml:space="preserve">(frente) -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UBSs</w:t>
            </w:r>
          </w:p>
        </w:tc>
        <w:tc>
          <w:tcPr>
            <w:tcW w:w="149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0"/>
                <w:szCs w:val="20"/>
              </w:rPr>
              <w:t>3.500 folhas</w:t>
            </w:r>
          </w:p>
        </w:tc>
      </w:tr>
      <w:tr>
        <w:trPr>
          <w:trHeight w:val="779" w:hRule="atLeast"/>
        </w:trPr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391552</w:t>
            </w:r>
          </w:p>
        </w:tc>
        <w:tc>
          <w:tcPr>
            <w:tcW w:w="7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ETC  para solicitação de exames, papel sulfite, gramatura 75g, tamanho A4, impressão 1x0 bloco com 50 folhas. (frente) - UBSs.</w:t>
            </w:r>
          </w:p>
        </w:tc>
        <w:tc>
          <w:tcPr>
            <w:tcW w:w="149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spacing w:lineRule="auto" w:line="240" w:before="240" w:after="0"/>
              <w:jc w:val="center"/>
              <w:rPr/>
            </w:pPr>
            <w:r>
              <w:rPr>
                <w:sz w:val="20"/>
                <w:szCs w:val="20"/>
              </w:rPr>
              <w:t>9.000 blocos</w:t>
            </w:r>
          </w:p>
        </w:tc>
      </w:tr>
      <w:tr>
        <w:trPr>
          <w:trHeight w:val="779" w:hRule="atLeast"/>
        </w:trPr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3"/>
                <w:sz w:val="23"/>
                <w:szCs w:val="23"/>
                <w:highlight w:val="white"/>
                <w:u w:val="none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3"/>
                <w:sz w:val="23"/>
                <w:szCs w:val="23"/>
                <w:highlight w:val="white"/>
                <w:u w:val="none"/>
                <w:vertAlign w:val="baseline"/>
              </w:rPr>
            </w:r>
          </w:p>
        </w:tc>
        <w:tc>
          <w:tcPr>
            <w:tcW w:w="732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Ficha de Visita Domicilia</w:t>
            </w:r>
            <w:r>
              <w:rPr>
                <w:rFonts w:eastAsia="Times New Roman" w:cs="Times New Roman" w:ascii="Times New Roman" w:hAnsi="Times New Roman"/>
                <w:highlight w:val="white"/>
              </w:rPr>
              <w:t xml:space="preserve">r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 papel sulfite gramatura 75g, tamanho A4 (frente e verso) - UBSs.</w:t>
            </w:r>
          </w:p>
          <w:p>
            <w:pPr>
              <w:pStyle w:val="Normal"/>
              <w:spacing w:lineRule="auto" w:line="240" w:before="3" w:after="0"/>
              <w:ind w:right="171" w:hanging="1"/>
              <w:rPr>
                <w:rFonts w:ascii="Times New Roman" w:hAnsi="Times New Roman" w:eastAsia="Times New Roman" w:cs="Times New Roman"/>
                <w:sz w:val="18"/>
                <w:szCs w:val="18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highlight w:val="white"/>
              </w:rPr>
            </w:r>
          </w:p>
        </w:tc>
        <w:tc>
          <w:tcPr>
            <w:tcW w:w="149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40" w:before="240" w:after="0"/>
              <w:ind w:left="0" w:right="0" w:hanging="0"/>
              <w:jc w:val="center"/>
              <w:rPr/>
            </w:pPr>
            <w:r>
              <w:rPr>
                <w:sz w:val="23"/>
                <w:szCs w:val="23"/>
                <w:highlight w:val="white"/>
              </w:rPr>
              <w:t>3.600 folhas</w:t>
            </w:r>
          </w:p>
        </w:tc>
      </w:tr>
      <w:tr>
        <w:trPr>
          <w:trHeight w:val="738" w:hRule="atLeast"/>
        </w:trPr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732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Ficha de Espelho do Idoso,  papel sulfite, gramatura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highlight w:val="white"/>
              </w:rPr>
              <w:t>75g t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amanho A4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highlight w:val="white"/>
              </w:rPr>
              <w:t>(frente verso) - UBSs</w:t>
            </w:r>
          </w:p>
        </w:tc>
        <w:tc>
          <w:tcPr>
            <w:tcW w:w="149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40" w:before="240" w:after="0"/>
              <w:ind w:left="0" w:right="0" w:hanging="0"/>
              <w:jc w:val="center"/>
              <w:rPr/>
            </w:pPr>
            <w:r>
              <w:rPr>
                <w:sz w:val="23"/>
                <w:szCs w:val="23"/>
                <w:highlight w:val="white"/>
              </w:rPr>
              <w:t>4.000 folhas</w:t>
            </w:r>
          </w:p>
        </w:tc>
      </w:tr>
      <w:tr>
        <w:trPr/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443290</w:t>
            </w:r>
          </w:p>
        </w:tc>
        <w:tc>
          <w:tcPr>
            <w:tcW w:w="7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Receituário de controle especial, autocopiativo, papel gramatura 75g., Tamanho 22cm x 15cm. (blocos com 50 folhas cada) – UBSs e CAPSi</w:t>
            </w:r>
          </w:p>
        </w:tc>
        <w:tc>
          <w:tcPr>
            <w:tcW w:w="1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40" w:before="240" w:after="0"/>
              <w:ind w:left="0" w:right="0" w:hanging="0"/>
              <w:jc w:val="center"/>
              <w:rPr/>
            </w:pPr>
            <w:r>
              <w:rPr>
                <w:sz w:val="21"/>
                <w:szCs w:val="21"/>
                <w:highlight w:val="white"/>
              </w:rPr>
              <w:t>16.150 b</w:t>
            </w:r>
            <w:r>
              <w:rPr>
                <w:sz w:val="23"/>
                <w:szCs w:val="23"/>
                <w:highlight w:val="white"/>
              </w:rPr>
              <w:t>l</w:t>
            </w:r>
            <w:r>
              <w:rPr>
                <w:sz w:val="21"/>
                <w:szCs w:val="21"/>
                <w:highlight w:val="white"/>
              </w:rPr>
              <w:t>ocos</w:t>
            </w:r>
          </w:p>
        </w:tc>
      </w:tr>
      <w:tr>
        <w:trPr>
          <w:trHeight w:val="240" w:hRule="atLeast"/>
        </w:trPr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7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223201</w:t>
            </w:r>
          </w:p>
        </w:tc>
        <w:tc>
          <w:tcPr>
            <w:tcW w:w="7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Receituário médico comum, papel sulfite, gramatura 75 g tamanho 21,5 x 15,5cm. (blocos com 50 folhas cada) UBSs e CAPSi</w:t>
            </w:r>
          </w:p>
        </w:tc>
        <w:tc>
          <w:tcPr>
            <w:tcW w:w="1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40" w:before="240" w:after="0"/>
              <w:ind w:left="0" w:right="0" w:hanging="0"/>
              <w:jc w:val="center"/>
              <w:rPr/>
            </w:pPr>
            <w:r>
              <w:rPr>
                <w:sz w:val="20"/>
                <w:szCs w:val="20"/>
                <w:highlight w:val="white"/>
              </w:rPr>
              <w:t>17.150 blocos</w:t>
            </w:r>
          </w:p>
        </w:tc>
      </w:tr>
      <w:tr>
        <w:trPr>
          <w:trHeight w:val="240" w:hRule="atLeast"/>
        </w:trPr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8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203718</w:t>
            </w:r>
          </w:p>
        </w:tc>
        <w:tc>
          <w:tcPr>
            <w:tcW w:w="732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Receituário médico controlado, na cor azul, papel sulfite, gramatura 75g, tamanho 22,5 x 8 cm. (blocos com 50 folhas cada) – UBSs e CAPSi</w:t>
            </w:r>
          </w:p>
        </w:tc>
        <w:tc>
          <w:tcPr>
            <w:tcW w:w="1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40" w:before="240" w:after="0"/>
              <w:ind w:left="0" w:right="0" w:hanging="0"/>
              <w:jc w:val="center"/>
              <w:rPr/>
            </w:pPr>
            <w:r>
              <w:rPr>
                <w:sz w:val="20"/>
                <w:szCs w:val="20"/>
                <w:highlight w:val="white"/>
              </w:rPr>
              <w:t>2.100 blocos</w:t>
            </w:r>
          </w:p>
        </w:tc>
      </w:tr>
      <w:tr>
        <w:trPr>
          <w:trHeight w:val="240" w:hRule="atLeast"/>
        </w:trPr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9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275549</w:t>
            </w:r>
          </w:p>
        </w:tc>
        <w:tc>
          <w:tcPr>
            <w:tcW w:w="7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Requisição de exame citopatológico - colo do útero, papel sulfite gramatura 75g, tamanho A4 (frente e verso) - UBSs</w:t>
            </w:r>
          </w:p>
        </w:tc>
        <w:tc>
          <w:tcPr>
            <w:tcW w:w="1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240" w:after="0"/>
              <w:jc w:val="center"/>
              <w:rPr/>
            </w:pPr>
            <w:r>
              <w:rPr>
                <w:sz w:val="20"/>
                <w:szCs w:val="20"/>
                <w:highlight w:val="white"/>
              </w:rPr>
              <w:t>50.000 folhas</w:t>
            </w:r>
          </w:p>
        </w:tc>
      </w:tr>
    </w:tbl>
    <w:p>
      <w:pPr>
        <w:pStyle w:val="Normal"/>
        <w:widowControl/>
        <w:spacing w:lineRule="auto" w:line="360" w:before="200" w:after="0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</w:r>
    </w:p>
    <w:p>
      <w:pPr>
        <w:pStyle w:val="Normal"/>
        <w:widowControl/>
        <w:spacing w:lineRule="auto" w:line="276" w:before="20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 xml:space="preserve">8 - ESTIMATIVA DO VALOR DA CONTRATAÇÃO: </w:t>
      </w:r>
    </w:p>
    <w:p>
      <w:pPr>
        <w:pStyle w:val="Normal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highlight w:val="white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highlight w:val="white"/>
          <w:highlight w:val="white"/>
          <w:u w:val="none"/>
          <w:vertAlign w:val="baseline"/>
        </w:rPr>
        <w:t>Os valores abaixo estimados foram coletados na planilha de preços, conforme anexo</w:t>
      </w:r>
    </w:p>
    <w:tbl>
      <w:tblPr>
        <w:tblStyle w:val="Table1"/>
        <w:tblW w:w="11310" w:type="dxa"/>
        <w:jc w:val="left"/>
        <w:tblInd w:w="-147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8" w:type="dxa"/>
          <w:bottom w:w="0" w:type="dxa"/>
          <w:right w:w="108" w:type="dxa"/>
        </w:tblCellMar>
        <w:tblLook w:val="0000"/>
      </w:tblPr>
      <w:tblGrid>
        <w:gridCol w:w="675"/>
        <w:gridCol w:w="1140"/>
        <w:gridCol w:w="5114"/>
        <w:gridCol w:w="225"/>
        <w:gridCol w:w="1095"/>
        <w:gridCol w:w="1440"/>
        <w:gridCol w:w="1620"/>
      </w:tblGrid>
      <w:tr>
        <w:trPr>
          <w:trHeight w:val="1230" w:hRule="atLeast"/>
        </w:trPr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141" w:right="105" w:hanging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highlight w:val="white"/>
                <w:u w:val="none"/>
                <w:vertAlign w:val="baseline"/>
              </w:rPr>
              <w:t>CATMAT</w:t>
            </w:r>
          </w:p>
        </w:tc>
        <w:tc>
          <w:tcPr>
            <w:tcW w:w="53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283" w:right="155" w:hanging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DESCRIÇÃO DO(S) ITEM(NS)</w:t>
            </w:r>
          </w:p>
        </w:tc>
        <w:tc>
          <w:tcPr>
            <w:tcW w:w="1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QUANT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119" w:hanging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VALOR MÁXIMO UNITÁRIO</w:t>
            </w:r>
          </w:p>
        </w:tc>
        <w:tc>
          <w:tcPr>
            <w:tcW w:w="1620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119" w:hanging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VALOR TOTAL</w:t>
            </w:r>
          </w:p>
        </w:tc>
      </w:tr>
      <w:tr>
        <w:trPr>
          <w:trHeight w:val="779" w:hRule="atLeast"/>
        </w:trPr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1</w:t>
            </w:r>
          </w:p>
        </w:tc>
        <w:tc>
          <w:tcPr>
            <w:tcW w:w="1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447108</w:t>
            </w:r>
          </w:p>
        </w:tc>
        <w:tc>
          <w:tcPr>
            <w:tcW w:w="53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Atestado, papel sulfite, gramatura 75g, tamanho A4, impressão 1x0 bloco com 50 folhas. (frente) - UBSs.</w:t>
            </w:r>
          </w:p>
        </w:tc>
        <w:tc>
          <w:tcPr>
            <w:tcW w:w="10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spacing w:lineRule="auto" w:line="240" w:before="240" w:after="0"/>
              <w:jc w:val="center"/>
              <w:rPr/>
            </w:pPr>
            <w:r>
              <w:rPr>
                <w:sz w:val="20"/>
                <w:szCs w:val="20"/>
              </w:rPr>
              <w:t>5.000 blocos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spacing w:lineRule="auto" w:line="276"/>
              <w:rPr/>
            </w:pPr>
            <w:r>
              <w:rPr>
                <w:b/>
                <w:color w:val="000000"/>
                <w:sz w:val="20"/>
                <w:szCs w:val="20"/>
              </w:rPr>
              <w:t xml:space="preserve">R$ </w:t>
            </w:r>
            <w:r>
              <w:rPr>
                <w:b/>
                <w:color w:val="000000"/>
                <w:sz w:val="20"/>
                <w:szCs w:val="20"/>
                <w:highlight w:val="white"/>
              </w:rPr>
              <w:t>5,78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spacing w:lineRule="auto" w:line="276"/>
              <w:rPr/>
            </w:pPr>
            <w:r>
              <w:rPr>
                <w:b/>
                <w:color w:val="000000"/>
                <w:sz w:val="20"/>
                <w:szCs w:val="20"/>
              </w:rPr>
              <w:t xml:space="preserve">R$ 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highlight w:val="white"/>
                <w:u w:val="none"/>
                <w:vertAlign w:val="baseline"/>
              </w:rPr>
              <w:t>28.900,00</w:t>
            </w:r>
          </w:p>
        </w:tc>
      </w:tr>
      <w:tr>
        <w:trPr>
          <w:trHeight w:val="660" w:hRule="atLeast"/>
        </w:trPr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2</w:t>
            </w:r>
          </w:p>
        </w:tc>
        <w:tc>
          <w:tcPr>
            <w:tcW w:w="1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3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Cadastro Domiciliar E SUS,  papel sulfite gramatura 75g, tamanho A4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highlight w:val="white"/>
              </w:rPr>
              <w:t xml:space="preserve">(frente) -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UBSs</w:t>
            </w:r>
          </w:p>
        </w:tc>
        <w:tc>
          <w:tcPr>
            <w:tcW w:w="10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0"/>
                <w:szCs w:val="20"/>
              </w:rPr>
              <w:t>3.500 folhas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spacing w:lineRule="auto" w:line="276"/>
              <w:rPr/>
            </w:pPr>
            <w:r>
              <w:rPr>
                <w:b/>
                <w:color w:val="000000"/>
                <w:sz w:val="20"/>
                <w:szCs w:val="20"/>
                <w:highlight w:val="white"/>
              </w:rPr>
              <w:t>R$ 0,16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spacing w:lineRule="auto" w:line="276"/>
              <w:rPr/>
            </w:pPr>
            <w:r>
              <w:rPr>
                <w:b/>
                <w:color w:val="000000"/>
                <w:sz w:val="20"/>
                <w:szCs w:val="20"/>
                <w:highlight w:val="white"/>
              </w:rPr>
              <w:t>R$ 560,00</w:t>
            </w:r>
          </w:p>
        </w:tc>
      </w:tr>
      <w:tr>
        <w:trPr>
          <w:trHeight w:val="779" w:hRule="atLeast"/>
        </w:trPr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3</w:t>
            </w:r>
          </w:p>
        </w:tc>
        <w:tc>
          <w:tcPr>
            <w:tcW w:w="1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391552</w:t>
            </w:r>
          </w:p>
        </w:tc>
        <w:tc>
          <w:tcPr>
            <w:tcW w:w="53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ETC  para solicitação de exames, papel sulfite, gramatura 75g, tamanho A4, impressão 1x0 bloco com 50 folhas. (frente) - UBSs.</w:t>
            </w:r>
          </w:p>
        </w:tc>
        <w:tc>
          <w:tcPr>
            <w:tcW w:w="10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spacing w:lineRule="auto" w:line="240" w:before="240" w:after="0"/>
              <w:jc w:val="center"/>
              <w:rPr/>
            </w:pPr>
            <w:r>
              <w:rPr>
                <w:sz w:val="20"/>
                <w:szCs w:val="20"/>
              </w:rPr>
              <w:t>9.000 blocos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spacing w:lineRule="auto" w:line="276"/>
              <w:rPr/>
            </w:pPr>
            <w:r>
              <w:rPr>
                <w:b/>
                <w:color w:val="000000"/>
                <w:sz w:val="20"/>
                <w:szCs w:val="20"/>
                <w:highlight w:val="white"/>
              </w:rPr>
              <w:t>R$ 5,02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spacing w:lineRule="auto" w:line="276"/>
              <w:rPr/>
            </w:pPr>
            <w:r>
              <w:rPr>
                <w:b/>
                <w:color w:val="000000"/>
                <w:sz w:val="20"/>
                <w:szCs w:val="20"/>
                <w:highlight w:val="white"/>
              </w:rPr>
              <w:t>R$ 45.180,00</w:t>
            </w:r>
          </w:p>
        </w:tc>
      </w:tr>
      <w:tr>
        <w:trPr>
          <w:trHeight w:val="779" w:hRule="atLeast"/>
        </w:trPr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4</w:t>
            </w:r>
          </w:p>
        </w:tc>
        <w:tc>
          <w:tcPr>
            <w:tcW w:w="1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3"/>
                <w:sz w:val="23"/>
                <w:szCs w:val="23"/>
                <w:highlight w:val="white"/>
                <w:u w:val="none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3"/>
                <w:sz w:val="23"/>
                <w:szCs w:val="23"/>
                <w:highlight w:val="white"/>
                <w:u w:val="none"/>
                <w:vertAlign w:val="baseline"/>
              </w:rPr>
            </w:r>
          </w:p>
        </w:tc>
        <w:tc>
          <w:tcPr>
            <w:tcW w:w="533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Ficha de Visita Domicilia</w:t>
            </w:r>
            <w:r>
              <w:rPr>
                <w:rFonts w:eastAsia="Times New Roman" w:cs="Times New Roman" w:ascii="Times New Roman" w:hAnsi="Times New Roman"/>
                <w:highlight w:val="white"/>
              </w:rPr>
              <w:t xml:space="preserve">r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 papel sulfite gramatura 75g, tamanho A4 (frente e verso) - UBSs.</w:t>
            </w:r>
          </w:p>
          <w:p>
            <w:pPr>
              <w:pStyle w:val="Normal"/>
              <w:spacing w:lineRule="auto" w:line="240" w:before="3" w:after="0"/>
              <w:ind w:right="171" w:hanging="1"/>
              <w:rPr>
                <w:rFonts w:ascii="Times New Roman" w:hAnsi="Times New Roman" w:eastAsia="Times New Roman" w:cs="Times New Roman"/>
                <w:sz w:val="18"/>
                <w:szCs w:val="18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highlight w:val="white"/>
              </w:rPr>
            </w:r>
          </w:p>
        </w:tc>
        <w:tc>
          <w:tcPr>
            <w:tcW w:w="10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40" w:before="240" w:after="0"/>
              <w:ind w:left="0" w:right="0" w:hanging="0"/>
              <w:jc w:val="center"/>
              <w:rPr/>
            </w:pPr>
            <w:r>
              <w:rPr>
                <w:sz w:val="23"/>
                <w:szCs w:val="23"/>
                <w:highlight w:val="white"/>
              </w:rPr>
              <w:t>3.600 folhas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76" w:before="0" w:after="0"/>
              <w:ind w:left="0" w:right="0" w:hanging="0"/>
              <w:jc w:val="left"/>
              <w:rPr/>
            </w:pPr>
            <w:r>
              <w:rPr>
                <w:b/>
                <w:color w:val="000000"/>
                <w:sz w:val="20"/>
                <w:szCs w:val="20"/>
                <w:highlight w:val="white"/>
              </w:rPr>
              <w:t>R$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highlight w:val="white"/>
                <w:u w:val="none"/>
                <w:vertAlign w:val="baseline"/>
              </w:rPr>
              <w:t xml:space="preserve"> 0,18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76" w:before="0" w:after="0"/>
              <w:ind w:left="0" w:right="0" w:hanging="0"/>
              <w:jc w:val="left"/>
              <w:rPr/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highlight w:val="white"/>
                <w:u w:val="none"/>
                <w:vertAlign w:val="baseline"/>
              </w:rPr>
              <w:t>R$ 648,00</w:t>
            </w:r>
          </w:p>
        </w:tc>
      </w:tr>
      <w:tr>
        <w:trPr>
          <w:trHeight w:val="738" w:hRule="atLeast"/>
        </w:trPr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5</w:t>
            </w:r>
          </w:p>
        </w:tc>
        <w:tc>
          <w:tcPr>
            <w:tcW w:w="1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33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Ficha de Espelho do Idoso,  papel sulfite, gramatura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highlight w:val="white"/>
              </w:rPr>
              <w:t>75g t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amanho A4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highlight w:val="white"/>
              </w:rPr>
              <w:t>(frente verso) - UBSs</w:t>
            </w:r>
          </w:p>
        </w:tc>
        <w:tc>
          <w:tcPr>
            <w:tcW w:w="10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40" w:before="240" w:after="0"/>
              <w:ind w:left="0" w:right="0" w:hanging="0"/>
              <w:jc w:val="center"/>
              <w:rPr/>
            </w:pPr>
            <w:r>
              <w:rPr>
                <w:sz w:val="23"/>
                <w:szCs w:val="23"/>
                <w:highlight w:val="white"/>
              </w:rPr>
              <w:t>4.000 folhas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spacing w:lineRule="auto" w:line="276"/>
              <w:rPr/>
            </w:pPr>
            <w:r>
              <w:rPr>
                <w:b/>
                <w:color w:val="000000"/>
                <w:sz w:val="20"/>
                <w:szCs w:val="20"/>
                <w:highlight w:val="white"/>
              </w:rPr>
              <w:t>R$ 0,18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spacing w:lineRule="auto" w:line="276"/>
              <w:rPr/>
            </w:pPr>
            <w:r>
              <w:rPr>
                <w:b/>
                <w:color w:val="000000"/>
                <w:sz w:val="20"/>
                <w:szCs w:val="20"/>
                <w:highlight w:val="white"/>
              </w:rPr>
              <w:t>R$ 720,00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6</w:t>
            </w:r>
          </w:p>
        </w:tc>
        <w:tc>
          <w:tcPr>
            <w:tcW w:w="1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443290</w:t>
            </w:r>
          </w:p>
        </w:tc>
        <w:tc>
          <w:tcPr>
            <w:tcW w:w="53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Receituário de controle especial, autocopiativo, papel gramatura 75g., Tamanho 22cm x 15cm. (blocos com 50 folhas cada) – UBSs e CAPSi</w:t>
            </w:r>
          </w:p>
        </w:tc>
        <w:tc>
          <w:tcPr>
            <w:tcW w:w="1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40" w:before="240" w:after="0"/>
              <w:ind w:left="0" w:right="0" w:hanging="0"/>
              <w:jc w:val="center"/>
              <w:rPr/>
            </w:pPr>
            <w:r>
              <w:rPr>
                <w:sz w:val="21"/>
                <w:szCs w:val="21"/>
                <w:highlight w:val="white"/>
              </w:rPr>
              <w:t>16.150 b</w:t>
            </w:r>
            <w:r>
              <w:rPr>
                <w:sz w:val="23"/>
                <w:szCs w:val="23"/>
                <w:highlight w:val="white"/>
              </w:rPr>
              <w:t>l</w:t>
            </w:r>
            <w:r>
              <w:rPr>
                <w:sz w:val="21"/>
                <w:szCs w:val="21"/>
                <w:highlight w:val="white"/>
              </w:rPr>
              <w:t>ocos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76" w:before="0" w:after="0"/>
              <w:ind w:left="0" w:right="0" w:hanging="0"/>
              <w:jc w:val="left"/>
              <w:rPr/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highlight w:val="white"/>
                <w:u w:val="none"/>
                <w:vertAlign w:val="baseline"/>
              </w:rPr>
              <w:t>R$ 7,60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76" w:before="0" w:after="0"/>
              <w:ind w:left="0" w:right="0" w:hanging="0"/>
              <w:jc w:val="left"/>
              <w:rPr/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highlight w:val="white"/>
                <w:u w:val="none"/>
                <w:vertAlign w:val="baseline"/>
              </w:rPr>
              <w:t>R$ 122.740,00</w:t>
            </w:r>
          </w:p>
        </w:tc>
      </w:tr>
      <w:tr>
        <w:trPr>
          <w:trHeight w:val="240" w:hRule="atLeast"/>
        </w:trPr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7</w:t>
            </w:r>
          </w:p>
        </w:tc>
        <w:tc>
          <w:tcPr>
            <w:tcW w:w="1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223201</w:t>
            </w:r>
          </w:p>
        </w:tc>
        <w:tc>
          <w:tcPr>
            <w:tcW w:w="53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Receituário médico comum, papel sulfite, gramatura 75 g tamanho 21,5 x 15,5cm. (blocos com 50 folhas cada) UBSs e CAPSi</w:t>
            </w:r>
          </w:p>
        </w:tc>
        <w:tc>
          <w:tcPr>
            <w:tcW w:w="1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40" w:before="240" w:after="0"/>
              <w:ind w:left="0" w:right="0" w:hanging="0"/>
              <w:jc w:val="center"/>
              <w:rPr/>
            </w:pPr>
            <w:r>
              <w:rPr>
                <w:sz w:val="20"/>
                <w:szCs w:val="20"/>
                <w:highlight w:val="white"/>
              </w:rPr>
              <w:t>17.150 blocos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76" w:before="0" w:after="0"/>
              <w:ind w:left="0" w:right="0" w:hanging="0"/>
              <w:jc w:val="left"/>
              <w:rPr/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highlight w:val="white"/>
                <w:u w:val="none"/>
                <w:vertAlign w:val="baseline"/>
              </w:rPr>
              <w:t>R$ 3,00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76" w:before="0" w:after="0"/>
              <w:ind w:left="0" w:right="0" w:hanging="0"/>
              <w:jc w:val="left"/>
              <w:rPr/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highlight w:val="white"/>
                <w:u w:val="none"/>
                <w:vertAlign w:val="baseline"/>
              </w:rPr>
              <w:t>R$ 51.450,00</w:t>
            </w:r>
          </w:p>
        </w:tc>
      </w:tr>
      <w:tr>
        <w:trPr>
          <w:trHeight w:val="240" w:hRule="atLeast"/>
        </w:trPr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8</w:t>
            </w:r>
          </w:p>
        </w:tc>
        <w:tc>
          <w:tcPr>
            <w:tcW w:w="1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203718</w:t>
            </w:r>
          </w:p>
        </w:tc>
        <w:tc>
          <w:tcPr>
            <w:tcW w:w="533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-10" w:type="dxa"/>
              <w:right w:w="0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Receituário médico controlado, na cor azul, papel sulfite, gramatura 75g, tamanho 22,5 x 8 cm. (blocos com 50 folhas cada) – UBSs e CAPSi</w:t>
            </w:r>
          </w:p>
        </w:tc>
        <w:tc>
          <w:tcPr>
            <w:tcW w:w="1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keepNext w:val="false"/>
              <w:keepLines w:val="false"/>
              <w:widowControl/>
              <w:shd w:val="clear" w:fill="auto"/>
              <w:spacing w:lineRule="auto" w:line="240" w:before="240" w:after="0"/>
              <w:ind w:left="0" w:right="0" w:hanging="0"/>
              <w:jc w:val="center"/>
              <w:rPr/>
            </w:pPr>
            <w:r>
              <w:rPr>
                <w:sz w:val="20"/>
                <w:szCs w:val="20"/>
                <w:highlight w:val="white"/>
              </w:rPr>
              <w:t>2.100 blocos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spacing w:lineRule="auto" w:line="276"/>
              <w:rPr/>
            </w:pPr>
            <w:r>
              <w:rPr>
                <w:b/>
                <w:color w:val="000000"/>
                <w:sz w:val="20"/>
                <w:szCs w:val="20"/>
                <w:highlight w:val="white"/>
              </w:rPr>
              <w:t>R$ 3,14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spacing w:lineRule="auto" w:line="276"/>
              <w:rPr/>
            </w:pPr>
            <w:r>
              <w:rPr>
                <w:b/>
                <w:color w:val="000000"/>
                <w:sz w:val="20"/>
                <w:szCs w:val="20"/>
                <w:highlight w:val="white"/>
              </w:rPr>
              <w:t>R$ 6.594,00</w:t>
            </w:r>
          </w:p>
        </w:tc>
      </w:tr>
      <w:tr>
        <w:trPr>
          <w:trHeight w:val="240" w:hRule="atLeast"/>
        </w:trPr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360" w:before="200" w:after="0"/>
              <w:ind w:left="0" w:right="-3" w:hanging="0"/>
              <w:jc w:val="left"/>
              <w:rPr/>
            </w:pPr>
            <w:r>
              <w:rPr>
                <w:b/>
                <w:sz w:val="20"/>
                <w:szCs w:val="20"/>
                <w:highlight w:val="white"/>
              </w:rPr>
              <w:t>9</w:t>
            </w:r>
          </w:p>
        </w:tc>
        <w:tc>
          <w:tcPr>
            <w:tcW w:w="1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ind w:hanging="1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275549</w:t>
            </w:r>
          </w:p>
        </w:tc>
        <w:tc>
          <w:tcPr>
            <w:tcW w:w="53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3" w:after="0"/>
              <w:ind w:right="171" w:hanging="1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Requisição de exame citopatológico - colo do útero, papel sulfite gramatura 75g, tamanho A4 (frente e verso) - UBSs</w:t>
            </w:r>
          </w:p>
        </w:tc>
        <w:tc>
          <w:tcPr>
            <w:tcW w:w="10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240" w:after="0"/>
              <w:jc w:val="center"/>
              <w:rPr/>
            </w:pPr>
            <w:r>
              <w:rPr>
                <w:sz w:val="20"/>
                <w:szCs w:val="20"/>
                <w:highlight w:val="white"/>
              </w:rPr>
              <w:t>50.000 folhas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spacing w:lineRule="auto" w:line="276"/>
              <w:rPr/>
            </w:pPr>
            <w:r>
              <w:rPr>
                <w:b/>
                <w:color w:val="000000"/>
                <w:sz w:val="20"/>
                <w:szCs w:val="20"/>
                <w:highlight w:val="white"/>
              </w:rPr>
              <w:t>R$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highlight w:val="white"/>
                <w:u w:val="none"/>
                <w:vertAlign w:val="baseline"/>
              </w:rPr>
              <w:t xml:space="preserve"> 0,13</w:t>
            </w:r>
          </w:p>
        </w:tc>
        <w:tc>
          <w:tcPr>
            <w:tcW w:w="16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FFFFFF" w:val="clear"/>
            <w:tcMar>
              <w:left w:w="-7" w:type="dxa"/>
              <w:right w:w="40" w:type="dxa"/>
            </w:tcMar>
            <w:vAlign w:val="center"/>
          </w:tcPr>
          <w:p>
            <w:pPr>
              <w:pStyle w:val="Normal"/>
              <w:spacing w:lineRule="auto" w:line="276"/>
              <w:rPr/>
            </w:pPr>
            <w:r>
              <w:rPr>
                <w:b/>
                <w:color w:val="000000"/>
                <w:sz w:val="20"/>
                <w:szCs w:val="20"/>
                <w:highlight w:val="white"/>
              </w:rPr>
              <w:t>R$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highlight w:val="white"/>
                <w:u w:val="none"/>
                <w:vertAlign w:val="baseline"/>
              </w:rPr>
              <w:t xml:space="preserve"> 6.500,00</w:t>
            </w:r>
          </w:p>
        </w:tc>
      </w:tr>
      <w:tr>
        <w:trPr>
          <w:trHeight w:val="451" w:hRule="atLeast"/>
        </w:trPr>
        <w:tc>
          <w:tcPr>
            <w:tcW w:w="692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VALOR TOTAL DA CONTRATAÇÃO</w:t>
            </w:r>
          </w:p>
        </w:tc>
        <w:tc>
          <w:tcPr>
            <w:tcW w:w="438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vertAlign w:val="baseline"/>
              </w:rPr>
            </w:r>
          </w:p>
          <w:p>
            <w:pPr>
              <w:pStyle w:val="Normal"/>
              <w:keepNext w:val="false"/>
              <w:keepLines/>
              <w:widowControl/>
              <w:shd w:val="clear" w:fill="auto"/>
              <w:spacing w:lineRule="auto" w:line="240" w:before="57" w:after="57"/>
              <w:ind w:left="0" w:right="0" w:hanging="0"/>
              <w:jc w:val="left"/>
              <w:rPr/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 xml:space="preserve">R$ </w:t>
            </w:r>
            <w:r>
              <w:rPr>
                <w:rFonts w:eastAsia="Arial" w:cs="Arial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  <w:t>263.292,00</w:t>
            </w:r>
          </w:p>
        </w:tc>
      </w:tr>
    </w:tbl>
    <w:p>
      <w:pPr>
        <w:pStyle w:val="Normal"/>
        <w:spacing w:lineRule="auto" w:line="360" w:before="200" w:after="0"/>
        <w:ind w:left="283" w:right="-267" w:hanging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highlight w:val="white"/>
        </w:rPr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9 - JUSTIFICATIVA PARA PARCELAMENTO OU NÃO DA SOLUÇÃO: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F0F0F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>Conforme regra a solução será feita de forma parcelada, ou seja, a licitação será realizada por item. De acordo com as características do objeto, a divisão do mesmo não acarreta prejuízo para o conjunto da solução ou perda de economia de escala, e se faz propícia à ampla participação de licitantes.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10 - CONTRATAÇÕES CORRELATAS/INTERDEPENDENTES: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>Não constam.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11 - DEMONSTRATIVO DA PREVISÃO DA CONTRATAÇÃO NO PLANO ANUAL DE CONTRATAÇÃO – PAC:</w:t>
      </w:r>
    </w:p>
    <w:p>
      <w:pPr>
        <w:pStyle w:val="Normal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F0F0F"/>
          <w:sz w:val="24"/>
          <w:szCs w:val="24"/>
          <w:highlight w:val="white"/>
        </w:rPr>
        <w:t>A presente aquisição está alinhada aos objetivos estratégicos da Secretaria Municipal de Saúde, assegurando um sistema de saúde acessível a todos. Essa iniciativa reforça o compromisso com a qualidade e eficiência dos serviços prestados, bem como com a adequada infraestrutura necessária para atender às demandas da comunidade.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 xml:space="preserve"> </w:t>
      </w:r>
    </w:p>
    <w:p>
      <w:pPr>
        <w:pStyle w:val="Normal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12 - DEMONSTRAÇÃO DOS RESULTADOS PRETENDIDOS: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 xml:space="preserve">Com esta contratação, pretende-se viabilizar a aquisição dos objetos solicitados. </w:t>
      </w:r>
      <w:r>
        <w:rPr>
          <w:rFonts w:eastAsia="Times New Roman" w:cs="Times New Roman" w:ascii="Times New Roman" w:hAnsi="Times New Roman"/>
          <w:color w:val="0F0F0F"/>
          <w:sz w:val="24"/>
          <w:szCs w:val="24"/>
          <w:highlight w:val="white"/>
        </w:rPr>
        <w:t>Buscamos não apenas obter o melhor preço, mas também atender de maneira abrangente às necessidades das unidades requisitantes, visando assim aprimorar e qualificar o sistema de saúde do município.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 xml:space="preserve"> 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13 - PROVIDÊNCIAS PRÉVIAS AO CONTRATO: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>Não há providências prévias ao contrato para serem adotadas. Por se tratar de sistema de Registro de preços, a Administração indicará um servidor responsável para o recebimento provisório e definitivo dos materiais.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14 – PLANEJAMENTO À POSSÍVEIS IMPACTOS AMBIENTAIS:</w:t>
      </w:r>
    </w:p>
    <w:p>
      <w:pPr>
        <w:pStyle w:val="Normal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F0F0F"/>
          <w:sz w:val="24"/>
          <w:szCs w:val="24"/>
          <w:highlight w:val="white"/>
        </w:rPr>
        <w:t>Dada a natureza do objeto que se busca adquirir, não há impactos ambientais significativos. Portanto, é necessário apenas que a licitante cumpra os critérios estabelecidos pelos órgãos fiscalizadores e pela política de sustentabilidade ambiental previamente discutida no tópico 4 deste Estudo Técnico Preliminar (ETP).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 xml:space="preserve"> 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b/>
          <w:b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highlight w:val="white"/>
        </w:rPr>
        <w:t>15 - VIABILIDADE DA CONTRATAÇÃO: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>Esta servidora declara VIÁVEL esta contratação com base neste Estudo Técnico Preliminar.</w:t>
      </w:r>
    </w:p>
    <w:p>
      <w:pPr>
        <w:pStyle w:val="Normal"/>
        <w:keepLines w:val="false"/>
        <w:widowControl/>
        <w:spacing w:lineRule="auto" w:line="276" w:before="200" w:after="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>Nome: Dirce Salete do Nascimento</w:t>
      </w:r>
    </w:p>
    <w:p>
      <w:pPr>
        <w:pStyle w:val="Normal"/>
        <w:keepLines w:val="false"/>
        <w:widowControl/>
        <w:spacing w:lineRule="auto" w:line="276" w:before="200" w:after="0"/>
        <w:jc w:val="both"/>
        <w:rPr/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 xml:space="preserve">Matrícula: </w:t>
      </w:r>
      <w:r>
        <w:rPr/>
        <w:t>82333</w:t>
      </w:r>
    </w:p>
    <w:p>
      <w:pPr>
        <w:pStyle w:val="Normal"/>
        <w:keepLines w:val="false"/>
        <w:widowControl/>
        <w:spacing w:lineRule="auto" w:line="276" w:before="200" w:after="0"/>
        <w:jc w:val="both"/>
        <w:rPr/>
      </w:pPr>
      <w:r>
        <w:rPr/>
      </w:r>
    </w:p>
    <w:p>
      <w:pPr>
        <w:pStyle w:val="Normal"/>
        <w:keepLines w:val="false"/>
        <w:widowControl/>
        <w:spacing w:lineRule="auto" w:line="276" w:before="200" w:after="0"/>
        <w:jc w:val="left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highlight w:val="white"/>
        </w:rPr>
        <w:t>Responsável pela elaboração do Estudo Técnico Preliminar</w:t>
      </w:r>
    </w:p>
    <w:p>
      <w:pPr>
        <w:pStyle w:val="Normal"/>
        <w:keepLines w:val="false"/>
        <w:widowControl/>
        <w:spacing w:lineRule="auto" w:line="276" w:before="200" w:after="0"/>
        <w:jc w:val="left"/>
        <w:rPr>
          <w:rFonts w:ascii="Times New Roman" w:hAnsi="Times New Roman" w:eastAsia="Times New Roman" w:cs="Times New Roman"/>
          <w:color w:val="00000A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sz w:val="24"/>
          <w:szCs w:val="24"/>
          <w:highlight w:val="white"/>
        </w:rPr>
        <w:t>Secretaria Municipal da Saúde.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360" w:before="200" w:after="0"/>
        <w:ind w:left="0" w:right="0" w:hanging="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2" w:header="850" w:top="2041" w:footer="454" w:bottom="1474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enter" w:pos="4252" w:leader="none"/>
        <w:tab w:val="right" w:pos="8504" w:leader="none"/>
      </w:tabs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5</w:t>
    </w:r>
    <w: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keepLines w:val="false"/>
      <w:spacing w:lineRule="auto" w:line="276"/>
      <w:jc w:val="left"/>
      <w:rPr/>
    </w:pPr>
    <w:r>
      <w:rPr/>
    </w:r>
  </w:p>
  <w:tbl>
    <w:tblPr>
      <w:tblStyle w:val="Table2"/>
      <w:tblW w:w="6448" w:type="dxa"/>
      <w:jc w:val="left"/>
      <w:tblInd w:w="-15" w:type="dxa"/>
      <w:tblBorders/>
      <w:tblCellMar>
        <w:top w:w="0" w:type="dxa"/>
        <w:left w:w="108" w:type="dxa"/>
        <w:bottom w:w="0" w:type="dxa"/>
        <w:right w:w="108" w:type="dxa"/>
      </w:tblCellMar>
      <w:tblLook w:val="0000"/>
    </w:tblPr>
    <w:tblGrid>
      <w:gridCol w:w="929"/>
      <w:gridCol w:w="5518"/>
    </w:tblGrid>
    <w:tr>
      <w:trPr>
        <w:tblHeader w:val="true"/>
        <w:trHeight w:val="1324" w:hRule="atLeast"/>
      </w:trPr>
      <w:tc>
        <w:tcPr>
          <w:tcW w:w="929" w:type="dxa"/>
          <w:tcBorders/>
          <w:shd w:fill="auto" w:val="clear"/>
        </w:tcPr>
        <w:p>
          <w:pPr>
            <w:pStyle w:val="Normal"/>
            <w:keepLines w:val="false"/>
            <w:widowControl/>
            <w:spacing w:lineRule="auto" w:line="240" w:before="10" w:after="32"/>
            <w:rPr>
              <w:rFonts w:ascii="Liberation Serif" w:hAnsi="Liberation Serif" w:eastAsia="Liberation Serif" w:cs="Liberation Serif"/>
              <w:color w:val="000000"/>
              <w:sz w:val="24"/>
              <w:szCs w:val="24"/>
            </w:rPr>
          </w:pPr>
          <w:r>
            <w:rPr/>
            <w:drawing>
              <wp:inline distT="0" distB="0" distL="0" distR="0">
                <wp:extent cx="571500" cy="809625"/>
                <wp:effectExtent l="0" t="0" r="0" b="0"/>
                <wp:docPr id="1" name="image1.png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1.png" descr="Uma imagem contendo 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809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18" w:type="dxa"/>
          <w:tcBorders/>
          <w:shd w:fill="auto" w:val="clear"/>
        </w:tcPr>
        <w:p>
          <w:pPr>
            <w:pStyle w:val="Normal"/>
            <w:keepLines w:val="false"/>
            <w:widowControl/>
            <w:ind w:left="240" w:hanging="0"/>
            <w:jc w:val="left"/>
            <w:rPr>
              <w:rFonts w:ascii="Liberation Serif" w:hAnsi="Liberation Serif" w:eastAsia="Liberation Serif" w:cs="Liberation Serif"/>
              <w:color w:val="000000"/>
              <w:sz w:val="24"/>
              <w:szCs w:val="24"/>
            </w:rPr>
          </w:pPr>
          <w:r>
            <w:rPr>
              <w:rFonts w:eastAsia="Times New Roman" w:cs="Times New Roman" w:ascii="Times New Roman" w:hAnsi="Times New Roman"/>
              <w:color w:val="000000"/>
              <w:sz w:val="28"/>
              <w:szCs w:val="28"/>
            </w:rPr>
            <w:t>ESTADO DO RIO GRANDE DO SUL</w:t>
          </w:r>
        </w:p>
        <w:p>
          <w:pPr>
            <w:pStyle w:val="Normal"/>
            <w:keepLines w:val="false"/>
            <w:widowControl/>
            <w:ind w:left="240" w:hanging="0"/>
            <w:jc w:val="left"/>
            <w:rPr>
              <w:rFonts w:ascii="Liberation Serif" w:hAnsi="Liberation Serif" w:eastAsia="Liberation Serif" w:cs="Liberation Serif"/>
              <w:color w:val="000000"/>
              <w:sz w:val="24"/>
              <w:szCs w:val="24"/>
            </w:rPr>
          </w:pPr>
          <w:r>
            <w:rPr>
              <w:rFonts w:eastAsia="Times New Roman" w:cs="Times New Roman" w:ascii="Times New Roman" w:hAnsi="Times New Roman"/>
              <w:color w:val="000000"/>
              <w:sz w:val="28"/>
              <w:szCs w:val="28"/>
            </w:rPr>
            <w:t>MUNICÍPIO DE CANOAS</w:t>
          </w:r>
        </w:p>
        <w:p>
          <w:pPr>
            <w:pStyle w:val="Normal"/>
            <w:keepLines w:val="false"/>
            <w:widowControl/>
            <w:ind w:left="240" w:hanging="0"/>
            <w:jc w:val="left"/>
            <w:rPr>
              <w:rFonts w:ascii="Liberation Serif" w:hAnsi="Liberation Serif" w:eastAsia="Liberation Serif" w:cs="Liberation Serif"/>
              <w:color w:val="000000"/>
              <w:sz w:val="24"/>
              <w:szCs w:val="24"/>
            </w:rPr>
          </w:pPr>
          <w:r>
            <w:rPr>
              <w:rFonts w:eastAsia="Times New Roman" w:cs="Times New Roman" w:ascii="Times New Roman" w:hAnsi="Times New Roman"/>
              <w:color w:val="000000"/>
              <w:sz w:val="28"/>
              <w:szCs w:val="28"/>
            </w:rPr>
            <w:t>Secretaria Municipal de Licitações e Contratos</w:t>
          </w:r>
        </w:p>
        <w:p>
          <w:pPr>
            <w:pStyle w:val="Normal"/>
            <w:keepLines w:val="false"/>
            <w:widowControl/>
            <w:jc w:val="left"/>
            <w:rPr>
              <w:rFonts w:ascii="Times New Roman" w:hAnsi="Times New Roman" w:eastAsia="Times New Roman" w:cs="Times New Roman"/>
              <w:b/>
              <w:b/>
              <w:color w:val="000000"/>
              <w:sz w:val="28"/>
              <w:szCs w:val="28"/>
            </w:rPr>
          </w:pPr>
          <w:r>
            <w:rPr>
              <w:rFonts w:eastAsia="Times New Roman" w:cs="Times New Roman" w:ascii="Times New Roman" w:hAnsi="Times New Roman"/>
              <w:b/>
              <w:color w:val="000000"/>
              <w:sz w:val="28"/>
              <w:szCs w:val="28"/>
            </w:rPr>
          </w:r>
        </w:p>
      </w:tc>
    </w:tr>
  </w:tbl>
  <w:p>
    <w:pPr>
      <w:pStyle w:val="Normal"/>
      <w:tabs>
        <w:tab w:val="center" w:pos="4320" w:leader="none"/>
        <w:tab w:val="right" w:pos="8640" w:leader="none"/>
      </w:tabs>
      <w:jc w:val="right"/>
      <w:rPr>
        <w:rFonts w:ascii="Times New Roman" w:hAnsi="Times New Roman" w:eastAsia="Times New Roman" w:cs="Times New Roman"/>
        <w:sz w:val="24"/>
        <w:szCs w:val="24"/>
        <w:highlight w:val="white"/>
      </w:rPr>
    </w:pPr>
    <w:r>
      <w:rPr>
        <w:rFonts w:eastAsia="Times New Roman" w:cs="Times New Roman" w:ascii="Times New Roman" w:hAnsi="Times New Roman"/>
        <w:sz w:val="24"/>
        <w:szCs w:val="24"/>
        <w:highlight w:val="white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t-BR" w:eastAsia="zh-CN" w:bidi="hi-IN"/>
      </w:rPr>
    </w:rPrDefault>
    <w:pPrDefault>
      <w:pPr>
        <w:widowControl/>
      </w:pPr>
    </w:pPrDefault>
  </w:docDefaults>
  <w:style w:type="paragraph" w:styleId="Normal" w:default="1">
    <w:name w:val="Normal"/>
    <w:qFormat/>
    <w:pPr>
      <w:keepLines/>
      <w:widowControl/>
      <w:kinsoku w:val="true"/>
      <w:overflowPunct w:val="true"/>
      <w:autoSpaceDE w:val="true"/>
      <w:bidi w:val="0"/>
      <w:jc w:val="left"/>
    </w:pPr>
    <w:rPr>
      <w:rFonts w:ascii="Arial" w:hAnsi="Arial" w:eastAsia="Arial" w:cs="Arial"/>
      <w:color w:val="00000A"/>
      <w:kern w:val="0"/>
      <w:sz w:val="22"/>
      <w:szCs w:val="22"/>
      <w:lang w:val="pt-BR" w:eastAsia="zh-CN" w:bidi="hi-IN"/>
    </w:rPr>
  </w:style>
  <w:style w:type="paragraph" w:styleId="Ttulo1">
    <w:name w:val="Heading 1"/>
    <w:basedOn w:val="Normal"/>
    <w:next w:val="Normal"/>
    <w:uiPriority w:val="9"/>
    <w:qFormat/>
    <w:pPr>
      <w:keepNext w:val="true"/>
      <w:widowControl w:val="false"/>
      <w:bidi w:val="0"/>
      <w:spacing w:before="480" w:after="120"/>
      <w:jc w:val="left"/>
      <w:outlineLvl w:val="0"/>
    </w:pPr>
    <w:rPr>
      <w:rFonts w:ascii="Arial" w:hAnsi="Arial" w:eastAsia="Arial" w:cs="Arial"/>
      <w:b/>
      <w:color w:val="00000A"/>
      <w:kern w:val="0"/>
      <w:sz w:val="48"/>
      <w:szCs w:val="48"/>
      <w:lang w:val="pt-BR" w:eastAsia="zh-CN" w:bidi="hi-I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 w:val="true"/>
      <w:widowControl w:val="false"/>
      <w:bidi w:val="0"/>
      <w:spacing w:before="360" w:after="80"/>
      <w:jc w:val="left"/>
      <w:outlineLvl w:val="1"/>
    </w:pPr>
    <w:rPr>
      <w:rFonts w:ascii="Arial" w:hAnsi="Arial" w:eastAsia="Arial" w:cs="Arial"/>
      <w:b/>
      <w:color w:val="00000A"/>
      <w:kern w:val="0"/>
      <w:sz w:val="36"/>
      <w:szCs w:val="36"/>
      <w:lang w:val="pt-BR" w:eastAsia="zh-CN" w:bidi="hi-I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 w:val="true"/>
      <w:widowControl w:val="false"/>
      <w:bidi w:val="0"/>
      <w:spacing w:before="280" w:after="80"/>
      <w:jc w:val="left"/>
      <w:outlineLvl w:val="2"/>
    </w:pPr>
    <w:rPr>
      <w:rFonts w:ascii="Arial" w:hAnsi="Arial" w:eastAsia="Arial" w:cs="Arial"/>
      <w:b/>
      <w:color w:val="00000A"/>
      <w:kern w:val="0"/>
      <w:sz w:val="28"/>
      <w:szCs w:val="28"/>
      <w:lang w:val="pt-BR" w:eastAsia="zh-CN" w:bidi="hi-I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 w:val="true"/>
      <w:widowControl w:val="false"/>
      <w:bidi w:val="0"/>
      <w:spacing w:before="240" w:after="40"/>
      <w:jc w:val="left"/>
      <w:outlineLvl w:val="3"/>
    </w:pPr>
    <w:rPr>
      <w:rFonts w:ascii="Arial" w:hAnsi="Arial" w:eastAsia="Arial" w:cs="Arial"/>
      <w:b/>
      <w:color w:val="00000A"/>
      <w:kern w:val="0"/>
      <w:sz w:val="24"/>
      <w:szCs w:val="24"/>
      <w:lang w:val="pt-BR" w:eastAsia="zh-CN" w:bidi="hi-IN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 w:val="true"/>
      <w:widowControl w:val="false"/>
      <w:bidi w:val="0"/>
      <w:spacing w:before="220" w:after="40"/>
      <w:jc w:val="left"/>
      <w:outlineLvl w:val="4"/>
    </w:pPr>
    <w:rPr>
      <w:rFonts w:ascii="Arial" w:hAnsi="Arial" w:eastAsia="Arial" w:cs="Arial"/>
      <w:b/>
      <w:color w:val="00000A"/>
      <w:kern w:val="0"/>
      <w:sz w:val="22"/>
      <w:szCs w:val="22"/>
      <w:lang w:val="pt-BR" w:eastAsia="zh-CN" w:bidi="hi-I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 w:val="true"/>
      <w:widowControl w:val="false"/>
      <w:bidi w:val="0"/>
      <w:spacing w:before="200" w:after="40"/>
      <w:jc w:val="left"/>
      <w:outlineLvl w:val="5"/>
    </w:pPr>
    <w:rPr>
      <w:rFonts w:ascii="Arial" w:hAnsi="Arial" w:eastAsia="Arial" w:cs="Arial"/>
      <w:b/>
      <w:color w:val="00000A"/>
      <w:kern w:val="0"/>
      <w:sz w:val="20"/>
      <w:szCs w:val="20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4f0a4d"/>
    <w:rPr/>
  </w:style>
  <w:style w:type="character" w:styleId="RodapChar" w:customStyle="1">
    <w:name w:val="Rodapé Char"/>
    <w:basedOn w:val="DefaultParagraphFont"/>
    <w:link w:val="Rodap"/>
    <w:uiPriority w:val="99"/>
    <w:qFormat/>
    <w:rsid w:val="004f0a4d"/>
    <w:rPr/>
  </w:style>
  <w:style w:type="character" w:styleId="Strong">
    <w:name w:val="Strong"/>
    <w:basedOn w:val="DefaultParagraphFont"/>
    <w:uiPriority w:val="22"/>
    <w:qFormat/>
    <w:rsid w:val="00ef2fe8"/>
    <w:rPr>
      <w:b/>
      <w:bCs/>
    </w:rPr>
  </w:style>
  <w:style w:type="character" w:styleId="Nfase">
    <w:name w:val="Ênfase"/>
    <w:basedOn w:val="DefaultParagraphFont"/>
    <w:uiPriority w:val="20"/>
    <w:qFormat/>
    <w:rsid w:val="009e7df2"/>
    <w:rPr>
      <w:i/>
      <w:iCs/>
    </w:rPr>
  </w:style>
  <w:style w:type="character" w:styleId="LinkdaInternet">
    <w:name w:val="Link da Internet"/>
    <w:basedOn w:val="DefaultParagraphFont"/>
    <w:uiPriority w:val="99"/>
    <w:semiHidden/>
    <w:unhideWhenUsed/>
    <w:rsid w:val="00394aba"/>
    <w:rPr>
      <w:color w:val="0000FF"/>
      <w:u w:val="single"/>
    </w:rPr>
  </w:style>
  <w:style w:type="character" w:styleId="ListLabel71">
    <w:name w:val="ListLabel 71"/>
    <w:qFormat/>
    <w:rPr>
      <w:rFonts w:cs="Symbol"/>
    </w:rPr>
  </w:style>
  <w:style w:type="character" w:styleId="ListLabel70">
    <w:name w:val="ListLabel 70"/>
    <w:qFormat/>
    <w:rPr>
      <w:rFonts w:cs="Symbol"/>
    </w:rPr>
  </w:style>
  <w:style w:type="character" w:styleId="ListLabel69">
    <w:name w:val="ListLabel 69"/>
    <w:qFormat/>
    <w:rPr>
      <w:rFonts w:cs="Symbol"/>
    </w:rPr>
  </w:style>
  <w:style w:type="character" w:styleId="ListLabel68">
    <w:name w:val="ListLabel 68"/>
    <w:qFormat/>
    <w:rPr>
      <w:rFonts w:cs="Symbol"/>
    </w:rPr>
  </w:style>
  <w:style w:type="character" w:styleId="ListLabel67">
    <w:name w:val="ListLabel 67"/>
    <w:qFormat/>
    <w:rPr>
      <w:rFonts w:cs="Symbol"/>
    </w:rPr>
  </w:style>
  <w:style w:type="character" w:styleId="ListLabel66">
    <w:name w:val="ListLabel 66"/>
    <w:qFormat/>
    <w:rPr>
      <w:rFonts w:cs="Symbol"/>
    </w:rPr>
  </w:style>
  <w:style w:type="character" w:styleId="ListLabel65">
    <w:name w:val="ListLabel 65"/>
    <w:qFormat/>
    <w:rPr>
      <w:rFonts w:cs="Symbol"/>
    </w:rPr>
  </w:style>
  <w:style w:type="character" w:styleId="ListLabel64">
    <w:name w:val="ListLabel 64"/>
    <w:qFormat/>
    <w:rPr>
      <w:rFonts w:eastAsia="Times New Roman" w:cs="Times New Roman"/>
      <w:b w:val="false"/>
      <w:i w:val="false"/>
      <w:color w:val="000009"/>
      <w:sz w:val="22"/>
      <w:szCs w:val="24"/>
    </w:rPr>
  </w:style>
  <w:style w:type="character" w:styleId="ListLabel63">
    <w:name w:val="ListLabel 63"/>
    <w:qFormat/>
    <w:rPr>
      <w:rFonts w:cs="Symbol"/>
    </w:rPr>
  </w:style>
  <w:style w:type="character" w:styleId="ListLabel62">
    <w:name w:val="ListLabel 62"/>
    <w:qFormat/>
    <w:rPr>
      <w:rFonts w:cs="Symbol"/>
    </w:rPr>
  </w:style>
  <w:style w:type="character" w:styleId="ListLabel61">
    <w:name w:val="ListLabel 61"/>
    <w:qFormat/>
    <w:rPr>
      <w:rFonts w:cs="Symbol"/>
    </w:rPr>
  </w:style>
  <w:style w:type="character" w:styleId="ListLabel60">
    <w:name w:val="ListLabel 60"/>
    <w:qFormat/>
    <w:rPr>
      <w:rFonts w:cs="Symbol"/>
    </w:rPr>
  </w:style>
  <w:style w:type="character" w:styleId="ListLabel59">
    <w:name w:val="ListLabel 59"/>
    <w:qFormat/>
    <w:rPr>
      <w:rFonts w:cs="Symbol"/>
    </w:rPr>
  </w:style>
  <w:style w:type="character" w:styleId="ListLabel58">
    <w:name w:val="ListLabel 58"/>
    <w:qFormat/>
    <w:rPr>
      <w:rFonts w:cs="Symbol"/>
    </w:rPr>
  </w:style>
  <w:style w:type="character" w:styleId="ListLabel57">
    <w:name w:val="ListLabel 57"/>
    <w:qFormat/>
    <w:rPr>
      <w:rFonts w:cs="Symbol"/>
    </w:rPr>
  </w:style>
  <w:style w:type="character" w:styleId="ListLabel56">
    <w:name w:val="ListLabel 56"/>
    <w:qFormat/>
    <w:rPr>
      <w:rFonts w:eastAsia="Times New Roman" w:cs="Times New Roman"/>
      <w:b w:val="false"/>
      <w:i w:val="false"/>
      <w:color w:val="000009"/>
      <w:sz w:val="22"/>
      <w:szCs w:val="24"/>
    </w:rPr>
  </w:style>
  <w:style w:type="character" w:styleId="ListLabel55">
    <w:name w:val="ListLabel 55"/>
    <w:qFormat/>
    <w:rPr>
      <w:rFonts w:cs="OpenSymbol"/>
      <w:u w:val="none"/>
    </w:rPr>
  </w:style>
  <w:style w:type="character" w:styleId="ListLabel54">
    <w:name w:val="ListLabel 54"/>
    <w:qFormat/>
    <w:rPr>
      <w:rFonts w:cs="Wingdings 2"/>
      <w:u w:val="none"/>
    </w:rPr>
  </w:style>
  <w:style w:type="character" w:styleId="ListLabel53">
    <w:name w:val="ListLabel 53"/>
    <w:qFormat/>
    <w:rPr>
      <w:rFonts w:cs="Wingdings"/>
      <w:u w:val="none"/>
    </w:rPr>
  </w:style>
  <w:style w:type="character" w:styleId="ListLabel52">
    <w:name w:val="ListLabel 52"/>
    <w:qFormat/>
    <w:rPr>
      <w:rFonts w:cs="OpenSymbol"/>
      <w:u w:val="none"/>
    </w:rPr>
  </w:style>
  <w:style w:type="character" w:styleId="ListLabel51">
    <w:name w:val="ListLabel 51"/>
    <w:qFormat/>
    <w:rPr>
      <w:rFonts w:cs="Wingdings 2"/>
      <w:u w:val="none"/>
    </w:rPr>
  </w:style>
  <w:style w:type="character" w:styleId="ListLabel50">
    <w:name w:val="ListLabel 50"/>
    <w:qFormat/>
    <w:rPr>
      <w:rFonts w:cs="Wingdings"/>
      <w:u w:val="none"/>
    </w:rPr>
  </w:style>
  <w:style w:type="character" w:styleId="ListLabel49">
    <w:name w:val="ListLabel 49"/>
    <w:qFormat/>
    <w:rPr>
      <w:rFonts w:cs="OpenSymbol"/>
      <w:u w:val="none"/>
    </w:rPr>
  </w:style>
  <w:style w:type="character" w:styleId="ListLabel48">
    <w:name w:val="ListLabel 48"/>
    <w:qFormat/>
    <w:rPr>
      <w:rFonts w:cs="Wingdings 2"/>
      <w:u w:val="none"/>
    </w:rPr>
  </w:style>
  <w:style w:type="character" w:styleId="ListLabel47">
    <w:name w:val="ListLabel 47"/>
    <w:qFormat/>
    <w:rPr>
      <w:rFonts w:cs="Wingdings"/>
      <w:sz w:val="24"/>
      <w:u w:val="none"/>
    </w:rPr>
  </w:style>
  <w:style w:type="character" w:styleId="ListLabel46">
    <w:name w:val="ListLabel 46"/>
    <w:qFormat/>
    <w:rPr>
      <w:rFonts w:cs="Symbol"/>
    </w:rPr>
  </w:style>
  <w:style w:type="character" w:styleId="ListLabel45">
    <w:name w:val="ListLabel 45"/>
    <w:qFormat/>
    <w:rPr>
      <w:rFonts w:cs="Symbol"/>
    </w:rPr>
  </w:style>
  <w:style w:type="character" w:styleId="ListLabel44">
    <w:name w:val="ListLabel 44"/>
    <w:qFormat/>
    <w:rPr>
      <w:rFonts w:cs="Symbol"/>
    </w:rPr>
  </w:style>
  <w:style w:type="character" w:styleId="ListLabel43">
    <w:name w:val="ListLabel 43"/>
    <w:qFormat/>
    <w:rPr>
      <w:rFonts w:cs="Symbol"/>
    </w:rPr>
  </w:style>
  <w:style w:type="character" w:styleId="ListLabel42">
    <w:name w:val="ListLabel 42"/>
    <w:qFormat/>
    <w:rPr>
      <w:rFonts w:cs="Symbol"/>
    </w:rPr>
  </w:style>
  <w:style w:type="character" w:styleId="ListLabel41">
    <w:name w:val="ListLabel 41"/>
    <w:qFormat/>
    <w:rPr>
      <w:rFonts w:cs="Symbol"/>
    </w:rPr>
  </w:style>
  <w:style w:type="character" w:styleId="ListLabel40">
    <w:name w:val="ListLabel 40"/>
    <w:qFormat/>
    <w:rPr>
      <w:rFonts w:cs="Symbol"/>
    </w:rPr>
  </w:style>
  <w:style w:type="character" w:styleId="ListLabel39">
    <w:name w:val="ListLabel 39"/>
    <w:qFormat/>
    <w:rPr>
      <w:rFonts w:eastAsia="Times New Roman" w:cs="Times New Roman"/>
      <w:b w:val="false"/>
      <w:i w:val="false"/>
      <w:color w:val="000009"/>
      <w:sz w:val="22"/>
      <w:szCs w:val="24"/>
    </w:rPr>
  </w:style>
  <w:style w:type="character" w:styleId="ListLabel38">
    <w:name w:val="ListLabel 38"/>
    <w:qFormat/>
    <w:rPr>
      <w:rFonts w:cs="Symbol"/>
    </w:rPr>
  </w:style>
  <w:style w:type="character" w:styleId="ListLabel37">
    <w:name w:val="ListLabel 37"/>
    <w:qFormat/>
    <w:rPr>
      <w:rFonts w:cs="Symbol"/>
    </w:rPr>
  </w:style>
  <w:style w:type="character" w:styleId="ListLabel36">
    <w:name w:val="ListLabel 36"/>
    <w:qFormat/>
    <w:rPr>
      <w:rFonts w:cs="Symbol"/>
    </w:rPr>
  </w:style>
  <w:style w:type="character" w:styleId="ListLabel35">
    <w:name w:val="ListLabel 35"/>
    <w:qFormat/>
    <w:rPr>
      <w:rFonts w:cs="Symbol"/>
    </w:rPr>
  </w:style>
  <w:style w:type="character" w:styleId="ListLabel34">
    <w:name w:val="ListLabel 34"/>
    <w:qFormat/>
    <w:rPr>
      <w:rFonts w:cs="Symbol"/>
    </w:rPr>
  </w:style>
  <w:style w:type="character" w:styleId="ListLabel33">
    <w:name w:val="ListLabel 33"/>
    <w:qFormat/>
    <w:rPr>
      <w:rFonts w:cs="Symbol"/>
    </w:rPr>
  </w:style>
  <w:style w:type="character" w:styleId="ListLabel32">
    <w:name w:val="ListLabel 32"/>
    <w:qFormat/>
    <w:rPr>
      <w:rFonts w:cs="Symbol"/>
    </w:rPr>
  </w:style>
  <w:style w:type="character" w:styleId="ListLabel31">
    <w:name w:val="ListLabel 31"/>
    <w:qFormat/>
    <w:rPr>
      <w:rFonts w:eastAsia="Times New Roman" w:cs="Times New Roman"/>
      <w:b w:val="false"/>
      <w:i w:val="false"/>
      <w:color w:val="000009"/>
      <w:sz w:val="22"/>
      <w:szCs w:val="24"/>
    </w:rPr>
  </w:style>
  <w:style w:type="character" w:styleId="ListLabel30">
    <w:name w:val="ListLabel 30"/>
    <w:qFormat/>
    <w:rPr>
      <w:rFonts w:cs="Symbol"/>
    </w:rPr>
  </w:style>
  <w:style w:type="character" w:styleId="ListLabel29">
    <w:name w:val="ListLabel 29"/>
    <w:qFormat/>
    <w:rPr>
      <w:rFonts w:cs="Symbol"/>
    </w:rPr>
  </w:style>
  <w:style w:type="character" w:styleId="ListLabel28">
    <w:name w:val="ListLabel 28"/>
    <w:qFormat/>
    <w:rPr>
      <w:rFonts w:cs="Symbol"/>
    </w:rPr>
  </w:style>
  <w:style w:type="character" w:styleId="ListLabel27">
    <w:name w:val="ListLabel 27"/>
    <w:qFormat/>
    <w:rPr>
      <w:rFonts w:cs="Symbol"/>
    </w:rPr>
  </w:style>
  <w:style w:type="character" w:styleId="ListLabel26">
    <w:name w:val="ListLabel 26"/>
    <w:qFormat/>
    <w:rPr>
      <w:rFonts w:cs="Symbol"/>
    </w:rPr>
  </w:style>
  <w:style w:type="character" w:styleId="ListLabel25">
    <w:name w:val="ListLabel 25"/>
    <w:qFormat/>
    <w:rPr>
      <w:rFonts w:cs="Symbol"/>
    </w:rPr>
  </w:style>
  <w:style w:type="character" w:styleId="ListLabel24">
    <w:name w:val="ListLabel 24"/>
    <w:qFormat/>
    <w:rPr>
      <w:rFonts w:cs="Symbol"/>
    </w:rPr>
  </w:style>
  <w:style w:type="character" w:styleId="ListLabel23">
    <w:name w:val="ListLabel 23"/>
    <w:qFormat/>
    <w:rPr>
      <w:rFonts w:cs="Symbol"/>
    </w:rPr>
  </w:style>
  <w:style w:type="character" w:styleId="ListLabel22">
    <w:name w:val="ListLabel 22"/>
    <w:qFormat/>
    <w:rPr>
      <w:rFonts w:eastAsia="Times New Roman" w:cs="Times New Roman"/>
      <w:b w:val="false"/>
      <w:i w:val="false"/>
      <w:color w:val="000009"/>
      <w:sz w:val="22"/>
      <w:szCs w:val="22"/>
    </w:rPr>
  </w:style>
  <w:style w:type="character" w:styleId="ListLabel21">
    <w:name w:val="ListLabel 21"/>
    <w:qFormat/>
    <w:rPr>
      <w:rFonts w:cs="OpenSymbol"/>
      <w:u w:val="none"/>
    </w:rPr>
  </w:style>
  <w:style w:type="character" w:styleId="ListLabel20">
    <w:name w:val="ListLabel 20"/>
    <w:qFormat/>
    <w:rPr>
      <w:rFonts w:cs="Wingdings 2"/>
      <w:u w:val="none"/>
    </w:rPr>
  </w:style>
  <w:style w:type="character" w:styleId="ListLabel19">
    <w:name w:val="ListLabel 19"/>
    <w:qFormat/>
    <w:rPr>
      <w:rFonts w:cs="Wingdings"/>
      <w:u w:val="none"/>
    </w:rPr>
  </w:style>
  <w:style w:type="character" w:styleId="ListLabel18">
    <w:name w:val="ListLabel 18"/>
    <w:qFormat/>
    <w:rPr>
      <w:rFonts w:cs="OpenSymbol"/>
      <w:u w:val="none"/>
    </w:rPr>
  </w:style>
  <w:style w:type="character" w:styleId="ListLabel17">
    <w:name w:val="ListLabel 17"/>
    <w:qFormat/>
    <w:rPr>
      <w:rFonts w:cs="Wingdings 2"/>
      <w:u w:val="none"/>
    </w:rPr>
  </w:style>
  <w:style w:type="character" w:styleId="ListLabel16">
    <w:name w:val="ListLabel 16"/>
    <w:qFormat/>
    <w:rPr>
      <w:rFonts w:cs="Wingdings"/>
      <w:u w:val="none"/>
    </w:rPr>
  </w:style>
  <w:style w:type="character" w:styleId="ListLabel15">
    <w:name w:val="ListLabel 15"/>
    <w:qFormat/>
    <w:rPr>
      <w:rFonts w:cs="OpenSymbol"/>
      <w:u w:val="none"/>
    </w:rPr>
  </w:style>
  <w:style w:type="character" w:styleId="ListLabel14">
    <w:name w:val="ListLabel 14"/>
    <w:qFormat/>
    <w:rPr>
      <w:rFonts w:cs="Wingdings 2"/>
      <w:u w:val="none"/>
    </w:rPr>
  </w:style>
  <w:style w:type="character" w:styleId="ListLabel13">
    <w:name w:val="ListLabel 13"/>
    <w:qFormat/>
    <w:rPr>
      <w:rFonts w:cs="Wingdings"/>
      <w:sz w:val="24"/>
      <w:u w:val="none"/>
    </w:rPr>
  </w:style>
  <w:style w:type="character" w:styleId="ListLabel12">
    <w:name w:val="ListLabel 12"/>
    <w:qFormat/>
    <w:rPr>
      <w:rFonts w:eastAsia="Times New Roman" w:cs="Times New Roman"/>
      <w:b w:val="false"/>
      <w:i w:val="false"/>
      <w:color w:val="000009"/>
      <w:sz w:val="24"/>
      <w:szCs w:val="24"/>
    </w:rPr>
  </w:style>
  <w:style w:type="character" w:styleId="ListLabel11">
    <w:name w:val="ListLabel 11"/>
    <w:qFormat/>
    <w:rPr>
      <w:rFonts w:eastAsia="Times New Roman" w:cs="Times New Roman"/>
      <w:b w:val="false"/>
      <w:i w:val="false"/>
      <w:color w:val="000009"/>
      <w:sz w:val="24"/>
      <w:szCs w:val="24"/>
    </w:rPr>
  </w:style>
  <w:style w:type="character" w:styleId="ListLabel10">
    <w:name w:val="ListLabel 10"/>
    <w:qFormat/>
    <w:rPr>
      <w:rFonts w:eastAsia="Times New Roman" w:cs="Times New Roman"/>
      <w:b w:val="false"/>
      <w:i w:val="false"/>
      <w:color w:val="000009"/>
      <w:sz w:val="22"/>
      <w:szCs w:val="22"/>
    </w:rPr>
  </w:style>
  <w:style w:type="character" w:styleId="ListLabel9">
    <w:name w:val="ListLabel 9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1">
    <w:name w:val="ListLabel 1"/>
    <w:qFormat/>
    <w:rPr>
      <w:sz w:val="24"/>
      <w:u w:val="none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Arial" w:cs="Arial"/>
      <w:color w:val="00000A"/>
      <w:kern w:val="0"/>
      <w:sz w:val="22"/>
      <w:szCs w:val="22"/>
      <w:lang w:val="pt-BR" w:eastAsia="zh-CN" w:bidi="hi-IN"/>
    </w:rPr>
  </w:style>
  <w:style w:type="paragraph" w:styleId="Ttulododocumento">
    <w:name w:val="Title"/>
    <w:basedOn w:val="LOnormal"/>
    <w:next w:val="Normal"/>
    <w:uiPriority w:val="10"/>
    <w:qFormat/>
    <w:pPr>
      <w:keepNext w:val="true"/>
      <w:spacing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Normal"/>
    <w:uiPriority w:val="11"/>
    <w:qFormat/>
    <w:pPr>
      <w:keepNext w:val="tru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Annotationtext">
    <w:name w:val="annotation text"/>
    <w:basedOn w:val="LOnormal"/>
    <w:link w:val="TextodecomentrioChar"/>
    <w:uiPriority w:val="99"/>
    <w:semiHidden/>
    <w:unhideWhenUsed/>
    <w:qFormat/>
    <w:pPr/>
    <w:rPr>
      <w:sz w:val="20"/>
      <w:szCs w:val="20"/>
    </w:rPr>
  </w:style>
  <w:style w:type="paragraph" w:styleId="Cabealho">
    <w:name w:val="Header"/>
    <w:basedOn w:val="LOnormal"/>
    <w:link w:val="CabealhoChar"/>
    <w:uiPriority w:val="99"/>
    <w:unhideWhenUsed/>
    <w:rsid w:val="004f0a4d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LOnormal"/>
    <w:link w:val="RodapChar"/>
    <w:uiPriority w:val="99"/>
    <w:unhideWhenUsed/>
    <w:rsid w:val="004f0a4d"/>
    <w:pPr>
      <w:tabs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LOnormal"/>
    <w:uiPriority w:val="34"/>
    <w:qFormat/>
    <w:rsid w:val="004f0a4d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LOnormal"/>
    <w:uiPriority w:val="99"/>
    <w:unhideWhenUsed/>
    <w:qFormat/>
    <w:rsid w:val="004f0a4d"/>
    <w:pPr>
      <w:keepLines w:val="false"/>
      <w:widowControl/>
      <w:spacing w:lineRule="auto" w:line="288" w:beforeAutospacing="1" w:after="142"/>
    </w:pPr>
    <w:rPr>
      <w:rFonts w:ascii="Times New Roman" w:hAnsi="Times New Roman" w:eastAsia="Times New Roman" w:cs="Times New Roman"/>
      <w:sz w:val="24"/>
      <w:szCs w:val="24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31634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BTu9tvFrmg05KCNm12QAxKTwC2g==">CgMxLjA4AHIhMXVhWGVsU3RuSjBBLVIwbDNrXzhpaXhpcGlibkgxZjB6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LibreOffice/5.4.7.2$Windows_X86_64 LibreOffice_project/c838ef25c16710f8838b1faec480ebba495259d0</Application>
  <Pages>5</Pages>
  <Words>1299</Words>
  <Characters>7330</Characters>
  <CharactersWithSpaces>8520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2023-10-20T13:06:00Z</dcterms:created>
  <dc:creator>Michele Oliveira</dc:creator>
  <dc:description/>
  <dc:language>pt-BR</dc:language>
  <cp:lastModifiedBy/>
  <dcterms:modified xsi:type="dcterms:W3CDTF">2025-06-13T11:29:06Z</dcterms:modified>
  <cp:revision>6</cp:revision>
  <dc:subject/>
  <dc:title/>
</cp:coreProperties>
</file>