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nts/font9.odttf" ContentType="application/vnd.openxmlformats-officedocument.obfuscatedFont"/>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false"/>
        <w:keepLines w:val="false"/>
        <w:pageBreakBefore w:val="false"/>
        <w:widowControl/>
        <w:pBdr/>
        <w:shd w:val="clear" w:fill="auto"/>
        <w:spacing w:lineRule="auto" w:line="360" w:before="20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ESTUDO TÉCNICO PRELIMINAR – LEI 14.133/2021</w:t>
      </w:r>
    </w:p>
    <w:p>
      <w:pPr>
        <w:pStyle w:val="Normal"/>
        <w:keepNext w:val="false"/>
        <w:keepLines w:val="false"/>
        <w:pageBreakBefore w:val="false"/>
        <w:widowControl/>
        <w:pBdr/>
        <w:shd w:val="clear" w:fill="auto"/>
        <w:spacing w:lineRule="auto" w:line="360" w:before="20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1 - INFORMAÇÕES BÁSICAS:</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highlight w:val="white"/>
          <w:u w:val="none"/>
          <w:vertAlign w:val="baseline"/>
        </w:rPr>
        <w:t>Secretaria Requisitante: Secretaria Municipal da Saúde</w:t>
      </w:r>
    </w:p>
    <w:p>
      <w:pPr>
        <w:pStyle w:val="Normal"/>
        <w:keepNext w:val="false"/>
        <w:keepLines w:val="false"/>
        <w:pageBreakBefore w:val="false"/>
        <w:widowControl/>
        <w:pBdr/>
        <w:shd w:val="clear" w:fill="auto"/>
        <w:spacing w:lineRule="auto" w:line="360" w:before="200" w:after="0"/>
        <w:ind w:left="0" w:right="0" w:hanging="0"/>
        <w:jc w:val="both"/>
        <w:rPr>
          <w:rFonts w:ascii="Times New Roman" w:hAnsi="Times New Roman" w:eastAsia="Times New Roman" w:cs="Times New Roman"/>
          <w:color w:val="000001"/>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1"/>
          <w:position w:val="0"/>
          <w:sz w:val="24"/>
          <w:sz w:val="24"/>
          <w:szCs w:val="24"/>
          <w:u w:val="none"/>
          <w:shd w:fill="auto" w:val="clear"/>
          <w:vertAlign w:val="baseline"/>
        </w:rPr>
        <w:t>Processo SEI n° 26.0.000016923-3</w:t>
      </w:r>
    </w:p>
    <w:p>
      <w:pPr>
        <w:pStyle w:val="Normal"/>
        <w:keepNext w:val="false"/>
        <w:keepLines w:val="false"/>
        <w:pageBreakBefore w:val="false"/>
        <w:widowControl/>
        <w:pBdr/>
        <w:shd w:val="clear" w:fill="auto"/>
        <w:spacing w:lineRule="auto" w:line="360" w:before="200" w:after="0"/>
        <w:ind w:left="0" w:right="0" w:hanging="0"/>
        <w:jc w:val="both"/>
        <w:rPr>
          <w:rFonts w:ascii="Times New Roman" w:hAnsi="Times New Roman" w:eastAsia="Times New Roman" w:cs="Times New Roman"/>
          <w:b/>
          <w:b/>
          <w:bCs/>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2 - DESIGNAÇÃO DA EQUIPE DE PLANEJAMENTO:</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Nome: Annie Tays Costa Perrone</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Matrícula: 122514</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3 - DESCRIÇÃO DA NECESSIDADE DA CONTRATAÇÃO:</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Tendo em vista os últimos anos de epidemia de Dengue ocorridas em Canoas e a necessidade do diagnóstico precoce da doença para que as ações ambientais sejam feitas no período oportuno, solicitamos a aquisição de testes rápidos de antígeno NS1 para Dengue para testagem de casos suspeitos da doença.</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 xml:space="preserve">A dengue é uma arbovirose causada pelo vírus do gênero Flavivirus, transmitida pelo mosquito Aedes aegypti, sendo um relevante problema de saúde pública no Brasil. As manifestações clínicas da dengue são de modo geral inespecíficas, dificultando o diagnóstico definitivo e podendo comprometer a instituição oportuna de condutas terapêuticas adequadas. </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Os testes rápidos são de simples execução e, em sua maioria, obtém-se o resultado em 15 a 20 minutos, além de oferecerem baixo custo quando utilizados em populações numerosas, serem convenientes para distribuição nos locais mais distantes dos principais centros de saúde e permitirem resposta no momento do atendimento tanto para os profissionais de saúde quanto para os pacientes. Os testes devem especificar na bula uma sensibilidade igual ou maior a 95% e especificidade igual ou maior a 90%, em soro ou plasma.</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Como podemos visualizar na tabela abaixo nos últimos anos temos mantido um número elevado de casos, e o diagnóstico precoce da doença (no primeiro atendimento) é fundamental para garantir: ações ambientais em período oportuno (reduzindo os riscos de disseminação da doença), redução de complicações e óbitos, agilidade na conduta clínica, monitoramento epidemiológico oportuno e desafogamento da rede laboratorial.</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Seguem abaixo tabela com a situação epidemiológica de Dengue nos últimos 5 anos em Canoas:</w:t>
      </w:r>
    </w:p>
    <w:p>
      <w:pPr>
        <w:pStyle w:val="Normal"/>
        <w:keepNext w:val="false"/>
        <w:keepLines w:val="false"/>
        <w:pageBreakBefore w:val="false"/>
        <w:widowControl w:val="false"/>
        <w:pBdr/>
        <w:shd w:val="clear" w:fill="auto"/>
        <w:spacing w:lineRule="auto" w:line="36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A"/>
          <w:position w:val="0"/>
          <w:sz w:val="20"/>
          <w:sz w:val="20"/>
          <w:szCs w:val="20"/>
          <w:u w:val="none"/>
          <w:shd w:fill="auto" w:val="clear"/>
          <w:vertAlign w:val="baseline"/>
        </w:rPr>
        <w:t>Quadro epidemiológico dos casos de Dengue ocorridos em Canoas/RS, 2021-2025:</w:t>
      </w:r>
    </w:p>
    <w:tbl>
      <w:tblPr>
        <w:tblStyle w:val="Table1"/>
        <w:tblW w:w="9404" w:type="dxa"/>
        <w:jc w:val="left"/>
        <w:tblInd w:w="0" w:type="dxa"/>
        <w:tblBorders>
          <w:top w:val="single" w:sz="4" w:space="0" w:color="000001"/>
          <w:left w:val="single" w:sz="4" w:space="0" w:color="000001"/>
          <w:bottom w:val="single" w:sz="4" w:space="0" w:color="000001"/>
          <w:insideH w:val="single" w:sz="4" w:space="0" w:color="000001"/>
        </w:tblBorders>
        <w:tblCellMar>
          <w:top w:w="0" w:type="dxa"/>
          <w:left w:w="98" w:type="dxa"/>
          <w:bottom w:w="0" w:type="dxa"/>
          <w:right w:w="108" w:type="dxa"/>
        </w:tblCellMar>
        <w:tblLook w:val="0000"/>
      </w:tblPr>
      <w:tblGrid>
        <w:gridCol w:w="1336"/>
        <w:gridCol w:w="1336"/>
        <w:gridCol w:w="1339"/>
        <w:gridCol w:w="1339"/>
        <w:gridCol w:w="1338"/>
        <w:gridCol w:w="1338"/>
        <w:gridCol w:w="1377"/>
      </w:tblGrid>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0"/>
                <w:position w:val="0"/>
                <w:sz w:val="20"/>
                <w:sz w:val="20"/>
                <w:szCs w:val="20"/>
                <w:u w:val="none"/>
                <w:shd w:fill="auto" w:val="clear"/>
                <w:vertAlign w:val="baseline"/>
              </w:rPr>
              <w:t>Canoas/RS</w:t>
            </w:r>
          </w:p>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0"/>
                <w:position w:val="0"/>
                <w:sz w:val="20"/>
                <w:sz w:val="20"/>
                <w:szCs w:val="20"/>
                <w:u w:val="none"/>
                <w:shd w:fill="auto" w:val="clear"/>
                <w:vertAlign w:val="baseline"/>
              </w:rPr>
              <w:t>Ano</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Notificações</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Confirmados</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Em investigação</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Descartados</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Autóctones</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Incidência por 100mil/Hab*</w:t>
            </w:r>
          </w:p>
        </w:tc>
      </w:tr>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0"/>
                <w:position w:val="0"/>
                <w:sz w:val="20"/>
                <w:sz w:val="20"/>
                <w:szCs w:val="20"/>
                <w:u w:val="none"/>
                <w:shd w:fill="auto" w:val="clear"/>
                <w:vertAlign w:val="baseline"/>
              </w:rPr>
              <w:t>2021</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50</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7</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0</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43</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6</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2,0</w:t>
            </w:r>
          </w:p>
        </w:tc>
      </w:tr>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0"/>
                <w:position w:val="0"/>
                <w:sz w:val="20"/>
                <w:sz w:val="20"/>
                <w:szCs w:val="20"/>
                <w:u w:val="none"/>
                <w:shd w:fill="auto" w:val="clear"/>
                <w:vertAlign w:val="baseline"/>
              </w:rPr>
              <w:t>2022</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2305</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790</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0</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1515</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767</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226,9</w:t>
            </w:r>
          </w:p>
        </w:tc>
      </w:tr>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0"/>
                <w:position w:val="0"/>
                <w:sz w:val="20"/>
                <w:sz w:val="20"/>
                <w:szCs w:val="20"/>
                <w:u w:val="none"/>
                <w:shd w:fill="auto" w:val="clear"/>
                <w:vertAlign w:val="baseline"/>
              </w:rPr>
              <w:t>2023</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1205</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231</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971</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204</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0"/>
                <w:position w:val="0"/>
                <w:sz w:val="20"/>
                <w:sz w:val="20"/>
                <w:szCs w:val="20"/>
                <w:u w:val="none"/>
                <w:shd w:fill="auto" w:val="clear"/>
                <w:vertAlign w:val="baseline"/>
              </w:rPr>
              <w:t>67,2</w:t>
            </w:r>
          </w:p>
        </w:tc>
      </w:tr>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A"/>
                <w:position w:val="0"/>
                <w:sz w:val="20"/>
                <w:sz w:val="20"/>
                <w:szCs w:val="20"/>
                <w:u w:val="none"/>
                <w:shd w:fill="auto" w:val="clear"/>
                <w:vertAlign w:val="baseline"/>
              </w:rPr>
              <w:t>2024</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14824</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8695</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0</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5835</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8261</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2570,3</w:t>
            </w:r>
          </w:p>
        </w:tc>
      </w:tr>
      <w:tr>
        <w:trPr/>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bCs/>
                <w:i w:val="false"/>
                <w:iCs w:val="false"/>
                <w:caps w:val="false"/>
                <w:smallCaps w:val="false"/>
                <w:strike w:val="false"/>
                <w:dstrike w:val="false"/>
                <w:color w:val="00000A"/>
                <w:position w:val="0"/>
                <w:sz w:val="20"/>
                <w:sz w:val="20"/>
                <w:szCs w:val="20"/>
                <w:u w:val="none"/>
                <w:shd w:fill="auto" w:val="clear"/>
                <w:vertAlign w:val="baseline"/>
              </w:rPr>
              <w:t>2025</w:t>
            </w:r>
          </w:p>
        </w:tc>
        <w:tc>
          <w:tcPr>
            <w:tcW w:w="1336"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4314</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660</w:t>
            </w:r>
          </w:p>
        </w:tc>
        <w:tc>
          <w:tcPr>
            <w:tcW w:w="1339"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3</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3276</w:t>
            </w:r>
          </w:p>
        </w:tc>
        <w:tc>
          <w:tcPr>
            <w:tcW w:w="1338" w:type="dxa"/>
            <w:tcBorders>
              <w:top w:val="single" w:sz="4" w:space="0" w:color="000001"/>
              <w:left w:val="single" w:sz="4" w:space="0" w:color="000001"/>
              <w:bottom w:val="single" w:sz="4" w:space="0" w:color="000001"/>
              <w:insideH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549</w:t>
            </w:r>
          </w:p>
        </w:tc>
        <w:tc>
          <w:tcPr>
            <w:tcW w:w="13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8" w:type="dxa"/>
            </w:tcMar>
          </w:tcPr>
          <w:p>
            <w:pPr>
              <w:pStyle w:val="Normal"/>
              <w:keepNext w:val="false"/>
              <w:keepLines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20"/>
                <w:sz w:val="20"/>
                <w:szCs w:val="20"/>
                <w:u w:val="none"/>
                <w:shd w:fill="auto" w:val="clear"/>
                <w:vertAlign w:val="baseline"/>
              </w:rPr>
              <w:t>296,8</w:t>
            </w:r>
          </w:p>
        </w:tc>
      </w:tr>
    </w:tbl>
    <w:p>
      <w:pPr>
        <w:pStyle w:val="Normal"/>
        <w:keepNext w:val="false"/>
        <w:keepLines w:val="false"/>
        <w:pageBreakBefore w:val="false"/>
        <w:widowControl w:val="false"/>
        <w:pBdr/>
        <w:shd w:val="clear" w:fill="auto"/>
        <w:spacing w:lineRule="auto" w:line="36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16"/>
          <w:sz w:val="16"/>
          <w:szCs w:val="16"/>
          <w:u w:val="none"/>
          <w:shd w:fill="auto" w:val="clear"/>
          <w:vertAlign w:val="baseline"/>
        </w:rPr>
        <w:t>Fonte: Sinan Dengue online (BI SES/RS) em 26/02/2026, sujeito a alterações.</w:t>
      </w:r>
    </w:p>
    <w:p>
      <w:pPr>
        <w:pStyle w:val="Normal"/>
        <w:keepNext w:val="false"/>
        <w:keepLines w:val="false"/>
        <w:pageBreakBefore w:val="false"/>
        <w:widowControl w:val="false"/>
        <w:pBdr/>
        <w:shd w:val="clear" w:fill="auto"/>
        <w:spacing w:lineRule="auto" w:line="36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Arial" w:cs="Arial"/>
          <w:b w:val="false"/>
          <w:bCs w:val="false"/>
          <w:i w:val="false"/>
          <w:iCs w:val="false"/>
          <w:caps w:val="false"/>
          <w:smallCaps w:val="false"/>
          <w:strike w:val="false"/>
          <w:dstrike w:val="false"/>
          <w:color w:val="00000A"/>
          <w:position w:val="0"/>
          <w:sz w:val="16"/>
          <w:sz w:val="16"/>
          <w:szCs w:val="16"/>
          <w:u w:val="none"/>
          <w:shd w:fill="auto" w:val="clear"/>
          <w:vertAlign w:val="baseline"/>
        </w:rPr>
        <w:t>*Incidência (todas as notificações, exceto os casos descartados por 100mil habitantes).</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Diante desse cenário o município de Canoas firmou Convênio com o Governo Federal, conforme Proposta n° 018965/2024 e Convênio n° 962369/2024, que prevê a aquisição de 7.000 testes rápidos antígeno NS1 para testagem da população com suspeita de dengue, no valor de R$ 98.000,00.</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4 - DESCRIÇÃO DOS REQUISITOS PARA A CONTRATAÇÃO:</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t xml:space="preserve">Registro de Preço para aquisição de </w:t>
      </w:r>
      <w:r>
        <w:rPr>
          <w:rFonts w:eastAsia="Times New Roman" w:cs="Times New Roman" w:ascii="Times New Roman" w:hAnsi="Times New Roman"/>
          <w:b/>
          <w:bCs/>
          <w:i w:val="false"/>
          <w:iCs w:val="false"/>
          <w:caps w:val="false"/>
          <w:smallCaps w:val="false"/>
          <w:strike w:val="false"/>
          <w:dstrike w:val="false"/>
          <w:color w:val="0F0F0F"/>
          <w:position w:val="0"/>
          <w:sz w:val="24"/>
          <w:sz w:val="24"/>
          <w:szCs w:val="24"/>
          <w:highlight w:val="white"/>
          <w:u w:val="none"/>
          <w:vertAlign w:val="baseline"/>
        </w:rPr>
        <w:t>Testes Rápidos Imunocromatográficos para detecção qualitativa do antígeno NS1 da Dengue em amostras de sangue total, soro ou plasma.</w:t>
      </w:r>
    </w:p>
    <w:p>
      <w:pPr>
        <w:pStyle w:val="Ttulo3"/>
        <w:rPr>
          <w:rFonts w:ascii="Times New Roman" w:hAnsi="Times New Roman" w:eastAsia="Times New Roman" w:cs="Times New Roman"/>
          <w:sz w:val="24"/>
          <w:szCs w:val="24"/>
        </w:rPr>
      </w:pPr>
      <w:r>
        <w:rPr>
          <w:rFonts w:eastAsia="Times New Roman" w:cs="Times New Roman" w:ascii="Times New Roman" w:hAnsi="Times New Roman"/>
          <w:sz w:val="24"/>
          <w:szCs w:val="24"/>
        </w:rPr>
        <w:t>Especificações mínimas:</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Registro válido na ANVISA;</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sdt>
        <w:sdtPr>
          <w:id w:val="1220412683"/>
        </w:sdtPr>
        <w:sdtContent>
          <w:r>
            <w:rPr>
              <w:rFonts w:eastAsia="Gungsuh" w:cs="Gungsuh" w:ascii="Gungsuh" w:hAnsi="Gungsuh"/>
              <w:b w:val="false"/>
              <w:bCs w:val="false"/>
              <w:i w:val="false"/>
              <w:iCs w:val="false"/>
              <w:caps w:val="false"/>
              <w:smallCaps w:val="false"/>
              <w:strike w:val="false"/>
              <w:dstrike w:val="false"/>
              <w:color w:val="00000A"/>
              <w:position w:val="0"/>
              <w:sz w:val="24"/>
              <w:sz w:val="24"/>
              <w:szCs w:val="24"/>
              <w:u w:val="none"/>
              <w:shd w:fill="auto" w:val="clear"/>
              <w:vertAlign w:val="baseline"/>
            </w:rPr>
            <w:t>Sensibilidade mínima ≥ 95%;</w:t>
          </w:r>
        </w:sdtContent>
      </w:sdt>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sdt>
        <w:sdtPr>
          <w:id w:val="2144685892"/>
        </w:sdtPr>
        <w:sdtContent>
          <w:r>
            <w:rPr>
              <w:rFonts w:eastAsia="Gungsuh" w:cs="Gungsuh" w:ascii="Gungsuh" w:hAnsi="Gungsuh"/>
              <w:b w:val="false"/>
              <w:bCs w:val="false"/>
              <w:i w:val="false"/>
              <w:iCs w:val="false"/>
              <w:caps w:val="false"/>
              <w:smallCaps w:val="false"/>
              <w:strike w:val="false"/>
              <w:dstrike w:val="false"/>
              <w:color w:val="00000A"/>
              <w:position w:val="0"/>
              <w:sz w:val="24"/>
              <w:sz w:val="24"/>
              <w:szCs w:val="24"/>
              <w:u w:val="none"/>
              <w:shd w:fill="auto" w:val="clear"/>
              <w:vertAlign w:val="baseline"/>
            </w:rPr>
            <w:t>Especificidade mínima ≥ 90%;</w:t>
          </w:r>
        </w:sdtContent>
      </w:sdt>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Resultado em até 20 minutos;</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Kit contendo todos os insumos necessários para realização do teste;</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Armazenamento em temperatura entre 2°C e 30°C;</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Validade mínima de 18 meses no ato da entrega;</w:t>
      </w:r>
    </w:p>
    <w:p>
      <w:pPr>
        <w:pStyle w:val="Normal"/>
        <w:keepNext w:val="false"/>
        <w:keepLines/>
        <w:pageBreakBefore w:val="false"/>
        <w:widowControl/>
        <w:numPr>
          <w:ilvl w:val="0"/>
          <w:numId w:val="1"/>
        </w:numPr>
        <w:pBdr/>
        <w:shd w:val="clear" w:fill="auto"/>
        <w:tabs>
          <w:tab w:val="left" w:pos="0" w:leader="none"/>
        </w:tabs>
        <w:spacing w:lineRule="auto" w:line="288" w:before="0" w:after="140"/>
        <w:ind w:left="707" w:right="0" w:hanging="283"/>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A"/>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Manual em português.</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4"/>
          <w:sz w:val="24"/>
          <w:szCs w:val="24"/>
          <w:u w:val="none"/>
          <w:shd w:fill="auto" w:val="clear"/>
          <w:vertAlign w:val="baseline"/>
        </w:rPr>
        <w:t>Documentação da Empresa:</w:t>
      </w:r>
    </w:p>
    <w:p>
      <w:pPr>
        <w:pStyle w:val="Normal"/>
        <w:keepNext w:val="false"/>
        <w:keepLines/>
        <w:pageBreakBefore w:val="false"/>
        <w:widowControl/>
        <w:numPr>
          <w:ilvl w:val="0"/>
          <w:numId w:val="2"/>
        </w:numPr>
        <w:pBdr/>
        <w:shd w:val="clear" w:fill="auto"/>
        <w:spacing w:lineRule="auto" w:line="360" w:before="200" w:after="0"/>
        <w:ind w:left="720" w:right="0" w:hanging="36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Alvará de Saúde, expedido pela Vigilância Sanitária Municipal, em vigor, ou Licença, expedida pela Vigilância Sanitária Estadual, em vigor, em nome da empresa.</w:t>
      </w:r>
    </w:p>
    <w:p>
      <w:pPr>
        <w:pStyle w:val="Normal"/>
        <w:keepNext w:val="false"/>
        <w:keepLines/>
        <w:pageBreakBefore w:val="false"/>
        <w:widowControl/>
        <w:numPr>
          <w:ilvl w:val="0"/>
          <w:numId w:val="2"/>
        </w:numPr>
        <w:pBdr/>
        <w:shd w:val="clear" w:fill="auto"/>
        <w:spacing w:lineRule="auto" w:line="360" w:before="200" w:after="0"/>
        <w:ind w:left="720" w:right="0" w:hanging="36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Autorização de Funcionamento de Empresa (AFE), expedida pela ANVISA, em situação ativa, em nome da empresa.</w:t>
      </w:r>
    </w:p>
    <w:p>
      <w:pPr>
        <w:pStyle w:val="Normal"/>
        <w:keepNext w:val="false"/>
        <w:keepLines/>
        <w:pageBreakBefore w:val="false"/>
        <w:widowControl/>
        <w:numPr>
          <w:ilvl w:val="0"/>
          <w:numId w:val="2"/>
        </w:numPr>
        <w:pBdr/>
        <w:shd w:val="clear" w:fill="auto"/>
        <w:spacing w:lineRule="auto" w:line="360" w:before="200" w:after="0"/>
        <w:ind w:left="720" w:right="0" w:hanging="360"/>
        <w:jc w:val="both"/>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Habilitação Jurídica e Fiscal: CNPJ, contrato social, certidões negativas de débitos federais, estaduais e municipais, regularidade com FGTS e trabalhista.</w:t>
      </w:r>
    </w:p>
    <w:p>
      <w:pPr>
        <w:pStyle w:val="Normal"/>
        <w:keepNext w:val="false"/>
        <w:keepLines/>
        <w:pageBreakBefore w:val="false"/>
        <w:widowControl/>
        <w:numPr>
          <w:ilvl w:val="0"/>
          <w:numId w:val="2"/>
        </w:numPr>
        <w:pBdr/>
        <w:shd w:val="clear" w:fill="auto"/>
        <w:spacing w:lineRule="auto" w:line="360" w:before="200" w:after="0"/>
        <w:ind w:left="720" w:right="0" w:hanging="360"/>
        <w:jc w:val="both"/>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Atestado de Capacidade Técnica: Comprovação de fornecimento anterior de materiais de saúde similares (testes rápidos/diagnóstico), emitido por pessoa jurídica de direito público ou privado. </w:t>
      </w:r>
    </w:p>
    <w:p>
      <w:pPr>
        <w:pStyle w:val="Normal"/>
        <w:keepNext w:val="false"/>
        <w:keepLines w:val="false"/>
        <w:pageBreakBefore w:val="false"/>
        <w:widowControl/>
        <w:pBdr/>
        <w:shd w:val="clear" w:fill="auto"/>
        <w:spacing w:lineRule="auto" w:line="360" w:before="200" w:after="0"/>
        <w:ind w:left="0" w:right="0" w:hanging="0"/>
        <w:jc w:val="both"/>
        <w:rPr>
          <w:rFonts w:ascii="Times New Roman" w:hAnsi="Times New Roman" w:eastAsia="Times New Roman" w:cs="Times New Roman"/>
          <w:b/>
          <w:b/>
          <w:bCs/>
          <w:color w:val="0F0F0F"/>
          <w:sz w:val="24"/>
          <w:szCs w:val="24"/>
        </w:rPr>
      </w:pPr>
      <w:r>
        <w:rPr>
          <w:rFonts w:eastAsia="Times New Roman" w:cs="Times New Roman" w:ascii="Times New Roman" w:hAnsi="Times New Roman"/>
          <w:b/>
          <w:bCs/>
          <w:i w:val="false"/>
          <w:iCs w:val="false"/>
          <w:caps w:val="false"/>
          <w:smallCaps w:val="false"/>
          <w:strike w:val="false"/>
          <w:dstrike w:val="false"/>
          <w:color w:val="0F0F0F"/>
          <w:position w:val="0"/>
          <w:sz w:val="24"/>
          <w:sz w:val="24"/>
          <w:szCs w:val="24"/>
          <w:u w:val="none"/>
          <w:shd w:fill="auto" w:val="clear"/>
          <w:vertAlign w:val="baseline"/>
        </w:rPr>
        <w:t>5 - LEVANTAMENTO DE MERCADO:</w:t>
      </w:r>
    </w:p>
    <w:p>
      <w:pPr>
        <w:pStyle w:val="Normal"/>
        <w:keepNext w:val="false"/>
        <w:keepLines w:val="false"/>
        <w:pageBreakBefore w:val="false"/>
        <w:widowControl/>
        <w:pBdr/>
        <w:shd w:val="clear" w:fill="auto"/>
        <w:spacing w:lineRule="auto" w:line="360" w:before="200" w:after="0"/>
        <w:ind w:left="0" w:right="0" w:hanging="0"/>
        <w:jc w:val="both"/>
        <w:rPr>
          <w:b/>
          <w:b/>
          <w:bCs/>
        </w:rPr>
      </w:pPr>
      <w:r>
        <w:rPr>
          <w:rFonts w:eastAsia="Times New Roman" w:cs="Times New Roman" w:ascii="Times New Roman" w:hAnsi="Times New Roman"/>
          <w:sz w:val="24"/>
          <w:szCs w:val="24"/>
          <w:highlight w:val="white"/>
        </w:rPr>
        <w:t xml:space="preserve">Foi utilizado a busca e pesquisa de empresas especializadas no fornecimento deste material, verificando a reputação, experiência e certificações das empresas para garantir que sejam capacitadas e confiáveis. </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6 - DESCRIÇÃO DA SOLUÇÃO COMO UM TODO:</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A solução consiste na aquisição de Testes Rápidos Imunocromatográficos para detecção qualitativa do antígeno NS1 da Dengue em amostras de sangue total, soro ou plasma, cujos itens serão distribuídos </w:t>
      </w:r>
      <w:r>
        <w:rPr>
          <w:rFonts w:eastAsia="Times New Roman" w:cs="Times New Roman" w:ascii="Times New Roman" w:hAnsi="Times New Roman"/>
          <w:color w:val="000000"/>
          <w:sz w:val="24"/>
          <w:szCs w:val="24"/>
        </w:rPr>
        <w:t>à rede</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u w:val="none"/>
          <w:shd w:fill="auto" w:val="clear"/>
          <w:vertAlign w:val="baseline"/>
        </w:rPr>
        <w:t xml:space="preserve"> de saúde municipal. Não haverá quaisquer custos indiretos para a contratação. </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7 - ESTIMATIVA DAS QUANTIDADES A SEREM CONTRATADAS:</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A quantidade e a especificação do material se encontram em tabela abaixo e a estimativa foi projetada de acordo com disponibilidade financeira e estimativa de uso.</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A pretensa aquisição alinha-se com o necessário combate a dengue e por uma rápida resposta ao problema que tem se agravado no Município.</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De acordo com o número de notificações dos anos de 2023, 2024 e 2025, se fez uma média de mais ou menos 6.780 notificações/ano (considerando que 2024 foi o ano de maior epidemia no município), e levando em conta o valor do convênio, se acredita que as quantidades estimadas abaixo serão suficientes para atender a demanda do ano vigente, e com o prazo de validade exigido poderão ser utilizadas no próximo ano.</w:t>
      </w:r>
    </w:p>
    <w:p>
      <w:pPr>
        <w:pStyle w:val="Normal"/>
        <w:keepNext w:val="false"/>
        <w:keepLines/>
        <w:pageBreakBefore w:val="false"/>
        <w:widowControl/>
        <w:pBdr/>
        <w:shd w:val="clear" w:fill="auto"/>
        <w:spacing w:lineRule="auto" w:line="360" w:before="200" w:after="0"/>
        <w:ind w:left="0" w:right="0" w:hanging="0"/>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F0F0F"/>
          <w:position w:val="0"/>
          <w:sz w:val="24"/>
          <w:sz w:val="24"/>
          <w:szCs w:val="24"/>
          <w:highlight w:val="white"/>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r>
    </w:p>
    <w:tbl>
      <w:tblPr>
        <w:tblStyle w:val="Table2"/>
        <w:tblW w:w="8503" w:type="dxa"/>
        <w:jc w:val="left"/>
        <w:tblInd w:w="0" w:type="dxa"/>
        <w:tblBorders>
          <w:top w:val="single" w:sz="4" w:space="0" w:color="000001"/>
          <w:left w:val="single" w:sz="4" w:space="0" w:color="000001"/>
          <w:bottom w:val="single" w:sz="4" w:space="0" w:color="000001"/>
          <w:insideH w:val="single" w:sz="4" w:space="0" w:color="000001"/>
        </w:tblBorders>
        <w:tblCellMar>
          <w:top w:w="0" w:type="dxa"/>
          <w:left w:w="43" w:type="dxa"/>
          <w:bottom w:w="0" w:type="dxa"/>
          <w:right w:w="108" w:type="dxa"/>
        </w:tblCellMar>
        <w:tblLook w:val="0000"/>
      </w:tblPr>
      <w:tblGrid>
        <w:gridCol w:w="2834"/>
        <w:gridCol w:w="2834"/>
        <w:gridCol w:w="2835"/>
      </w:tblGrid>
      <w:tr>
        <w:trPr/>
        <w:tc>
          <w:tcPr>
            <w:tcW w:w="2834" w:type="dxa"/>
            <w:tcBorders>
              <w:top w:val="single" w:sz="4" w:space="0" w:color="000001"/>
              <w:left w:val="single" w:sz="4" w:space="0" w:color="000001"/>
              <w:bottom w:val="single" w:sz="4" w:space="0" w:color="000001"/>
              <w:insideH w:val="single" w:sz="4" w:space="0" w:color="000001"/>
            </w:tcBorders>
            <w:shd w:fill="auto" w:val="clear"/>
            <w:tcMar>
              <w:left w:w="43" w:type="dxa"/>
            </w:tcMar>
          </w:tcPr>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t>Item</w:t>
            </w:r>
          </w:p>
        </w:tc>
        <w:tc>
          <w:tcPr>
            <w:tcW w:w="2834" w:type="dxa"/>
            <w:tcBorders>
              <w:top w:val="single" w:sz="4" w:space="0" w:color="000001"/>
              <w:left w:val="single" w:sz="4" w:space="0" w:color="000001"/>
              <w:bottom w:val="single" w:sz="4" w:space="0" w:color="000001"/>
              <w:insideH w:val="single" w:sz="4" w:space="0" w:color="000001"/>
            </w:tcBorders>
            <w:shd w:fill="auto" w:val="clear"/>
            <w:tcMar>
              <w:left w:w="43" w:type="dxa"/>
            </w:tcMar>
          </w:tcPr>
          <w:p>
            <w:pPr>
              <w:pStyle w:val="Normal"/>
              <w:keepNext w:val="false"/>
              <w:keepLines/>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t>Descrição</w:t>
            </w:r>
          </w:p>
        </w:tc>
        <w:tc>
          <w:tcPr>
            <w:tcW w:w="2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tcPr>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t>Qtd</w:t>
            </w:r>
          </w:p>
        </w:tc>
      </w:tr>
      <w:tr>
        <w:trPr/>
        <w:tc>
          <w:tcPr>
            <w:tcW w:w="2834" w:type="dxa"/>
            <w:tcBorders>
              <w:top w:val="single" w:sz="4" w:space="0" w:color="000001"/>
              <w:left w:val="single" w:sz="4" w:space="0" w:color="000001"/>
              <w:bottom w:val="single" w:sz="4" w:space="0" w:color="000001"/>
              <w:insideH w:val="single" w:sz="4" w:space="0" w:color="000001"/>
            </w:tcBorders>
            <w:shd w:fill="auto" w:val="clear"/>
            <w:tcMar>
              <w:left w:w="43" w:type="dxa"/>
            </w:tcMar>
          </w:tcPr>
          <w:p>
            <w:pPr>
              <w:pStyle w:val="Normal"/>
              <w:keepNext w:val="false"/>
              <w:keepLines/>
              <w:widowControl/>
              <w:pBdr/>
              <w:shd w:val="clear" w:fill="auto"/>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Arial" w:cs="Arial"/>
                <w:b w:val="false"/>
                <w:bCs w:val="false"/>
                <w:i w:val="false"/>
                <w:iCs w:val="false"/>
                <w:caps w:val="false"/>
                <w:smallCaps w:val="false"/>
                <w:strike w:val="false"/>
                <w:dstrike w:val="false"/>
                <w:color w:val="00000A"/>
                <w:position w:val="0"/>
                <w:sz w:val="22"/>
                <w:sz w:val="22"/>
                <w:szCs w:val="22"/>
                <w:u w:val="none"/>
                <w:shd w:fill="auto" w:val="clear"/>
                <w:vertAlign w:val="baseline"/>
              </w:rPr>
            </w:r>
          </w:p>
          <w:p>
            <w:pPr>
              <w:pStyle w:val="Normal"/>
              <w:keepNext w:val="false"/>
              <w:keepLines/>
              <w:widowControl/>
              <w:pBdr/>
              <w:shd w:val="clear" w:fill="auto"/>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Arial" w:cs="Arial"/>
                <w:b w:val="false"/>
                <w:bCs w:val="false"/>
                <w:i w:val="false"/>
                <w:iCs w:val="false"/>
                <w:caps w:val="false"/>
                <w:smallCaps w:val="false"/>
                <w:strike w:val="false"/>
                <w:dstrike w:val="false"/>
                <w:color w:val="00000A"/>
                <w:position w:val="0"/>
                <w:sz w:val="22"/>
                <w:sz w:val="22"/>
                <w:szCs w:val="22"/>
                <w:u w:val="none"/>
                <w:shd w:fill="auto" w:val="clear"/>
                <w:vertAlign w:val="baseline"/>
              </w:rPr>
              <w:t>1</w:t>
            </w:r>
          </w:p>
        </w:tc>
        <w:tc>
          <w:tcPr>
            <w:tcW w:w="2834" w:type="dxa"/>
            <w:tcBorders>
              <w:top w:val="single" w:sz="4" w:space="0" w:color="000001"/>
              <w:left w:val="single" w:sz="4" w:space="0" w:color="000001"/>
              <w:bottom w:val="single" w:sz="4" w:space="0" w:color="000001"/>
              <w:insideH w:val="single" w:sz="4" w:space="0" w:color="000001"/>
            </w:tcBorders>
            <w:shd w:fill="auto" w:val="clear"/>
            <w:tcMar>
              <w:left w:w="43" w:type="dxa"/>
            </w:tcMar>
          </w:tcPr>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-Testes Rápidos Imunocromatográficos para detecção qualitativa do antígeno NS1 da Dengue em amostras de sangue total, soro ou plasma.</w:t>
            </w:r>
          </w:p>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O produto deverá vir obrigatoriamente lacrado de fábrica.</w:t>
            </w:r>
          </w:p>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O kit deverá vir completo para a perfeita realização do teste</w:t>
            </w:r>
          </w:p>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O resultado do teste deverá ocorrer em no máximo 20 (vinte) minutos.</w:t>
            </w:r>
          </w:p>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o produto deverá ter validade mínima de 18 meses;</w:t>
            </w:r>
          </w:p>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O produto deverá, obrigatoriamente, possuir registro na ANVISA</w:t>
            </w:r>
          </w:p>
        </w:tc>
        <w:tc>
          <w:tcPr>
            <w:tcW w:w="283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43" w:type="dxa"/>
            </w:tcMar>
          </w:tcPr>
          <w:p>
            <w:pPr>
              <w:pStyle w:val="Normal"/>
              <w:keepNext w:val="false"/>
              <w:keepLines/>
              <w:widowControl/>
              <w:pBdr/>
              <w:shd w:val="clear" w:fill="auto"/>
              <w:spacing w:lineRule="auto" w:line="360" w:before="20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0"/>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highlight w:val="white"/>
                <w:u w:val="none"/>
                <w:vertAlign w:val="baseline"/>
              </w:rPr>
              <w:t>7000</w:t>
            </w:r>
          </w:p>
        </w:tc>
      </w:tr>
    </w:tbl>
    <w:p>
      <w:pPr>
        <w:pStyle w:val="Normal"/>
        <w:keepNext w:val="false"/>
        <w:keepLines w:val="false"/>
        <w:pageBreakBefore w:val="false"/>
        <w:widowControl/>
        <w:pBdr/>
        <w:shd w:val="clear" w:fill="auto"/>
        <w:spacing w:lineRule="auto" w:line="360" w:before="200" w:after="0"/>
        <w:ind w:left="0" w:right="0" w:hanging="0"/>
        <w:jc w:val="both"/>
        <w:rPr>
          <w:rFonts w:ascii="Times New Roman" w:hAnsi="Times New Roman" w:eastAsia="Times New Roman" w:cs="Times New Roman"/>
          <w:b/>
          <w:b/>
          <w:bCs/>
          <w:caps w:val="false"/>
          <w:smallCaps w:val="false"/>
          <w:strike w:val="false"/>
          <w:dstrike w:val="false"/>
          <w:color w:val="000001"/>
          <w:position w:val="0"/>
          <w:sz w:val="22"/>
          <w:sz w:val="24"/>
          <w:szCs w:val="24"/>
          <w:vertAlign w:val="baseline"/>
        </w:rPr>
      </w:pPr>
      <w:r>
        <w:rPr>
          <w:rFonts w:eastAsia="Times New Roman" w:cs="Times New Roman" w:ascii="Times New Roman" w:hAnsi="Times New Roman"/>
          <w:b/>
          <w:bCs/>
          <w:caps w:val="false"/>
          <w:smallCaps w:val="false"/>
          <w:strike w:val="false"/>
          <w:dstrike w:val="false"/>
          <w:color w:val="000001"/>
          <w:position w:val="0"/>
          <w:sz w:val="24"/>
          <w:sz w:val="24"/>
          <w:szCs w:val="24"/>
          <w:shd w:fill="auto" w:val="clear"/>
          <w:vertAlign w:val="baseline"/>
        </w:rPr>
        <w:t xml:space="preserve">8 - ESTIMATIVA DO VALOR DA CONTRATAÇÃO: </w:t>
      </w:r>
    </w:p>
    <w:p>
      <w:pPr>
        <w:pStyle w:val="Normal"/>
        <w:keepLines/>
        <w:spacing w:lineRule="auto" w:line="240" w:before="280" w:after="280"/>
        <w:jc w:val="both"/>
        <w:rPr/>
      </w:pPr>
      <w:r>
        <w:rPr>
          <w:rFonts w:eastAsia="Times New Roman" w:cs="Times New Roman" w:ascii="Times New Roman" w:hAnsi="Times New Roman"/>
          <w:sz w:val="24"/>
          <w:szCs w:val="24"/>
          <w:highlight w:val="white"/>
        </w:rPr>
        <w:t xml:space="preserve">Estima-se para a contratação almejada o valor total R$ </w:t>
      </w:r>
      <w:r>
        <w:rPr>
          <w:rFonts w:eastAsia="Times New Roman" w:cs="Times New Roman" w:ascii="Times New Roman" w:hAnsi="Times New Roman"/>
          <w:sz w:val="24"/>
          <w:szCs w:val="24"/>
          <w:highlight w:val="white"/>
        </w:rPr>
        <w:t xml:space="preserve">24.500,00 </w:t>
      </w:r>
      <w:r>
        <w:rPr>
          <w:rFonts w:eastAsia="Times New Roman" w:cs="Times New Roman" w:ascii="Times New Roman" w:hAnsi="Times New Roman"/>
          <w:sz w:val="24"/>
          <w:szCs w:val="24"/>
          <w:highlight w:val="white"/>
        </w:rPr>
        <w:t xml:space="preserve">. Vislumbra-se que tal valor é compatível com o praticado pelo mercado correspondente, observando-se o disposto no art. 23, § 1º, da Lei Federal nº 14.133/2021. </w:t>
      </w:r>
    </w:p>
    <w:tbl>
      <w:tblPr>
        <w:tblStyle w:val="Table3"/>
        <w:tblpPr w:bottomFromText="180" w:horzAnchor="text" w:leftFromText="180" w:rightFromText="180" w:tblpX="0" w:tblpY="0" w:topFromText="180" w:vertAnchor="text"/>
        <w:tblW w:w="8985"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Look w:val="0000"/>
      </w:tblPr>
      <w:tblGrid>
        <w:gridCol w:w="584"/>
        <w:gridCol w:w="5400"/>
        <w:gridCol w:w="480"/>
        <w:gridCol w:w="675"/>
        <w:gridCol w:w="885"/>
        <w:gridCol w:w="960"/>
      </w:tblGrid>
      <w:tr>
        <w:trPr/>
        <w:tc>
          <w:tcPr>
            <w:tcW w:w="5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Item</w:t>
            </w:r>
          </w:p>
        </w:tc>
        <w:tc>
          <w:tcPr>
            <w:tcW w:w="54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Descrição (Setor Geral)</w:t>
            </w:r>
          </w:p>
        </w:tc>
        <w:tc>
          <w:tcPr>
            <w:tcW w:w="4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Qtd</w:t>
            </w:r>
          </w:p>
        </w:tc>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UN.</w:t>
            </w:r>
          </w:p>
        </w:tc>
        <w:tc>
          <w:tcPr>
            <w:tcW w:w="8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Valor Un.</w:t>
            </w:r>
          </w:p>
        </w:tc>
        <w:tc>
          <w:tcPr>
            <w:tcW w:w="9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Valor Total</w:t>
            </w:r>
          </w:p>
        </w:tc>
      </w:tr>
      <w:tr>
        <w:trPr>
          <w:trHeight w:val="655" w:hRule="atLeast"/>
        </w:trPr>
        <w:tc>
          <w:tcPr>
            <w:tcW w:w="58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1</w:t>
            </w:r>
          </w:p>
        </w:tc>
        <w:tc>
          <w:tcPr>
            <w:tcW w:w="540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53" w:type="dxa"/>
            </w:tcMar>
          </w:tcPr>
          <w:p>
            <w:pPr>
              <w:pStyle w:val="Normal"/>
              <w:keepLines/>
              <w:spacing w:lineRule="auto" w:line="360" w:before="200" w:after="0"/>
              <w:jc w:val="center"/>
              <w:rPr/>
            </w:pPr>
            <w:r>
              <w:rPr>
                <w:rFonts w:eastAsia="Times New Roman" w:cs="Times New Roman" w:ascii="Times New Roman" w:hAnsi="Times New Roman"/>
                <w:sz w:val="24"/>
                <w:szCs w:val="24"/>
              </w:rPr>
              <w:t>-Testes Rápidos Imunocromatográficos para detecção qualitativa do antígeno NS1 da Dengue em amostras de sangue total, soro ou plasma.</w:t>
            </w:r>
          </w:p>
          <w:p>
            <w:pPr>
              <w:pStyle w:val="Normal"/>
              <w:keepLines/>
              <w:spacing w:lineRule="auto" w:line="360" w:before="200" w:after="0"/>
              <w:jc w:val="center"/>
              <w:rPr/>
            </w:pPr>
            <w:r>
              <w:rPr>
                <w:rFonts w:eastAsia="Times New Roman" w:cs="Times New Roman" w:ascii="Times New Roman" w:hAnsi="Times New Roman"/>
                <w:sz w:val="24"/>
                <w:szCs w:val="24"/>
              </w:rPr>
              <w:t>- O produto deverá vir obrigatoriamente lacrado de fábrica.</w:t>
            </w:r>
          </w:p>
          <w:p>
            <w:pPr>
              <w:pStyle w:val="Normal"/>
              <w:keepLines/>
              <w:spacing w:lineRule="auto" w:line="360" w:before="200" w:after="0"/>
              <w:jc w:val="center"/>
              <w:rPr/>
            </w:pPr>
            <w:r>
              <w:rPr>
                <w:rFonts w:eastAsia="Times New Roman" w:cs="Times New Roman" w:ascii="Times New Roman" w:hAnsi="Times New Roman"/>
                <w:sz w:val="24"/>
                <w:szCs w:val="24"/>
              </w:rPr>
              <w:t>- O kit deverá vir completo para a perfeita realização do teste</w:t>
            </w:r>
          </w:p>
          <w:p>
            <w:pPr>
              <w:pStyle w:val="Normal"/>
              <w:keepLines/>
              <w:spacing w:lineRule="auto" w:line="360" w:before="200" w:after="0"/>
              <w:jc w:val="center"/>
              <w:rPr/>
            </w:pPr>
            <w:r>
              <w:rPr>
                <w:rFonts w:eastAsia="Times New Roman" w:cs="Times New Roman" w:ascii="Times New Roman" w:hAnsi="Times New Roman"/>
                <w:sz w:val="24"/>
                <w:szCs w:val="24"/>
              </w:rPr>
              <w:t>- O resultado do teste deverá ocorrer em no máximo 20 (vinte) minutos.</w:t>
            </w:r>
          </w:p>
          <w:p>
            <w:pPr>
              <w:pStyle w:val="Normal"/>
              <w:keepLines/>
              <w:spacing w:lineRule="auto" w:line="360" w:before="200" w:after="0"/>
              <w:jc w:val="center"/>
              <w:rPr/>
            </w:pPr>
            <w:r>
              <w:rPr>
                <w:rFonts w:eastAsia="Times New Roman" w:cs="Times New Roman" w:ascii="Times New Roman" w:hAnsi="Times New Roman"/>
                <w:sz w:val="24"/>
                <w:szCs w:val="24"/>
              </w:rPr>
              <w:t>- o produto deverá ter validade mínima de 18 meses;</w:t>
            </w:r>
          </w:p>
          <w:p>
            <w:pPr>
              <w:pStyle w:val="Normal"/>
              <w:keepLines/>
              <w:spacing w:lineRule="auto" w:line="360" w:before="200" w:after="0"/>
              <w:jc w:val="center"/>
              <w:rPr>
                <w:rFonts w:ascii="Times New Roman" w:hAnsi="Times New Roman" w:eastAsia="Times New Roman" w:cs="Times New Roman"/>
              </w:rPr>
            </w:pPr>
            <w:r>
              <w:rPr>
                <w:rFonts w:eastAsia="Times New Roman" w:cs="Times New Roman" w:ascii="Times New Roman" w:hAnsi="Times New Roman"/>
                <w:sz w:val="24"/>
                <w:szCs w:val="24"/>
              </w:rPr>
              <w:t>- O produto deverá, obrigatoriamente, possuir registro na ANVISA</w:t>
            </w:r>
          </w:p>
        </w:tc>
        <w:tc>
          <w:tcPr>
            <w:tcW w:w="48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CX</w:t>
            </w:r>
          </w:p>
        </w:tc>
        <w:tc>
          <w:tcPr>
            <w:tcW w:w="67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rFonts w:ascii="Times New Roman" w:hAnsi="Times New Roman" w:eastAsia="Times New Roman" w:cs="Times New Roman"/>
              </w:rPr>
            </w:pPr>
            <w:r>
              <w:rPr>
                <w:rFonts w:eastAsia="Times New Roman" w:cs="Times New Roman" w:ascii="Times New Roman" w:hAnsi="Times New Roman"/>
              </w:rPr>
              <w:t>7000</w:t>
            </w:r>
          </w:p>
        </w:tc>
        <w:tc>
          <w:tcPr>
            <w:tcW w:w="885"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pPr>
            <w:r>
              <w:rPr>
                <w:rFonts w:eastAsia="Times New Roman" w:cs="Times New Roman" w:ascii="Times New Roman" w:hAnsi="Times New Roman"/>
              </w:rPr>
              <w:t>3,50</w:t>
            </w:r>
          </w:p>
        </w:tc>
        <w:tc>
          <w:tcPr>
            <w:tcW w:w="96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Lines/>
              <w:widowControl w:val="false"/>
              <w:rPr/>
            </w:pPr>
            <w:r>
              <w:rPr>
                <w:rFonts w:eastAsia="Times New Roman" w:cs="Times New Roman" w:ascii="Times New Roman" w:hAnsi="Times New Roman"/>
              </w:rPr>
              <w:t>24.500,00</w:t>
            </w:r>
          </w:p>
        </w:tc>
      </w:tr>
    </w:tbl>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9 - JUSTIFICATIVA PARA PARCELAMENTO OU NÃO DA SOLUÇÃO:</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highlight w:val="white"/>
          <w:u w:val="none"/>
          <w:vertAlign w:val="baseline"/>
        </w:rPr>
        <w:t>Como trata-se de Registro de Preços, o quantitativo não será solicitado em uma única compra</w:t>
      </w:r>
      <w:r>
        <w:rPr>
          <w:rFonts w:eastAsia="Times New Roman" w:cs="Times New Roman" w:ascii="Times New Roman" w:hAnsi="Times New Roman"/>
          <w:color w:val="000000"/>
          <w:sz w:val="24"/>
          <w:szCs w:val="24"/>
          <w:highlight w:val="white"/>
        </w:rPr>
        <w:t>, sendo adquirido dentro do prazo de vigência da ata, conforme demanda</w:t>
      </w: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highlight w:val="white"/>
          <w:u w:val="none"/>
          <w:vertAlign w:val="baseline"/>
        </w:rPr>
        <w:t>.</w:t>
      </w:r>
    </w:p>
    <w:p>
      <w:pPr>
        <w:pStyle w:val="Normal"/>
        <w:keepNext w:val="false"/>
        <w:keepLines/>
        <w:pageBreakBefore w:val="false"/>
        <w:widowControl/>
        <w:pBdr/>
        <w:shd w:val="clear" w:fill="auto"/>
        <w:spacing w:lineRule="auto" w:line="360" w:before="200" w:after="0"/>
        <w:ind w:left="0" w:right="0" w:hanging="0"/>
        <w:jc w:val="both"/>
        <w:rPr>
          <w:b/>
          <w:b/>
          <w:bCs/>
          <w:i w:val="false"/>
          <w:i w:val="false"/>
          <w:iCs w:val="false"/>
          <w:caps w:val="false"/>
          <w:smallCaps w:val="false"/>
          <w:strike w:val="false"/>
          <w:dstrike w:val="false"/>
          <w:color w:val="0F0F0F"/>
          <w:position w:val="0"/>
          <w:sz w:val="22"/>
          <w:sz w:val="22"/>
          <w:szCs w:val="22"/>
          <w:vertAlign w:val="baseline"/>
        </w:rPr>
      </w:pPr>
      <w:r>
        <w:rPr>
          <w:rFonts w:eastAsia="Times New Roman" w:cs="Times New Roman" w:ascii="Times New Roman" w:hAnsi="Times New Roman"/>
          <w:b/>
          <w:bCs/>
          <w:i w:val="false"/>
          <w:iCs w:val="false"/>
          <w:caps w:val="false"/>
          <w:smallCaps w:val="false"/>
          <w:strike w:val="false"/>
          <w:dstrike w:val="false"/>
          <w:color w:val="0F0F0F"/>
          <w:position w:val="0"/>
          <w:sz w:val="24"/>
          <w:sz w:val="24"/>
          <w:szCs w:val="24"/>
          <w:shd w:fill="auto" w:val="clear"/>
          <w:vertAlign w:val="baseline"/>
        </w:rPr>
        <w:t>10 - CONTRATAÇÕES CORRELATAS/INTERDEPENDENTES:</w:t>
      </w:r>
    </w:p>
    <w:p>
      <w:pPr>
        <w:pStyle w:val="Normal"/>
        <w:keepLines/>
        <w:spacing w:lineRule="auto" w:line="360" w:before="200" w:after="0"/>
        <w:jc w:val="both"/>
        <w:rPr/>
      </w:pPr>
      <w:r>
        <w:rPr>
          <w:rFonts w:eastAsia="Times New Roman" w:cs="Times New Roman" w:ascii="Times New Roman" w:hAnsi="Times New Roman"/>
          <w:sz w:val="24"/>
          <w:szCs w:val="24"/>
        </w:rPr>
        <w:t>Não há contratações correlatas e/ou interdependentes.</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11 - DEMONSTRATIVO DA PREVISÃO DA CONTRATAÇÃO NO PLANO ANUAL DE CONTRATAÇÃO – PAC:</w:t>
      </w:r>
    </w:p>
    <w:p>
      <w:pPr>
        <w:pStyle w:val="Normal"/>
        <w:keepNext w:val="false"/>
        <w:keepLines/>
        <w:pageBreakBefore w:val="false"/>
        <w:widowControl/>
        <w:pBdr/>
        <w:shd w:val="clear" w:fill="auto"/>
        <w:spacing w:lineRule="auto" w:line="276"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4"/>
          <w:sz w:val="24"/>
          <w:szCs w:val="24"/>
          <w:highlight w:val="white"/>
          <w:u w:val="none"/>
          <w:vertAlign w:val="baseline"/>
        </w:rPr>
        <w:t>A presente aquisição está alinhada aos objetivos estratégicos da Secretaria Municipal de Saúde, assegurando um sistema de saúde acessível a todos. Essa iniciativa reforça o compromisso com a qualidade e eficiência dos serviços prestados, bem como com a adequada infraestrutura necessária para atender às demandas da comunidade.</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12 - DEMONSTRAÇÃO DOS RESULTADOS PRETENDIDOS:</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1C1C1C"/>
          <w:position w:val="0"/>
          <w:sz w:val="24"/>
          <w:sz w:val="24"/>
          <w:szCs w:val="24"/>
          <w:highlight w:val="white"/>
          <w:u w:val="none"/>
          <w:vertAlign w:val="baseline"/>
        </w:rPr>
        <w:t>Com a presente aquisição pretende-se: realizar o diagnóstico precoce da doença (no primeiro atendimento), realizar ações ambientais em período oportuno (reduzindo os riscos de disseminação da doença), reduzir complicações e óbitos, agilizar a conduta clínica e realizar monitoramento epidemiológico oportuno.</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13 - PROVIDÊNCIAS PRÉVIAS AO CONTRATO:</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highlight w:val="white"/>
          <w:u w:val="none"/>
          <w:vertAlign w:val="baseline"/>
        </w:rPr>
        <w:t>A presente aquisição não possui ações a serem tomadas pela Administração anterior à celebração do contrato.</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14 – PLANEJAMENTO E POSSÍVEIS IMPACTOS AMBIENTAIS:</w:t>
      </w:r>
    </w:p>
    <w:p>
      <w:pPr>
        <w:pStyle w:val="Normal"/>
        <w:keepNext w:val="false"/>
        <w:keepLines/>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F0F0F"/>
          <w:position w:val="0"/>
          <w:sz w:val="24"/>
          <w:sz w:val="24"/>
          <w:szCs w:val="24"/>
          <w:highlight w:val="white"/>
          <w:u w:val="none"/>
          <w:vertAlign w:val="baseline"/>
        </w:rPr>
        <w:t>Dada a natureza do objeto que se busca adquirir, não há impactos ambientais significativos. Portanto, é necessário apenas que a licitante cumpra os critérios estabelecidos pelos órgãos fiscalizadores e pela política de sustentabilidade ambiental.</w:t>
      </w: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highlight w:val="white"/>
          <w:u w:val="none"/>
          <w:vertAlign w:val="baseline"/>
        </w:rPr>
        <w:t xml:space="preserve"> </w:t>
      </w:r>
    </w:p>
    <w:p>
      <w:pPr>
        <w:pStyle w:val="Normal"/>
        <w:keepNext w:val="false"/>
        <w:keepLines w:val="false"/>
        <w:pageBreakBefore w:val="false"/>
        <w:widowControl/>
        <w:pBdr/>
        <w:shd w:val="clear" w:fill="auto"/>
        <w:spacing w:lineRule="auto" w:line="360" w:before="200" w:after="0"/>
        <w:ind w:left="0" w:right="0" w:hanging="0"/>
        <w:jc w:val="both"/>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bCs/>
          <w:i w:val="false"/>
          <w:iCs w:val="false"/>
          <w:caps w:val="false"/>
          <w:smallCaps w:val="false"/>
          <w:strike w:val="false"/>
          <w:dstrike w:val="false"/>
          <w:color w:val="00000A"/>
          <w:position w:val="0"/>
          <w:sz w:val="24"/>
          <w:sz w:val="24"/>
          <w:szCs w:val="24"/>
          <w:u w:val="none"/>
          <w:shd w:fill="auto" w:val="clear"/>
          <w:vertAlign w:val="baseline"/>
        </w:rPr>
        <w:t>15 - VIABILIDADE DA CONTRATAÇÃO:</w:t>
      </w:r>
    </w:p>
    <w:p>
      <w:pPr>
        <w:pStyle w:val="Normal"/>
        <w:keepNext w:val="false"/>
        <w:keepLines w:val="false"/>
        <w:pageBreakBefore w:val="false"/>
        <w:widowControl/>
        <w:pBdr/>
        <w:shd w:val="clear" w:fill="auto"/>
        <w:spacing w:lineRule="auto" w:line="360" w:before="20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highlight w:val="white"/>
          <w:u w:val="none"/>
          <w:vertAlign w:val="baseline"/>
        </w:rPr>
        <w:t>Esta servidora declara VIÁVEL esta contratação com base neste Estudo Técnico Preliminar. Atendendo ao Convênio firmado com o Governo Federal n° 962369/2024.</w:t>
      </w:r>
    </w:p>
    <w:p>
      <w:pPr>
        <w:pStyle w:val="Normal"/>
        <w:keepNext w:val="false"/>
        <w:keepLines w:val="false"/>
        <w:pageBreakBefore w:val="false"/>
        <w:widowControl/>
        <w:pBdr/>
        <w:shd w:val="clear" w:fill="auto"/>
        <w:spacing w:lineRule="auto" w:line="360" w:before="20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keepNext w:val="false"/>
        <w:keepLines w:val="false"/>
        <w:pageBreakBefore w:val="false"/>
        <w:widowControl/>
        <w:pBdr/>
        <w:shd w:val="clear" w:fill="auto"/>
        <w:spacing w:lineRule="auto" w:line="360" w:before="20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 xml:space="preserve">Annie Tays Costa Perrone </w:t>
      </w:r>
    </w:p>
    <w:p>
      <w:pPr>
        <w:pStyle w:val="Normal"/>
        <w:keepNext w:val="false"/>
        <w:keepLines w:val="false"/>
        <w:pageBreakBefore w:val="false"/>
        <w:widowControl/>
        <w:pBdr/>
        <w:shd w:val="clear" w:fill="auto"/>
        <w:spacing w:lineRule="auto" w:line="360" w:before="20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Matrícula: 122514</w:t>
      </w:r>
    </w:p>
    <w:p>
      <w:pPr>
        <w:pStyle w:val="Normal"/>
        <w:keepNext w:val="false"/>
        <w:keepLines w:val="false"/>
        <w:pageBreakBefore w:val="false"/>
        <w:widowControl/>
        <w:pBdr/>
        <w:shd w:val="clear" w:fill="auto"/>
        <w:spacing w:lineRule="auto" w:line="360" w:before="20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Responsável pela elaboração do Estudo Técnico Preliminar</w:t>
      </w:r>
    </w:p>
    <w:p>
      <w:pPr>
        <w:pStyle w:val="Normal"/>
        <w:keepNext w:val="false"/>
        <w:keepLines w:val="false"/>
        <w:pageBreakBefore w:val="false"/>
        <w:widowControl/>
        <w:pBdr/>
        <w:shd w:val="clear" w:fill="auto"/>
        <w:spacing w:lineRule="auto" w:line="360" w:before="200" w:after="0"/>
        <w:ind w:left="0" w:right="0" w:hanging="0"/>
        <w:jc w:val="left"/>
        <w:rPr/>
      </w:pP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Secretaria</w:t>
      </w:r>
      <w:r>
        <w:rPr>
          <w:rFonts w:eastAsia="Times New Roman" w:cs="Times New Roman" w:ascii="Times New Roman" w:hAnsi="Times New Roman"/>
          <w:b w:val="false"/>
          <w:bCs w:val="false"/>
          <w:i w:val="false"/>
          <w:iCs w:val="false"/>
          <w:caps w:val="false"/>
          <w:smallCaps w:val="false"/>
          <w:strike w:val="false"/>
          <w:dstrike w:val="false"/>
          <w:color w:val="ED1C24"/>
          <w:position w:val="0"/>
          <w:sz w:val="24"/>
          <w:sz w:val="24"/>
          <w:szCs w:val="24"/>
          <w:u w:val="none"/>
          <w:shd w:fill="auto" w:val="clear"/>
          <w:vertAlign w:val="baseline"/>
        </w:rPr>
        <w:t xml:space="preserve"> </w:t>
      </w:r>
      <w:r>
        <w:rPr>
          <w:rFonts w:eastAsia="Times New Roman" w:cs="Times New Roman" w:ascii="Times New Roman" w:hAnsi="Times New Roman"/>
          <w:b w:val="false"/>
          <w:bCs w:val="false"/>
          <w:i w:val="false"/>
          <w:iCs w:val="false"/>
          <w:caps w:val="false"/>
          <w:smallCaps w:val="false"/>
          <w:strike w:val="false"/>
          <w:dstrike w:val="false"/>
          <w:color w:val="00000A"/>
          <w:position w:val="0"/>
          <w:sz w:val="24"/>
          <w:sz w:val="24"/>
          <w:szCs w:val="24"/>
          <w:u w:val="none"/>
          <w:shd w:fill="auto" w:val="clear"/>
          <w:vertAlign w:val="baseline"/>
        </w:rPr>
        <w:t>Municipal de Saúde</w:t>
      </w:r>
    </w:p>
    <w:sectPr>
      <w:headerReference w:type="default" r:id="rId2"/>
      <w:footerReference w:type="default" r:id="rId3"/>
      <w:type w:val="nextPage"/>
      <w:pgSz w:w="11906" w:h="16838"/>
      <w:pgMar w:left="1701" w:right="1702" w:header="850" w:top="2041" w:footer="454" w:bottom="1474"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00"/>
    <w:family w:val="roman"/>
    <w:pitch w:val="variable"/>
  </w:font>
  <w:font w:name="OpenSymbol">
    <w:altName w:val="Arial Unicode MS"/>
    <w:charset w:val="00"/>
    <w:family w:val="roman"/>
    <w:pitch w:val="variable"/>
    <w:embedRegular r:id="rId14" w:fontKey="{0E014A78-CABC-4EF0-12AC-5CD89AEFDE0E}"/>
  </w:font>
  <w:font w:name="Liberation Sans">
    <w:altName w:val="Arial"/>
    <w:charset w:val="00"/>
    <w:family w:val="roman"/>
    <w:pitch w:val="variable"/>
  </w:font>
  <w:font w:name="Calibri">
    <w:charset w:val="00"/>
    <w:family w:val="roman"/>
    <w:pitch w:val="variable"/>
  </w:font>
  <w:font w:name="Georgia">
    <w:charset w:val="00"/>
    <w:family w:val="roman"/>
    <w:pitch w:val="variable"/>
    <w:embedRegular r:id="rId15" w:fontKey="{0F014A78-CABC-4EF0-12AC-5CD89AEFDE0F}"/>
    <w:embedBold r:id="rId16" w:fontKey="{10014A78-CABC-4EF0-12AC-5CD89AEFDE10}"/>
    <w:embedItalic r:id="rId17" w:fontKey="{11014A78-CABC-4EF0-12AC-5CD89AEFDE11}"/>
    <w:embedBoldItalic r:id="rId18" w:fontKey="{12014A78-CABC-4EF0-12AC-5CD89AEFDE12}"/>
  </w:font>
  <w:font w:name="Gungsuh">
    <w:charset w:val="00"/>
    <w:family w:val="roman"/>
    <w:pitch w:val="variable"/>
  </w:font>
  <w:font w:name="Wingdings">
    <w:charset w:val="02"/>
    <w:family w:val="auto"/>
    <w:pitch w:val="default"/>
    <w:embedRegular r:id="rId19" w:fontKey="{13014A78-CABC-4EF0-12AC-5CD89AEFDE13}"/>
  </w:font>
  <w:font w:name="OpenSymbol">
    <w:altName w:val="Arial Unicode MS"/>
    <w:charset w:val="01"/>
    <w:family w:val="auto"/>
    <w:pitch w:val="default"/>
    <w:embedRegular r:id="rId20" w:fontKey="{14014A78-CABC-4EF0-12AC-5CD89AEFDE14}"/>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pageBreakBefore w:val="false"/>
      <w:widowControl/>
      <w:pBdr/>
      <w:shd w:val="clear" w:fill="auto"/>
      <w:tabs>
        <w:tab w:val="center" w:pos="4252" w:leader="none"/>
        <w:tab w:val="right" w:pos="8504" w:leader="none"/>
      </w:tabs>
      <w:spacing w:lineRule="auto" w:line="240" w:before="0" w:after="0"/>
      <w:ind w:left="0" w:right="0" w:hanging="0"/>
      <w:jc w:val="right"/>
      <w:rPr/>
    </w:pPr>
    <w:r>
      <w:rPr/>
      <w:fldChar w:fldCharType="begin"/>
    </w:r>
    <w:r>
      <w:instrText> PAGE </w:instrText>
    </w:r>
    <w:r>
      <w:fldChar w:fldCharType="separate"/>
    </w:r>
    <w:r>
      <w:t>7</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pageBreakBefore w:val="false"/>
      <w:widowControl/>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Arial" w:cs="Arial"/>
        <w:b w:val="false"/>
        <w:bCs w:val="false"/>
        <w:i w:val="false"/>
        <w:iCs w:val="false"/>
        <w:caps w:val="false"/>
        <w:smallCaps w:val="false"/>
        <w:strike w:val="false"/>
        <w:dstrike w:val="false"/>
        <w:color w:val="00000A"/>
        <w:position w:val="0"/>
        <w:sz w:val="22"/>
        <w:sz w:val="22"/>
        <w:szCs w:val="22"/>
        <w:u w:val="none"/>
        <w:shd w:fill="auto" w:val="clear"/>
        <w:vertAlign w:val="baseline"/>
      </w:rPr>
    </w:r>
  </w:p>
  <w:tbl>
    <w:tblPr>
      <w:tblStyle w:val="Table4"/>
      <w:tblW w:w="6446" w:type="dxa"/>
      <w:jc w:val="left"/>
      <w:tblInd w:w="-15" w:type="dxa"/>
      <w:tblBorders/>
      <w:tblCellMar>
        <w:top w:w="0" w:type="dxa"/>
        <w:left w:w="108" w:type="dxa"/>
        <w:bottom w:w="0" w:type="dxa"/>
        <w:right w:w="108" w:type="dxa"/>
      </w:tblCellMar>
      <w:tblLook w:val="0000"/>
    </w:tblPr>
    <w:tblGrid>
      <w:gridCol w:w="928"/>
      <w:gridCol w:w="5517"/>
    </w:tblGrid>
    <w:tr>
      <w:trPr>
        <w:tblHeader w:val="true"/>
        <w:trHeight w:val="1324" w:hRule="atLeast"/>
      </w:trPr>
      <w:tc>
        <w:tcPr>
          <w:tcW w:w="928" w:type="dxa"/>
          <w:tcBorders/>
          <w:shd w:fill="auto" w:val="clear"/>
        </w:tcPr>
        <w:p>
          <w:pPr>
            <w:pStyle w:val="Normal"/>
            <w:keepNext w:val="false"/>
            <w:keepLines w:val="false"/>
            <w:widowControl/>
            <w:pBdr/>
            <w:shd w:val="clear" w:fill="auto"/>
            <w:spacing w:lineRule="auto" w:line="240" w:before="10" w:after="32"/>
            <w:ind w:left="0" w:right="0" w:hanging="0"/>
            <w:jc w:val="left"/>
            <w:rPr>
              <w:rFonts w:ascii="Liberation Serif" w:hAnsi="Liberation Serif" w:eastAsia="Liberation Serif" w:cs="Liberation Serif"/>
              <w:b w:val="false"/>
              <w:b w:val="false"/>
              <w:bCs w:val="false"/>
              <w:i w:val="false"/>
              <w:i w:val="false"/>
              <w:iCs w:val="false"/>
              <w:caps w:val="false"/>
              <w:smallCaps w:val="false"/>
              <w:strike w:val="false"/>
              <w:dstrike w:val="false"/>
              <w:color w:val="000000"/>
              <w:position w:val="0"/>
              <w:sz w:val="22"/>
              <w:sz w:val="24"/>
              <w:szCs w:val="24"/>
              <w:u w:val="none"/>
              <w:vertAlign w:val="baseline"/>
            </w:rPr>
          </w:pPr>
          <w:r>
            <w:rPr/>
            <w:drawing>
              <wp:inline distT="0" distB="0" distL="0" distR="0">
                <wp:extent cx="571500" cy="809625"/>
                <wp:effectExtent l="0" t="0" r="0" b="0"/>
                <wp:docPr id="1" name="image1.png" descr="Uma imagem contend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ma imagem contendo Logotipo&#10;&#10;Descrição gerada automaticamente"/>
                        <pic:cNvPicPr>
                          <a:picLocks noChangeAspect="1" noChangeArrowheads="1"/>
                        </pic:cNvPicPr>
                      </pic:nvPicPr>
                      <pic:blipFill>
                        <a:blip r:embed="rId1"/>
                        <a:stretch>
                          <a:fillRect/>
                        </a:stretch>
                      </pic:blipFill>
                      <pic:spPr bwMode="auto">
                        <a:xfrm>
                          <a:off x="0" y="0"/>
                          <a:ext cx="571500" cy="809625"/>
                        </a:xfrm>
                        <a:prstGeom prst="rect">
                          <a:avLst/>
                        </a:prstGeom>
                      </pic:spPr>
                    </pic:pic>
                  </a:graphicData>
                </a:graphic>
              </wp:inline>
            </w:drawing>
          </w:r>
        </w:p>
      </w:tc>
      <w:tc>
        <w:tcPr>
          <w:tcW w:w="5517" w:type="dxa"/>
          <w:tcBorders/>
          <w:shd w:fill="auto" w:val="clear"/>
        </w:tcPr>
        <w:p>
          <w:pPr>
            <w:pStyle w:val="Normal"/>
            <w:keepNext w:val="false"/>
            <w:keepLines w:val="false"/>
            <w:widowControl/>
            <w:pBdr/>
            <w:shd w:val="clear" w:fill="auto"/>
            <w:spacing w:lineRule="auto" w:line="240" w:before="0" w:after="0"/>
            <w:ind w:left="240" w:right="0" w:hanging="0"/>
            <w:jc w:val="left"/>
            <w:rPr>
              <w:rFonts w:ascii="Liberation Serif" w:hAnsi="Liberation Serif" w:eastAsia="Liberation Serif" w:cs="Liberation Serif"/>
              <w:b w:val="false"/>
              <w:b w:val="false"/>
              <w:bCs w:val="false"/>
              <w:i w:val="false"/>
              <w:i w:val="false"/>
              <w:iCs w:val="false"/>
              <w:caps w:val="false"/>
              <w:smallCaps w:val="false"/>
              <w:strike w:val="false"/>
              <w:dstrike w:val="false"/>
              <w:color w:val="000000"/>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8"/>
              <w:sz w:val="28"/>
              <w:szCs w:val="28"/>
              <w:u w:val="none"/>
              <w:shd w:fill="auto" w:val="clear"/>
              <w:vertAlign w:val="baseline"/>
            </w:rPr>
            <w:t>ESTADO DO RIO GRANDE DO SUL</w:t>
          </w:r>
        </w:p>
        <w:p>
          <w:pPr>
            <w:pStyle w:val="Normal"/>
            <w:keepNext w:val="false"/>
            <w:keepLines w:val="false"/>
            <w:widowControl/>
            <w:pBdr/>
            <w:shd w:val="clear" w:fill="auto"/>
            <w:spacing w:lineRule="auto" w:line="240" w:before="0" w:after="0"/>
            <w:ind w:left="240" w:right="0" w:hanging="0"/>
            <w:jc w:val="left"/>
            <w:rPr>
              <w:rFonts w:ascii="Liberation Serif" w:hAnsi="Liberation Serif" w:eastAsia="Liberation Serif" w:cs="Liberation Serif"/>
              <w:b w:val="false"/>
              <w:b w:val="false"/>
              <w:bCs w:val="false"/>
              <w:i w:val="false"/>
              <w:i w:val="false"/>
              <w:iCs w:val="false"/>
              <w:caps w:val="false"/>
              <w:smallCaps w:val="false"/>
              <w:strike w:val="false"/>
              <w:dstrike w:val="false"/>
              <w:color w:val="000000"/>
              <w:position w:val="0"/>
              <w:sz w:val="22"/>
              <w:sz w:val="24"/>
              <w:szCs w:val="24"/>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8"/>
              <w:sz w:val="28"/>
              <w:szCs w:val="28"/>
              <w:u w:val="none"/>
              <w:shd w:fill="auto" w:val="clear"/>
              <w:vertAlign w:val="baseline"/>
            </w:rPr>
            <w:t>MUNICÍPIO DE CANOAS</w:t>
          </w:r>
        </w:p>
        <w:p>
          <w:pPr>
            <w:pStyle w:val="Normal"/>
            <w:keepNext w:val="false"/>
            <w:keepLines w:val="false"/>
            <w:widowControl/>
            <w:pBdr/>
            <w:shd w:val="clear" w:fill="auto"/>
            <w:spacing w:lineRule="auto" w:line="240" w:before="0" w:after="0"/>
            <w:ind w:left="240" w:right="0" w:hanging="0"/>
            <w:jc w:val="left"/>
            <w:rPr>
              <w:rFonts w:ascii="Arial" w:hAnsi="Arial" w:eastAsia="Arial" w:cs="Arial"/>
              <w:b w:val="false"/>
              <w:b w:val="false"/>
              <w:bCs w:val="false"/>
              <w:i w:val="false"/>
              <w:i w:val="false"/>
              <w:iCs w:val="false"/>
              <w:caps w:val="false"/>
              <w:smallCaps w:val="false"/>
              <w:strike w:val="false"/>
              <w:dstrike w:val="false"/>
              <w:color w:val="00000A"/>
              <w:position w:val="0"/>
              <w:sz w:val="22"/>
              <w:sz w:val="22"/>
              <w:szCs w:val="22"/>
              <w:u w:val="none"/>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28"/>
              <w:sz w:val="28"/>
              <w:szCs w:val="28"/>
              <w:u w:val="none"/>
              <w:shd w:fill="auto" w:val="clear"/>
              <w:vertAlign w:val="baseline"/>
            </w:rPr>
            <w:t>Secretaria Municipal de Saúde</w:t>
          </w:r>
        </w:p>
        <w:p>
          <w:pPr>
            <w:pStyle w:val="Normal"/>
            <w:keepNext w:val="false"/>
            <w:keepLines w:val="false"/>
            <w:widowControl/>
            <w:pBdr/>
            <w:shd w:val="clear" w:fill="auto"/>
            <w:spacing w:lineRule="auto" w:line="240" w:before="0" w:after="0"/>
            <w:ind w:left="0" w:right="0" w:hanging="0"/>
            <w:jc w:val="left"/>
            <w:rPr>
              <w:rFonts w:ascii="Times New Roman" w:hAnsi="Times New Roman" w:eastAsia="Times New Roman" w:cs="Times New Roman"/>
              <w:b/>
              <w:b/>
              <w:bCs/>
              <w:i w:val="false"/>
              <w:i w:val="false"/>
              <w:iCs w:val="false"/>
              <w:caps w:val="false"/>
              <w:smallCaps w:val="false"/>
              <w:strike w:val="false"/>
              <w:dstrike w:val="false"/>
              <w:color w:val="000000"/>
              <w:position w:val="0"/>
              <w:sz w:val="28"/>
              <w:sz w:val="28"/>
              <w:szCs w:val="28"/>
              <w:u w:val="none"/>
              <w:vertAlign w:val="baseline"/>
            </w:rPr>
          </w:pPr>
          <w:r>
            <w:rPr>
              <w:rFonts w:eastAsia="Times New Roman" w:cs="Times New Roman" w:ascii="Times New Roman" w:hAnsi="Times New Roman"/>
              <w:b/>
              <w:bCs/>
              <w:i w:val="false"/>
              <w:iCs w:val="false"/>
              <w:caps w:val="false"/>
              <w:smallCaps w:val="false"/>
              <w:strike w:val="false"/>
              <w:dstrike w:val="false"/>
              <w:color w:val="000000"/>
              <w:position w:val="0"/>
              <w:sz w:val="28"/>
              <w:sz w:val="28"/>
              <w:szCs w:val="28"/>
              <w:u w:val="none"/>
              <w:shd w:fill="auto" w:val="clear"/>
              <w:vertAlign w:val="baseline"/>
            </w:rPr>
          </w:r>
        </w:p>
      </w:tc>
    </w:tr>
  </w:tbl>
  <w:p>
    <w:pPr>
      <w:pStyle w:val="Normal"/>
      <w:keepNext w:val="false"/>
      <w:keepLines/>
      <w:pageBreakBefore w:val="false"/>
      <w:widowControl/>
      <w:pBdr/>
      <w:shd w:val="clear" w:fill="auto"/>
      <w:tabs>
        <w:tab w:val="center" w:pos="4320" w:leader="none"/>
        <w:tab w:val="right" w:pos="8640" w:leader="none"/>
      </w:tabs>
      <w:spacing w:lineRule="auto" w:line="240" w:before="0" w:after="0"/>
      <w:ind w:left="0" w:right="0" w:hanging="0"/>
      <w:jc w:val="right"/>
      <w:rPr>
        <w:rFonts w:ascii="Arial" w:hAnsi="Arial" w:eastAsia="Arial" w:cs="Arial"/>
        <w:b w:val="false"/>
        <w:b w:val="false"/>
        <w:bCs w:val="false"/>
        <w:i w:val="false"/>
        <w:i w:val="false"/>
        <w:iCs w:val="false"/>
        <w:caps w:val="false"/>
        <w:smallCaps w:val="false"/>
        <w:strike w:val="false"/>
        <w:dstrike w:val="false"/>
        <w:color w:val="00000A"/>
        <w:position w:val="0"/>
        <w:sz w:val="24"/>
        <w:sz w:val="24"/>
        <w:szCs w:val="24"/>
        <w:highlight w:val="red"/>
        <w:u w:val="none"/>
        <w:vertAlign w:val="baseline"/>
      </w:rPr>
    </w:pPr>
    <w:r>
      <w:rPr>
        <w:rFonts w:eastAsia="Arial" w:cs="Arial"/>
        <w:b w:val="false"/>
        <w:bCs w:val="false"/>
        <w:i w:val="false"/>
        <w:iCs w:val="false"/>
        <w:caps w:val="false"/>
        <w:smallCaps w:val="false"/>
        <w:strike w:val="false"/>
        <w:dstrike w:val="false"/>
        <w:color w:val="00000A"/>
        <w:position w:val="0"/>
        <w:sz w:val="24"/>
        <w:sz w:val="24"/>
        <w:szCs w:val="24"/>
        <w:highlight w:val="red"/>
        <w:u w:val="none"/>
        <w:vertAlign w:val="baseline"/>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l"/>
      <w:lvlJc w:val="left"/>
      <w:pPr>
        <w:ind w:left="707" w:hanging="282"/>
      </w:pPr>
      <w:rPr>
        <w:rFonts w:ascii="Wingdings" w:hAnsi="Wingdings" w:cs="Wingdings" w:hint="default"/>
        <w:sz w:val="24"/>
        <w:b w:val="false"/>
        <w:szCs w:val="24"/>
      </w:rPr>
    </w:lvl>
    <w:lvl w:ilvl="1">
      <w:start w:val="1"/>
      <w:numFmt w:val="bullet"/>
      <w:lvlText w:val="l"/>
      <w:lvlJc w:val="left"/>
      <w:pPr>
        <w:ind w:left="1414" w:hanging="283"/>
      </w:pPr>
      <w:rPr>
        <w:rFonts w:ascii="Wingdings" w:hAnsi="Wingdings" w:cs="Wingdings" w:hint="default"/>
      </w:rPr>
    </w:lvl>
    <w:lvl w:ilvl="2">
      <w:start w:val="1"/>
      <w:numFmt w:val="bullet"/>
      <w:lvlText w:val="l"/>
      <w:lvlJc w:val="left"/>
      <w:pPr>
        <w:ind w:left="2121" w:hanging="283"/>
      </w:pPr>
      <w:rPr>
        <w:rFonts w:ascii="Wingdings" w:hAnsi="Wingdings" w:cs="Wingdings" w:hint="default"/>
      </w:rPr>
    </w:lvl>
    <w:lvl w:ilvl="3">
      <w:start w:val="1"/>
      <w:numFmt w:val="bullet"/>
      <w:lvlText w:val="l"/>
      <w:lvlJc w:val="left"/>
      <w:pPr>
        <w:ind w:left="2828" w:hanging="283"/>
      </w:pPr>
      <w:rPr>
        <w:rFonts w:ascii="Wingdings" w:hAnsi="Wingdings" w:cs="Wingdings" w:hint="default"/>
      </w:rPr>
    </w:lvl>
    <w:lvl w:ilvl="4">
      <w:start w:val="1"/>
      <w:numFmt w:val="bullet"/>
      <w:lvlText w:val="l"/>
      <w:lvlJc w:val="left"/>
      <w:pPr>
        <w:ind w:left="3535" w:hanging="283"/>
      </w:pPr>
      <w:rPr>
        <w:rFonts w:ascii="Wingdings" w:hAnsi="Wingdings" w:cs="Wingdings" w:hint="default"/>
      </w:rPr>
    </w:lvl>
    <w:lvl w:ilvl="5">
      <w:start w:val="1"/>
      <w:numFmt w:val="bullet"/>
      <w:lvlText w:val="l"/>
      <w:lvlJc w:val="left"/>
      <w:pPr>
        <w:ind w:left="4242" w:hanging="283"/>
      </w:pPr>
      <w:rPr>
        <w:rFonts w:ascii="Wingdings" w:hAnsi="Wingdings" w:cs="Wingdings" w:hint="default"/>
      </w:rPr>
    </w:lvl>
    <w:lvl w:ilvl="6">
      <w:start w:val="1"/>
      <w:numFmt w:val="bullet"/>
      <w:lvlText w:val="l"/>
      <w:lvlJc w:val="left"/>
      <w:pPr>
        <w:ind w:left="4949" w:hanging="283"/>
      </w:pPr>
      <w:rPr>
        <w:rFonts w:ascii="Wingdings" w:hAnsi="Wingdings" w:cs="Wingdings" w:hint="default"/>
      </w:rPr>
    </w:lvl>
    <w:lvl w:ilvl="7">
      <w:start w:val="1"/>
      <w:numFmt w:val="bullet"/>
      <w:lvlText w:val="l"/>
      <w:lvlJc w:val="left"/>
      <w:pPr>
        <w:ind w:left="5656" w:hanging="282"/>
      </w:pPr>
      <w:rPr>
        <w:rFonts w:ascii="Wingdings" w:hAnsi="Wingdings" w:cs="Wingdings" w:hint="default"/>
      </w:rPr>
    </w:lvl>
    <w:lvl w:ilvl="8">
      <w:start w:val="1"/>
      <w:numFmt w:val="bullet"/>
      <w:lvlText w:val="l"/>
      <w:lvlJc w:val="left"/>
      <w:pPr>
        <w:ind w:left="6363" w:hanging="283"/>
      </w:pPr>
      <w:rPr>
        <w:rFonts w:ascii="Wingdings" w:hAnsi="Wingdings" w:cs="Wingdings" w:hint="default"/>
      </w:rPr>
    </w:lvl>
  </w:abstractNum>
  <w:abstractNum w:abstractNumId="2">
    <w:lvl w:ilvl="0">
      <w:start w:val="1"/>
      <w:numFmt w:val="bullet"/>
      <w:lvlText w:val="l"/>
      <w:lvlJc w:val="left"/>
      <w:pPr>
        <w:ind w:left="720" w:hanging="360"/>
      </w:pPr>
      <w:rPr>
        <w:rFonts w:ascii="Wingdings" w:hAnsi="Wingdings" w:cs="Wingdings" w:hint="default"/>
        <w:sz w:val="22"/>
        <w:b w:val="false"/>
        <w:bCs w:val="false"/>
      </w:rPr>
    </w:lvl>
    <w:lvl w:ilvl="1">
      <w:start w:val="1"/>
      <w:numFmt w:val="bullet"/>
      <w:lvlText w:val="◦"/>
      <w:lvlJc w:val="left"/>
      <w:pPr>
        <w:ind w:left="1080" w:hanging="360"/>
      </w:pPr>
      <w:rPr>
        <w:rFonts w:ascii="OpenSymbol" w:hAnsi="OpenSymbol" w:cs="OpenSymbol" w:hint="default"/>
      </w:rPr>
    </w:lvl>
    <w:lvl w:ilvl="2">
      <w:start w:val="1"/>
      <w:numFmt w:val="bullet"/>
      <w:lvlText w:val="▪"/>
      <w:lvlJc w:val="left"/>
      <w:pPr>
        <w:ind w:left="1440" w:hanging="360"/>
      </w:pPr>
      <w:rPr>
        <w:rFonts w:ascii="OpenSymbol" w:hAnsi="OpenSymbol" w:cs="OpenSymbol" w:hint="default"/>
      </w:rPr>
    </w:lvl>
    <w:lvl w:ilvl="3">
      <w:start w:val="1"/>
      <w:numFmt w:val="bullet"/>
      <w:lvlText w:val="l"/>
      <w:lvlJc w:val="left"/>
      <w:pPr>
        <w:ind w:left="1800" w:hanging="360"/>
      </w:pPr>
      <w:rPr>
        <w:rFonts w:ascii="Wingdings" w:hAnsi="Wingdings" w:cs="Wingdings" w:hint="default"/>
      </w:rPr>
    </w:lvl>
    <w:lvl w:ilvl="4">
      <w:start w:val="1"/>
      <w:numFmt w:val="bullet"/>
      <w:lvlText w:val="◦"/>
      <w:lvlJc w:val="left"/>
      <w:pPr>
        <w:ind w:left="2160" w:hanging="360"/>
      </w:pPr>
      <w:rPr>
        <w:rFonts w:ascii="OpenSymbol" w:hAnsi="OpenSymbol" w:cs="OpenSymbol" w:hint="default"/>
      </w:rPr>
    </w:lvl>
    <w:lvl w:ilvl="5">
      <w:start w:val="1"/>
      <w:numFmt w:val="bullet"/>
      <w:lvlText w:val="▪"/>
      <w:lvlJc w:val="left"/>
      <w:pPr>
        <w:ind w:left="2520" w:hanging="360"/>
      </w:pPr>
      <w:rPr>
        <w:rFonts w:ascii="OpenSymbol" w:hAnsi="OpenSymbol" w:cs="OpenSymbol" w:hint="default"/>
      </w:rPr>
    </w:lvl>
    <w:lvl w:ilvl="6">
      <w:start w:val="1"/>
      <w:numFmt w:val="bullet"/>
      <w:lvlText w:val="l"/>
      <w:lvlJc w:val="left"/>
      <w:pPr>
        <w:ind w:left="2880" w:hanging="360"/>
      </w:pPr>
      <w:rPr>
        <w:rFonts w:ascii="Wingdings" w:hAnsi="Wingdings" w:cs="Wingdings" w:hint="default"/>
      </w:rPr>
    </w:lvl>
    <w:lvl w:ilvl="7">
      <w:start w:val="1"/>
      <w:numFmt w:val="bullet"/>
      <w:lvlText w:val="◦"/>
      <w:lvlJc w:val="left"/>
      <w:pPr>
        <w:ind w:left="3240" w:hanging="360"/>
      </w:pPr>
      <w:rPr>
        <w:rFonts w:ascii="OpenSymbol" w:hAnsi="OpenSymbol" w:cs="OpenSymbol" w:hint="default"/>
      </w:rPr>
    </w:lvl>
    <w:lvl w:ilvl="8">
      <w:start w:val="1"/>
      <w:numFmt w:val="bullet"/>
      <w:lvlText w:val="▪"/>
      <w:lvlJc w:val="left"/>
      <w:pPr>
        <w:ind w:left="3600" w:hanging="360"/>
      </w:pPr>
      <w:rPr>
        <w:rFonts w:ascii="OpenSymbol" w:hAnsi="OpenSymbol" w:cs="OpenSymbol"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TrueTypeFonts/>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A"/>
        <w:sz w:val="22"/>
        <w:szCs w:val="22"/>
        <w:lang w:val="en-US" w:eastAsia="zh-CN" w:bidi="hi-IN"/>
      </w:rPr>
    </w:rPrDefault>
    <w:pPrDefault>
      <w:pPr/>
    </w:pPrDefault>
  </w:docDefaults>
  <w:style w:type="paragraph" w:styleId="Normal">
    <w:name w:val="Normal"/>
    <w:qFormat/>
    <w:pPr>
      <w:widowControl w:val="false"/>
    </w:pPr>
    <w:rPr>
      <w:rFonts w:ascii="Arial" w:hAnsi="Arial" w:eastAsia="Arial" w:cs="Arial"/>
      <w:color w:val="00000A"/>
      <w:kern w:val="0"/>
      <w:sz w:val="22"/>
      <w:szCs w:val="22"/>
      <w:lang w:val="en-US" w:eastAsia="zh-CN" w:bidi="hi-IN"/>
    </w:rPr>
  </w:style>
  <w:style w:type="paragraph" w:styleId="Ttulo1">
    <w:name w:val="Heading 1"/>
    <w:basedOn w:val="Normal1"/>
    <w:next w:val="Normal"/>
    <w:qFormat/>
    <w:pPr>
      <w:keepNext w:val="true"/>
      <w:keepLines/>
      <w:pageBreakBefore w:val="false"/>
      <w:widowControl w:val="false"/>
      <w:pBdr/>
      <w:shd w:val="clear" w:fill="auto"/>
      <w:spacing w:lineRule="auto" w:line="240" w:before="480" w:after="120"/>
      <w:ind w:left="0" w:right="0" w:hanging="0"/>
      <w:jc w:val="left"/>
    </w:pPr>
    <w:rPr>
      <w:rFonts w:ascii="Arial" w:hAnsi="Arial" w:eastAsia="Arial" w:cs="Arial"/>
      <w:b/>
      <w:bCs/>
      <w:i w:val="false"/>
      <w:iCs w:val="false"/>
      <w:caps w:val="false"/>
      <w:smallCaps w:val="false"/>
      <w:strike w:val="false"/>
      <w:dstrike w:val="false"/>
      <w:color w:val="00000A"/>
      <w:position w:val="0"/>
      <w:sz w:val="48"/>
      <w:sz w:val="48"/>
      <w:szCs w:val="48"/>
      <w:u w:val="none"/>
      <w:shd w:fill="auto" w:val="clear"/>
      <w:vertAlign w:val="baseline"/>
    </w:rPr>
  </w:style>
  <w:style w:type="paragraph" w:styleId="Ttulo2">
    <w:name w:val="Heading 2"/>
    <w:basedOn w:val="Normal1"/>
    <w:next w:val="Normal"/>
    <w:qFormat/>
    <w:pPr>
      <w:keepNext w:val="true"/>
      <w:keepLines/>
      <w:pageBreakBefore w:val="false"/>
      <w:widowControl w:val="false"/>
      <w:pBdr/>
      <w:shd w:val="clear" w:fill="auto"/>
      <w:spacing w:lineRule="auto" w:line="240" w:before="360" w:after="80"/>
      <w:ind w:left="0" w:right="0" w:hanging="0"/>
      <w:jc w:val="left"/>
    </w:pPr>
    <w:rPr>
      <w:rFonts w:ascii="Arial" w:hAnsi="Arial" w:eastAsia="Arial" w:cs="Arial"/>
      <w:b/>
      <w:bCs/>
      <w:i w:val="false"/>
      <w:iCs w:val="false"/>
      <w:caps w:val="false"/>
      <w:smallCaps w:val="false"/>
      <w:strike w:val="false"/>
      <w:dstrike w:val="false"/>
      <w:color w:val="00000A"/>
      <w:position w:val="0"/>
      <w:sz w:val="36"/>
      <w:sz w:val="36"/>
      <w:szCs w:val="36"/>
      <w:u w:val="none"/>
      <w:shd w:fill="auto" w:val="clear"/>
      <w:vertAlign w:val="baseline"/>
    </w:rPr>
  </w:style>
  <w:style w:type="paragraph" w:styleId="Ttulo3">
    <w:name w:val="Heading 3"/>
    <w:basedOn w:val="Normal1"/>
    <w:next w:val="Normal"/>
    <w:qFormat/>
    <w:pPr>
      <w:keepNext w:val="true"/>
      <w:keepLines/>
      <w:pageBreakBefore w:val="false"/>
      <w:widowControl w:val="false"/>
      <w:pBdr/>
      <w:shd w:val="clear" w:fill="auto"/>
      <w:spacing w:lineRule="auto" w:line="240" w:before="280" w:after="80"/>
      <w:ind w:left="0" w:right="0" w:hanging="0"/>
      <w:jc w:val="left"/>
    </w:pPr>
    <w:rPr>
      <w:rFonts w:ascii="Arial" w:hAnsi="Arial" w:eastAsia="Arial" w:cs="Arial"/>
      <w:b/>
      <w:bCs/>
      <w:i w:val="false"/>
      <w:iCs w:val="false"/>
      <w:caps w:val="false"/>
      <w:smallCaps w:val="false"/>
      <w:strike w:val="false"/>
      <w:dstrike w:val="false"/>
      <w:color w:val="00000A"/>
      <w:position w:val="0"/>
      <w:sz w:val="28"/>
      <w:sz w:val="28"/>
      <w:szCs w:val="28"/>
      <w:u w:val="none"/>
      <w:shd w:fill="auto" w:val="clear"/>
      <w:vertAlign w:val="baseline"/>
    </w:rPr>
  </w:style>
  <w:style w:type="paragraph" w:styleId="Ttulo4">
    <w:name w:val="Heading 4"/>
    <w:basedOn w:val="Normal1"/>
    <w:next w:val="Normal"/>
    <w:qFormat/>
    <w:pPr>
      <w:keepNext w:val="true"/>
      <w:keepLines/>
      <w:pageBreakBefore w:val="false"/>
      <w:widowControl w:val="false"/>
      <w:pBdr/>
      <w:shd w:val="clear" w:fill="auto"/>
      <w:spacing w:lineRule="auto" w:line="240" w:before="240" w:after="40"/>
      <w:ind w:left="0" w:right="0" w:hanging="0"/>
      <w:jc w:val="left"/>
    </w:pPr>
    <w:rPr>
      <w:rFonts w:ascii="Arial" w:hAnsi="Arial" w:eastAsia="Arial" w:cs="Arial"/>
      <w:b/>
      <w:bCs/>
      <w:i w:val="false"/>
      <w:iCs w:val="false"/>
      <w:caps w:val="false"/>
      <w:smallCaps w:val="false"/>
      <w:strike w:val="false"/>
      <w:dstrike w:val="false"/>
      <w:color w:val="00000A"/>
      <w:position w:val="0"/>
      <w:sz w:val="24"/>
      <w:sz w:val="24"/>
      <w:szCs w:val="24"/>
      <w:u w:val="none"/>
      <w:shd w:fill="auto" w:val="clear"/>
      <w:vertAlign w:val="baseline"/>
    </w:rPr>
  </w:style>
  <w:style w:type="paragraph" w:styleId="Ttulo5">
    <w:name w:val="Heading 5"/>
    <w:basedOn w:val="Normal1"/>
    <w:next w:val="Normal"/>
    <w:qFormat/>
    <w:pPr>
      <w:keepNext w:val="true"/>
      <w:keepLines/>
      <w:pageBreakBefore w:val="false"/>
      <w:widowControl w:val="false"/>
      <w:pBdr/>
      <w:shd w:val="clear" w:fill="auto"/>
      <w:spacing w:lineRule="auto" w:line="240" w:before="220" w:after="40"/>
      <w:ind w:left="0" w:right="0" w:hanging="0"/>
      <w:jc w:val="left"/>
    </w:pPr>
    <w:rPr>
      <w:rFonts w:ascii="Arial" w:hAnsi="Arial" w:eastAsia="Arial" w:cs="Arial"/>
      <w:b/>
      <w:bCs/>
      <w:i w:val="false"/>
      <w:iCs w:val="false"/>
      <w:caps w:val="false"/>
      <w:smallCaps w:val="false"/>
      <w:strike w:val="false"/>
      <w:dstrike w:val="false"/>
      <w:color w:val="00000A"/>
      <w:position w:val="0"/>
      <w:sz w:val="22"/>
      <w:sz w:val="22"/>
      <w:szCs w:val="22"/>
      <w:u w:val="none"/>
      <w:shd w:fill="auto" w:val="clear"/>
      <w:vertAlign w:val="baseline"/>
    </w:rPr>
  </w:style>
  <w:style w:type="paragraph" w:styleId="Ttulo6">
    <w:name w:val="Heading 6"/>
    <w:basedOn w:val="Normal1"/>
    <w:next w:val="Normal"/>
    <w:qFormat/>
    <w:pPr>
      <w:keepNext w:val="true"/>
      <w:keepLines/>
      <w:pageBreakBefore w:val="false"/>
      <w:widowControl w:val="false"/>
      <w:pBdr/>
      <w:shd w:val="clear" w:fill="auto"/>
      <w:spacing w:lineRule="auto" w:line="240" w:before="200" w:after="40"/>
      <w:ind w:left="0" w:right="0" w:hanging="0"/>
      <w:jc w:val="left"/>
    </w:pPr>
    <w:rPr>
      <w:rFonts w:ascii="Arial" w:hAnsi="Arial" w:eastAsia="Arial" w:cs="Arial"/>
      <w:b/>
      <w:bCs/>
      <w:i w:val="false"/>
      <w:iCs w:val="false"/>
      <w:caps w:val="false"/>
      <w:smallCaps w:val="false"/>
      <w:strike w:val="false"/>
      <w:dstrike w:val="false"/>
      <w:color w:val="00000A"/>
      <w:position w:val="0"/>
      <w:sz w:val="20"/>
      <w:sz w:val="20"/>
      <w:szCs w:val="20"/>
      <w:u w:val="none"/>
      <w:shd w:fill="auto" w:val="clear"/>
      <w:vertAlign w:val="baseline"/>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CabealhoChar" w:customStyle="1">
    <w:name w:val="Cabeçalho Char"/>
    <w:basedOn w:val="DefaultParagraphFont"/>
    <w:link w:val="Cabealho"/>
    <w:uiPriority w:val="99"/>
    <w:qFormat/>
    <w:rsid w:val="004f0a4d"/>
    <w:rPr/>
  </w:style>
  <w:style w:type="character" w:styleId="RodapChar" w:customStyle="1">
    <w:name w:val="Rodapé Char"/>
    <w:basedOn w:val="DefaultParagraphFont"/>
    <w:link w:val="Rodap"/>
    <w:uiPriority w:val="99"/>
    <w:qFormat/>
    <w:rsid w:val="004f0a4d"/>
    <w:rPr/>
  </w:style>
  <w:style w:type="character" w:styleId="Strong">
    <w:name w:val="Strong"/>
    <w:basedOn w:val="DefaultParagraphFont"/>
    <w:uiPriority w:val="22"/>
    <w:qFormat/>
    <w:rsid w:val="00ef2fe8"/>
    <w:rPr>
      <w:b/>
      <w:bCs/>
    </w:rPr>
  </w:style>
  <w:style w:type="character" w:styleId="Nfase">
    <w:name w:val="Ênfase"/>
    <w:basedOn w:val="DefaultParagraphFont"/>
    <w:uiPriority w:val="20"/>
    <w:qFormat/>
    <w:rsid w:val="009e7df2"/>
    <w:rPr>
      <w:i/>
      <w:iCs/>
    </w:rPr>
  </w:style>
  <w:style w:type="character" w:styleId="LinkdaInternet">
    <w:name w:val="Link da Internet"/>
    <w:basedOn w:val="DefaultParagraphFont"/>
    <w:uiPriority w:val="99"/>
    <w:semiHidden/>
    <w:unhideWhenUsed/>
    <w:rsid w:val="00394aba"/>
    <w:rPr>
      <w:color w:val="0000FF"/>
      <w:u w:val="single"/>
    </w:rPr>
  </w:style>
  <w:style w:type="character" w:styleId="Nfaseforte">
    <w:name w:val="Ênfase forte"/>
    <w:qFormat/>
    <w:rPr>
      <w:b/>
      <w:bCs/>
    </w:rPr>
  </w:style>
  <w:style w:type="character" w:styleId="Marcas">
    <w:name w:val="Marcas"/>
    <w:qFormat/>
    <w:rPr>
      <w:rFonts w:ascii="OpenSymbol" w:hAnsi="OpenSymbol" w:eastAsia="OpenSymbol" w:cs="OpenSymbol"/>
    </w:rPr>
  </w:style>
  <w:style w:type="character" w:styleId="ListLabel1">
    <w:name w:val="ListLabel 1"/>
    <w:qFormat/>
    <w:rPr>
      <w:rFonts w:ascii="Times New Roman" w:hAnsi="Times New Roman" w:cs="OpenSymbol"/>
      <w:sz w:val="24"/>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Times New Roman" w:hAnsi="Times New Roman" w:cs="OpenSymbol"/>
      <w:sz w:val="24"/>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b w:val="false"/>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Times New Roman" w:hAnsi="Times New Roman" w:cs="OpenSymbol"/>
      <w:sz w:val="24"/>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b w:val="false"/>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ascii="Times New Roman" w:hAnsi="Times New Roman"/>
      <w:b w:val="false"/>
      <w:sz w:val="24"/>
      <w:szCs w:val="24"/>
    </w:rPr>
  </w:style>
  <w:style w:type="character" w:styleId="ListLabel47">
    <w:name w:val="ListLabel 47"/>
    <w:qFormat/>
    <w:rPr>
      <w:rFonts w:ascii="Arial" w:hAnsi="Arial"/>
      <w:b w:val="false"/>
      <w:bCs w:val="false"/>
      <w:sz w:val="22"/>
    </w:rPr>
  </w:style>
  <w:style w:type="paragraph" w:styleId="Ttulo">
    <w:name w:val="Título"/>
    <w:basedOn w:val="Normal1"/>
    <w:next w:val="Corpodetexto"/>
    <w:qFormat/>
    <w:pPr>
      <w:keepNext w:val="true"/>
      <w:spacing w:before="240" w:after="120"/>
    </w:pPr>
    <w:rPr>
      <w:rFonts w:ascii="Liberation Sans" w:hAnsi="Liberation Sans" w:eastAsia="Microsoft YaHei" w:cs="Arial"/>
      <w:sz w:val="28"/>
      <w:szCs w:val="28"/>
    </w:rPr>
  </w:style>
  <w:style w:type="paragraph" w:styleId="Corpodetexto">
    <w:name w:val="Body Text"/>
    <w:basedOn w:val="Normal1"/>
    <w:pPr>
      <w:spacing w:lineRule="auto" w:line="288" w:before="0" w:after="140"/>
    </w:pPr>
    <w:rPr/>
  </w:style>
  <w:style w:type="paragraph" w:styleId="Lista">
    <w:name w:val="List"/>
    <w:basedOn w:val="Corpodetexto"/>
    <w:pPr/>
    <w:rPr>
      <w:rFonts w:cs="Arial"/>
    </w:rPr>
  </w:style>
  <w:style w:type="paragraph" w:styleId="Legenda">
    <w:name w:val="Caption"/>
    <w:basedOn w:val="Normal1"/>
    <w:qFormat/>
    <w:pPr>
      <w:suppressLineNumbers/>
      <w:spacing w:before="120" w:after="120"/>
    </w:pPr>
    <w:rPr>
      <w:rFonts w:cs="Arial"/>
      <w:i/>
      <w:iCs/>
      <w:sz w:val="24"/>
      <w:szCs w:val="24"/>
    </w:rPr>
  </w:style>
  <w:style w:type="paragraph" w:styleId="Ndice">
    <w:name w:val="Índice"/>
    <w:basedOn w:val="Normal1"/>
    <w:qFormat/>
    <w:pPr>
      <w:suppressLineNumbers/>
    </w:pPr>
    <w:rPr>
      <w:rFonts w:cs="Arial"/>
    </w:rPr>
  </w:style>
  <w:style w:type="paragraph" w:styleId="Normal1" w:default="1">
    <w:name w:val="LO-normal3"/>
    <w:qFormat/>
    <w:pPr>
      <w:widowControl/>
      <w:bidi w:val="0"/>
      <w:jc w:val="left"/>
    </w:pPr>
    <w:rPr>
      <w:rFonts w:ascii="Arial" w:hAnsi="Arial" w:eastAsia="Arial" w:cs="Arial"/>
      <w:color w:val="00000A"/>
      <w:kern w:val="0"/>
      <w:sz w:val="22"/>
      <w:szCs w:val="22"/>
      <w:lang w:val="en-US" w:eastAsia="zh-CN" w:bidi="hi-IN"/>
    </w:rPr>
  </w:style>
  <w:style w:type="paragraph" w:styleId="Ttulododocumento">
    <w:name w:val="Title"/>
    <w:basedOn w:val="Normal1"/>
    <w:next w:val="Normal"/>
    <w:qFormat/>
    <w:pPr>
      <w:keepNext w:val="true"/>
      <w:spacing w:lineRule="auto" w:line="240" w:before="480" w:after="120"/>
    </w:pPr>
    <w:rPr>
      <w:b/>
      <w:bCs/>
      <w:sz w:val="72"/>
      <w:szCs w:val="72"/>
    </w:rPr>
  </w:style>
  <w:style w:type="paragraph" w:styleId="LOnormal" w:default="1">
    <w:name w:val="LO-normal"/>
    <w:qFormat/>
    <w:pPr>
      <w:widowControl/>
      <w:bidi w:val="0"/>
      <w:jc w:val="left"/>
    </w:pPr>
    <w:rPr>
      <w:rFonts w:ascii="Arial" w:hAnsi="Arial" w:eastAsia="Arial" w:cs="Arial"/>
      <w:color w:val="00000A"/>
      <w:kern w:val="0"/>
      <w:sz w:val="22"/>
      <w:szCs w:val="22"/>
      <w:lang w:val="pt-BR" w:eastAsia="zh-CN" w:bidi="hi-IN"/>
    </w:rPr>
  </w:style>
  <w:style w:type="paragraph" w:styleId="Annotationtext">
    <w:name w:val="annotation text"/>
    <w:basedOn w:val="LOnormal"/>
    <w:link w:val="TextodecomentrioChar"/>
    <w:uiPriority w:val="99"/>
    <w:semiHidden/>
    <w:unhideWhenUsed/>
    <w:qFormat/>
    <w:pPr/>
    <w:rPr>
      <w:sz w:val="20"/>
      <w:szCs w:val="20"/>
    </w:rPr>
  </w:style>
  <w:style w:type="paragraph" w:styleId="Cabealho">
    <w:name w:val="Header"/>
    <w:basedOn w:val="LOnormal"/>
    <w:link w:val="CabealhoChar"/>
    <w:uiPriority w:val="99"/>
    <w:unhideWhenUsed/>
    <w:rsid w:val="004f0a4d"/>
    <w:pPr>
      <w:tabs>
        <w:tab w:val="center" w:pos="4252" w:leader="none"/>
        <w:tab w:val="right" w:pos="8504" w:leader="none"/>
      </w:tabs>
    </w:pPr>
    <w:rPr/>
  </w:style>
  <w:style w:type="paragraph" w:styleId="Rodap">
    <w:name w:val="Footer"/>
    <w:basedOn w:val="LOnormal"/>
    <w:link w:val="RodapChar"/>
    <w:uiPriority w:val="99"/>
    <w:unhideWhenUsed/>
    <w:rsid w:val="004f0a4d"/>
    <w:pPr>
      <w:tabs>
        <w:tab w:val="center" w:pos="4252" w:leader="none"/>
        <w:tab w:val="right" w:pos="8504" w:leader="none"/>
      </w:tabs>
    </w:pPr>
    <w:rPr/>
  </w:style>
  <w:style w:type="paragraph" w:styleId="ListParagraph">
    <w:name w:val="List Paragraph"/>
    <w:basedOn w:val="LOnormal"/>
    <w:uiPriority w:val="34"/>
    <w:qFormat/>
    <w:rsid w:val="004f0a4d"/>
    <w:pPr>
      <w:spacing w:before="0" w:after="0"/>
      <w:ind w:left="720" w:hanging="0"/>
      <w:contextualSpacing/>
    </w:pPr>
    <w:rPr/>
  </w:style>
  <w:style w:type="paragraph" w:styleId="NormalWeb">
    <w:name w:val="Normal (Web)"/>
    <w:basedOn w:val="LOnormal"/>
    <w:uiPriority w:val="99"/>
    <w:unhideWhenUsed/>
    <w:qFormat/>
    <w:rsid w:val="004f0a4d"/>
    <w:pPr>
      <w:keepLines w:val="false"/>
      <w:widowControl/>
      <w:spacing w:lineRule="auto" w:line="288" w:beforeAutospacing="1" w:after="142"/>
    </w:pPr>
    <w:rPr>
      <w:rFonts w:ascii="Times New Roman" w:hAnsi="Times New Roman" w:eastAsia="Times New Roman" w:cs="Times New Roman"/>
      <w:sz w:val="24"/>
      <w:szCs w:val="24"/>
    </w:rPr>
  </w:style>
  <w:style w:type="paragraph" w:styleId="Contedodatabela">
    <w:name w:val="Conteúdo da tabela"/>
    <w:basedOn w:val="Normal1"/>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val="false"/>
      <w:bidi w:val="0"/>
      <w:jc w:val="left"/>
    </w:pPr>
    <w:rPr>
      <w:rFonts w:ascii="Calibri" w:hAnsi="Calibri" w:eastAsia="Calibri" w:cs="Calibri"/>
      <w:color w:val="00000A"/>
      <w:kern w:val="0"/>
      <w:sz w:val="24"/>
      <w:szCs w:val="24"/>
      <w:lang w:val="pt-BR" w:eastAsia="zh-CN" w:bidi="hi-IN"/>
    </w:rPr>
  </w:style>
  <w:style w:type="paragraph" w:styleId="Subttulo">
    <w:name w:val="Subtitle"/>
    <w:basedOn w:val="Normal1"/>
    <w:next w:val="Normal"/>
    <w:qFormat/>
    <w:pPr>
      <w:keepNext w:val="true"/>
      <w:spacing w:lineRule="auto" w:line="240" w:before="360" w:after="80"/>
    </w:pPr>
    <w:rPr>
      <w:rFonts w:ascii="Georgia" w:hAnsi="Georgia" w:eastAsia="Georgia" w:cs="Georgia"/>
      <w:i/>
      <w:iCs/>
      <w:color w:val="666666"/>
      <w:sz w:val="48"/>
      <w:szCs w:val="48"/>
    </w:rPr>
  </w:style>
  <w:style w:type="numbering" w:styleId="NoList" w:default="1">
    <w:name w:val="No List"/>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TableNormal">
    <w:name w:val="Table Normal"/>
  </w:style>
  <w:style w:type="table" w:default="1" w:styleId="TableNormal">
    <w:name w:val="Table Normal"/>
  </w:style>
  <w:style w:type="table" w:default="1" w:styleId="TableNormal">
    <w:name w:val="Table Normal"/>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316347"/>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y1jVGDCti5lVG03I384xkt31Yqw==">CgMxLjAaJQoBMBIgCh4IB0IaCg9UaW1lcyBOZXcgUm9tYW4SB0d1bmdzdWgaJQoBMRIgCh4IB0IaCg9UaW1lcyBOZXcgUm9tYW4SB0d1bmdzdWgaHwoBMhIaChgICVIUChJ0YWJsZS5zN2JxMmN5dGF1cm44AHIhMVR4cEJhRkdPOTFneVR2OThFc1FJbTdqOS1FMUdQVTVt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LibreOffice/5.4.7.2$Windows_X86_64 LibreOffice_project/c838ef25c16710f8838b1faec480ebba495259d0</Application>
  <Pages>7</Pages>
  <Words>1285</Words>
  <Characters>7171</Characters>
  <CharactersWithSpaces>8319</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2023-10-20T13:06:00Z</dcterms:created>
  <dc:creator>Michele Oliveira</dc:creator>
  <dc:description/>
  <dc:language>pt-BR</dc:language>
  <cp:lastModifiedBy/>
  <dcterms:modified xsi:type="dcterms:W3CDTF">2026-04-17T13:22:12Z</dcterms:modified>
  <cp:revision>1</cp:revision>
  <dc:subject/>
  <dc:title/>
</cp:coreProperties>
</file>