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6C6" w:rsidRDefault="003D7E3D">
      <w:pPr>
        <w:pStyle w:val="normal1"/>
        <w:keepLines w:val="0"/>
        <w:widowControl/>
        <w:spacing w:before="200" w:line="36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ESTUDO TÉCNICO PRELIMINAR – LEI 14.133/2021</w:t>
      </w:r>
    </w:p>
    <w:p w:rsidR="003C56C6" w:rsidRDefault="003D7E3D">
      <w:pPr>
        <w:pStyle w:val="normal1"/>
        <w:keepLines w:val="0"/>
        <w:widowControl/>
        <w:spacing w:before="20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Diretoria de Licitações – Versão fevereiro de 2024</w:t>
      </w:r>
    </w:p>
    <w:p w:rsidR="003C56C6" w:rsidRDefault="003D7E3D">
      <w:pPr>
        <w:pStyle w:val="normal1"/>
        <w:keepLines w:val="0"/>
        <w:widowControl/>
        <w:spacing w:before="20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1 - INFORMAÇÕES BÁSICAS:</w:t>
      </w:r>
    </w:p>
    <w:p w:rsidR="003C56C6" w:rsidRDefault="003D7E3D">
      <w:pPr>
        <w:pStyle w:val="normal1"/>
        <w:keepLines w:val="0"/>
        <w:widowControl/>
        <w:spacing w:before="20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Secretaria Requisitante: Secretaria Municipal de Bem-Estar Animal</w:t>
      </w:r>
    </w:p>
    <w:p w:rsidR="003C56C6" w:rsidRDefault="003D7E3D">
      <w:pPr>
        <w:pStyle w:val="normal1"/>
        <w:keepLines w:val="0"/>
        <w:widowControl/>
        <w:spacing w:before="20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Processo SEI </w:t>
      </w:r>
      <w:r>
        <w:rPr>
          <w:rFonts w:ascii="Times New Roman" w:eastAsia="Times New Roman" w:hAnsi="Times New Roman" w:cs="Times New Roman"/>
          <w:sz w:val="24"/>
          <w:szCs w:val="24"/>
        </w:rPr>
        <w:t>n° 25.0.000102225-6</w:t>
      </w:r>
    </w:p>
    <w:p w:rsidR="003C56C6" w:rsidRDefault="003C56C6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C56C6" w:rsidRDefault="003D7E3D">
      <w:pPr>
        <w:pStyle w:val="normal1"/>
        <w:keepLines w:val="0"/>
        <w:widowControl/>
        <w:spacing w:before="20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2 - DESIGNAÇÃO DA EQUIPE DE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PLANEJAMENTO:</w:t>
      </w:r>
    </w:p>
    <w:p w:rsidR="003C56C6" w:rsidRDefault="003D7E3D">
      <w:pPr>
        <w:pStyle w:val="normal1"/>
        <w:keepLines w:val="0"/>
        <w:widowControl/>
        <w:spacing w:before="20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Nome: Rogério Altamir Silveira Ximes</w:t>
      </w:r>
    </w:p>
    <w:p w:rsidR="003C56C6" w:rsidRDefault="003D7E3D">
      <w:pPr>
        <w:pStyle w:val="normal1"/>
        <w:keepLines w:val="0"/>
        <w:widowControl/>
        <w:spacing w:before="20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Matrícula: 121363</w:t>
      </w:r>
    </w:p>
    <w:p w:rsidR="003C56C6" w:rsidRDefault="003C56C6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C56C6" w:rsidRDefault="003D7E3D">
      <w:pPr>
        <w:pStyle w:val="normal1"/>
        <w:keepLines w:val="0"/>
        <w:widowControl/>
        <w:spacing w:before="20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3 - DESCRIÇÃO DA NECESSIDADE DA CONTRATAÇÃO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3C56C6" w:rsidRDefault="003D7E3D">
      <w:pPr>
        <w:pStyle w:val="normal1"/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 Secretaria Municipal de Bem-Estar Animal – SMBEA é o órgão da Administração Pública Municipal responsável pela formulação e execução da</w:t>
      </w:r>
      <w:r>
        <w:rPr>
          <w:rFonts w:ascii="Times New Roman" w:eastAsia="Times New Roman" w:hAnsi="Times New Roman" w:cs="Times New Roman"/>
          <w:sz w:val="24"/>
          <w:szCs w:val="24"/>
        </w:rPr>
        <w:t>s políticas públicas voltadas à proteção, ao controle populacional, ao atendimento clínico-veterinário e à albergagem de animais da fauna doméstica no Município de Canoas/RS, incluindo cães, gatos e equinos sob tutela do Poder Público.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Em decorrência das </w:t>
      </w:r>
      <w:r>
        <w:rPr>
          <w:rFonts w:ascii="Times New Roman" w:eastAsia="Times New Roman" w:hAnsi="Times New Roman" w:cs="Times New Roman"/>
          <w:sz w:val="24"/>
          <w:szCs w:val="24"/>
        </w:rPr>
        <w:t>atividades permanentes de fiscalização de maus-tratos a animais, bem como de apreensões administrativas, resgates emergenciais e outras situações excepcionais previstas na legislação vigente, a SMBEA mantém, de forma contínua, um expressivo plantel de anim</w:t>
      </w:r>
      <w:r>
        <w:rPr>
          <w:rFonts w:ascii="Times New Roman" w:eastAsia="Times New Roman" w:hAnsi="Times New Roman" w:cs="Times New Roman"/>
          <w:sz w:val="24"/>
          <w:szCs w:val="24"/>
        </w:rPr>
        <w:t>ais sob sua responsabilidade direta. Atualmente, são 350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(trezentos e cinquenta) </w:t>
      </w:r>
      <w:r>
        <w:rPr>
          <w:rFonts w:ascii="Times New Roman" w:eastAsia="Times New Roman" w:hAnsi="Times New Roman" w:cs="Times New Roman"/>
          <w:sz w:val="24"/>
          <w:szCs w:val="24"/>
        </w:rPr>
        <w:t>animais albergados, entre cães e gatos, além da manutenção regular de cerca de 5 (cinco) equinos em tratamento veterinário, todos demandando cuidados diários, acompanhamento t</w:t>
      </w:r>
      <w:r>
        <w:rPr>
          <w:rFonts w:ascii="Times New Roman" w:eastAsia="Times New Roman" w:hAnsi="Times New Roman" w:cs="Times New Roman"/>
          <w:sz w:val="24"/>
          <w:szCs w:val="24"/>
        </w:rPr>
        <w:t>écnico e alimentação adequada às suas condições fisiológicas e clínicas.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Embora a Secretaria desenvolva ações permanentes de incentivo à adoção responsável, por meio de eventos públicos, campanhas educativas e orientação à população quanto à guarda respon</w:t>
      </w:r>
      <w:r>
        <w:rPr>
          <w:rFonts w:ascii="Times New Roman" w:eastAsia="Times New Roman" w:hAnsi="Times New Roman" w:cs="Times New Roman"/>
          <w:sz w:val="24"/>
          <w:szCs w:val="24"/>
        </w:rPr>
        <w:t>sável e à educação ambiental, a rotatividade de animais não é suficiente para eliminar a necessidade de albergagem contínua. Assim, a Administração Municipal permanece responsável pelo custeio integral da manutenção nutricional desses animais, condição ind</w:t>
      </w:r>
      <w:r>
        <w:rPr>
          <w:rFonts w:ascii="Times New Roman" w:eastAsia="Times New Roman" w:hAnsi="Times New Roman" w:cs="Times New Roman"/>
          <w:sz w:val="24"/>
          <w:szCs w:val="24"/>
        </w:rPr>
        <w:t>ispensável para garantir o bem-estar animal, a recuperação clínica, a prevenção de doenças e o atendimento aos princípios constitucionais da dignidade da vida e da proteção animal.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Nesse contexto, verifica-se a necessidade continua de alimentação animal, </w:t>
      </w:r>
      <w:r>
        <w:rPr>
          <w:rFonts w:ascii="Times New Roman" w:eastAsia="Times New Roman" w:hAnsi="Times New Roman" w:cs="Times New Roman"/>
          <w:sz w:val="24"/>
          <w:szCs w:val="24"/>
        </w:rPr>
        <w:t>abrangendo rações secas, rações úmidas, dietas terapêuticas específicas (gastrointestinais, renais, hepáticas e hipoalergênicas), suplementos alimentares, feno e sal mineral, compatíveis com as diferentes espécies, faixas etárias e condições clínicas dos a</w:t>
      </w:r>
      <w:r>
        <w:rPr>
          <w:rFonts w:ascii="Times New Roman" w:eastAsia="Times New Roman" w:hAnsi="Times New Roman" w:cs="Times New Roman"/>
          <w:sz w:val="24"/>
          <w:szCs w:val="24"/>
        </w:rPr>
        <w:t>nimais sob tutela da SMBEA. A diversidade dos itens decorre diretamente da heterogeneidade do plantel atendido, que inclui filhotes, adultos, idosos, animais castrados, animais em tratamento veterinário e equinos em diferentes estágios de desenvolvimento.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 ausência ou descontinuidade no fornecimento desses insumos comprometeria de forma grave a execução das atividades finalísticas da Secretaria, podendo resultar em prejuízos à saúde dos animais, agravamento de quadros clínicos, aumento de custos veterinár</w:t>
      </w:r>
      <w:r>
        <w:rPr>
          <w:rFonts w:ascii="Times New Roman" w:eastAsia="Times New Roman" w:hAnsi="Times New Roman" w:cs="Times New Roman"/>
          <w:sz w:val="24"/>
          <w:szCs w:val="24"/>
        </w:rPr>
        <w:t>ios e riscos sanitários, além de potencial responsabilização da Administração por omissão no dever legal de proteção aos animais sob sua guarda.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Portanto, a necessidade identificada é a de alimentação dos animais abrigados e em tratamento pela SMBEA, gara</w:t>
      </w:r>
      <w:r>
        <w:rPr>
          <w:rFonts w:ascii="Times New Roman" w:eastAsia="Times New Roman" w:hAnsi="Times New Roman" w:cs="Times New Roman"/>
          <w:sz w:val="24"/>
          <w:szCs w:val="24"/>
        </w:rPr>
        <w:t>ntindo a continuidade dos serviços públicos prestados, o bem-estar animal, o cumprimento das obrigações legais do Município e a eficiência na aplicação dos recursos públicos.</w:t>
      </w:r>
    </w:p>
    <w:p w:rsidR="003C56C6" w:rsidRDefault="003C56C6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4 - DEMONSTRATIVO DA PREVISÃO DA CONTRATAÇÃO NO PLANO ANUAL DE CONTRATAÇÃO – PAC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 xml:space="preserve">A presente demanda está prevista no Plano Anual de Contratação 2026 do Município de Canoas, conforme </w:t>
      </w:r>
      <w:hyperlink r:id="rId8">
        <w:r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Documen</w:t>
        </w:r>
        <w:r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to de Formalização de Demanda Simplificado nº 23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, que trata da aquisição de Alimentos para animais (ração seca e ração úmida para cães adultos, filhotes e sênior, ração seca e ração úmida para gatos adultos e filhotes, ração para equinos adultos e potros, </w:t>
      </w:r>
      <w:r>
        <w:rPr>
          <w:rFonts w:ascii="Times New Roman" w:eastAsia="Times New Roman" w:hAnsi="Times New Roman" w:cs="Times New Roman"/>
          <w:sz w:val="24"/>
          <w:szCs w:val="24"/>
        </w:rPr>
        <w:t>feno, entre outros).</w:t>
      </w:r>
    </w:p>
    <w:p w:rsidR="003C56C6" w:rsidRDefault="003C56C6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5 - DESCRIÇÃO DOS REQUISITOS PARA A CONTRATAÇÃO: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a) Os padrões mínimos de qualidade estão definidos pelas especificações técnicas, níveis de garantia nutricional e condições sanitárias estabelecidas para cada item, suficientes para a</w:t>
      </w:r>
      <w:r>
        <w:rPr>
          <w:rFonts w:ascii="Times New Roman" w:eastAsia="Times New Roman" w:hAnsi="Times New Roman" w:cs="Times New Roman"/>
          <w:sz w:val="24"/>
          <w:szCs w:val="24"/>
        </w:rPr>
        <w:t>ssegurar: Adequação nutricional às necessidades dos animais; Segurança alimentar e Palatabilidade.</w:t>
      </w:r>
    </w:p>
    <w:p w:rsidR="003C56C6" w:rsidRDefault="003D7E3D">
      <w:pPr>
        <w:pStyle w:val="normal1"/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b) Os produtos a serem fornecidos deverão atender às especificações técnicas dos itens, compatíveis com as necessidades nutricionais das espécies, faixas et</w:t>
      </w:r>
      <w:r>
        <w:rPr>
          <w:rFonts w:ascii="Times New Roman" w:eastAsia="Times New Roman" w:hAnsi="Times New Roman" w:cs="Times New Roman"/>
          <w:sz w:val="24"/>
          <w:szCs w:val="24"/>
        </w:rPr>
        <w:t>árias e condições clínicas dos animais (cães, gatos e equinos), incluindo alimentos convencionais, dietas terapêuticas, suplementos e insumos nutricionais;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c) As rações, suplementos e demais alimentos deverão estar regularmente registrados ou isentos de </w:t>
      </w:r>
      <w:r>
        <w:rPr>
          <w:rFonts w:ascii="Times New Roman" w:eastAsia="Times New Roman" w:hAnsi="Times New Roman" w:cs="Times New Roman"/>
          <w:sz w:val="24"/>
          <w:szCs w:val="24"/>
        </w:rPr>
        <w:t>registro, conforme o caso, junto ao órgão competente, notadamente o Ministério da Agricultura e Pecuária – MAPA, atendendo às normas sanitárias, nutricionais e de rotulagem vigentes;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d) Os produtos deverão possuir prazo de validade mínimo compatível com 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consumo planejado, contado a partir da data da entrega, de modo a evitar perdas por vencimento e garantir a segurança alimentar dos animais;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e) As embalagens deverão ser originais, íntegras, lacradas e identificadas, contendo informações claras sobre com</w:t>
      </w:r>
      <w:r>
        <w:rPr>
          <w:rFonts w:ascii="Times New Roman" w:eastAsia="Times New Roman" w:hAnsi="Times New Roman" w:cs="Times New Roman"/>
          <w:sz w:val="24"/>
          <w:szCs w:val="24"/>
        </w:rPr>
        <w:t>posição, níveis de garantia, data de fabricação, validade e lote, permitindo a rastreabilidade dos produtos;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f) Serão admitidas marcas diversas, desde que comprovadamente equivalentes ou superiores aos padrões de qualidade exigidos;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g) A entrega dos prod</w:t>
      </w:r>
      <w:r>
        <w:rPr>
          <w:rFonts w:ascii="Times New Roman" w:eastAsia="Times New Roman" w:hAnsi="Times New Roman" w:cs="Times New Roman"/>
          <w:sz w:val="24"/>
          <w:szCs w:val="24"/>
        </w:rPr>
        <w:t>utos deverá observar prazos compatíveis com a necessidade operacional da SMBEA, garantindo a continuidade do abastecimento e evitando desassistência alimentar aos animais;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h) Os custos com transporte, frete, seguros, impostos e demais encargos deverão est</w:t>
      </w:r>
      <w:r>
        <w:rPr>
          <w:rFonts w:ascii="Times New Roman" w:eastAsia="Times New Roman" w:hAnsi="Times New Roman" w:cs="Times New Roman"/>
          <w:sz w:val="24"/>
          <w:szCs w:val="24"/>
        </w:rPr>
        <w:t>ar integralmente incluídos nos preços registrados.</w:t>
      </w:r>
    </w:p>
    <w:p w:rsidR="003C56C6" w:rsidRDefault="003C56C6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6 - ESTIMATIVA DAS QUANTIDADES A SEREM CONTRATADAS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 estimativa das quantidades a serem contratadas foi elaborada com base em avaliação técnica do histórico de consumo e da projeção da demanda, conside</w:t>
      </w:r>
      <w:r>
        <w:rPr>
          <w:rFonts w:ascii="Times New Roman" w:eastAsia="Times New Roman" w:hAnsi="Times New Roman" w:cs="Times New Roman"/>
          <w:sz w:val="24"/>
          <w:szCs w:val="24"/>
        </w:rPr>
        <w:t>rando o caráter continuado das atividades desenvolvidas pela Secretaria Municipal de Bem-Estar Animal – SMBEA e a variabilidade do plantel sob sua responsabilidade.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As quantidades estimadas para cada item resultam da combinação dos seguintes fatores: Prop</w:t>
      </w:r>
      <w:r>
        <w:rPr>
          <w:rFonts w:ascii="Times New Roman" w:eastAsia="Times New Roman" w:hAnsi="Times New Roman" w:cs="Times New Roman"/>
          <w:sz w:val="24"/>
          <w:szCs w:val="24"/>
        </w:rPr>
        <w:t>orção entre cães, gatos e equinos no plantel total atendido; Frequência de utilização de cada tipo de alimento (uso diário contínuo ou uso eventual, no caso de dietas terapêuticas); Consumo médio diário por animal, conforme espécie, faixa etária e condição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clínica; Histórico de utilização de dietas especiais (gastrointestinais, renais, hepáticas e hipoalergênicas), que, embora representem menor volume, são essenciais para a recuperação e manutenção da saúde de animais em tratamento; Necessidade de rações úm</w:t>
      </w:r>
      <w:r>
        <w:rPr>
          <w:rFonts w:ascii="Times New Roman" w:eastAsia="Times New Roman" w:hAnsi="Times New Roman" w:cs="Times New Roman"/>
          <w:sz w:val="24"/>
          <w:szCs w:val="24"/>
        </w:rPr>
        <w:t>idas, suplementos e substitutos do leite materno como apoio nutricional para filhotes, animais debilitados, convalescentes ou com restrição alimentar.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3C56C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2041" w:right="1702" w:bottom="1474" w:left="1701" w:header="850" w:footer="454" w:gutter="0"/>
          <w:pgNumType w:start="1"/>
          <w:cols w:space="720"/>
          <w:formProt w:val="0"/>
          <w:docGrid w:linePitch="100"/>
        </w:sect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A seguir apresenta-se o histórico de consumo, </w:t>
      </w:r>
      <w:r>
        <w:rPr>
          <w:rFonts w:ascii="Times New Roman" w:eastAsia="Times New Roman" w:hAnsi="Times New Roman" w:cs="Times New Roman"/>
          <w:sz w:val="24"/>
          <w:szCs w:val="24"/>
        </w:rPr>
        <w:t>utilizado para balizar a estimativa dos quantitativos demandados: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Histórico de aquisição de rações – Últimos 12 meses</w:t>
      </w:r>
    </w:p>
    <w:tbl>
      <w:tblPr>
        <w:tblW w:w="14550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5"/>
        <w:gridCol w:w="1364"/>
        <w:gridCol w:w="1020"/>
        <w:gridCol w:w="1020"/>
        <w:gridCol w:w="796"/>
        <w:gridCol w:w="959"/>
        <w:gridCol w:w="735"/>
        <w:gridCol w:w="570"/>
        <w:gridCol w:w="571"/>
        <w:gridCol w:w="675"/>
        <w:gridCol w:w="630"/>
        <w:gridCol w:w="734"/>
        <w:gridCol w:w="961"/>
        <w:gridCol w:w="871"/>
        <w:gridCol w:w="1319"/>
      </w:tblGrid>
      <w:tr w:rsidR="003C56C6">
        <w:trPr>
          <w:trHeight w:val="701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Descrição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Apresentação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Mês Novembro 2024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Mês Dezembro 2024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Mês Janeiro 2025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Mês Fevereiro 2025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Mês Março 2025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Mês Abril 2025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Mês Maio 2025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Mês Junho 2025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Mês Julho 2025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Mês Agosto 2025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Mês Setembro 2025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Mês Outubro 2025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</w:tr>
      <w:tr w:rsidR="003C56C6">
        <w:trPr>
          <w:trHeight w:val="256"/>
        </w:trPr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Ração seca para cães adultos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Quilos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4800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4185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6660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4410</w:t>
            </w:r>
          </w:p>
        </w:tc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2880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6890</w:t>
            </w:r>
          </w:p>
        </w:tc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2505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5205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4200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4995</w:t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>
              <w:rPr>
                <w:rFonts w:ascii="Times New Roman" w:hAnsi="Times New Roman"/>
                <w:sz w:val="20"/>
                <w:szCs w:val="20"/>
              </w:rPr>
              <w:instrText xml:space="preserve"> =sum (C2:N2)</w:instrText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/>
                <w:sz w:val="20"/>
                <w:szCs w:val="20"/>
              </w:rPr>
              <w:t>50630</w:t>
            </w:r>
            <w:r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</w:tr>
      <w:tr w:rsidR="003C56C6">
        <w:trPr>
          <w:trHeight w:val="256"/>
        </w:trPr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Ração seca para cães filhotes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Quilos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615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225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225</w:t>
            </w:r>
          </w:p>
        </w:tc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510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>
              <w:rPr>
                <w:rFonts w:ascii="Times New Roman" w:hAnsi="Times New Roman"/>
                <w:sz w:val="20"/>
                <w:szCs w:val="20"/>
              </w:rPr>
              <w:instrText xml:space="preserve"> =sum (C3:N3)</w:instrText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/>
                <w:sz w:val="20"/>
                <w:szCs w:val="20"/>
              </w:rPr>
              <w:t>5013</w:t>
            </w:r>
            <w:r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</w:tr>
      <w:tr w:rsidR="003C56C6">
        <w:trPr>
          <w:trHeight w:val="256"/>
        </w:trPr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Ração úmida para caninos adultos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Lata 280g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497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273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236</w:t>
            </w:r>
          </w:p>
        </w:tc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468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370</w:t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>
              <w:rPr>
                <w:rFonts w:ascii="Times New Roman" w:hAnsi="Times New Roman"/>
                <w:sz w:val="20"/>
                <w:szCs w:val="20"/>
              </w:rPr>
              <w:instrText xml:space="preserve"> =sum (C4:N4)</w:instrText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/>
                <w:sz w:val="20"/>
                <w:szCs w:val="20"/>
              </w:rPr>
              <w:t>2653</w:t>
            </w:r>
            <w:r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</w:tr>
      <w:tr w:rsidR="003C56C6">
        <w:trPr>
          <w:trHeight w:val="256"/>
        </w:trPr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Ração úmida cães filhotes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Lata 280g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>
              <w:rPr>
                <w:rFonts w:ascii="Times New Roman" w:hAnsi="Times New Roman"/>
                <w:sz w:val="20"/>
                <w:szCs w:val="20"/>
              </w:rPr>
              <w:instrText xml:space="preserve"> =sum (C5:N5)</w:instrText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/>
                <w:sz w:val="20"/>
                <w:szCs w:val="20"/>
              </w:rPr>
              <w:t>276</w:t>
            </w:r>
            <w:r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</w:tr>
      <w:tr w:rsidR="003C56C6">
        <w:trPr>
          <w:trHeight w:val="256"/>
        </w:trPr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Ração </w:t>
            </w:r>
            <w:r>
              <w:rPr>
                <w:rFonts w:ascii="Times New Roman" w:hAnsi="Times New Roman"/>
                <w:sz w:val="20"/>
                <w:szCs w:val="20"/>
              </w:rPr>
              <w:t>seca cães senior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Quilos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677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595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1313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404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404</w:t>
            </w:r>
          </w:p>
        </w:tc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525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323</w:t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>
              <w:rPr>
                <w:rFonts w:ascii="Times New Roman" w:hAnsi="Times New Roman"/>
                <w:sz w:val="20"/>
                <w:szCs w:val="20"/>
              </w:rPr>
              <w:instrText xml:space="preserve"> =sum (C6:N6)</w:instrText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/>
                <w:sz w:val="20"/>
                <w:szCs w:val="20"/>
              </w:rPr>
              <w:t>5286</w:t>
            </w:r>
            <w:r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</w:tr>
      <w:tr w:rsidR="003C56C6">
        <w:trPr>
          <w:trHeight w:val="256"/>
        </w:trPr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Ração úmida gatos filhotes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Sachê 85g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231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>
              <w:rPr>
                <w:rFonts w:ascii="Times New Roman" w:hAnsi="Times New Roman"/>
                <w:sz w:val="20"/>
                <w:szCs w:val="20"/>
              </w:rPr>
              <w:instrText xml:space="preserve"> =sum (C7:N7)</w:instrText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/>
                <w:sz w:val="20"/>
                <w:szCs w:val="20"/>
              </w:rPr>
              <w:t>621</w:t>
            </w:r>
            <w:r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</w:tr>
      <w:tr w:rsidR="003C56C6">
        <w:trPr>
          <w:trHeight w:val="256"/>
        </w:trPr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Ração úmida para gatos adultos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Sachê 70g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437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461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1889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994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1143</w:t>
            </w:r>
          </w:p>
        </w:tc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179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845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1310</w:t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>
              <w:rPr>
                <w:rFonts w:ascii="Times New Roman" w:hAnsi="Times New Roman"/>
                <w:sz w:val="20"/>
                <w:szCs w:val="20"/>
              </w:rPr>
              <w:instrText xml:space="preserve"> =sum (C8:N8)</w:instrText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/>
                <w:sz w:val="20"/>
                <w:szCs w:val="20"/>
              </w:rPr>
              <w:t>8137</w:t>
            </w:r>
            <w:r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</w:tr>
      <w:tr w:rsidR="003C56C6">
        <w:trPr>
          <w:trHeight w:val="256"/>
        </w:trPr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Ração para gatos filhotes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Quilos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162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227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225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>
              <w:rPr>
                <w:rFonts w:ascii="Times New Roman" w:hAnsi="Times New Roman"/>
                <w:sz w:val="20"/>
                <w:szCs w:val="20"/>
              </w:rPr>
              <w:instrText xml:space="preserve"> =sum (C9:N9)</w:instrText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/>
                <w:sz w:val="20"/>
                <w:szCs w:val="20"/>
              </w:rPr>
              <w:t>1058</w:t>
            </w:r>
            <w:r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</w:tr>
      <w:tr w:rsidR="003C56C6">
        <w:trPr>
          <w:trHeight w:val="256"/>
        </w:trPr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Ração seca gatos cadastrados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Quilos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307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283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152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152</w:t>
            </w:r>
          </w:p>
        </w:tc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303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271</w:t>
            </w:r>
          </w:p>
        </w:tc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883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345</w:t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>
              <w:rPr>
                <w:rFonts w:ascii="Times New Roman" w:hAnsi="Times New Roman"/>
                <w:sz w:val="20"/>
                <w:szCs w:val="20"/>
              </w:rPr>
              <w:instrText xml:space="preserve"> =sum (C10:N10)</w:instrText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/>
                <w:sz w:val="20"/>
                <w:szCs w:val="20"/>
              </w:rPr>
              <w:t>3746</w:t>
            </w:r>
            <w:r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</w:tr>
      <w:tr w:rsidR="003C56C6">
        <w:trPr>
          <w:trHeight w:val="256"/>
        </w:trPr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Ração equinos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Quilos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2400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320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>
              <w:rPr>
                <w:rFonts w:ascii="Times New Roman" w:hAnsi="Times New Roman"/>
                <w:sz w:val="20"/>
                <w:szCs w:val="20"/>
              </w:rPr>
              <w:instrText xml:space="preserve"> =sum (C11:N11)</w:instrText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/>
                <w:sz w:val="20"/>
                <w:szCs w:val="20"/>
              </w:rPr>
              <w:t>6600</w:t>
            </w:r>
            <w:r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</w:tr>
      <w:tr w:rsidR="003C56C6">
        <w:trPr>
          <w:trHeight w:val="256"/>
        </w:trPr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Ração potro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Quilos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83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>
              <w:rPr>
                <w:rFonts w:ascii="Times New Roman" w:hAnsi="Times New Roman"/>
                <w:sz w:val="20"/>
                <w:szCs w:val="20"/>
              </w:rPr>
              <w:instrText xml:space="preserve"> =sum (C12:N12)</w:instrText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/>
                <w:sz w:val="20"/>
                <w:szCs w:val="20"/>
              </w:rPr>
              <w:t>83</w:t>
            </w:r>
            <w:r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</w:tr>
      <w:tr w:rsidR="003C56C6">
        <w:trPr>
          <w:trHeight w:val="256"/>
        </w:trPr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Feno de alfafa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Quilos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3000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805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>
              <w:rPr>
                <w:rFonts w:ascii="Times New Roman" w:hAnsi="Times New Roman"/>
                <w:sz w:val="20"/>
                <w:szCs w:val="20"/>
              </w:rPr>
              <w:instrText xml:space="preserve"> =sum (C13:N13)</w:instrText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/>
                <w:sz w:val="20"/>
                <w:szCs w:val="20"/>
              </w:rPr>
              <w:t>11605</w:t>
            </w:r>
            <w:r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</w:tr>
      <w:tr w:rsidR="003C56C6">
        <w:trPr>
          <w:trHeight w:val="256"/>
        </w:trPr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Sal Mineral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Quilos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fldChar w:fldCharType="begin"/>
            </w:r>
            <w:r>
              <w:rPr>
                <w:rFonts w:ascii="Times New Roman" w:hAnsi="Times New Roman"/>
                <w:sz w:val="20"/>
                <w:szCs w:val="20"/>
              </w:rPr>
              <w:instrText xml:space="preserve"> =sum (C14:N14)</w:instrText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/>
                <w:sz w:val="20"/>
                <w:szCs w:val="20"/>
              </w:rPr>
              <w:t>60</w:t>
            </w:r>
            <w:r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</w:tr>
      <w:tr w:rsidR="003C56C6">
        <w:trPr>
          <w:trHeight w:val="256"/>
        </w:trPr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Suplemento substituto de leite materno para caninos</w:t>
            </w:r>
          </w:p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 felinos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Sachê 300 g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fldChar w:fldCharType="begin"/>
            </w:r>
            <w:r>
              <w:rPr>
                <w:rFonts w:ascii="Times New Roman" w:hAnsi="Times New Roman"/>
                <w:sz w:val="20"/>
                <w:szCs w:val="20"/>
              </w:rPr>
              <w:instrText xml:space="preserve"> =sum(C15:N15)</w:instrText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/>
                <w:sz w:val="20"/>
                <w:szCs w:val="20"/>
              </w:rPr>
              <w:t>90</w:t>
            </w:r>
            <w:r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</w:tr>
      <w:tr w:rsidR="003C56C6">
        <w:trPr>
          <w:trHeight w:val="256"/>
        </w:trPr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Ração Renal para cães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Quilos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10,1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20,2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fldChar w:fldCharType="begin"/>
            </w:r>
            <w:r>
              <w:rPr>
                <w:rFonts w:ascii="Times New Roman" w:hAnsi="Times New Roman"/>
                <w:sz w:val="20"/>
                <w:szCs w:val="20"/>
              </w:rPr>
              <w:instrText xml:space="preserve"> =sum (C16:N16)</w:instrText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/>
                <w:sz w:val="20"/>
                <w:szCs w:val="20"/>
              </w:rPr>
              <w:t>30,3</w:t>
            </w:r>
            <w:r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</w:tr>
      <w:tr w:rsidR="003C56C6">
        <w:trPr>
          <w:trHeight w:val="256"/>
        </w:trPr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Ração Gastrointestinal cães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Quilos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30,3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40,4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fldChar w:fldCharType="begin"/>
            </w:r>
            <w:r>
              <w:rPr>
                <w:rFonts w:ascii="Times New Roman" w:hAnsi="Times New Roman"/>
                <w:sz w:val="20"/>
                <w:szCs w:val="20"/>
              </w:rPr>
              <w:instrText xml:space="preserve"> =sum (C17:N17)</w:instrText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/>
                <w:sz w:val="20"/>
                <w:szCs w:val="20"/>
              </w:rPr>
              <w:t>171,7</w:t>
            </w:r>
            <w:r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</w:tr>
      <w:tr w:rsidR="003C56C6">
        <w:trPr>
          <w:trHeight w:val="256"/>
        </w:trPr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Ração Hepática para cães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Quilos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fldChar w:fldCharType="begin"/>
            </w:r>
            <w:r>
              <w:rPr>
                <w:rFonts w:ascii="Times New Roman" w:hAnsi="Times New Roman"/>
                <w:sz w:val="20"/>
                <w:szCs w:val="20"/>
              </w:rPr>
              <w:instrText xml:space="preserve"> =sum (C18:N18)</w:instrText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</w:tr>
    </w:tbl>
    <w:p w:rsidR="003C56C6" w:rsidRDefault="003C56C6">
      <w:pPr>
        <w:rPr>
          <w:rFonts w:ascii="Times New Roman" w:hAnsi="Times New Roman"/>
          <w:sz w:val="24"/>
          <w:szCs w:val="24"/>
        </w:rPr>
        <w:sectPr w:rsidR="003C56C6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6838" w:h="11906" w:orient="landscape"/>
          <w:pgMar w:top="1134" w:right="1134" w:bottom="1134" w:left="1134" w:header="0" w:footer="0" w:gutter="0"/>
          <w:cols w:space="720"/>
          <w:formProt w:val="0"/>
          <w:docGrid w:linePitch="100"/>
        </w:sectPr>
      </w:pP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 xml:space="preserve">Embora a estimativa das quantidades tenha como um de seus referenciais o histórico </w:t>
      </w:r>
      <w:r>
        <w:rPr>
          <w:rFonts w:ascii="Times New Roman" w:eastAsia="Times New Roman" w:hAnsi="Times New Roman" w:cs="Times New Roman"/>
          <w:sz w:val="24"/>
          <w:szCs w:val="24"/>
        </w:rPr>
        <w:t>de consumo da SMBEA, conforme tabela acima de aquisições, verificou-se a necessidade de ir além dos volumes historicamente adquiridos, bem como incluir itens que não constam no consumo registrado no período anterior. Tal situação encontra respaldo técnico,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operacional e fático, conforme exposto a seguir.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O histórico de consumo apresentado reflete aquisições realizadas em um cenário de normalidade relativa, condicionado: À disponibilidade contratual existente à época e 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limitação dos itens efetivamente previstos em contrato.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 projeção para contratação deve incorporar uma margem de segurança técnica, destinada a: Permitir resposta rápida a oscilações do plantel; Garantir continuidade do atendimento em situações excepcio</w:t>
      </w:r>
      <w:r>
        <w:rPr>
          <w:rFonts w:ascii="Times New Roman" w:eastAsia="Times New Roman" w:hAnsi="Times New Roman" w:cs="Times New Roman"/>
          <w:sz w:val="24"/>
          <w:szCs w:val="24"/>
        </w:rPr>
        <w:t>nais; Compatibilizar o planejamento com o caráter imprevisível das apreensões e resgates de animais.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A estimativa de quantitativos também levará em conta eventos recentes de impacto significativo, notadamente a calamidade pública ocorrida no ano de 2024, </w:t>
      </w:r>
      <w:r>
        <w:rPr>
          <w:rFonts w:ascii="Times New Roman" w:eastAsia="Times New Roman" w:hAnsi="Times New Roman" w:cs="Times New Roman"/>
          <w:sz w:val="24"/>
          <w:szCs w:val="24"/>
        </w:rPr>
        <w:t>que resultou na inundação de grande parte do território do Município de Canoas/RS. Em decorrência desse evento extremo, a SMBEA foi sobremaneira sobrecarregada, tendo acolhido temporariamente, de forma emergencial, mais de 1.800 (mil e oitocentos) animais,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entre cães e gatos, em curto espaço de tempo, exigindo: Ampliação imediata da capacidade de albergagem; Fornecimento emergencial de alimentação; Utilização intensiva de rações úmidas, dietas especiais e suplementos; Adoção de estratégias de contingência f</w:t>
      </w:r>
      <w:r>
        <w:rPr>
          <w:rFonts w:ascii="Times New Roman" w:eastAsia="Times New Roman" w:hAnsi="Times New Roman" w:cs="Times New Roman"/>
          <w:sz w:val="24"/>
          <w:szCs w:val="24"/>
        </w:rPr>
        <w:t>ora do padrão histórico de consumo.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Ainda que tal cenário não represente a normalidade operacional, trata-se de evento recente e concreto, cuja ocorrência reforça a necessidade de planejamento preventivo e de manutenção de quantitativos compatíveis com si</w:t>
      </w:r>
      <w:r>
        <w:rPr>
          <w:rFonts w:ascii="Times New Roman" w:eastAsia="Times New Roman" w:hAnsi="Times New Roman" w:cs="Times New Roman"/>
          <w:sz w:val="24"/>
          <w:szCs w:val="24"/>
        </w:rPr>
        <w:t>tuações excepcionais, especialmente diante da recorrência de eventos climáticos extremos.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Verifica-se ainda a necessidade de aquisição de itens que não constam no histórico de consumo apresentado, tal como a Ração Hipoalergênica para gatos. Esclarece-se q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ue a ausência de registro não decorre da inexistência de necessidade, mas sim da ausência de cobertura contratual adequada para sua aquisição no período analisado. Tais itens: Já vinham sendo formalmente demandados por médicos veterinários e tratadores da </w:t>
      </w:r>
      <w:r>
        <w:rPr>
          <w:rFonts w:ascii="Times New Roman" w:eastAsia="Times New Roman" w:hAnsi="Times New Roman" w:cs="Times New Roman"/>
          <w:sz w:val="24"/>
          <w:szCs w:val="24"/>
        </w:rPr>
        <w:t>SMBEA; São reconhecidos como tecnicamente necessários para o manejo nutricional adequado de animais em condições específicas (filhotes, animais debilitados, convalescentes, com doenças crônicas ou restrições alimentares); Não puderam ser adquiridos anterio</w:t>
      </w:r>
      <w:r>
        <w:rPr>
          <w:rFonts w:ascii="Times New Roman" w:eastAsia="Times New Roman" w:hAnsi="Times New Roman" w:cs="Times New Roman"/>
          <w:sz w:val="24"/>
          <w:szCs w:val="24"/>
        </w:rPr>
        <w:t>rmente por limitação do objeto contratual vigente, o que restringiu o atendimento integral das necessidades nutricionais identificadas pela equipe técnica.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A nova contratação busca, portanto, corrigir lacunas de fornecimento, alinhando o planejamento das </w:t>
      </w:r>
      <w:r>
        <w:rPr>
          <w:rFonts w:ascii="Times New Roman" w:eastAsia="Times New Roman" w:hAnsi="Times New Roman" w:cs="Times New Roman"/>
          <w:sz w:val="24"/>
          <w:szCs w:val="24"/>
        </w:rPr>
        <w:t>aquisições às reais necessidades operacionais e clínicas da Secretaria. Desse modo, a estimativa das quantidades a serem contratadas apresenta-se da seguinte forma:</w:t>
      </w:r>
    </w:p>
    <w:p w:rsidR="003C56C6" w:rsidRDefault="003C56C6">
      <w:pPr>
        <w:tabs>
          <w:tab w:val="left" w:pos="2557"/>
        </w:tabs>
        <w:snapToGrid w:val="0"/>
        <w:jc w:val="both"/>
        <w:rPr>
          <w:rFonts w:ascii="Times New Roman" w:hAnsi="Times New Roman"/>
          <w:sz w:val="20"/>
          <w:szCs w:val="20"/>
        </w:rPr>
      </w:pPr>
    </w:p>
    <w:tbl>
      <w:tblPr>
        <w:tblW w:w="8490" w:type="dxa"/>
        <w:tblInd w:w="110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1185"/>
        <w:gridCol w:w="4586"/>
        <w:gridCol w:w="1349"/>
        <w:gridCol w:w="21"/>
        <w:gridCol w:w="1349"/>
      </w:tblGrid>
      <w:tr w:rsidR="003C56C6">
        <w:tc>
          <w:tcPr>
            <w:tcW w:w="1185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458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DESCRIÇÃO:</w:t>
            </w:r>
          </w:p>
        </w:tc>
        <w:tc>
          <w:tcPr>
            <w:tcW w:w="1371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 DE MEDIDA:</w:t>
            </w:r>
          </w:p>
        </w:tc>
        <w:tc>
          <w:tcPr>
            <w:tcW w:w="1345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QUANT.:</w:t>
            </w:r>
          </w:p>
        </w:tc>
      </w:tr>
      <w:tr w:rsidR="003C56C6"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seca para cães adultos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Categoria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Premium Especial</w:t>
            </w:r>
          </w:p>
          <w:p w:rsidR="003C56C6" w:rsidRDefault="003C56C6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Embalagem de 15 Kg.</w:t>
            </w:r>
          </w:p>
        </w:tc>
        <w:tc>
          <w:tcPr>
            <w:tcW w:w="13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4.000</w:t>
            </w:r>
          </w:p>
        </w:tc>
      </w:tr>
      <w:tr w:rsidR="003C56C6"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seca Premium para cães filhotes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Categoria Premium Especial</w:t>
            </w:r>
          </w:p>
          <w:p w:rsidR="003C56C6" w:rsidRDefault="003C56C6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Embalagem de 15 Kg.</w:t>
            </w:r>
          </w:p>
        </w:tc>
        <w:tc>
          <w:tcPr>
            <w:tcW w:w="13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670</w:t>
            </w:r>
          </w:p>
        </w:tc>
      </w:tr>
      <w:tr w:rsidR="003C56C6"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seca para cães idosos (sênior)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Categoria Premium Especial</w:t>
            </w:r>
          </w:p>
          <w:p w:rsidR="003C56C6" w:rsidRDefault="003C56C6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Embalagem de 15 Kg.</w:t>
            </w:r>
          </w:p>
        </w:tc>
        <w:tc>
          <w:tcPr>
            <w:tcW w:w="13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670</w:t>
            </w:r>
          </w:p>
        </w:tc>
      </w:tr>
      <w:tr w:rsidR="003C56C6"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seca para gatos adultos castrados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Categoria Premium Especial</w:t>
            </w:r>
          </w:p>
          <w:p w:rsidR="003C56C6" w:rsidRDefault="003C56C6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Embalagem de 10,1 Kg.</w:t>
            </w:r>
          </w:p>
        </w:tc>
        <w:tc>
          <w:tcPr>
            <w:tcW w:w="13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Un.</w:t>
            </w:r>
          </w:p>
        </w:tc>
        <w:tc>
          <w:tcPr>
            <w:tcW w:w="1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500</w:t>
            </w:r>
          </w:p>
        </w:tc>
      </w:tr>
      <w:tr w:rsidR="003C56C6"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seca para gatos filhotes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Categoria Premium Especial</w:t>
            </w:r>
          </w:p>
          <w:p w:rsidR="003C56C6" w:rsidRDefault="003C56C6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Embalagem de 10,1 Kg.</w:t>
            </w:r>
          </w:p>
        </w:tc>
        <w:tc>
          <w:tcPr>
            <w:tcW w:w="13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120</w:t>
            </w:r>
          </w:p>
        </w:tc>
      </w:tr>
      <w:tr w:rsidR="003C56C6"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Gastrointestinal para cães adultos</w:t>
            </w:r>
          </w:p>
          <w:p w:rsidR="003C56C6" w:rsidRDefault="003C56C6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Embalagem de 10,1 Kg.</w:t>
            </w:r>
          </w:p>
        </w:tc>
        <w:tc>
          <w:tcPr>
            <w:tcW w:w="13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50</w:t>
            </w:r>
          </w:p>
        </w:tc>
      </w:tr>
      <w:tr w:rsidR="003C56C6"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Renal para cães adultos</w:t>
            </w:r>
          </w:p>
          <w:p w:rsidR="003C56C6" w:rsidRDefault="003C56C6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Embalagem de 10,1 Kg.</w:t>
            </w:r>
          </w:p>
        </w:tc>
        <w:tc>
          <w:tcPr>
            <w:tcW w:w="13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25</w:t>
            </w:r>
          </w:p>
        </w:tc>
      </w:tr>
      <w:tr w:rsidR="003C56C6"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Hepática para cães</w:t>
            </w:r>
          </w:p>
          <w:p w:rsidR="003C56C6" w:rsidRDefault="003C56C6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Embalagem de 10,1 Kg.</w:t>
            </w:r>
          </w:p>
        </w:tc>
        <w:tc>
          <w:tcPr>
            <w:tcW w:w="13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20</w:t>
            </w:r>
          </w:p>
        </w:tc>
      </w:tr>
      <w:tr w:rsidR="003C56C6"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Ração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Hipoalergênica para gatos</w:t>
            </w:r>
          </w:p>
          <w:p w:rsidR="003C56C6" w:rsidRDefault="003C56C6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Embalagem de 1,5 Kg.</w:t>
            </w:r>
          </w:p>
        </w:tc>
        <w:tc>
          <w:tcPr>
            <w:tcW w:w="13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10</w:t>
            </w:r>
          </w:p>
        </w:tc>
      </w:tr>
      <w:tr w:rsidR="003C56C6"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Úmida para cães adultos (patê)</w:t>
            </w:r>
          </w:p>
          <w:p w:rsidR="003C56C6" w:rsidRDefault="003C56C6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</w:rPr>
              <w:t>Embalagem com no mínimo 280 g.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3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7.000</w:t>
            </w:r>
          </w:p>
        </w:tc>
      </w:tr>
      <w:tr w:rsidR="003C56C6"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Úmida para cães filhotes (ao molho)</w:t>
            </w:r>
          </w:p>
          <w:p w:rsidR="003C56C6" w:rsidRDefault="003C56C6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</w:rPr>
              <w:t xml:space="preserve">Embalagem com no mínimo 100 </w:t>
            </w: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</w:rPr>
              <w:t>g.</w:t>
            </w:r>
          </w:p>
        </w:tc>
        <w:tc>
          <w:tcPr>
            <w:tcW w:w="13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3.000</w:t>
            </w:r>
          </w:p>
        </w:tc>
      </w:tr>
      <w:tr w:rsidR="003C56C6"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úmida para gatos adultos (patê)</w:t>
            </w:r>
          </w:p>
          <w:p w:rsidR="003C56C6" w:rsidRDefault="003C56C6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</w:rPr>
              <w:t>Embalagem com no mínimo 100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g.</w:t>
            </w:r>
          </w:p>
        </w:tc>
        <w:tc>
          <w:tcPr>
            <w:tcW w:w="13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7.000</w:t>
            </w:r>
          </w:p>
        </w:tc>
      </w:tr>
      <w:tr w:rsidR="003C56C6">
        <w:trPr>
          <w:trHeight w:val="1575"/>
        </w:trPr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úmida para gatos filhotes (ao molho)</w:t>
            </w:r>
          </w:p>
          <w:p w:rsidR="003C56C6" w:rsidRDefault="003C56C6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</w:rPr>
              <w:t>Embalagem com no mínimo 85 g.</w:t>
            </w:r>
          </w:p>
        </w:tc>
        <w:tc>
          <w:tcPr>
            <w:tcW w:w="13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3.000</w:t>
            </w:r>
          </w:p>
        </w:tc>
      </w:tr>
      <w:tr w:rsidR="003C56C6"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para equinos</w:t>
            </w:r>
          </w:p>
          <w:p w:rsidR="003C56C6" w:rsidRDefault="003C56C6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</w:rPr>
              <w:t>Embalagem de 40 Kg.</w:t>
            </w:r>
          </w:p>
        </w:tc>
        <w:tc>
          <w:tcPr>
            <w:tcW w:w="13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Un.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750</w:t>
            </w:r>
          </w:p>
        </w:tc>
      </w:tr>
      <w:tr w:rsidR="003C56C6"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para equinos jovens (Potros)</w:t>
            </w:r>
          </w:p>
          <w:p w:rsidR="003C56C6" w:rsidRDefault="003C56C6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</w:rPr>
              <w:t>Embalagem de 25 Kg.</w:t>
            </w:r>
          </w:p>
        </w:tc>
        <w:tc>
          <w:tcPr>
            <w:tcW w:w="13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120</w:t>
            </w:r>
          </w:p>
        </w:tc>
      </w:tr>
      <w:tr w:rsidR="003C56C6"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Feno de alfafa</w:t>
            </w:r>
          </w:p>
          <w:p w:rsidR="003C56C6" w:rsidRDefault="003C56C6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</w:rPr>
              <w:t>Fardo regular com no mínimo 10 kg.</w:t>
            </w:r>
          </w:p>
        </w:tc>
        <w:tc>
          <w:tcPr>
            <w:tcW w:w="13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Kg.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12.000</w:t>
            </w:r>
          </w:p>
        </w:tc>
      </w:tr>
      <w:tr w:rsidR="003C56C6">
        <w:trPr>
          <w:trHeight w:val="1125"/>
        </w:trPr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Sal mineral para equinos</w:t>
            </w:r>
          </w:p>
          <w:p w:rsidR="003C56C6" w:rsidRDefault="003C56C6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Embalagem com no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mínimo 10 Kg.</w:t>
            </w:r>
          </w:p>
        </w:tc>
        <w:tc>
          <w:tcPr>
            <w:tcW w:w="13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24</w:t>
            </w:r>
          </w:p>
        </w:tc>
      </w:tr>
      <w:tr w:rsidR="003C56C6"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Suplemento alimentar complementar ou substituto de leite materno para caninos e felinos</w:t>
            </w:r>
          </w:p>
          <w:p w:rsidR="003C56C6" w:rsidRDefault="003C56C6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</w:rPr>
              <w:t>Sachê de 300g.</w:t>
            </w:r>
          </w:p>
        </w:tc>
        <w:tc>
          <w:tcPr>
            <w:tcW w:w="13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180</w:t>
            </w:r>
          </w:p>
        </w:tc>
      </w:tr>
    </w:tbl>
    <w:p w:rsidR="003C56C6" w:rsidRDefault="003C56C6">
      <w:pPr>
        <w:tabs>
          <w:tab w:val="left" w:pos="2557"/>
        </w:tabs>
        <w:snapToGrid w:val="0"/>
        <w:jc w:val="both"/>
        <w:rPr>
          <w:rFonts w:ascii="Times New Roman" w:hAnsi="Times New Roman"/>
          <w:sz w:val="20"/>
          <w:szCs w:val="20"/>
        </w:rPr>
      </w:pPr>
    </w:p>
    <w:p w:rsidR="003C56C6" w:rsidRDefault="003C56C6">
      <w:pPr>
        <w:tabs>
          <w:tab w:val="left" w:pos="2557"/>
        </w:tabs>
        <w:snapToGrid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7 - LEVANTAMENTO DE MERCADO:</w:t>
      </w:r>
    </w:p>
    <w:p w:rsidR="003C56C6" w:rsidRDefault="003D7E3D">
      <w:pPr>
        <w:pStyle w:val="normal1"/>
        <w:keepLines w:val="0"/>
        <w:widowControl/>
        <w:spacing w:before="20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Foi realizado levantamento de mercado com o objetivo de identificar,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analisar e comparar as alternativas disponíveis para atendimento da necessidade de alimentação dos animais sob tutela da Secretaria Municipal de Bem-Estar Animal – SMBEA, considerando aspectos de conveniência, economicidade, eficiência administrativa, sus</w:t>
      </w:r>
      <w:r>
        <w:rPr>
          <w:rFonts w:ascii="Times New Roman" w:eastAsia="Times New Roman" w:hAnsi="Times New Roman" w:cs="Times New Roman"/>
          <w:sz w:val="24"/>
          <w:szCs w:val="24"/>
        </w:rPr>
        <w:t>tentabilidade e continuidade do serviço público.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Solução 1 – Aquisição de alimentos via Sistema de Registro de Preços: Aquisição de rações secas, rações úmidas, dietas terapêuticas, suplementos alimentares, feno e sal mineral, por meio de licitação para f</w:t>
      </w:r>
      <w:r>
        <w:rPr>
          <w:rFonts w:ascii="Times New Roman" w:eastAsia="Times New Roman" w:hAnsi="Times New Roman" w:cs="Times New Roman"/>
          <w:sz w:val="24"/>
          <w:szCs w:val="24"/>
        </w:rPr>
        <w:t>ormação de Ata de Registro de Preços, com fornecimento parcelado, conforme demanda efetiva da SMBEA. Essa solução permite atendimento contínuo e flexível das demandas, destacando-se pela melhor relação custo-benefício, maior eficiência administrativa e mai</w:t>
      </w:r>
      <w:r>
        <w:rPr>
          <w:rFonts w:ascii="Times New Roman" w:eastAsia="Times New Roman" w:hAnsi="Times New Roman" w:cs="Times New Roman"/>
          <w:sz w:val="24"/>
          <w:szCs w:val="24"/>
        </w:rPr>
        <w:t>or aderência às necessidades operacionais da SMBEA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Solução 2 – Contratações pontuais ou aquisições emergenciais: Aquisição de alimentos por meio de contratações diretas, dispensas de licitação ou compras emergenciais, conforme surgimento da necessidade. S</w:t>
      </w:r>
      <w:r>
        <w:rPr>
          <w:rFonts w:ascii="Times New Roman" w:eastAsia="Times New Roman" w:hAnsi="Times New Roman" w:cs="Times New Roman"/>
          <w:sz w:val="24"/>
          <w:szCs w:val="24"/>
        </w:rPr>
        <w:t>olução adequada apenas para situações excepcionais e imprevisíveis, não recomendada como estratégia permanente.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Solução 3 – Chamamentos públicos para doações e parcerias com a sociedade civil: Realização de chamamentos públicos visando o recebimento de do</w:t>
      </w:r>
      <w:r>
        <w:rPr>
          <w:rFonts w:ascii="Times New Roman" w:eastAsia="Times New Roman" w:hAnsi="Times New Roman" w:cs="Times New Roman"/>
          <w:sz w:val="24"/>
          <w:szCs w:val="24"/>
        </w:rPr>
        <w:t>ações de alimentos, parcerias com protetores independentes, entidades do terceiro setor, empresas privadas e campanhas solidárias. Solução complementar, porém insuficiente para garantir a continuidade do serviço público essencial.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Solução 4 – Produção pró</w:t>
      </w:r>
      <w:r>
        <w:rPr>
          <w:rFonts w:ascii="Times New Roman" w:eastAsia="Times New Roman" w:hAnsi="Times New Roman" w:cs="Times New Roman"/>
          <w:sz w:val="24"/>
          <w:szCs w:val="24"/>
        </w:rPr>
        <w:t>pria ou preparo artesanal de alimentação: Elaboração de alimentação própria (cozinhas comunitárias, preparo artesanal de dietas) para atendimento dos animais abrigados. Solução inviável do ponto de vista técnico, sanitário e econômico.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Solução 5 – Contrat</w:t>
      </w:r>
      <w:r>
        <w:rPr>
          <w:rFonts w:ascii="Times New Roman" w:eastAsia="Times New Roman" w:hAnsi="Times New Roman" w:cs="Times New Roman"/>
          <w:sz w:val="24"/>
          <w:szCs w:val="24"/>
        </w:rPr>
        <w:t>ação de empresa especializada para gestão de estoque e fornecimento contínuo de alimentos: Contratação de empresa especializada para realizar a gestão integral do estoque e o fornecimento contínuo dos alimentos necessários, conforme descritivo técnico e qu</w:t>
      </w:r>
      <w:r>
        <w:rPr>
          <w:rFonts w:ascii="Times New Roman" w:eastAsia="Times New Roman" w:hAnsi="Times New Roman" w:cs="Times New Roman"/>
          <w:sz w:val="24"/>
          <w:szCs w:val="24"/>
        </w:rPr>
        <w:t>antitativos estimados pela SMBEA, abrangendo rações, dietas especiais, suplementos, feno e sal mineral, em lote único ou em poucos lotes, mediante pagamento periódico. Embora operacionalmente viável, a contratação por lote com gestão terceirizada de estoqu</w:t>
      </w:r>
      <w:r>
        <w:rPr>
          <w:rFonts w:ascii="Times New Roman" w:eastAsia="Times New Roman" w:hAnsi="Times New Roman" w:cs="Times New Roman"/>
          <w:sz w:val="24"/>
          <w:szCs w:val="24"/>
        </w:rPr>
        <w:t>e apresenta maior custo global, menor competitividade e menor flexibilidade.</w:t>
      </w:r>
    </w:p>
    <w:tbl>
      <w:tblPr>
        <w:tblW w:w="847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15"/>
        <w:gridCol w:w="1274"/>
        <w:gridCol w:w="1618"/>
        <w:gridCol w:w="962"/>
        <w:gridCol w:w="1366"/>
        <w:gridCol w:w="1440"/>
      </w:tblGrid>
      <w:tr w:rsidR="003C56C6">
        <w:trPr>
          <w:tblHeader/>
        </w:trPr>
        <w:tc>
          <w:tcPr>
            <w:tcW w:w="84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pStyle w:val="Ttulode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Comparação entre as soluções levantadas</w:t>
            </w:r>
          </w:p>
        </w:tc>
      </w:tr>
      <w:tr w:rsidR="003C56C6">
        <w:tc>
          <w:tcPr>
            <w:tcW w:w="181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C56C6">
            <w:pPr>
              <w:pStyle w:val="Ttulodetabelauser"/>
              <w:rPr>
                <w:rFonts w:ascii="Times New Roman" w:hAnsi="Times New Roman"/>
                <w:sz w:val="20"/>
                <w:szCs w:val="20"/>
              </w:rPr>
            </w:pPr>
          </w:p>
          <w:p w:rsidR="003C56C6" w:rsidRDefault="003D7E3D">
            <w:pPr>
              <w:pStyle w:val="Ttulode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Critério</w:t>
            </w:r>
          </w:p>
        </w:tc>
        <w:tc>
          <w:tcPr>
            <w:tcW w:w="666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pStyle w:val="Ttulode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Solução:</w:t>
            </w:r>
          </w:p>
        </w:tc>
      </w:tr>
      <w:tr w:rsidR="003C56C6">
        <w:tc>
          <w:tcPr>
            <w:tcW w:w="181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C56C6">
            <w:pPr>
              <w:pStyle w:val="Ttulodetabelaus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Ttulode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Registro de Preços</w:t>
            </w:r>
          </w:p>
        </w:tc>
        <w:tc>
          <w:tcPr>
            <w:tcW w:w="16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Ttulode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Compras Emergenciais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Ttulode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Doações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Ttulode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Produção Própria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pStyle w:val="Ttulode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Gestão Terceirizada</w:t>
            </w:r>
          </w:p>
        </w:tc>
      </w:tr>
      <w:tr w:rsidR="003C56C6"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Continuidade do </w:t>
            </w:r>
            <w:r>
              <w:rPr>
                <w:rFonts w:ascii="Times New Roman" w:hAnsi="Times New Roman"/>
                <w:sz w:val="20"/>
                <w:szCs w:val="20"/>
              </w:rPr>
              <w:t>fornecimento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Alta</w:t>
            </w:r>
          </w:p>
        </w:tc>
        <w:tc>
          <w:tcPr>
            <w:tcW w:w="16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Baixa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Baixa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Média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Alta</w:t>
            </w:r>
          </w:p>
        </w:tc>
      </w:tr>
      <w:tr w:rsidR="003C56C6"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Flexibilidade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Alta</w:t>
            </w:r>
          </w:p>
        </w:tc>
        <w:tc>
          <w:tcPr>
            <w:tcW w:w="16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Baixa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Baixa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Média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Média</w:t>
            </w:r>
          </w:p>
        </w:tc>
      </w:tr>
      <w:tr w:rsidR="003C56C6"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Economicidade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Alta</w:t>
            </w:r>
          </w:p>
        </w:tc>
        <w:tc>
          <w:tcPr>
            <w:tcW w:w="16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Média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Alta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Baixa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Média</w:t>
            </w:r>
          </w:p>
        </w:tc>
      </w:tr>
      <w:tr w:rsidR="003C56C6"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Transparência de custos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Alta</w:t>
            </w:r>
          </w:p>
        </w:tc>
        <w:tc>
          <w:tcPr>
            <w:tcW w:w="16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Alta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Média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Média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Alta</w:t>
            </w:r>
          </w:p>
        </w:tc>
      </w:tr>
      <w:tr w:rsidR="003C56C6"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Competitividade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Alta</w:t>
            </w:r>
          </w:p>
        </w:tc>
        <w:tc>
          <w:tcPr>
            <w:tcW w:w="16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Alta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Baixa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Baixa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Baixa</w:t>
            </w:r>
          </w:p>
        </w:tc>
      </w:tr>
      <w:tr w:rsidR="003C56C6"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Adequação à rotina da SMBEA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Alta</w:t>
            </w:r>
          </w:p>
        </w:tc>
        <w:tc>
          <w:tcPr>
            <w:tcW w:w="16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Baixa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Baixa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Baixa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6C6" w:rsidRDefault="003D7E3D">
            <w:pPr>
              <w:pStyle w:val="Contedodatabelaus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Alta</w:t>
            </w:r>
          </w:p>
        </w:tc>
      </w:tr>
    </w:tbl>
    <w:p w:rsidR="003C56C6" w:rsidRDefault="003C56C6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3C56C6" w:rsidRDefault="003D7E3D">
      <w:pPr>
        <w:pStyle w:val="normal1"/>
        <w:keepLines w:val="0"/>
        <w:widowControl/>
        <w:spacing w:before="20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8 - ESTIMATIVA DO VALOR DA CONTRATAÇÃO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3C56C6" w:rsidRDefault="003D7E3D">
      <w:pPr>
        <w:pStyle w:val="normal1"/>
        <w:keepLines w:val="0"/>
        <w:widowControl/>
        <w:spacing w:before="20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Para estimativa inicial do valor da contratação foi realizada pesquisa de preços dos instrumentais cirúrgicos em sites especializados no comércio desses itens. A partir dos preços </w:t>
      </w:r>
      <w:r>
        <w:rPr>
          <w:rFonts w:ascii="Times New Roman" w:eastAsia="Times New Roman" w:hAnsi="Times New Roman" w:cs="Times New Roman"/>
          <w:sz w:val="24"/>
          <w:szCs w:val="24"/>
        </w:rPr>
        <w:t>unitários verificados, multiplicados pelo quantitativo estimado para contratação, calculamos o valor da licitação, conforme tabela a seguir:</w:t>
      </w:r>
    </w:p>
    <w:p w:rsidR="003C56C6" w:rsidRDefault="003C56C6">
      <w:pPr>
        <w:tabs>
          <w:tab w:val="left" w:pos="2557"/>
        </w:tabs>
        <w:snapToGrid w:val="0"/>
        <w:jc w:val="both"/>
        <w:rPr>
          <w:rFonts w:ascii="Times New Roman" w:hAnsi="Times New Roman"/>
          <w:sz w:val="20"/>
          <w:szCs w:val="20"/>
        </w:rPr>
      </w:pPr>
    </w:p>
    <w:tbl>
      <w:tblPr>
        <w:tblW w:w="8490" w:type="dxa"/>
        <w:tblInd w:w="110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720"/>
        <w:gridCol w:w="3180"/>
        <w:gridCol w:w="1200"/>
        <w:gridCol w:w="1020"/>
        <w:gridCol w:w="1245"/>
        <w:gridCol w:w="1125"/>
      </w:tblGrid>
      <w:tr w:rsidR="003C56C6">
        <w:tc>
          <w:tcPr>
            <w:tcW w:w="72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318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DESCRIÇÃO:</w:t>
            </w:r>
          </w:p>
        </w:tc>
        <w:tc>
          <w:tcPr>
            <w:tcW w:w="120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 DE MEDIDA:</w:t>
            </w: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QUANT.:</w:t>
            </w:r>
          </w:p>
        </w:tc>
        <w:tc>
          <w:tcPr>
            <w:tcW w:w="1245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VALOR UNITÁRIO:</w:t>
            </w:r>
          </w:p>
        </w:tc>
        <w:tc>
          <w:tcPr>
            <w:tcW w:w="1125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VALOR TOTAL:</w:t>
            </w:r>
          </w:p>
        </w:tc>
      </w:tr>
      <w:tr w:rsidR="003C56C6">
        <w:trPr>
          <w:trHeight w:val="1628"/>
        </w:trPr>
        <w:tc>
          <w:tcPr>
            <w:tcW w:w="7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seca para cães adultos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Categoria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Premium Especial</w:t>
            </w:r>
          </w:p>
          <w:p w:rsidR="003C56C6" w:rsidRDefault="003C56C6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Embalagem de 15 Kg.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4.000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R$ 137,69</w:t>
            </w: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R$ 550.760,00</w:t>
            </w:r>
          </w:p>
        </w:tc>
      </w:tr>
      <w:tr w:rsidR="003C56C6">
        <w:tc>
          <w:tcPr>
            <w:tcW w:w="7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seca Premium para cães filhotes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Categoria Premium Especial</w:t>
            </w:r>
          </w:p>
          <w:p w:rsidR="003C56C6" w:rsidRDefault="003C56C6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Embalagem de 15 Kg.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670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R$ 219,99</w:t>
            </w: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R$ 147.393,30</w:t>
            </w:r>
          </w:p>
        </w:tc>
      </w:tr>
      <w:tr w:rsidR="003C56C6">
        <w:tc>
          <w:tcPr>
            <w:tcW w:w="7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Ração seca para cães idosos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(sênior)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Categoria Premium Especial</w:t>
            </w:r>
          </w:p>
          <w:p w:rsidR="003C56C6" w:rsidRDefault="003C56C6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Embalagem de 15 Kg.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670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R$ 194,90</w:t>
            </w: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R$ 130.583,00</w:t>
            </w:r>
          </w:p>
        </w:tc>
      </w:tr>
      <w:tr w:rsidR="003C56C6">
        <w:tc>
          <w:tcPr>
            <w:tcW w:w="7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seca para gatos adultos castrados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Categoria Premium Especial</w:t>
            </w:r>
          </w:p>
          <w:p w:rsidR="003C56C6" w:rsidRDefault="003C56C6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Embalagem de 10,1 Kg.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500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R$ 171,99</w:t>
            </w: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R$ 85.995,00</w:t>
            </w:r>
          </w:p>
        </w:tc>
      </w:tr>
      <w:tr w:rsidR="003C56C6">
        <w:tc>
          <w:tcPr>
            <w:tcW w:w="7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Ração seca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para gatos filhotes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Categoria Premium Especial</w:t>
            </w:r>
          </w:p>
          <w:p w:rsidR="003C56C6" w:rsidRDefault="003C56C6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Embalagem de 10,1 Kg.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Un.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120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R$ 205,90</w:t>
            </w: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R$ 24.708,00</w:t>
            </w:r>
          </w:p>
        </w:tc>
      </w:tr>
      <w:tr w:rsidR="003C56C6">
        <w:tc>
          <w:tcPr>
            <w:tcW w:w="7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Gastrointestinal para cães adultos</w:t>
            </w:r>
          </w:p>
          <w:p w:rsidR="003C56C6" w:rsidRDefault="003C56C6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Embalagem de 10,1 Kg.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50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R$ 359,90</w:t>
            </w: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R$ 17.995,00</w:t>
            </w:r>
          </w:p>
        </w:tc>
      </w:tr>
      <w:tr w:rsidR="003C56C6">
        <w:tc>
          <w:tcPr>
            <w:tcW w:w="7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Ração Renal para cães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adultos</w:t>
            </w:r>
          </w:p>
          <w:p w:rsidR="003C56C6" w:rsidRDefault="003C56C6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Embalagem de 10,1 Kg.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25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R$ 359,90</w:t>
            </w: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R$ 8.997,50</w:t>
            </w:r>
          </w:p>
        </w:tc>
      </w:tr>
      <w:tr w:rsidR="003C56C6">
        <w:tc>
          <w:tcPr>
            <w:tcW w:w="7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Hepática para cães</w:t>
            </w:r>
          </w:p>
          <w:p w:rsidR="003C56C6" w:rsidRDefault="003C56C6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Embalagem de 10,1 Kg.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20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R$ 519,90</w:t>
            </w: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R$ 10.398,00</w:t>
            </w:r>
          </w:p>
        </w:tc>
      </w:tr>
      <w:tr w:rsidR="003C56C6">
        <w:tc>
          <w:tcPr>
            <w:tcW w:w="7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Hipoalergênica para gatos</w:t>
            </w:r>
          </w:p>
          <w:p w:rsidR="003C56C6" w:rsidRDefault="003C56C6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Embalagem de 1,5 Kg.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10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R$ 177,90</w:t>
            </w: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R$ 1.779,00</w:t>
            </w:r>
          </w:p>
        </w:tc>
      </w:tr>
      <w:tr w:rsidR="003C56C6">
        <w:tc>
          <w:tcPr>
            <w:tcW w:w="7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Úmida para cães adultos (patê)</w:t>
            </w:r>
          </w:p>
          <w:p w:rsidR="003C56C6" w:rsidRDefault="003C56C6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</w:rPr>
              <w:t>Embalagem com no mínimo 280 g.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7.000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R$ 10,40</w:t>
            </w: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R$ 72.800,00</w:t>
            </w:r>
          </w:p>
        </w:tc>
      </w:tr>
      <w:tr w:rsidR="003C56C6">
        <w:tc>
          <w:tcPr>
            <w:tcW w:w="7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Úmida para cães filhotes (ao molho)</w:t>
            </w:r>
          </w:p>
          <w:p w:rsidR="003C56C6" w:rsidRDefault="003C56C6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</w:rPr>
              <w:t>Embalagem com no mínimo 100 g.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3.000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R$ 3,39</w:t>
            </w: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R$ 10.170,00</w:t>
            </w:r>
          </w:p>
        </w:tc>
      </w:tr>
      <w:tr w:rsidR="003C56C6">
        <w:tc>
          <w:tcPr>
            <w:tcW w:w="7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úmida para gatos adultos (patê)</w:t>
            </w:r>
          </w:p>
          <w:p w:rsidR="003C56C6" w:rsidRDefault="003C56C6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</w:rPr>
              <w:t>Embalagem com no mínimo 100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g.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7.000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R$ 9,50</w:t>
            </w: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R$ 66.500,00</w:t>
            </w:r>
          </w:p>
        </w:tc>
      </w:tr>
      <w:tr w:rsidR="003C56C6">
        <w:trPr>
          <w:trHeight w:val="1575"/>
        </w:trPr>
        <w:tc>
          <w:tcPr>
            <w:tcW w:w="7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úmida para gatos filhotes (ao molho)</w:t>
            </w:r>
          </w:p>
          <w:p w:rsidR="003C56C6" w:rsidRDefault="003C56C6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</w:rPr>
              <w:t>Embalagem com no mínimo 85 g.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3.000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R$ 3,39</w:t>
            </w: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R$ 10.170,00</w:t>
            </w:r>
          </w:p>
        </w:tc>
      </w:tr>
      <w:tr w:rsidR="003C56C6">
        <w:tc>
          <w:tcPr>
            <w:tcW w:w="7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Ração para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equinos</w:t>
            </w:r>
          </w:p>
          <w:p w:rsidR="003C56C6" w:rsidRDefault="003C56C6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</w:rPr>
              <w:lastRenderedPageBreak/>
              <w:t>Embalagem de 40 Kg.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Un.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750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R$ 116,95</w:t>
            </w: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R$ 87.712,50</w:t>
            </w:r>
          </w:p>
        </w:tc>
      </w:tr>
      <w:tr w:rsidR="003C56C6">
        <w:tc>
          <w:tcPr>
            <w:tcW w:w="7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Ração para equinos jovens (Potros)</w:t>
            </w:r>
          </w:p>
          <w:p w:rsidR="003C56C6" w:rsidRDefault="003C56C6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</w:rPr>
              <w:t>Embalagem de 25 Kg.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120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R$ 126,51</w:t>
            </w: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R$ 15.181,20</w:t>
            </w:r>
          </w:p>
        </w:tc>
      </w:tr>
      <w:tr w:rsidR="003C56C6">
        <w:tc>
          <w:tcPr>
            <w:tcW w:w="7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Feno de alfafa</w:t>
            </w:r>
          </w:p>
          <w:p w:rsidR="003C56C6" w:rsidRDefault="003C56C6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</w:rPr>
              <w:t>Fardo regular com no mínimo 10 kg.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Kg.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12.000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R$ 3,70</w:t>
            </w: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R$ 44.400,00</w:t>
            </w:r>
          </w:p>
        </w:tc>
      </w:tr>
      <w:tr w:rsidR="003C56C6">
        <w:trPr>
          <w:trHeight w:val="1125"/>
        </w:trPr>
        <w:tc>
          <w:tcPr>
            <w:tcW w:w="7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Sal mineral para equinos</w:t>
            </w:r>
          </w:p>
          <w:p w:rsidR="003C56C6" w:rsidRDefault="003C56C6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Embalagem com no mínimo 10 Kg.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24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R$ 74,00</w:t>
            </w: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R$ 1.776,00</w:t>
            </w:r>
          </w:p>
        </w:tc>
      </w:tr>
      <w:tr w:rsidR="003C56C6">
        <w:tc>
          <w:tcPr>
            <w:tcW w:w="7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Suplemento alimentar complementar ou substituto de leite materno para caninos e felinos</w:t>
            </w:r>
          </w:p>
          <w:p w:rsidR="003C56C6" w:rsidRDefault="003C56C6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u w:val="single"/>
              </w:rPr>
              <w:t>Apresentação:</w:t>
            </w:r>
          </w:p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</w:rPr>
              <w:t>Sachê de 300g.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</w:rPr>
              <w:t>180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R$ 213,90</w:t>
            </w:r>
          </w:p>
        </w:tc>
        <w:tc>
          <w:tcPr>
            <w:tcW w:w="11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R$ 38.502,00</w:t>
            </w:r>
          </w:p>
        </w:tc>
      </w:tr>
      <w:tr w:rsidR="003C56C6">
        <w:trPr>
          <w:trHeight w:val="238"/>
        </w:trPr>
        <w:tc>
          <w:tcPr>
            <w:tcW w:w="6120" w:type="dxa"/>
            <w:gridSpan w:val="4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C56C6" w:rsidRDefault="003D7E3D">
            <w:pPr>
              <w:spacing w:after="6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TOTAL:</w:t>
            </w:r>
          </w:p>
        </w:tc>
        <w:tc>
          <w:tcPr>
            <w:tcW w:w="2370" w:type="dxa"/>
            <w:gridSpan w:val="2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C56C6" w:rsidRDefault="003D7E3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R$ 1.325.820,50</w:t>
            </w:r>
          </w:p>
        </w:tc>
      </w:tr>
    </w:tbl>
    <w:p w:rsidR="003C56C6" w:rsidRDefault="003C56C6">
      <w:pPr>
        <w:tabs>
          <w:tab w:val="left" w:pos="2557"/>
        </w:tabs>
        <w:snapToGrid w:val="0"/>
        <w:jc w:val="both"/>
        <w:rPr>
          <w:rFonts w:ascii="Times New Roman" w:hAnsi="Times New Roman"/>
          <w:sz w:val="20"/>
          <w:szCs w:val="20"/>
        </w:rPr>
      </w:pPr>
    </w:p>
    <w:p w:rsidR="003C56C6" w:rsidRDefault="003C56C6">
      <w:pPr>
        <w:tabs>
          <w:tab w:val="left" w:pos="2557"/>
        </w:tabs>
        <w:snapToGrid w:val="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9 - DESCRIÇÃO DA SOLUÇÃO COMO UM TODO: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Após a realização do levantamento de mercado e da análise comparativa entre as soluções disponíveis para atendimento da necessidade de alimentação dos </w:t>
      </w:r>
      <w:r>
        <w:rPr>
          <w:rFonts w:ascii="Times New Roman" w:eastAsia="Times New Roman" w:hAnsi="Times New Roman" w:cs="Times New Roman"/>
          <w:sz w:val="24"/>
          <w:szCs w:val="24"/>
        </w:rPr>
        <w:t>animais sob tutela da Secretaria Municipal de Bem-Estar Animal – SMBEA, concluiu-se que a aquisição de alimentos por meio de licitação para formação de Ata de Registro de Preços, com contratação por item e fornecimento parcelado, constitui a solução mais v</w:t>
      </w:r>
      <w:r>
        <w:rPr>
          <w:rFonts w:ascii="Times New Roman" w:eastAsia="Times New Roman" w:hAnsi="Times New Roman" w:cs="Times New Roman"/>
          <w:sz w:val="24"/>
          <w:szCs w:val="24"/>
        </w:rPr>
        <w:t>antajosa sob os aspectos técnico, econômico e operacional.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 solução selecionada consiste na aquisição continuada e sob demanda de alimentos destinados a cães, gatos e equinos, compreendendo, entre outros:</w:t>
      </w:r>
    </w:p>
    <w:p w:rsidR="003C56C6" w:rsidRDefault="003D7E3D">
      <w:pPr>
        <w:pStyle w:val="normal1"/>
        <w:widowControl/>
        <w:numPr>
          <w:ilvl w:val="0"/>
          <w:numId w:val="1"/>
        </w:num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Rações secas para diferentes espécies e faixas et</w:t>
      </w:r>
      <w:r>
        <w:rPr>
          <w:rFonts w:ascii="Times New Roman" w:eastAsia="Times New Roman" w:hAnsi="Times New Roman" w:cs="Times New Roman"/>
          <w:sz w:val="24"/>
          <w:szCs w:val="24"/>
        </w:rPr>
        <w:t>árias;</w:t>
      </w:r>
    </w:p>
    <w:p w:rsidR="003C56C6" w:rsidRDefault="003D7E3D">
      <w:pPr>
        <w:pStyle w:val="normal1"/>
        <w:widowControl/>
        <w:numPr>
          <w:ilvl w:val="0"/>
          <w:numId w:val="1"/>
        </w:num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Rações úmidas;</w:t>
      </w:r>
    </w:p>
    <w:p w:rsidR="003C56C6" w:rsidRDefault="003D7E3D">
      <w:pPr>
        <w:pStyle w:val="normal1"/>
        <w:widowControl/>
        <w:numPr>
          <w:ilvl w:val="0"/>
          <w:numId w:val="1"/>
        </w:num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Dietas terapêuticas específicas, conforme prescrição veterinária;</w:t>
      </w:r>
    </w:p>
    <w:p w:rsidR="003C56C6" w:rsidRDefault="003D7E3D">
      <w:pPr>
        <w:pStyle w:val="normal1"/>
        <w:widowControl/>
        <w:numPr>
          <w:ilvl w:val="0"/>
          <w:numId w:val="1"/>
        </w:num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Suplementos alimentares;</w:t>
      </w:r>
    </w:p>
    <w:p w:rsidR="003C56C6" w:rsidRDefault="003D7E3D">
      <w:pPr>
        <w:pStyle w:val="normal1"/>
        <w:widowControl/>
        <w:numPr>
          <w:ilvl w:val="0"/>
          <w:numId w:val="1"/>
        </w:num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Feno e sal mineral para equinos.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 contratação por meio do Sistema de Registro de Preços mostra-se a solução mais adequada, eficiente e econôm</w:t>
      </w:r>
      <w:r>
        <w:rPr>
          <w:rFonts w:ascii="Times New Roman" w:eastAsia="Times New Roman" w:hAnsi="Times New Roman" w:cs="Times New Roman"/>
          <w:sz w:val="24"/>
          <w:szCs w:val="24"/>
        </w:rPr>
        <w:t>ica, uma vez que permite o atendimento contínuo e parcelado das demandas ao longo do período de vigência da ata, com maior flexibilidade na gestão dos quantitativos, redução de estoques excessivos, mitigação de riscos de desabastecimento e melhor planejame</w:t>
      </w:r>
      <w:r>
        <w:rPr>
          <w:rFonts w:ascii="Times New Roman" w:eastAsia="Times New Roman" w:hAnsi="Times New Roman" w:cs="Times New Roman"/>
          <w:sz w:val="24"/>
          <w:szCs w:val="24"/>
        </w:rPr>
        <w:t>nto orçamentário. Tal modelo é especialmente compatível com a natureza variável e imprevisível da entrada de animais no abrigo municipal.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O fornecimento ocorrerá de forma parcelada, mediante requisições formais da SMBEA, dentro dos limites quantitativos r</w:t>
      </w:r>
      <w:r>
        <w:rPr>
          <w:rFonts w:ascii="Times New Roman" w:eastAsia="Times New Roman" w:hAnsi="Times New Roman" w:cs="Times New Roman"/>
          <w:sz w:val="24"/>
          <w:szCs w:val="24"/>
        </w:rPr>
        <w:t>egistrados em ata, conforme a necessidade efetiva ao longo da vigência, garantindo flexibilidade operacional e adequação à variação do plantel atendido.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Além disso, a contratação por item favorece a ampla competitividade, possibilitando a participação de </w:t>
      </w:r>
      <w:r>
        <w:rPr>
          <w:rFonts w:ascii="Times New Roman" w:eastAsia="Times New Roman" w:hAnsi="Times New Roman" w:cs="Times New Roman"/>
          <w:sz w:val="24"/>
          <w:szCs w:val="24"/>
        </w:rPr>
        <w:t>fornecedores especializados em determinados segmentos (ração seca, dietas terapêuticas, feno, suplementos), sem concentração indevida do fornecimento.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 solução ora descrita será caracterizada de forma detalhada no Termo de Referência, incluindo: Especifi</w:t>
      </w:r>
      <w:r>
        <w:rPr>
          <w:rFonts w:ascii="Times New Roman" w:eastAsia="Times New Roman" w:hAnsi="Times New Roman" w:cs="Times New Roman"/>
          <w:sz w:val="24"/>
          <w:szCs w:val="24"/>
        </w:rPr>
        <w:t>cações técnicas dos itens; Condições de fornecimento e entrega; Critérios de aceitação; Obrigações da contratada e da contratante; Regras de fiscalização e Penalidades.</w:t>
      </w:r>
    </w:p>
    <w:p w:rsidR="003C56C6" w:rsidRDefault="003C56C6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10 - JUSTIFICATIVA PARA PARCELAMENTO OU NÃO DA SOLUÇÃO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3C56C6" w:rsidRDefault="003D7E3D">
      <w:pPr>
        <w:pStyle w:val="normal1"/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 xml:space="preserve">O objeto da contratação </w:t>
      </w:r>
      <w:r>
        <w:rPr>
          <w:rFonts w:ascii="Times New Roman" w:eastAsia="Times New Roman" w:hAnsi="Times New Roman" w:cs="Times New Roman"/>
          <w:sz w:val="24"/>
          <w:szCs w:val="24"/>
        </w:rPr>
        <w:t>consiste no fornecimento de alimentos para animais, abrangendo rações secas, rações úmidas, dietas terapêuticas, suplementos alimentares, feno e sal mineral, destinados a diferentes espécies (cães, gatos e equinos).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Trata-se de objeto naturalmente divisív</w:t>
      </w:r>
      <w:r>
        <w:rPr>
          <w:rFonts w:ascii="Times New Roman" w:eastAsia="Times New Roman" w:hAnsi="Times New Roman" w:cs="Times New Roman"/>
          <w:sz w:val="24"/>
          <w:szCs w:val="24"/>
        </w:rPr>
        <w:t>el, uma vez que: Os itens possuem natureza independente entre si; Podem ser fornecidos por diferentes fornecedores sem prejuízo da funcionalidade do conjunto; São comercializados de forma autônoma no mercado; Não há interdependência técnica que exija forne</w:t>
      </w:r>
      <w:r>
        <w:rPr>
          <w:rFonts w:ascii="Times New Roman" w:eastAsia="Times New Roman" w:hAnsi="Times New Roman" w:cs="Times New Roman"/>
          <w:sz w:val="24"/>
          <w:szCs w:val="24"/>
        </w:rPr>
        <w:t>cimento conjunto.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Assim, sob o aspecto técnico, o parcelamento do objeto é plenamente viável.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 análise de mercado demonstrou que o parcelamento não acarreta de economia de escala, pelo contrário, favorece a competitividade e a economicidade. Já a contra</w:t>
      </w:r>
      <w:r>
        <w:rPr>
          <w:rFonts w:ascii="Times New Roman" w:eastAsia="Times New Roman" w:hAnsi="Times New Roman" w:cs="Times New Roman"/>
          <w:sz w:val="24"/>
          <w:szCs w:val="24"/>
        </w:rPr>
        <w:t>tação por lote único ou global, conforme analisado no levantamento de mercado, mostrou-se menos competitiva e menos vantajosa sob os aspectos econômico e administrativo.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Dessa forma, opta-se pela adjudicação por item, em consonância com a regra geral do p</w:t>
      </w:r>
      <w:r>
        <w:rPr>
          <w:rFonts w:ascii="Times New Roman" w:eastAsia="Times New Roman" w:hAnsi="Times New Roman" w:cs="Times New Roman"/>
          <w:sz w:val="24"/>
          <w:szCs w:val="24"/>
        </w:rPr>
        <w:t>arcelamento prevista na legislação vigente e com o entendimento consolidado na Súmula nº 247 do TCU.</w:t>
      </w:r>
    </w:p>
    <w:p w:rsidR="003C56C6" w:rsidRDefault="003C56C6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11 - DEMONSTRAÇÃO DOS RESULTADOS PRETENDIDOS:</w:t>
      </w:r>
    </w:p>
    <w:p w:rsidR="003C56C6" w:rsidRDefault="003D7E3D">
      <w:pPr>
        <w:pStyle w:val="Corpodetexto"/>
        <w:keepLines w:val="0"/>
        <w:widowControl/>
        <w:spacing w:before="20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Com a implementação da contratação proposta, pretende-se:</w:t>
      </w:r>
    </w:p>
    <w:p w:rsidR="003C56C6" w:rsidRDefault="003D7E3D">
      <w:pPr>
        <w:pStyle w:val="Corpodetexto"/>
        <w:widowControl/>
        <w:numPr>
          <w:ilvl w:val="0"/>
          <w:numId w:val="2"/>
        </w:numPr>
        <w:spacing w:before="20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Garantir o fornecimento contínuo e regular de ali</w:t>
      </w:r>
      <w:r>
        <w:rPr>
          <w:rFonts w:ascii="Times New Roman" w:eastAsia="Times New Roman" w:hAnsi="Times New Roman" w:cs="Times New Roman"/>
          <w:sz w:val="24"/>
          <w:szCs w:val="24"/>
        </w:rPr>
        <w:t>mentação adequada aos animais sob tutela do Município, compatível com as espécies, faixas etárias e condições clínicas atendidas;</w:t>
      </w:r>
    </w:p>
    <w:p w:rsidR="003C56C6" w:rsidRDefault="003D7E3D">
      <w:pPr>
        <w:pStyle w:val="Corpodetexto"/>
        <w:widowControl/>
        <w:numPr>
          <w:ilvl w:val="0"/>
          <w:numId w:val="2"/>
        </w:numPr>
        <w:spacing w:before="20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Assegurar condições nutricionais adequadas, contribuindo para o bem-estar animal, recuperação clínica e redução de riscos sani</w:t>
      </w:r>
      <w:r>
        <w:rPr>
          <w:rFonts w:ascii="Times New Roman" w:eastAsia="Times New Roman" w:hAnsi="Times New Roman" w:cs="Times New Roman"/>
          <w:sz w:val="24"/>
          <w:szCs w:val="24"/>
        </w:rPr>
        <w:t>tários;</w:t>
      </w:r>
    </w:p>
    <w:p w:rsidR="003C56C6" w:rsidRDefault="003D7E3D">
      <w:pPr>
        <w:pStyle w:val="Corpodetexto"/>
        <w:widowControl/>
        <w:numPr>
          <w:ilvl w:val="0"/>
          <w:numId w:val="2"/>
        </w:numPr>
        <w:spacing w:before="20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Obter melhor relação custo-benefício, por meio da competitividade do certame e do uso do Sistema de Registro de Preços;</w:t>
      </w:r>
    </w:p>
    <w:p w:rsidR="003C56C6" w:rsidRDefault="003D7E3D">
      <w:pPr>
        <w:pStyle w:val="Corpodetexto"/>
        <w:widowControl/>
        <w:numPr>
          <w:ilvl w:val="0"/>
          <w:numId w:val="2"/>
        </w:numPr>
        <w:spacing w:before="20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Reduzir a necessidade de contratações emergenciais e mitigar riscos de desabastecimento;</w:t>
      </w:r>
    </w:p>
    <w:p w:rsidR="003C56C6" w:rsidRDefault="003D7E3D">
      <w:pPr>
        <w:pStyle w:val="Corpodetexto"/>
        <w:widowControl/>
        <w:numPr>
          <w:ilvl w:val="0"/>
          <w:numId w:val="2"/>
        </w:numPr>
        <w:spacing w:before="20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Otimizar a gestão de estoques, com entr</w:t>
      </w:r>
      <w:r>
        <w:rPr>
          <w:rFonts w:ascii="Times New Roman" w:eastAsia="Times New Roman" w:hAnsi="Times New Roman" w:cs="Times New Roman"/>
          <w:sz w:val="24"/>
          <w:szCs w:val="24"/>
        </w:rPr>
        <w:t>egas parceladas e redução de perdas por vencimento;</w:t>
      </w:r>
    </w:p>
    <w:p w:rsidR="003C56C6" w:rsidRDefault="003D7E3D">
      <w:pPr>
        <w:pStyle w:val="Corpodetexto"/>
        <w:widowControl/>
        <w:numPr>
          <w:ilvl w:val="0"/>
          <w:numId w:val="2"/>
        </w:numPr>
        <w:spacing w:before="20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Promover maior eficiência administrativa, com diminuição do retrabalho e racionalização dos processos de aquisição;</w:t>
      </w:r>
    </w:p>
    <w:p w:rsidR="003C56C6" w:rsidRDefault="003D7E3D">
      <w:pPr>
        <w:pStyle w:val="Corpodetexto"/>
        <w:widowControl/>
        <w:numPr>
          <w:ilvl w:val="0"/>
          <w:numId w:val="2"/>
        </w:numPr>
        <w:spacing w:before="20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Permitir melhor direcionamento dos recursos humanos às atividades finalísticas da SMBEA;</w:t>
      </w:r>
    </w:p>
    <w:p w:rsidR="003C56C6" w:rsidRDefault="003D7E3D">
      <w:pPr>
        <w:pStyle w:val="Corpodetexto"/>
        <w:widowControl/>
        <w:numPr>
          <w:ilvl w:val="0"/>
          <w:numId w:val="2"/>
        </w:numPr>
        <w:spacing w:before="20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Contribuir para o desenvolvimento nacional sustentável, mediante estímulo à concorrência, redução de desperdícios e adoção de práticas ambientalmente responsáveis.</w:t>
      </w:r>
    </w:p>
    <w:p w:rsidR="003C56C6" w:rsidRDefault="003C56C6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12 - PROVIDÊNCIAS PRÉVIAS AO CONTRATO: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Para a adequada formalização e execução da futura </w:t>
      </w:r>
      <w:r>
        <w:rPr>
          <w:rFonts w:ascii="Times New Roman" w:eastAsia="Times New Roman" w:hAnsi="Times New Roman" w:cs="Times New Roman"/>
          <w:sz w:val="24"/>
          <w:szCs w:val="24"/>
        </w:rPr>
        <w:t>contratação, deverão ser adotadas, pela Administração, as seguintes providências prévias:</w:t>
      </w:r>
    </w:p>
    <w:p w:rsidR="003C56C6" w:rsidRDefault="003D7E3D">
      <w:pPr>
        <w:pStyle w:val="normal1"/>
        <w:widowControl/>
        <w:numPr>
          <w:ilvl w:val="0"/>
          <w:numId w:val="3"/>
        </w:num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Designação formal de gestor e fiscais da contratação, com definição clara das atribuições de acompanhamento, fiscalização e ateste do recebimento dos produtos;</w:t>
      </w:r>
    </w:p>
    <w:p w:rsidR="003C56C6" w:rsidRDefault="003D7E3D">
      <w:pPr>
        <w:pStyle w:val="normal1"/>
        <w:widowControl/>
        <w:numPr>
          <w:ilvl w:val="0"/>
          <w:numId w:val="3"/>
        </w:num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Orientação e alinhamento interno dos servidores envolvidos quanto aos fluxos de requisição, recebimento, conferência e controle dos itens adquiridos;</w:t>
      </w:r>
    </w:p>
    <w:p w:rsidR="003C56C6" w:rsidRDefault="003D7E3D">
      <w:pPr>
        <w:pStyle w:val="normal1"/>
        <w:widowControl/>
        <w:numPr>
          <w:ilvl w:val="0"/>
          <w:numId w:val="3"/>
        </w:num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Adequação dos procedimentos de controle de estoque, garantindo o registro correto das entradas, saídas e p</w:t>
      </w:r>
      <w:r>
        <w:rPr>
          <w:rFonts w:ascii="Times New Roman" w:eastAsia="Times New Roman" w:hAnsi="Times New Roman" w:cs="Times New Roman"/>
          <w:sz w:val="24"/>
          <w:szCs w:val="24"/>
        </w:rPr>
        <w:t>razos de validade dos produtos;</w:t>
      </w:r>
    </w:p>
    <w:p w:rsidR="003C56C6" w:rsidRDefault="003D7E3D">
      <w:pPr>
        <w:pStyle w:val="normal1"/>
        <w:widowControl/>
        <w:numPr>
          <w:ilvl w:val="0"/>
          <w:numId w:val="3"/>
        </w:num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Verificação da capacidade de armazenamento, assegurando condições adequadas de acondicionamento, higiene e conservação dos alimentos;</w:t>
      </w:r>
    </w:p>
    <w:p w:rsidR="003C56C6" w:rsidRDefault="003D7E3D">
      <w:pPr>
        <w:pStyle w:val="normal1"/>
        <w:widowControl/>
        <w:numPr>
          <w:ilvl w:val="0"/>
          <w:numId w:val="3"/>
        </w:num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Ajustes operacionais nos sistemas administrativos, quando necessários, para viabilizar o c</w:t>
      </w:r>
      <w:r>
        <w:rPr>
          <w:rFonts w:ascii="Times New Roman" w:eastAsia="Times New Roman" w:hAnsi="Times New Roman" w:cs="Times New Roman"/>
          <w:sz w:val="24"/>
          <w:szCs w:val="24"/>
        </w:rPr>
        <w:t>ontrole das requisições e do consumo;</w:t>
      </w:r>
    </w:p>
    <w:p w:rsidR="003C56C6" w:rsidRDefault="003D7E3D">
      <w:pPr>
        <w:pStyle w:val="normal1"/>
        <w:widowControl/>
        <w:numPr>
          <w:ilvl w:val="0"/>
          <w:numId w:val="3"/>
        </w:num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Planejamento logístico das entregas, com definição prévia de locais, horários e responsáveis pelo recebimento;</w:t>
      </w:r>
    </w:p>
    <w:p w:rsidR="003C56C6" w:rsidRDefault="003D7E3D">
      <w:pPr>
        <w:pStyle w:val="normal1"/>
        <w:widowControl/>
        <w:numPr>
          <w:ilvl w:val="0"/>
          <w:numId w:val="3"/>
        </w:num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Capacitação pontual dos servidores responsáveis pela fiscalização, quando necessário, especialmente quanto </w:t>
      </w:r>
      <w:r>
        <w:rPr>
          <w:rFonts w:ascii="Times New Roman" w:eastAsia="Times New Roman" w:hAnsi="Times New Roman" w:cs="Times New Roman"/>
          <w:sz w:val="24"/>
          <w:szCs w:val="24"/>
        </w:rPr>
        <w:t>aos critérios de aceitação e conformidade dos produtos.</w:t>
      </w:r>
    </w:p>
    <w:p w:rsidR="003C56C6" w:rsidRDefault="003C56C6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56C6" w:rsidRDefault="003D7E3D">
      <w:pPr>
        <w:pStyle w:val="normal1"/>
        <w:keepLines w:val="0"/>
        <w:widowControl/>
        <w:spacing w:before="20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13 - CONTRATAÇÕES CORRELATAS/INTERDEPENDENTES:</w:t>
      </w:r>
    </w:p>
    <w:p w:rsidR="003C56C6" w:rsidRDefault="003D7E3D">
      <w:pPr>
        <w:pStyle w:val="normal1"/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Atualmente, a Secretaria Municipal de Bem-Estar Animal de Canoas (SMBEA) possui o Contrato nº 87/2022, válido até 02/05/2026, que trata da prestação 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serviços de manutenção e operação das atividades da Secretaria, abrangendo o fornecimento de mão de obra, materiais, insumos, medicamentos, vacinas, procedimentos clínicos e cirúrgicos, exames laboratoriais e de imagem, alimentação para os animais alojado</w:t>
      </w:r>
      <w:r>
        <w:rPr>
          <w:rFonts w:ascii="Times New Roman" w:eastAsia="Times New Roman" w:hAnsi="Times New Roman" w:cs="Times New Roman"/>
          <w:sz w:val="24"/>
          <w:szCs w:val="24"/>
        </w:rPr>
        <w:t>s, bem como a limpeza e conservação predial.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O fornecimento de alimentação para os animais alojados encontra-se atualmente amparado no escopo desse contrato. Todavia, considerando o encerramento previsto em maio de 2026 e a impossibilidade de renovação, t</w:t>
      </w:r>
      <w:r>
        <w:rPr>
          <w:rFonts w:ascii="Times New Roman" w:eastAsia="Times New Roman" w:hAnsi="Times New Roman" w:cs="Times New Roman"/>
          <w:sz w:val="24"/>
          <w:szCs w:val="24"/>
        </w:rPr>
        <w:t>orna-se imprescindível promover novas licitações que assegurem a continuidade dos serviços prestados pela SMBEA.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Nesse sentido,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a aquisição de alimentos para os animais não ocorre de forma isolada, mas integra um conjunto de contratações e aquisições comp</w:t>
      </w:r>
      <w:r>
        <w:rPr>
          <w:rFonts w:ascii="Times New Roman" w:eastAsia="Times New Roman" w:hAnsi="Times New Roman" w:cs="Times New Roman"/>
          <w:sz w:val="24"/>
          <w:szCs w:val="24"/>
        </w:rPr>
        <w:t>lementares voltadas à execução das políticas públicas da Secretaria Municipal de Bem-Estar Animal de Canoas (SMBEA).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Nesse contexto, destaca-se como correlata a Contratação de mão de obra especializada, assegurando a disponibilidade de médicos veterinário</w:t>
      </w:r>
      <w:r>
        <w:rPr>
          <w:rFonts w:ascii="Times New Roman" w:eastAsia="Times New Roman" w:hAnsi="Times New Roman" w:cs="Times New Roman"/>
          <w:sz w:val="24"/>
          <w:szCs w:val="24"/>
        </w:rPr>
        <w:t>s, auxiliares de veterinária e tratadores de animais, a fim de promover o atendimento dos animais acolhidos pelo Municipio.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Portanto, a presente contratação deve ser entendida como parte de um planejamento integrado, destinado a viabilizar a execução das </w:t>
      </w:r>
      <w:r>
        <w:rPr>
          <w:rFonts w:ascii="Times New Roman" w:eastAsia="Times New Roman" w:hAnsi="Times New Roman" w:cs="Times New Roman"/>
          <w:sz w:val="24"/>
          <w:szCs w:val="24"/>
        </w:rPr>
        <w:t>políticas públicas da Secretaria Municipal de Bem-Estar Animal de Canoas (SMBEA), incluindo a capacidade de alojamento e manutenção de aproximadamente 350 (trezentos e cinquenta) animais.</w:t>
      </w:r>
    </w:p>
    <w:p w:rsidR="003C56C6" w:rsidRDefault="003C56C6">
      <w:pPr>
        <w:pStyle w:val="normal1"/>
        <w:widowControl/>
        <w:spacing w:before="200" w:line="360" w:lineRule="auto"/>
        <w:jc w:val="both"/>
        <w:rPr>
          <w:rFonts w:eastAsia="Times New Roman" w:cs="Times New Roman"/>
        </w:rPr>
      </w:pP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14 – PLANEJAMENTO E POSSÍVEIS IMPACTOS AMBIENTAIS:</w:t>
      </w:r>
    </w:p>
    <w:p w:rsidR="003C56C6" w:rsidRDefault="003D7E3D">
      <w:pPr>
        <w:pStyle w:val="normal1"/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 contratação 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ara aquisição de alimentos destinados aos animais sob tutela da Secretaria Municipal de Bem-Estar Animal – SMBEA pode gerar impactos ambientais indiretos, principalmente relacionados à logística de transporte, ao consumo de recursos naturais, à geração de </w:t>
      </w:r>
      <w:r>
        <w:rPr>
          <w:rFonts w:ascii="Times New Roman" w:eastAsia="Times New Roman" w:hAnsi="Times New Roman" w:cs="Times New Roman"/>
          <w:sz w:val="24"/>
          <w:szCs w:val="24"/>
        </w:rPr>
        <w:t>resíduos sólidos e ao acondicionamento dos produtos. Tais impactos são considerados moderados e mitigáveis, conforme descrito a seguir.</w:t>
      </w:r>
    </w:p>
    <w:tbl>
      <w:tblPr>
        <w:tblW w:w="8503" w:type="dxa"/>
        <w:tblInd w:w="5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51"/>
        <w:gridCol w:w="4252"/>
      </w:tblGrid>
      <w:tr w:rsidR="003C56C6"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C56C6" w:rsidRDefault="003D7E3D">
            <w:pPr>
              <w:pStyle w:val="Contedodatabela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IMPACTO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6C6" w:rsidRDefault="003D7E3D">
            <w:pPr>
              <w:pStyle w:val="Contedodatabela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MEDIDA MITIGADORA</w:t>
            </w:r>
          </w:p>
        </w:tc>
      </w:tr>
      <w:tr w:rsidR="003C56C6">
        <w:tc>
          <w:tcPr>
            <w:tcW w:w="4251" w:type="dxa"/>
            <w:tcBorders>
              <w:left w:val="single" w:sz="2" w:space="0" w:color="000000"/>
              <w:bottom w:val="single" w:sz="2" w:space="0" w:color="000000"/>
            </w:tcBorders>
          </w:tcPr>
          <w:p w:rsidR="003C56C6" w:rsidRDefault="003D7E3D">
            <w:pPr>
              <w:pStyle w:val="Contedodatabela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Geração de resíduos sólidos decorrentes de embalagens de rações, suplementos, feno e sal </w:t>
            </w:r>
            <w:r>
              <w:rPr>
                <w:rFonts w:ascii="Times New Roman" w:hAnsi="Times New Roman"/>
                <w:sz w:val="20"/>
                <w:szCs w:val="20"/>
              </w:rPr>
              <w:t>mineral.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6C6" w:rsidRDefault="003D7E3D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Preferência por produtos com embalagens recicláveis ou recicladas, sempre que disponíveis no mercado.</w:t>
            </w:r>
          </w:p>
        </w:tc>
      </w:tr>
      <w:tr w:rsidR="003C56C6">
        <w:tc>
          <w:tcPr>
            <w:tcW w:w="4251" w:type="dxa"/>
            <w:tcBorders>
              <w:left w:val="single" w:sz="2" w:space="0" w:color="000000"/>
              <w:bottom w:val="single" w:sz="2" w:space="0" w:color="000000"/>
            </w:tcBorders>
          </w:tcPr>
          <w:p w:rsidR="003C56C6" w:rsidRDefault="003D7E3D">
            <w:pPr>
              <w:pStyle w:val="Contedodatabela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Consumo de recursos naturais associados à produção industrial dos alimentos.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6C6" w:rsidRDefault="003D7E3D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Exigência de prazos de validade adequados, reduzindo perdas e </w:t>
            </w:r>
            <w:r>
              <w:rPr>
                <w:rFonts w:ascii="Times New Roman" w:hAnsi="Times New Roman"/>
                <w:sz w:val="20"/>
                <w:szCs w:val="20"/>
              </w:rPr>
              <w:t>desperdícios.</w:t>
            </w:r>
          </w:p>
          <w:p w:rsidR="003C56C6" w:rsidRDefault="003D7E3D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Adoção de boas práticas de armazenamento, prevenindo deterioração e descarte prematuro.</w:t>
            </w:r>
          </w:p>
        </w:tc>
      </w:tr>
      <w:tr w:rsidR="003C56C6">
        <w:tc>
          <w:tcPr>
            <w:tcW w:w="4251" w:type="dxa"/>
            <w:tcBorders>
              <w:left w:val="single" w:sz="2" w:space="0" w:color="000000"/>
              <w:bottom w:val="single" w:sz="2" w:space="0" w:color="000000"/>
            </w:tcBorders>
          </w:tcPr>
          <w:p w:rsidR="003C56C6" w:rsidRDefault="003D7E3D">
            <w:pPr>
              <w:pStyle w:val="Contedodatabela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Emissões atmosféricas decorrentes do transporte e distribuição dos produtos.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6C6" w:rsidRDefault="003D7E3D">
            <w:pPr>
              <w:pStyle w:val="Contedodatabela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Planejamento das entregas de forma parcelada e racional, evitando deslocamen</w:t>
            </w:r>
            <w:r>
              <w:rPr>
                <w:rFonts w:ascii="Times New Roman" w:hAnsi="Times New Roman"/>
                <w:sz w:val="20"/>
                <w:szCs w:val="20"/>
              </w:rPr>
              <w:t>tos desnecessários.</w:t>
            </w:r>
          </w:p>
        </w:tc>
      </w:tr>
      <w:tr w:rsidR="003C56C6">
        <w:tc>
          <w:tcPr>
            <w:tcW w:w="4251" w:type="dxa"/>
            <w:tcBorders>
              <w:left w:val="single" w:sz="2" w:space="0" w:color="000000"/>
              <w:bottom w:val="single" w:sz="2" w:space="0" w:color="000000"/>
            </w:tcBorders>
          </w:tcPr>
          <w:p w:rsidR="003C56C6" w:rsidRDefault="003D7E3D">
            <w:pPr>
              <w:pStyle w:val="Contedodatabela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Risco de descarte inadequado de embalagens e resíduos orgânicos.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6C6" w:rsidRDefault="003D7E3D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Destinação adequada das embalagens, com segregação de resíduos e encaminhamento à coleta seletiva municipal.</w:t>
            </w:r>
          </w:p>
        </w:tc>
      </w:tr>
    </w:tbl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 xml:space="preserve">Diante das medidas propostas, conclui-se que os impactos </w:t>
      </w:r>
      <w:r>
        <w:rPr>
          <w:rFonts w:ascii="Times New Roman" w:eastAsia="Times New Roman" w:hAnsi="Times New Roman" w:cs="Times New Roman"/>
          <w:sz w:val="24"/>
          <w:szCs w:val="24"/>
        </w:rPr>
        <w:t>ambientais decorrentes da contratação são controláveis e compatíveis com a natureza do objeto, sendo mitigados por práticas de planejamento, uso racional de recursos e correta gestão de resíduos, em consonância com os princípios da sustentabilidade ambient</w:t>
      </w:r>
      <w:r>
        <w:rPr>
          <w:rFonts w:ascii="Times New Roman" w:eastAsia="Times New Roman" w:hAnsi="Times New Roman" w:cs="Times New Roman"/>
          <w:sz w:val="24"/>
          <w:szCs w:val="24"/>
        </w:rPr>
        <w:t>al e do desenvolvimento sustentável.</w:t>
      </w:r>
    </w:p>
    <w:p w:rsidR="003C56C6" w:rsidRDefault="003C56C6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15 - VIABILIDADE DA CONTRATAÇÃO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Com base nos elementos técnicos, econômicos e operacionais levantados ao longo dos Estudos Técnicos Preliminares, conclui-se que a contratação é viável, razoável e adequada para o ate</w:t>
      </w:r>
      <w:r>
        <w:rPr>
          <w:rFonts w:ascii="Times New Roman" w:eastAsia="Times New Roman" w:hAnsi="Times New Roman" w:cs="Times New Roman"/>
          <w:sz w:val="24"/>
          <w:szCs w:val="24"/>
        </w:rPr>
        <w:t>ndimento da necessidade identificada.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 solução proposta, consistente na aquisição de alimentos para animais por meio de Sistema de Registro de Preços, com contratação por item e fornecimento parcelado, mostra-se tecnicamente viável, por atender às exigên</w:t>
      </w:r>
      <w:r>
        <w:rPr>
          <w:rFonts w:ascii="Times New Roman" w:eastAsia="Times New Roman" w:hAnsi="Times New Roman" w:cs="Times New Roman"/>
          <w:sz w:val="24"/>
          <w:szCs w:val="24"/>
        </w:rPr>
        <w:t>cias nutricionais das diferentes espécies, faixas etárias e condições clínicas dos animais sob tutela da Secretaria Municipal de Bem-Estar Animal – SMBEA.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Sob o aspecto operacional, a contratação é compatível com a estrutura administrativa existente, não </w:t>
      </w:r>
      <w:r>
        <w:rPr>
          <w:rFonts w:ascii="Times New Roman" w:eastAsia="Times New Roman" w:hAnsi="Times New Roman" w:cs="Times New Roman"/>
          <w:sz w:val="24"/>
          <w:szCs w:val="24"/>
        </w:rPr>
        <w:t>demandando adequações relevantes, permitindo execução contínua, flexível e eficiente, inclusive em situações de aumento imprevisto da demanda.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Quanto à viabilidade econômica e orçamentária, a solução apresenta adequada relação custo-benefício, promove eco</w:t>
      </w:r>
      <w:r>
        <w:rPr>
          <w:rFonts w:ascii="Times New Roman" w:eastAsia="Times New Roman" w:hAnsi="Times New Roman" w:cs="Times New Roman"/>
          <w:sz w:val="24"/>
          <w:szCs w:val="24"/>
        </w:rPr>
        <w:t>nomia de escala por meio da competitividade do certame, possibilita melhor planejamento financeiro e reduz a necessidade de contratações emergenciais, estando alinhada à disponibilidade orçamentária da Administração.</w:t>
      </w:r>
    </w:p>
    <w:p w:rsidR="003C56C6" w:rsidRDefault="003D7E3D">
      <w:pPr>
        <w:pStyle w:val="normal1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 xml:space="preserve">Dessa forma, a contratação pretendida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atende plenamente à necessidade pública identificada, mostra-se compatível com os princípios da eficiência, economicidade e continuidade do serviço público, e encontra respaldo nos Estudos Técnicos Preliminares realizados, sendo, portanto, recomendada sua </w:t>
      </w:r>
      <w:r>
        <w:rPr>
          <w:rFonts w:ascii="Times New Roman" w:eastAsia="Times New Roman" w:hAnsi="Times New Roman" w:cs="Times New Roman"/>
          <w:sz w:val="24"/>
          <w:szCs w:val="24"/>
        </w:rPr>
        <w:t>adoção.</w:t>
      </w:r>
    </w:p>
    <w:p w:rsidR="003C56C6" w:rsidRDefault="003D7E3D">
      <w:pPr>
        <w:pStyle w:val="normal1"/>
        <w:keepLines w:val="0"/>
        <w:widowControl/>
        <w:spacing w:before="200" w:line="360" w:lineRule="auto"/>
        <w:jc w:val="left"/>
        <w:rPr>
          <w:rFonts w:ascii="Times New Roman" w:eastAsia="Times New Roman" w:hAnsi="Times New Roman" w:cs="Times New Roman"/>
          <w:color w:val="ED1C24"/>
          <w:sz w:val="24"/>
          <w:szCs w:val="24"/>
        </w:rPr>
      </w:pPr>
      <w:r>
        <w:rPr>
          <w:rFonts w:ascii="Times New Roman" w:eastAsia="Times New Roman" w:hAnsi="Times New Roman" w:cs="Times New Roman"/>
          <w:color w:val="ED1C24"/>
          <w:sz w:val="24"/>
          <w:szCs w:val="24"/>
        </w:rPr>
        <w:t xml:space="preserve"> </w:t>
      </w:r>
    </w:p>
    <w:p w:rsidR="003C56C6" w:rsidRDefault="003D7E3D">
      <w:pPr>
        <w:pStyle w:val="normal1"/>
        <w:keepLines w:val="0"/>
        <w:widowControl/>
        <w:spacing w:before="20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Rogério Altamir Silveira Ximes</w:t>
      </w:r>
    </w:p>
    <w:p w:rsidR="003C56C6" w:rsidRDefault="003D7E3D">
      <w:pPr>
        <w:pStyle w:val="normal1"/>
        <w:keepLines w:val="0"/>
        <w:widowControl/>
        <w:spacing w:before="20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Matrícula 121363</w:t>
      </w:r>
    </w:p>
    <w:p w:rsidR="003C56C6" w:rsidRDefault="003D7E3D">
      <w:pPr>
        <w:pStyle w:val="normal1"/>
        <w:keepLines w:val="0"/>
        <w:widowControl/>
        <w:spacing w:before="20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Responsável pela elaboração do Estudo Técnico Preliminar</w:t>
      </w:r>
    </w:p>
    <w:p w:rsidR="003C56C6" w:rsidRDefault="003D7E3D">
      <w:pPr>
        <w:pStyle w:val="normal1"/>
        <w:keepLines w:val="0"/>
        <w:widowControl/>
        <w:spacing w:before="20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Secretaria Municipal de Bem-Estar Animal</w:t>
      </w:r>
    </w:p>
    <w:sectPr w:rsidR="003C56C6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2041" w:right="1702" w:bottom="1474" w:left="1701" w:header="850" w:footer="454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D7E3D">
      <w:r>
        <w:separator/>
      </w:r>
    </w:p>
  </w:endnote>
  <w:endnote w:type="continuationSeparator" w:id="0">
    <w:p w:rsidR="00000000" w:rsidRDefault="003D7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6C6" w:rsidRDefault="003C56C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6C6" w:rsidRDefault="003D7E3D">
    <w:pPr>
      <w:pStyle w:val="normal1"/>
      <w:tabs>
        <w:tab w:val="center" w:pos="4252"/>
        <w:tab w:val="right" w:pos="8504"/>
      </w:tabs>
      <w:jc w:val="right"/>
      <w:rPr>
        <w:color w:val="000000"/>
      </w:rPr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6C6" w:rsidRDefault="003D7E3D">
    <w:pPr>
      <w:pStyle w:val="normal1"/>
      <w:tabs>
        <w:tab w:val="center" w:pos="4252"/>
        <w:tab w:val="right" w:pos="8504"/>
      </w:tabs>
      <w:jc w:val="right"/>
      <w:rPr>
        <w:color w:val="000000"/>
      </w:rPr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6C6" w:rsidRDefault="003C56C6">
    <w:pPr>
      <w:pStyle w:val="Rodap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6C6" w:rsidRDefault="003C56C6">
    <w:pPr>
      <w:pStyle w:val="normal1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6C6" w:rsidRDefault="003C56C6">
    <w:pPr>
      <w:pStyle w:val="normal1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6C6" w:rsidRDefault="003C56C6">
    <w:pPr>
      <w:pStyle w:val="Rodap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6C6" w:rsidRDefault="003D7E3D">
    <w:pPr>
      <w:pStyle w:val="normal1"/>
      <w:tabs>
        <w:tab w:val="center" w:pos="4252"/>
        <w:tab w:val="right" w:pos="8504"/>
      </w:tabs>
      <w:jc w:val="right"/>
      <w:rPr>
        <w:color w:val="000000"/>
      </w:rPr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13</w:t>
    </w:r>
    <w:r>
      <w:fldChar w:fldCharType="end"/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6C6" w:rsidRDefault="003D7E3D">
    <w:pPr>
      <w:pStyle w:val="normal1"/>
      <w:tabs>
        <w:tab w:val="center" w:pos="4252"/>
        <w:tab w:val="right" w:pos="8504"/>
      </w:tabs>
      <w:jc w:val="right"/>
      <w:rPr>
        <w:color w:val="000000"/>
      </w:rPr>
    </w:pP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D7E3D">
      <w:r>
        <w:separator/>
      </w:r>
    </w:p>
  </w:footnote>
  <w:footnote w:type="continuationSeparator" w:id="0">
    <w:p w:rsidR="00000000" w:rsidRDefault="003D7E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6C6" w:rsidRDefault="003C56C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6C6" w:rsidRDefault="003C56C6">
    <w:pPr>
      <w:pStyle w:val="normal1"/>
      <w:keepLines w:val="0"/>
      <w:spacing w:line="276" w:lineRule="auto"/>
      <w:jc w:val="left"/>
    </w:pPr>
  </w:p>
  <w:tbl>
    <w:tblPr>
      <w:tblW w:w="8505" w:type="dxa"/>
      <w:tblInd w:w="93" w:type="dxa"/>
      <w:tblLayout w:type="fixed"/>
      <w:tblLook w:val="0000" w:firstRow="0" w:lastRow="0" w:firstColumn="0" w:lastColumn="0" w:noHBand="0" w:noVBand="0"/>
    </w:tblPr>
    <w:tblGrid>
      <w:gridCol w:w="928"/>
      <w:gridCol w:w="7577"/>
    </w:tblGrid>
    <w:tr w:rsidR="003C56C6">
      <w:trPr>
        <w:trHeight w:val="1324"/>
        <w:tblHeader/>
      </w:trPr>
      <w:tc>
        <w:tcPr>
          <w:tcW w:w="928" w:type="dxa"/>
          <w:shd w:val="clear" w:color="auto" w:fill="auto"/>
        </w:tcPr>
        <w:p w:rsidR="003C56C6" w:rsidRDefault="003D7E3D">
          <w:pPr>
            <w:pStyle w:val="normal1"/>
            <w:keepLines w:val="0"/>
            <w:widowControl/>
            <w:spacing w:before="10" w:after="32"/>
            <w:rPr>
              <w:rFonts w:ascii="Liberation Serif" w:eastAsia="Liberation Serif" w:hAnsi="Liberation Serif" w:cs="Liberation Serif"/>
              <w:color w:val="000000"/>
              <w:sz w:val="24"/>
              <w:szCs w:val="24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571500" cy="809625"/>
                <wp:effectExtent l="0" t="0" r="0" b="0"/>
                <wp:docPr id="1" name="image1.png" descr="Uma imagem contendo 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1.png" descr="Uma imagem contendo Logotipo&#10;&#10;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8096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77" w:type="dxa"/>
          <w:shd w:val="clear" w:color="auto" w:fill="auto"/>
        </w:tcPr>
        <w:p w:rsidR="003C56C6" w:rsidRDefault="003D7E3D">
          <w:pPr>
            <w:pStyle w:val="normal1"/>
            <w:keepLines w:val="0"/>
            <w:widowControl/>
            <w:ind w:left="240"/>
            <w:jc w:val="left"/>
            <w:rPr>
              <w:rFonts w:ascii="Liberation Serif" w:eastAsia="Liberation Serif" w:hAnsi="Liberation Serif" w:cs="Liberation Serif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ESTADO DO RIO GRANDE DO SUL</w:t>
          </w:r>
        </w:p>
        <w:p w:rsidR="003C56C6" w:rsidRDefault="003D7E3D">
          <w:pPr>
            <w:pStyle w:val="normal1"/>
            <w:keepLines w:val="0"/>
            <w:widowControl/>
            <w:ind w:left="240"/>
            <w:jc w:val="left"/>
            <w:rPr>
              <w:rFonts w:ascii="Liberation Serif" w:eastAsia="Liberation Serif" w:hAnsi="Liberation Serif" w:cs="Liberation Serif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MUNICÍPIO DE CANOAS</w:t>
          </w:r>
        </w:p>
        <w:p w:rsidR="003C56C6" w:rsidRDefault="003D7E3D">
          <w:pPr>
            <w:pStyle w:val="normal1"/>
            <w:keepLines w:val="0"/>
            <w:widowControl/>
            <w:ind w:left="240"/>
            <w:jc w:val="left"/>
            <w:rPr>
              <w:rFonts w:ascii="Liberation Serif" w:eastAsia="Liberation Serif" w:hAnsi="Liberation Serif" w:cs="Liberation Serif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Secretaria Municipal de Bem-Estar Animal</w:t>
          </w:r>
        </w:p>
        <w:p w:rsidR="003C56C6" w:rsidRDefault="003C56C6">
          <w:pPr>
            <w:pStyle w:val="normal1"/>
            <w:keepLines w:val="0"/>
            <w:widowControl/>
            <w:jc w:val="left"/>
            <w:rPr>
              <w:rFonts w:ascii="Times New Roman" w:eastAsia="Times New Roman" w:hAnsi="Times New Roman" w:cs="Times New Roman"/>
              <w:b/>
              <w:color w:val="000000"/>
              <w:sz w:val="28"/>
              <w:szCs w:val="28"/>
            </w:rPr>
          </w:pPr>
        </w:p>
      </w:tc>
    </w:tr>
  </w:tbl>
  <w:p w:rsidR="003C56C6" w:rsidRDefault="003C56C6">
    <w:pPr>
      <w:pStyle w:val="normal1"/>
      <w:tabs>
        <w:tab w:val="center" w:pos="4320"/>
        <w:tab w:val="right" w:pos="8640"/>
      </w:tabs>
      <w:jc w:val="right"/>
      <w:rPr>
        <w:sz w:val="24"/>
        <w:szCs w:val="24"/>
        <w:highlight w:val="red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6C6" w:rsidRDefault="003C56C6">
    <w:pPr>
      <w:pStyle w:val="normal1"/>
      <w:keepLines w:val="0"/>
      <w:spacing w:line="276" w:lineRule="auto"/>
      <w:jc w:val="left"/>
    </w:pPr>
  </w:p>
  <w:tbl>
    <w:tblPr>
      <w:tblW w:w="8505" w:type="dxa"/>
      <w:tblInd w:w="93" w:type="dxa"/>
      <w:tblLayout w:type="fixed"/>
      <w:tblLook w:val="0000" w:firstRow="0" w:lastRow="0" w:firstColumn="0" w:lastColumn="0" w:noHBand="0" w:noVBand="0"/>
    </w:tblPr>
    <w:tblGrid>
      <w:gridCol w:w="928"/>
      <w:gridCol w:w="7577"/>
    </w:tblGrid>
    <w:tr w:rsidR="003C56C6">
      <w:trPr>
        <w:trHeight w:val="1324"/>
        <w:tblHeader/>
      </w:trPr>
      <w:tc>
        <w:tcPr>
          <w:tcW w:w="928" w:type="dxa"/>
          <w:shd w:val="clear" w:color="auto" w:fill="auto"/>
        </w:tcPr>
        <w:p w:rsidR="003C56C6" w:rsidRDefault="003D7E3D">
          <w:pPr>
            <w:pStyle w:val="normal1"/>
            <w:keepLines w:val="0"/>
            <w:widowControl/>
            <w:spacing w:before="10" w:after="32"/>
            <w:rPr>
              <w:rFonts w:ascii="Liberation Serif" w:eastAsia="Liberation Serif" w:hAnsi="Liberation Serif" w:cs="Liberation Serif"/>
              <w:color w:val="000000"/>
              <w:sz w:val="24"/>
              <w:szCs w:val="24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571500" cy="809625"/>
                <wp:effectExtent l="0" t="0" r="0" b="0"/>
                <wp:docPr id="2" name="image1.png" descr="Uma imagem contendo 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png" descr="Uma imagem contendo Logotipo&#10;&#10;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8096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77" w:type="dxa"/>
          <w:shd w:val="clear" w:color="auto" w:fill="auto"/>
        </w:tcPr>
        <w:p w:rsidR="003C56C6" w:rsidRDefault="003D7E3D">
          <w:pPr>
            <w:pStyle w:val="normal1"/>
            <w:keepLines w:val="0"/>
            <w:widowControl/>
            <w:ind w:left="240"/>
            <w:jc w:val="left"/>
            <w:rPr>
              <w:rFonts w:ascii="Liberation Serif" w:eastAsia="Liberation Serif" w:hAnsi="Liberation Serif" w:cs="Liberation Serif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ESTADO DO RIO GRANDE DO SUL</w:t>
          </w:r>
        </w:p>
        <w:p w:rsidR="003C56C6" w:rsidRDefault="003D7E3D">
          <w:pPr>
            <w:pStyle w:val="normal1"/>
            <w:keepLines w:val="0"/>
            <w:widowControl/>
            <w:ind w:left="240"/>
            <w:jc w:val="left"/>
            <w:rPr>
              <w:rFonts w:ascii="Liberation Serif" w:eastAsia="Liberation Serif" w:hAnsi="Liberation Serif" w:cs="Liberation Serif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MUNICÍPIO DE CANOAS</w:t>
          </w:r>
        </w:p>
        <w:p w:rsidR="003C56C6" w:rsidRDefault="003D7E3D">
          <w:pPr>
            <w:pStyle w:val="normal1"/>
            <w:keepLines w:val="0"/>
            <w:widowControl/>
            <w:ind w:left="240"/>
            <w:jc w:val="left"/>
            <w:rPr>
              <w:rFonts w:ascii="Liberation Serif" w:eastAsia="Liberation Serif" w:hAnsi="Liberation Serif" w:cs="Liberation Serif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Secretaria Municipal de Bem-Estar Animal</w:t>
          </w:r>
        </w:p>
        <w:p w:rsidR="003C56C6" w:rsidRDefault="003C56C6">
          <w:pPr>
            <w:pStyle w:val="normal1"/>
            <w:keepLines w:val="0"/>
            <w:widowControl/>
            <w:jc w:val="left"/>
            <w:rPr>
              <w:rFonts w:ascii="Times New Roman" w:eastAsia="Times New Roman" w:hAnsi="Times New Roman" w:cs="Times New Roman"/>
              <w:b/>
              <w:color w:val="000000"/>
              <w:sz w:val="28"/>
              <w:szCs w:val="28"/>
            </w:rPr>
          </w:pPr>
        </w:p>
      </w:tc>
    </w:tr>
  </w:tbl>
  <w:p w:rsidR="003C56C6" w:rsidRDefault="003C56C6">
    <w:pPr>
      <w:pStyle w:val="normal1"/>
      <w:tabs>
        <w:tab w:val="center" w:pos="4320"/>
        <w:tab w:val="right" w:pos="8640"/>
      </w:tabs>
      <w:jc w:val="right"/>
      <w:rPr>
        <w:sz w:val="24"/>
        <w:szCs w:val="24"/>
        <w:highlight w:val="red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6C6" w:rsidRDefault="003C56C6">
    <w:pPr>
      <w:pStyle w:val="Cabealho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6C6" w:rsidRDefault="003C56C6">
    <w:pPr>
      <w:pStyle w:val="normal1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6C6" w:rsidRDefault="003C56C6">
    <w:pPr>
      <w:pStyle w:val="normal1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6C6" w:rsidRDefault="003C56C6">
    <w:pPr>
      <w:pStyle w:val="Cabealho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6C6" w:rsidRDefault="003C56C6">
    <w:pPr>
      <w:pStyle w:val="normal1"/>
      <w:keepLines w:val="0"/>
      <w:spacing w:line="276" w:lineRule="auto"/>
      <w:jc w:val="left"/>
    </w:pPr>
  </w:p>
  <w:tbl>
    <w:tblPr>
      <w:tblW w:w="8505" w:type="dxa"/>
      <w:tblInd w:w="93" w:type="dxa"/>
      <w:tblLayout w:type="fixed"/>
      <w:tblLook w:val="0000" w:firstRow="0" w:lastRow="0" w:firstColumn="0" w:lastColumn="0" w:noHBand="0" w:noVBand="0"/>
    </w:tblPr>
    <w:tblGrid>
      <w:gridCol w:w="928"/>
      <w:gridCol w:w="7577"/>
    </w:tblGrid>
    <w:tr w:rsidR="003C56C6">
      <w:trPr>
        <w:trHeight w:val="1324"/>
        <w:tblHeader/>
      </w:trPr>
      <w:tc>
        <w:tcPr>
          <w:tcW w:w="928" w:type="dxa"/>
          <w:shd w:val="clear" w:color="auto" w:fill="auto"/>
        </w:tcPr>
        <w:p w:rsidR="003C56C6" w:rsidRDefault="003D7E3D">
          <w:pPr>
            <w:pStyle w:val="normal1"/>
            <w:keepLines w:val="0"/>
            <w:widowControl/>
            <w:spacing w:before="10" w:after="32"/>
            <w:rPr>
              <w:rFonts w:ascii="Liberation Serif" w:eastAsia="Liberation Serif" w:hAnsi="Liberation Serif" w:cs="Liberation Serif"/>
              <w:color w:val="000000"/>
              <w:sz w:val="24"/>
              <w:szCs w:val="24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571500" cy="809625"/>
                <wp:effectExtent l="0" t="0" r="0" b="0"/>
                <wp:docPr id="3" name="Figura3" descr="Uma imagem contendo 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Figura3" descr="Uma imagem contendo Logotipo&#10;&#10;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8096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77" w:type="dxa"/>
          <w:shd w:val="clear" w:color="auto" w:fill="auto"/>
        </w:tcPr>
        <w:p w:rsidR="003C56C6" w:rsidRDefault="003D7E3D">
          <w:pPr>
            <w:pStyle w:val="normal1"/>
            <w:keepLines w:val="0"/>
            <w:widowControl/>
            <w:ind w:left="240"/>
            <w:jc w:val="left"/>
            <w:rPr>
              <w:rFonts w:ascii="Liberation Serif" w:eastAsia="Liberation Serif" w:hAnsi="Liberation Serif" w:cs="Liberation Serif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ESTADO DO RIO GRANDE DO SUL</w:t>
          </w:r>
        </w:p>
        <w:p w:rsidR="003C56C6" w:rsidRDefault="003D7E3D">
          <w:pPr>
            <w:pStyle w:val="normal1"/>
            <w:keepLines w:val="0"/>
            <w:widowControl/>
            <w:ind w:left="240"/>
            <w:jc w:val="left"/>
            <w:rPr>
              <w:rFonts w:ascii="Liberation Serif" w:eastAsia="Liberation Serif" w:hAnsi="Liberation Serif" w:cs="Liberation Serif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MUNICÍPIO DE CANOAS</w:t>
          </w:r>
        </w:p>
        <w:p w:rsidR="003C56C6" w:rsidRDefault="003D7E3D">
          <w:pPr>
            <w:pStyle w:val="normal1"/>
            <w:keepLines w:val="0"/>
            <w:widowControl/>
            <w:ind w:left="240"/>
            <w:jc w:val="left"/>
            <w:rPr>
              <w:rFonts w:ascii="Liberation Serif" w:eastAsia="Liberation Serif" w:hAnsi="Liberation Serif" w:cs="Liberation Serif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Secretaria Municipal de Bem-Estar Animal</w:t>
          </w:r>
        </w:p>
        <w:p w:rsidR="003C56C6" w:rsidRDefault="003C56C6">
          <w:pPr>
            <w:pStyle w:val="normal1"/>
            <w:keepLines w:val="0"/>
            <w:widowControl/>
            <w:jc w:val="left"/>
            <w:rPr>
              <w:rFonts w:ascii="Times New Roman" w:eastAsia="Times New Roman" w:hAnsi="Times New Roman" w:cs="Times New Roman"/>
              <w:b/>
              <w:color w:val="000000"/>
              <w:sz w:val="28"/>
              <w:szCs w:val="28"/>
            </w:rPr>
          </w:pPr>
        </w:p>
      </w:tc>
    </w:tr>
  </w:tbl>
  <w:p w:rsidR="003C56C6" w:rsidRDefault="003C56C6">
    <w:pPr>
      <w:pStyle w:val="normal1"/>
      <w:tabs>
        <w:tab w:val="center" w:pos="4320"/>
        <w:tab w:val="right" w:pos="8640"/>
      </w:tabs>
      <w:jc w:val="right"/>
      <w:rPr>
        <w:sz w:val="24"/>
        <w:szCs w:val="24"/>
        <w:highlight w:val="red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6C6" w:rsidRDefault="003C56C6">
    <w:pPr>
      <w:pStyle w:val="normal1"/>
      <w:keepLines w:val="0"/>
      <w:spacing w:line="276" w:lineRule="auto"/>
      <w:jc w:val="left"/>
    </w:pPr>
  </w:p>
  <w:tbl>
    <w:tblPr>
      <w:tblW w:w="8505" w:type="dxa"/>
      <w:tblInd w:w="93" w:type="dxa"/>
      <w:tblLayout w:type="fixed"/>
      <w:tblLook w:val="0000" w:firstRow="0" w:lastRow="0" w:firstColumn="0" w:lastColumn="0" w:noHBand="0" w:noVBand="0"/>
    </w:tblPr>
    <w:tblGrid>
      <w:gridCol w:w="928"/>
      <w:gridCol w:w="7577"/>
    </w:tblGrid>
    <w:tr w:rsidR="003C56C6">
      <w:trPr>
        <w:trHeight w:val="1324"/>
        <w:tblHeader/>
      </w:trPr>
      <w:tc>
        <w:tcPr>
          <w:tcW w:w="928" w:type="dxa"/>
          <w:shd w:val="clear" w:color="auto" w:fill="auto"/>
        </w:tcPr>
        <w:p w:rsidR="003C56C6" w:rsidRDefault="003D7E3D">
          <w:pPr>
            <w:pStyle w:val="normal1"/>
            <w:keepLines w:val="0"/>
            <w:widowControl/>
            <w:spacing w:before="10" w:after="32"/>
            <w:rPr>
              <w:rFonts w:ascii="Liberation Serif" w:eastAsia="Liberation Serif" w:hAnsi="Liberation Serif" w:cs="Liberation Serif"/>
              <w:color w:val="000000"/>
              <w:sz w:val="24"/>
              <w:szCs w:val="24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571500" cy="809625"/>
                <wp:effectExtent l="0" t="0" r="0" b="0"/>
                <wp:docPr id="4" name="Figura3" descr="Uma imagem contendo 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Figura3" descr="Uma imagem contendo Logotipo&#10;&#10;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8096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77" w:type="dxa"/>
          <w:shd w:val="clear" w:color="auto" w:fill="auto"/>
        </w:tcPr>
        <w:p w:rsidR="003C56C6" w:rsidRDefault="003D7E3D">
          <w:pPr>
            <w:pStyle w:val="normal1"/>
            <w:keepLines w:val="0"/>
            <w:widowControl/>
            <w:ind w:left="240"/>
            <w:jc w:val="left"/>
            <w:rPr>
              <w:rFonts w:ascii="Liberation Serif" w:eastAsia="Liberation Serif" w:hAnsi="Liberation Serif" w:cs="Liberation Serif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ESTADO DO RIO GRANDE DO SUL</w:t>
          </w:r>
        </w:p>
        <w:p w:rsidR="003C56C6" w:rsidRDefault="003D7E3D">
          <w:pPr>
            <w:pStyle w:val="normal1"/>
            <w:keepLines w:val="0"/>
            <w:widowControl/>
            <w:ind w:left="240"/>
            <w:jc w:val="left"/>
            <w:rPr>
              <w:rFonts w:ascii="Liberation Serif" w:eastAsia="Liberation Serif" w:hAnsi="Liberation Serif" w:cs="Liberation Serif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MUNICÍPIO DE CANOAS</w:t>
          </w:r>
        </w:p>
        <w:p w:rsidR="003C56C6" w:rsidRDefault="003D7E3D">
          <w:pPr>
            <w:pStyle w:val="normal1"/>
            <w:keepLines w:val="0"/>
            <w:widowControl/>
            <w:ind w:left="240"/>
            <w:jc w:val="left"/>
            <w:rPr>
              <w:rFonts w:ascii="Liberation Serif" w:eastAsia="Liberation Serif" w:hAnsi="Liberation Serif" w:cs="Liberation Serif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Secretaria Municipal de Bem-Estar Animal</w:t>
          </w:r>
        </w:p>
        <w:p w:rsidR="003C56C6" w:rsidRDefault="003C56C6">
          <w:pPr>
            <w:pStyle w:val="normal1"/>
            <w:keepLines w:val="0"/>
            <w:widowControl/>
            <w:jc w:val="left"/>
            <w:rPr>
              <w:rFonts w:ascii="Times New Roman" w:eastAsia="Times New Roman" w:hAnsi="Times New Roman" w:cs="Times New Roman"/>
              <w:b/>
              <w:color w:val="000000"/>
              <w:sz w:val="28"/>
              <w:szCs w:val="28"/>
            </w:rPr>
          </w:pPr>
        </w:p>
      </w:tc>
    </w:tr>
  </w:tbl>
  <w:p w:rsidR="003C56C6" w:rsidRDefault="003C56C6">
    <w:pPr>
      <w:pStyle w:val="normal1"/>
      <w:tabs>
        <w:tab w:val="center" w:pos="4320"/>
        <w:tab w:val="right" w:pos="8640"/>
      </w:tabs>
      <w:jc w:val="right"/>
      <w:rPr>
        <w:sz w:val="24"/>
        <w:szCs w:val="24"/>
        <w:highlight w:val="re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9727F"/>
    <w:multiLevelType w:val="multilevel"/>
    <w:tmpl w:val="6B3651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2BE3143"/>
    <w:multiLevelType w:val="multilevel"/>
    <w:tmpl w:val="08C0F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2A023851"/>
    <w:multiLevelType w:val="multilevel"/>
    <w:tmpl w:val="544C4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33E34A7B"/>
    <w:multiLevelType w:val="multilevel"/>
    <w:tmpl w:val="0CE61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6C6"/>
    <w:rsid w:val="003C56C6"/>
    <w:rsid w:val="003D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7053A8-2843-4F74-B258-3EC78355B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keepLines/>
      <w:widowControl w:val="0"/>
      <w:jc w:val="center"/>
    </w:pPr>
  </w:style>
  <w:style w:type="paragraph" w:styleId="Ttulo1">
    <w:name w:val="heading 1"/>
    <w:basedOn w:val="normal1"/>
    <w:next w:val="normal1"/>
    <w:uiPriority w:val="9"/>
    <w:qFormat/>
    <w:pPr>
      <w:keepNext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uiPriority w:val="9"/>
    <w:semiHidden/>
    <w:unhideWhenUsed/>
    <w:qFormat/>
    <w:pPr>
      <w:keepNext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uiPriority w:val="9"/>
    <w:semiHidden/>
    <w:unhideWhenUsed/>
    <w:qFormat/>
    <w:pPr>
      <w:keepNext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uiPriority w:val="9"/>
    <w:semiHidden/>
    <w:unhideWhenUsed/>
    <w:qFormat/>
    <w:pPr>
      <w:keepNext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uiPriority w:val="9"/>
    <w:semiHidden/>
    <w:unhideWhenUsed/>
    <w:qFormat/>
    <w:pPr>
      <w:keepNext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uiPriority w:val="9"/>
    <w:semiHidden/>
    <w:unhideWhenUsed/>
    <w:qFormat/>
    <w:pPr>
      <w:keepNext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4F0A4D"/>
  </w:style>
  <w:style w:type="character" w:customStyle="1" w:styleId="RodapChar">
    <w:name w:val="Rodapé Char"/>
    <w:basedOn w:val="Fontepargpadro"/>
    <w:link w:val="Rodap"/>
    <w:uiPriority w:val="99"/>
    <w:qFormat/>
    <w:rsid w:val="004F0A4D"/>
  </w:style>
  <w:style w:type="character" w:styleId="Forte">
    <w:name w:val="Strong"/>
    <w:basedOn w:val="Fontepargpadro"/>
    <w:uiPriority w:val="22"/>
    <w:qFormat/>
    <w:rsid w:val="00EF2FE8"/>
    <w:rPr>
      <w:b/>
      <w:bCs/>
    </w:rPr>
  </w:style>
  <w:style w:type="character" w:styleId="nfase">
    <w:name w:val="Emphasis"/>
    <w:basedOn w:val="Fontepargpadro"/>
    <w:uiPriority w:val="20"/>
    <w:qFormat/>
    <w:rsid w:val="009E7DF2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394ABA"/>
    <w:rPr>
      <w:color w:val="0000FF"/>
      <w:u w:val="single"/>
    </w:rPr>
  </w:style>
  <w:style w:type="character" w:styleId="HiperlinkVisitado">
    <w:name w:val="FollowedHyperlink"/>
    <w:rPr>
      <w:color w:val="800000"/>
      <w:u w:val="single"/>
    </w:rPr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paragraph" w:styleId="Ttulo">
    <w:name w:val="Title"/>
    <w:basedOn w:val="normal1"/>
    <w:next w:val="Corpodetexto"/>
    <w:uiPriority w:val="10"/>
    <w:qFormat/>
    <w:pPr>
      <w:keepNext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normal1">
    <w:name w:val="normal1"/>
    <w:qFormat/>
    <w:pPr>
      <w:keepLines/>
      <w:widowControl w:val="0"/>
      <w:jc w:val="center"/>
    </w:pPr>
  </w:style>
  <w:style w:type="paragraph" w:styleId="Subttulo">
    <w:name w:val="Subtitle"/>
    <w:basedOn w:val="normal1"/>
    <w:next w:val="normal1"/>
    <w:uiPriority w:val="11"/>
    <w:qFormat/>
    <w:pPr>
      <w:keepNext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comentrio">
    <w:name w:val="annotation text"/>
    <w:basedOn w:val="normal1"/>
    <w:link w:val="TextodecomentrioChar"/>
    <w:uiPriority w:val="99"/>
    <w:semiHidden/>
    <w:unhideWhenUsed/>
    <w:rPr>
      <w:sz w:val="20"/>
      <w:szCs w:val="20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1"/>
    <w:link w:val="CabealhoChar"/>
    <w:uiPriority w:val="99"/>
    <w:unhideWhenUsed/>
    <w:rsid w:val="004F0A4D"/>
    <w:pPr>
      <w:tabs>
        <w:tab w:val="center" w:pos="4252"/>
        <w:tab w:val="right" w:pos="8504"/>
      </w:tabs>
    </w:pPr>
  </w:style>
  <w:style w:type="paragraph" w:styleId="Rodap">
    <w:name w:val="footer"/>
    <w:basedOn w:val="normal1"/>
    <w:link w:val="RodapChar"/>
    <w:uiPriority w:val="99"/>
    <w:unhideWhenUsed/>
    <w:rsid w:val="004F0A4D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1"/>
    <w:uiPriority w:val="34"/>
    <w:qFormat/>
    <w:rsid w:val="004F0A4D"/>
    <w:pPr>
      <w:ind w:left="720"/>
      <w:contextualSpacing/>
    </w:pPr>
  </w:style>
  <w:style w:type="paragraph" w:styleId="NormalWeb">
    <w:name w:val="Normal (Web)"/>
    <w:basedOn w:val="normal1"/>
    <w:uiPriority w:val="99"/>
    <w:unhideWhenUsed/>
    <w:qFormat/>
    <w:rsid w:val="004F0A4D"/>
    <w:pPr>
      <w:keepLines w:val="0"/>
      <w:widowControl/>
      <w:spacing w:beforeAutospacing="1" w:after="142" w:line="288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tedodatabelauser">
    <w:name w:val="Conteúdo da tabela (user)"/>
    <w:basedOn w:val="Normal"/>
    <w:qFormat/>
    <w:pPr>
      <w:suppressLineNumbers/>
    </w:pPr>
  </w:style>
  <w:style w:type="paragraph" w:customStyle="1" w:styleId="Ttulodetabelauser">
    <w:name w:val="Título de tabela (user)"/>
    <w:basedOn w:val="Contedodatabelauser"/>
    <w:qFormat/>
    <w:rPr>
      <w:b/>
      <w:bCs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numbering" w:customStyle="1" w:styleId="Semlistauser">
    <w:name w:val="Sem lista (user)"/>
    <w:uiPriority w:val="99"/>
    <w:semiHidden/>
    <w:unhideWhenUsed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3163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stemas.canoas.rs.gov.br/sei/controlador.php?acao=procedimento_trabalhar&amp;id_procedimento=2967495&amp;id_documento=3009018" TargetMode="Externa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oter" Target="footer9.xml"/><Relationship Id="rId3" Type="http://schemas.openxmlformats.org/officeDocument/2006/relationships/styles" Target="styles.xml"/><Relationship Id="rId21" Type="http://schemas.openxmlformats.org/officeDocument/2006/relationships/header" Target="header7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9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8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footer" Target="footer7.xml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8.xm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tGPEEhisA2Zg9vHaG2mXDlPnTZA==">CgMxLjA4AHIhMWFjWXVXOVd2SkRFa3ZqdkFjcHl0TkFhdXJ0Y2dvWUx3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4630</Words>
  <Characters>25006</Characters>
  <Application>Microsoft Office Word</Application>
  <DocSecurity>0</DocSecurity>
  <Lines>208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Oliveira</dc:creator>
  <dc:description/>
  <cp:lastModifiedBy>Dayse Galissi Buzo</cp:lastModifiedBy>
  <cp:revision>2</cp:revision>
  <cp:lastPrinted>2026-01-07T13:31:00Z</cp:lastPrinted>
  <dcterms:created xsi:type="dcterms:W3CDTF">2026-02-11T16:12:00Z</dcterms:created>
  <dcterms:modified xsi:type="dcterms:W3CDTF">2026-02-11T16:12:00Z</dcterms:modified>
  <dc:language>pt-BR</dc:language>
</cp:coreProperties>
</file>