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A60ECF">
      <w:pPr>
        <w:jc w:val="center"/>
        <w:rPr>
          <w:rFonts w:hint="default" w:ascii="Times New Roman" w:hAnsi="Times New Roman" w:eastAsia="Batang" w:cs="Times New Roman"/>
          <w:b/>
          <w:sz w:val="22"/>
          <w:szCs w:val="22"/>
        </w:rPr>
      </w:pPr>
    </w:p>
    <w:p w14:paraId="32B54062">
      <w:pPr>
        <w:jc w:val="center"/>
        <w:rPr>
          <w:rFonts w:hint="default" w:ascii="Times New Roman" w:hAnsi="Times New Roman" w:eastAsia="Batang" w:cs="Times New Roman"/>
          <w:b/>
          <w:sz w:val="24"/>
          <w:szCs w:val="24"/>
        </w:rPr>
      </w:pPr>
      <w:r>
        <w:rPr>
          <w:rFonts w:hint="default" w:ascii="Times New Roman" w:hAnsi="Times New Roman" w:eastAsia="Batang" w:cs="Times New Roman"/>
          <w:b/>
          <w:sz w:val="24"/>
          <w:szCs w:val="24"/>
        </w:rPr>
        <w:t>MINUTA DE CONTRATO</w:t>
      </w:r>
    </w:p>
    <w:p w14:paraId="691E1886">
      <w:pPr>
        <w:jc w:val="center"/>
        <w:rPr>
          <w:rFonts w:hint="default" w:ascii="Times New Roman" w:hAnsi="Times New Roman" w:eastAsia="Batang" w:cs="Times New Roman"/>
          <w:sz w:val="24"/>
          <w:szCs w:val="24"/>
        </w:rPr>
      </w:pPr>
      <w:r>
        <w:rPr>
          <w:rFonts w:hint="default" w:ascii="Times New Roman" w:hAnsi="Times New Roman" w:eastAsia="Batang" w:cs="Times New Roman"/>
          <w:b/>
          <w:sz w:val="24"/>
          <w:szCs w:val="24"/>
        </w:rPr>
        <w:t>CONTRATO DE PROMESSA DE COMPRA E VENDA</w:t>
      </w:r>
    </w:p>
    <w:p w14:paraId="64151368">
      <w:pPr>
        <w:jc w:val="both"/>
        <w:rPr>
          <w:rFonts w:hint="default" w:ascii="Times New Roman" w:hAnsi="Times New Roman" w:eastAsia="Batang" w:cs="Times New Roman"/>
          <w:sz w:val="24"/>
          <w:szCs w:val="24"/>
        </w:rPr>
      </w:pPr>
    </w:p>
    <w:p w14:paraId="707ED87F">
      <w:pPr>
        <w:jc w:val="both"/>
        <w:rPr>
          <w:rFonts w:hint="default" w:ascii="Times New Roman" w:hAnsi="Times New Roman" w:eastAsia="Batang" w:cs="Times New Roman"/>
          <w:sz w:val="24"/>
          <w:szCs w:val="24"/>
        </w:rPr>
      </w:pPr>
      <w:r>
        <w:rPr>
          <w:rFonts w:hint="default" w:ascii="Times New Roman" w:hAnsi="Times New Roman" w:eastAsia="Batang" w:cs="Times New Roman"/>
          <w:sz w:val="24"/>
          <w:szCs w:val="24"/>
        </w:rPr>
        <w:t>Pelo presente contrato em que são partes, de um lado o MUNICÍPIO DE TEUTÔNIA, pessoa jurídica de direito público, inscrita no CNPJ sob nº 88.661.400/0001-99, com sede na Av. I Oeste, 878, Bairro Centro Administrativo, Município de Teutônia, RS, neste ato representado pelo Prefeito Municipal Sr.</w:t>
      </w:r>
      <w:r>
        <w:rPr>
          <w:rFonts w:hint="default" w:ascii="Times New Roman" w:hAnsi="Times New Roman" w:eastAsia="MS Mincho" w:cs="Times New Roman"/>
          <w:sz w:val="24"/>
          <w:szCs w:val="24"/>
          <w:lang w:val="pt-BR"/>
        </w:rPr>
        <w:t>Celso Aloísio Forneck</w:t>
      </w:r>
      <w:r>
        <w:rPr>
          <w:rFonts w:hint="default" w:ascii="Times New Roman" w:hAnsi="Times New Roman" w:cs="Times New Roman"/>
          <w:sz w:val="24"/>
          <w:szCs w:val="24"/>
        </w:rPr>
        <w:t xml:space="preserve">, </w:t>
      </w:r>
      <w:r>
        <w:rPr>
          <w:rFonts w:hint="default" w:ascii="Times New Roman" w:hAnsi="Times New Roman" w:eastAsia="MS Mincho" w:cs="Times New Roman"/>
          <w:sz w:val="24"/>
          <w:szCs w:val="24"/>
        </w:rPr>
        <w:t xml:space="preserve">brasileiro, maior, portador do CPF nº </w:t>
      </w:r>
      <w:r>
        <w:rPr>
          <w:rFonts w:hint="default" w:ascii="Times New Roman" w:hAnsi="Times New Roman" w:eastAsia="MS Mincho" w:cs="Times New Roman"/>
          <w:sz w:val="24"/>
          <w:szCs w:val="24"/>
          <w:lang w:val="pt-BR"/>
        </w:rPr>
        <w:t>212.802.660-15</w:t>
      </w:r>
      <w:r>
        <w:rPr>
          <w:rFonts w:hint="default" w:ascii="Times New Roman" w:hAnsi="Times New Roman" w:eastAsia="MS Mincho" w:cs="Times New Roman"/>
          <w:sz w:val="24"/>
          <w:szCs w:val="24"/>
        </w:rPr>
        <w:t xml:space="preserve"> e Carteira de Identidade nº </w:t>
      </w:r>
      <w:r>
        <w:rPr>
          <w:rFonts w:hint="default" w:ascii="Times New Roman" w:hAnsi="Times New Roman" w:eastAsia="MS Mincho" w:cs="Times New Roman"/>
          <w:sz w:val="24"/>
          <w:szCs w:val="24"/>
          <w:lang w:val="pt-BR"/>
        </w:rPr>
        <w:t>1080701145</w:t>
      </w:r>
      <w:r>
        <w:rPr>
          <w:rFonts w:hint="default" w:ascii="Times New Roman" w:hAnsi="Times New Roman" w:eastAsia="Batang" w:cs="Times New Roman"/>
          <w:sz w:val="24"/>
          <w:szCs w:val="24"/>
        </w:rPr>
        <w:t>, doravante denominado MUNICÍPIO, e de outro lado ......................, neste ato representad</w:t>
      </w:r>
      <w:r>
        <w:rPr>
          <w:rFonts w:hint="default" w:ascii="Times New Roman" w:hAnsi="Times New Roman" w:eastAsia="Batang" w:cs="Times New Roman"/>
          <w:sz w:val="24"/>
          <w:szCs w:val="24"/>
          <w:lang w:val="pt-BR"/>
        </w:rPr>
        <w:t>o</w:t>
      </w:r>
      <w:r>
        <w:rPr>
          <w:rFonts w:hint="default" w:ascii="Times New Roman" w:hAnsi="Times New Roman" w:eastAsia="Batang" w:cs="Times New Roman"/>
          <w:sz w:val="24"/>
          <w:szCs w:val="24"/>
        </w:rPr>
        <w:t xml:space="preserve"> por ........................., doravante denominado PROMITENTE COMPRADOR, têm justo e contratado o que segue:</w:t>
      </w:r>
    </w:p>
    <w:p w14:paraId="66B38F5B">
      <w:pPr>
        <w:jc w:val="both"/>
        <w:rPr>
          <w:rFonts w:hint="default" w:ascii="Times New Roman" w:hAnsi="Times New Roman" w:eastAsia="Batang" w:cs="Times New Roman"/>
          <w:b/>
          <w:sz w:val="24"/>
          <w:szCs w:val="24"/>
        </w:rPr>
      </w:pPr>
    </w:p>
    <w:p w14:paraId="2353C690">
      <w:pPr>
        <w:jc w:val="both"/>
        <w:rPr>
          <w:rFonts w:hint="default" w:ascii="Times New Roman" w:hAnsi="Times New Roman" w:eastAsia="Batang" w:cs="Times New Roman"/>
          <w:b/>
          <w:sz w:val="24"/>
          <w:szCs w:val="24"/>
        </w:rPr>
      </w:pPr>
      <w:r>
        <w:rPr>
          <w:rFonts w:hint="default" w:ascii="Times New Roman" w:hAnsi="Times New Roman" w:eastAsia="Batang" w:cs="Times New Roman"/>
          <w:b/>
          <w:sz w:val="24"/>
          <w:szCs w:val="24"/>
        </w:rPr>
        <w:t>CLÁUSULA PRIMEIRA:</w:t>
      </w:r>
    </w:p>
    <w:p w14:paraId="6F6C69C5">
      <w:pPr>
        <w:numPr>
          <w:ilvl w:val="1"/>
          <w:numId w:val="2"/>
        </w:numPr>
        <w:jc w:val="both"/>
        <w:rPr>
          <w:rFonts w:hint="default" w:ascii="Times New Roman" w:hAnsi="Times New Roman" w:eastAsia="Batang" w:cs="Times New Roman"/>
          <w:sz w:val="24"/>
          <w:szCs w:val="24"/>
        </w:rPr>
      </w:pPr>
      <w:r>
        <w:rPr>
          <w:rFonts w:hint="default" w:ascii="Times New Roman" w:hAnsi="Times New Roman" w:eastAsia="Batang" w:cs="Times New Roman"/>
          <w:b/>
          <w:sz w:val="24"/>
          <w:szCs w:val="24"/>
        </w:rPr>
        <w:t xml:space="preserve"> </w:t>
      </w:r>
      <w:r>
        <w:rPr>
          <w:rFonts w:hint="default" w:ascii="Times New Roman" w:hAnsi="Times New Roman" w:eastAsia="Batang" w:cs="Times New Roman"/>
          <w:sz w:val="24"/>
          <w:szCs w:val="24"/>
        </w:rPr>
        <w:t xml:space="preserve">O presente contrato de Promessa de </w:t>
      </w:r>
      <w:r>
        <w:rPr>
          <w:rFonts w:hint="default" w:ascii="Times New Roman" w:hAnsi="Times New Roman" w:eastAsia="Batang" w:cs="Times New Roman"/>
          <w:sz w:val="24"/>
          <w:szCs w:val="24"/>
          <w:lang w:val="pt-BR"/>
        </w:rPr>
        <w:t>C</w:t>
      </w:r>
      <w:r>
        <w:rPr>
          <w:rFonts w:hint="default" w:ascii="Times New Roman" w:hAnsi="Times New Roman" w:eastAsia="Batang" w:cs="Times New Roman"/>
          <w:sz w:val="24"/>
          <w:szCs w:val="24"/>
        </w:rPr>
        <w:t xml:space="preserve">ompra e </w:t>
      </w:r>
      <w:r>
        <w:rPr>
          <w:rFonts w:hint="default" w:ascii="Times New Roman" w:hAnsi="Times New Roman" w:eastAsia="Batang" w:cs="Times New Roman"/>
          <w:sz w:val="24"/>
          <w:szCs w:val="24"/>
          <w:lang w:val="pt-BR"/>
        </w:rPr>
        <w:t>V</w:t>
      </w:r>
      <w:r>
        <w:rPr>
          <w:rFonts w:hint="default" w:ascii="Times New Roman" w:hAnsi="Times New Roman" w:eastAsia="Batang" w:cs="Times New Roman"/>
          <w:sz w:val="24"/>
          <w:szCs w:val="24"/>
        </w:rPr>
        <w:t xml:space="preserve">enda é assinado com base nas disposições da </w:t>
      </w:r>
      <w:r>
        <w:rPr>
          <w:rFonts w:hint="default" w:ascii="Times New Roman" w:hAnsi="Times New Roman" w:cs="Times New Roman"/>
          <w:sz w:val="24"/>
          <w:szCs w:val="24"/>
        </w:rPr>
        <w:t xml:space="preserve">Lei Federal </w:t>
      </w:r>
      <w:r>
        <w:rPr>
          <w:rFonts w:hint="default" w:ascii="Times New Roman" w:hAnsi="Times New Roman" w:cs="Times New Roman"/>
          <w:sz w:val="24"/>
          <w:szCs w:val="24"/>
          <w:lang w:val="pt-BR"/>
        </w:rPr>
        <w:t>N.</w:t>
      </w:r>
      <w:r>
        <w:rPr>
          <w:rFonts w:hint="default" w:ascii="Times New Roman" w:hAnsi="Times New Roman" w:cs="Times New Roman"/>
          <w:sz w:val="24"/>
          <w:szCs w:val="24"/>
        </w:rPr>
        <w:t xml:space="preserve">º </w:t>
      </w:r>
      <w:r>
        <w:rPr>
          <w:rFonts w:hint="default" w:ascii="Times New Roman" w:hAnsi="Times New Roman" w:cs="Times New Roman"/>
          <w:sz w:val="24"/>
          <w:szCs w:val="24"/>
          <w:lang w:val="pt-BR"/>
        </w:rPr>
        <w:t>14</w:t>
      </w:r>
      <w:r>
        <w:rPr>
          <w:rFonts w:hint="default" w:ascii="Times New Roman" w:hAnsi="Times New Roman" w:cs="Times New Roman"/>
          <w:sz w:val="24"/>
          <w:szCs w:val="24"/>
        </w:rPr>
        <w:t>.</w:t>
      </w:r>
      <w:r>
        <w:rPr>
          <w:rFonts w:hint="default" w:ascii="Times New Roman" w:hAnsi="Times New Roman" w:cs="Times New Roman"/>
          <w:sz w:val="24"/>
          <w:szCs w:val="24"/>
          <w:lang w:val="pt-BR"/>
        </w:rPr>
        <w:t>133</w:t>
      </w:r>
      <w:r>
        <w:rPr>
          <w:rFonts w:hint="default" w:ascii="Times New Roman" w:hAnsi="Times New Roman" w:cs="Times New Roman"/>
          <w:sz w:val="24"/>
          <w:szCs w:val="24"/>
        </w:rPr>
        <w:t>/</w:t>
      </w:r>
      <w:r>
        <w:rPr>
          <w:rFonts w:hint="default" w:ascii="Times New Roman" w:hAnsi="Times New Roman" w:cs="Times New Roman"/>
          <w:sz w:val="24"/>
          <w:szCs w:val="24"/>
          <w:lang w:val="pt-BR"/>
        </w:rPr>
        <w:t>2021</w:t>
      </w:r>
      <w:r>
        <w:rPr>
          <w:rFonts w:hint="default" w:ascii="Times New Roman" w:hAnsi="Times New Roman" w:cs="Times New Roman"/>
          <w:sz w:val="24"/>
          <w:szCs w:val="24"/>
        </w:rPr>
        <w:t>,</w:t>
      </w:r>
      <w:r>
        <w:rPr>
          <w:rFonts w:hint="default" w:ascii="Times New Roman" w:hAnsi="Times New Roman" w:cs="Times New Roman"/>
          <w:sz w:val="24"/>
          <w:szCs w:val="24"/>
          <w:lang w:val="pt-BR"/>
        </w:rPr>
        <w:t xml:space="preserve"> Decreto Municipal N.º 3.250/2</w:t>
      </w:r>
      <w:r>
        <w:rPr>
          <w:rFonts w:hint="default" w:ascii="Times New Roman" w:hAnsi="Times New Roman" w:cs="Times New Roman"/>
          <w:color w:val="auto"/>
          <w:sz w:val="24"/>
          <w:szCs w:val="24"/>
          <w:lang w:val="pt-BR"/>
        </w:rPr>
        <w:t>023,</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pt-BR"/>
        </w:rPr>
        <w:t xml:space="preserve">Decreto Municipal N.º 3.299/2023, </w:t>
      </w:r>
      <w:r>
        <w:rPr>
          <w:rFonts w:hint="default" w:ascii="Times New Roman" w:hAnsi="Times New Roman" w:cs="Times New Roman"/>
          <w:color w:val="auto"/>
          <w:sz w:val="24"/>
          <w:szCs w:val="24"/>
        </w:rPr>
        <w:t xml:space="preserve">Lei Municipal </w:t>
      </w:r>
      <w:r>
        <w:rPr>
          <w:rFonts w:hint="default" w:ascii="Times New Roman" w:hAnsi="Times New Roman" w:cs="Times New Roman"/>
          <w:color w:val="auto"/>
          <w:sz w:val="24"/>
          <w:szCs w:val="24"/>
          <w:lang w:val="pt-BR"/>
        </w:rPr>
        <w:t>N.</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pt-BR"/>
        </w:rPr>
        <w:t xml:space="preserve"> 4.276/14,</w:t>
      </w:r>
      <w:r>
        <w:rPr>
          <w:rFonts w:hint="default" w:ascii="Times New Roman" w:hAnsi="Times New Roman" w:cs="Times New Roman"/>
          <w:color w:val="FF0000"/>
          <w:sz w:val="24"/>
          <w:szCs w:val="24"/>
          <w:lang w:val="pt-BR"/>
        </w:rPr>
        <w:t xml:space="preserve"> </w:t>
      </w:r>
      <w:r>
        <w:rPr>
          <w:rFonts w:hint="default" w:ascii="Times New Roman" w:hAnsi="Times New Roman" w:cs="Times New Roman"/>
          <w:color w:val="auto"/>
          <w:sz w:val="24"/>
          <w:szCs w:val="24"/>
          <w:lang w:val="pt-BR"/>
        </w:rPr>
        <w:t>Lei Municipal N.º 6.090/2023, Lei Municipal N.º 6.186/2024</w:t>
      </w:r>
      <w:r>
        <w:rPr>
          <w:rFonts w:hint="default" w:ascii="Times New Roman" w:hAnsi="Times New Roman" w:eastAsia="Batang" w:cs="Times New Roman"/>
          <w:sz w:val="24"/>
          <w:szCs w:val="24"/>
        </w:rPr>
        <w:t xml:space="preserve"> e processo de </w:t>
      </w:r>
      <w:r>
        <w:rPr>
          <w:rFonts w:hint="default" w:ascii="Times New Roman" w:hAnsi="Times New Roman" w:eastAsia="Batang" w:cs="Times New Roman"/>
          <w:sz w:val="24"/>
          <w:szCs w:val="24"/>
          <w:lang w:val="pt-BR"/>
        </w:rPr>
        <w:t>Leilão Eletrônico N.º</w:t>
      </w:r>
      <w:r>
        <w:rPr>
          <w:rFonts w:hint="default" w:ascii="Times New Roman" w:hAnsi="Times New Roman" w:eastAsia="Batang" w:cs="Times New Roman"/>
          <w:sz w:val="24"/>
          <w:szCs w:val="24"/>
        </w:rPr>
        <w:t xml:space="preserve"> </w:t>
      </w:r>
      <w:r>
        <w:rPr>
          <w:rFonts w:hint="default" w:ascii="Times New Roman" w:hAnsi="Times New Roman" w:eastAsia="Batang" w:cs="Times New Roman"/>
          <w:sz w:val="24"/>
          <w:szCs w:val="24"/>
          <w:lang w:val="pt-BR"/>
        </w:rPr>
        <w:t>05-</w:t>
      </w:r>
      <w:r>
        <w:rPr>
          <w:rFonts w:hint="default" w:ascii="Times New Roman" w:hAnsi="Times New Roman" w:eastAsia="Batang" w:cs="Times New Roman"/>
          <w:sz w:val="24"/>
          <w:szCs w:val="24"/>
        </w:rPr>
        <w:t>0</w:t>
      </w:r>
      <w:r>
        <w:rPr>
          <w:rFonts w:hint="default" w:ascii="Times New Roman" w:hAnsi="Times New Roman" w:eastAsia="Batang" w:cs="Times New Roman"/>
          <w:sz w:val="24"/>
          <w:szCs w:val="24"/>
          <w:lang w:val="pt-BR"/>
        </w:rPr>
        <w:t>5</w:t>
      </w:r>
      <w:r>
        <w:rPr>
          <w:rFonts w:hint="default" w:ascii="Times New Roman" w:hAnsi="Times New Roman" w:eastAsia="Batang" w:cs="Times New Roman"/>
          <w:sz w:val="24"/>
          <w:szCs w:val="24"/>
        </w:rPr>
        <w:t>/20</w:t>
      </w:r>
      <w:r>
        <w:rPr>
          <w:rFonts w:hint="default" w:ascii="Times New Roman" w:hAnsi="Times New Roman" w:eastAsia="Batang" w:cs="Times New Roman"/>
          <w:sz w:val="24"/>
          <w:szCs w:val="24"/>
          <w:lang w:val="pt-BR"/>
        </w:rPr>
        <w:t>24</w:t>
      </w:r>
      <w:r>
        <w:rPr>
          <w:rFonts w:hint="default" w:ascii="Times New Roman" w:hAnsi="Times New Roman" w:eastAsia="Batang" w:cs="Times New Roman"/>
          <w:sz w:val="24"/>
          <w:szCs w:val="24"/>
        </w:rPr>
        <w:t>.</w:t>
      </w:r>
    </w:p>
    <w:p w14:paraId="0C3C81A1">
      <w:pPr>
        <w:jc w:val="both"/>
        <w:rPr>
          <w:rFonts w:hint="default" w:ascii="Times New Roman" w:hAnsi="Times New Roman" w:eastAsia="Batang" w:cs="Times New Roman"/>
          <w:color w:val="FF0000"/>
          <w:sz w:val="24"/>
          <w:szCs w:val="24"/>
        </w:rPr>
      </w:pPr>
    </w:p>
    <w:p w14:paraId="7FB18D35">
      <w:pPr>
        <w:jc w:val="both"/>
        <w:rPr>
          <w:rFonts w:hint="default" w:ascii="Times New Roman" w:hAnsi="Times New Roman" w:eastAsia="Batang" w:cs="Times New Roman"/>
          <w:b/>
          <w:sz w:val="24"/>
          <w:szCs w:val="24"/>
        </w:rPr>
      </w:pPr>
      <w:r>
        <w:rPr>
          <w:rFonts w:hint="default" w:ascii="Times New Roman" w:hAnsi="Times New Roman" w:eastAsia="Batang" w:cs="Times New Roman"/>
          <w:b/>
          <w:sz w:val="24"/>
          <w:szCs w:val="24"/>
        </w:rPr>
        <w:t>CLÁUSULA SEGUNDA – DOS IMÓVEIS</w:t>
      </w:r>
    </w:p>
    <w:p w14:paraId="29412D11">
      <w:pPr>
        <w:jc w:val="both"/>
        <w:rPr>
          <w:rFonts w:hint="default" w:ascii="Times New Roman" w:hAnsi="Times New Roman" w:eastAsia="Batang" w:cs="Times New Roman"/>
          <w:sz w:val="24"/>
          <w:szCs w:val="24"/>
        </w:rPr>
      </w:pPr>
      <w:r>
        <w:rPr>
          <w:rFonts w:hint="default" w:ascii="Times New Roman" w:hAnsi="Times New Roman" w:eastAsia="Batang" w:cs="Times New Roman"/>
          <w:sz w:val="24"/>
          <w:szCs w:val="24"/>
        </w:rPr>
        <w:t>2.1</w:t>
      </w:r>
      <w:r>
        <w:rPr>
          <w:rFonts w:hint="default" w:ascii="Times New Roman" w:hAnsi="Times New Roman" w:eastAsia="Batang" w:cs="Times New Roman"/>
          <w:sz w:val="24"/>
          <w:szCs w:val="24"/>
          <w:lang w:val="pt-BR"/>
        </w:rPr>
        <w:t xml:space="preserve">. </w:t>
      </w:r>
      <w:r>
        <w:rPr>
          <w:rFonts w:hint="default" w:ascii="Times New Roman" w:hAnsi="Times New Roman" w:eastAsia="Batang" w:cs="Times New Roman"/>
          <w:sz w:val="24"/>
          <w:szCs w:val="24"/>
        </w:rPr>
        <w:t xml:space="preserve">Constitui objeto do presente contrato de promessa de compra e venda o seguinte imóvel: </w:t>
      </w:r>
    </w:p>
    <w:p w14:paraId="1D27A527">
      <w:pPr>
        <w:jc w:val="both"/>
        <w:rPr>
          <w:rFonts w:hint="default" w:ascii="Times New Roman" w:hAnsi="Times New Roman" w:eastAsia="Batang" w:cs="Times New Roman"/>
          <w:b w:val="0"/>
          <w:bCs/>
          <w:sz w:val="24"/>
          <w:szCs w:val="24"/>
          <w:lang w:val="pt-BR"/>
        </w:rPr>
      </w:pPr>
      <w:r>
        <w:rPr>
          <w:rFonts w:hint="default" w:ascii="Times New Roman" w:hAnsi="Times New Roman" w:eastAsia="Batang" w:cs="Times New Roman"/>
          <w:b w:val="0"/>
          <w:bCs/>
          <w:sz w:val="24"/>
          <w:szCs w:val="24"/>
        </w:rPr>
        <w:t xml:space="preserve">I - </w:t>
      </w:r>
      <w:r>
        <w:rPr>
          <w:rFonts w:hint="default" w:ascii="Times New Roman" w:hAnsi="Times New Roman" w:cs="Times New Roman"/>
          <w:b/>
          <w:bCs w:val="0"/>
          <w:sz w:val="24"/>
          <w:szCs w:val="24"/>
        </w:rPr>
        <w:t xml:space="preserve">Matrícula </w:t>
      </w:r>
      <w:r>
        <w:rPr>
          <w:rFonts w:hint="default" w:ascii="Times New Roman" w:hAnsi="Times New Roman" w:cs="Times New Roman"/>
          <w:b/>
          <w:bCs w:val="0"/>
          <w:sz w:val="24"/>
          <w:szCs w:val="24"/>
          <w:lang w:val="pt-BR"/>
        </w:rPr>
        <w:t>10.701</w:t>
      </w:r>
      <w:r>
        <w:rPr>
          <w:rFonts w:hint="default" w:ascii="Times New Roman" w:hAnsi="Times New Roman" w:cs="Times New Roman"/>
          <w:b w:val="0"/>
          <w:bCs/>
          <w:sz w:val="24"/>
          <w:szCs w:val="24"/>
        </w:rPr>
        <w:t>:</w:t>
      </w:r>
      <w:r>
        <w:rPr>
          <w:rFonts w:hint="default" w:ascii="Times New Roman" w:hAnsi="Times New Roman" w:cs="Times New Roman"/>
          <w:b w:val="0"/>
          <w:bCs/>
          <w:sz w:val="24"/>
          <w:szCs w:val="24"/>
          <w:lang w:val="pt-BR"/>
        </w:rPr>
        <w:t xml:space="preserve"> </w:t>
      </w:r>
      <w:r>
        <w:rPr>
          <w:rFonts w:hint="default" w:ascii="Times New Roman" w:hAnsi="Times New Roman" w:eastAsia="SimSun" w:cs="Times New Roman"/>
          <w:sz w:val="24"/>
          <w:szCs w:val="24"/>
        </w:rPr>
        <w:t xml:space="preserve">IMÓVEL - </w:t>
      </w:r>
      <w:r>
        <w:rPr>
          <w:rFonts w:hint="default" w:ascii="Times New Roman" w:hAnsi="Times New Roman" w:eastAsia="SimSun" w:cs="Times New Roman"/>
          <w:sz w:val="24"/>
          <w:szCs w:val="24"/>
          <w:lang w:val="pt-BR"/>
        </w:rPr>
        <w:t xml:space="preserve">Uma área de terras, </w:t>
      </w:r>
      <w:r>
        <w:rPr>
          <w:rFonts w:hint="default" w:ascii="Times New Roman" w:hAnsi="Times New Roman" w:eastAsia="SimSun"/>
          <w:sz w:val="24"/>
          <w:szCs w:val="24"/>
          <w:lang w:val="pt-BR"/>
        </w:rPr>
        <w:t>com a superfície de 4.625,28m² (quatro mil, seiscentos e vinte e cinco vírgula vinte oito metros quadrados), localizada no Bairro Teutônia, nesta cidade, confrontando-se; ao SUL, com a largura de 52,80m, com a Rua Maurício Cardoso; ao NORTE, com a mesma largura, com a Rua Pedro Schäffer Filho; ao LESTE, com a extensão de 87,60m, com terras de Milton Schneider e irmãs e as de Aventino Silvio Turatti; e, ao LESTE, com a mesma extensão, com a Rua Asido Dreyer. Sobre o imóvel consta benfeitoria de aproximadamente 510,34m2, em ruínas, cuja construção remonta ao ano de 1934.</w:t>
      </w:r>
      <w:r>
        <w:rPr>
          <w:rFonts w:hint="default" w:ascii="Times New Roman" w:hAnsi="Times New Roman" w:cs="Times New Roman"/>
          <w:b w:val="0"/>
          <w:bCs/>
          <w:sz w:val="24"/>
          <w:szCs w:val="24"/>
          <w:lang w:val="pt-BR"/>
        </w:rPr>
        <w:t xml:space="preserve"> </w:t>
      </w:r>
      <w:r>
        <w:rPr>
          <w:rFonts w:hint="default" w:ascii="Times New Roman" w:hAnsi="Times New Roman" w:cs="Times New Roman"/>
          <w:sz w:val="24"/>
          <w:szCs w:val="24"/>
        </w:rPr>
        <w:t xml:space="preserve">A área está matriculada sob </w:t>
      </w:r>
      <w:r>
        <w:rPr>
          <w:rFonts w:hint="default" w:ascii="Times New Roman" w:hAnsi="Times New Roman" w:cs="Times New Roman"/>
          <w:sz w:val="24"/>
          <w:szCs w:val="24"/>
          <w:lang w:val="pt-BR"/>
        </w:rPr>
        <w:t>N.</w:t>
      </w:r>
      <w:r>
        <w:rPr>
          <w:rFonts w:hint="default" w:ascii="Times New Roman" w:hAnsi="Times New Roman" w:cs="Times New Roman"/>
          <w:sz w:val="24"/>
          <w:szCs w:val="24"/>
        </w:rPr>
        <w:t xml:space="preserve">º </w:t>
      </w:r>
      <w:r>
        <w:rPr>
          <w:rFonts w:hint="default" w:ascii="Times New Roman" w:hAnsi="Times New Roman" w:cs="Times New Roman"/>
          <w:sz w:val="24"/>
          <w:szCs w:val="24"/>
          <w:lang w:val="pt-BR"/>
        </w:rPr>
        <w:t>10.701,</w:t>
      </w:r>
      <w:r>
        <w:rPr>
          <w:rFonts w:hint="default" w:ascii="Times New Roman" w:hAnsi="Times New Roman" w:cs="Times New Roman"/>
          <w:sz w:val="24"/>
          <w:szCs w:val="24"/>
        </w:rPr>
        <w:t xml:space="preserve"> junto ao Registro de Imóveis da Comarca de Teutônia</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Lei Municipal</w:t>
      </w:r>
      <w:r>
        <w:rPr>
          <w:rFonts w:hint="default" w:ascii="Times New Roman" w:hAnsi="Times New Roman" w:cs="Times New Roman"/>
          <w:sz w:val="24"/>
          <w:szCs w:val="24"/>
          <w:lang w:val="pt-BR"/>
        </w:rPr>
        <w:t xml:space="preserve"> autorizativa</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N.</w:t>
      </w:r>
      <w:r>
        <w:rPr>
          <w:rFonts w:hint="default" w:ascii="Times New Roman" w:hAnsi="Times New Roman" w:cs="Times New Roman"/>
          <w:sz w:val="24"/>
          <w:szCs w:val="24"/>
        </w:rPr>
        <w:t xml:space="preserve">º </w:t>
      </w:r>
      <w:r>
        <w:rPr>
          <w:rFonts w:hint="default" w:ascii="Times New Roman" w:hAnsi="Times New Roman" w:cs="Times New Roman"/>
          <w:sz w:val="24"/>
          <w:szCs w:val="24"/>
          <w:lang w:val="pt-BR"/>
        </w:rPr>
        <w:t>6</w:t>
      </w:r>
      <w:r>
        <w:rPr>
          <w:rFonts w:hint="default" w:ascii="Times New Roman" w:hAnsi="Times New Roman" w:cs="Times New Roman"/>
          <w:sz w:val="24"/>
          <w:szCs w:val="24"/>
          <w:u w:val="none"/>
          <w:lang w:val="pt-BR"/>
        </w:rPr>
        <w:t xml:space="preserve">.090 </w:t>
      </w:r>
      <w:r>
        <w:rPr>
          <w:rFonts w:hint="default" w:ascii="Times New Roman" w:hAnsi="Times New Roman" w:cs="Times New Roman"/>
          <w:sz w:val="24"/>
          <w:szCs w:val="24"/>
          <w:lang w:val="pt-BR"/>
        </w:rPr>
        <w:t>de 05 de outubro de 2023.</w:t>
      </w:r>
    </w:p>
    <w:p w14:paraId="672B78F5">
      <w:pPr>
        <w:jc w:val="both"/>
        <w:rPr>
          <w:rFonts w:hint="default" w:ascii="Times New Roman" w:hAnsi="Times New Roman" w:eastAsia="Batang" w:cs="Times New Roman"/>
          <w:b/>
          <w:sz w:val="24"/>
          <w:szCs w:val="24"/>
        </w:rPr>
      </w:pPr>
    </w:p>
    <w:p w14:paraId="143B9942">
      <w:pPr>
        <w:jc w:val="both"/>
        <w:rPr>
          <w:rFonts w:hint="default" w:ascii="Times New Roman" w:hAnsi="Times New Roman" w:eastAsia="Batang" w:cs="Times New Roman"/>
          <w:sz w:val="24"/>
          <w:szCs w:val="24"/>
        </w:rPr>
      </w:pPr>
      <w:r>
        <w:rPr>
          <w:rFonts w:hint="default" w:ascii="Times New Roman" w:hAnsi="Times New Roman" w:eastAsia="Batang" w:cs="Times New Roman"/>
          <w:b/>
          <w:sz w:val="24"/>
          <w:szCs w:val="24"/>
        </w:rPr>
        <w:t>CLÁUSULA TERCEIRA</w:t>
      </w:r>
      <w:r>
        <w:rPr>
          <w:rFonts w:hint="default" w:ascii="Times New Roman" w:hAnsi="Times New Roman" w:eastAsia="Batang" w:cs="Times New Roman"/>
          <w:sz w:val="24"/>
          <w:szCs w:val="24"/>
        </w:rPr>
        <w:t xml:space="preserve"> </w:t>
      </w:r>
      <w:r>
        <w:rPr>
          <w:rFonts w:hint="default" w:ascii="Times New Roman" w:hAnsi="Times New Roman" w:eastAsia="Batang" w:cs="Times New Roman"/>
          <w:b/>
          <w:sz w:val="24"/>
          <w:szCs w:val="24"/>
        </w:rPr>
        <w:t>– DOS VALORES</w:t>
      </w:r>
    </w:p>
    <w:p w14:paraId="32C0641C">
      <w:pPr>
        <w:jc w:val="both"/>
        <w:rPr>
          <w:rFonts w:hint="default" w:ascii="Times New Roman" w:hAnsi="Times New Roman" w:eastAsia="Batang" w:cs="Times New Roman"/>
          <w:color w:val="FF0000"/>
          <w:sz w:val="24"/>
          <w:szCs w:val="24"/>
        </w:rPr>
      </w:pPr>
      <w:r>
        <w:rPr>
          <w:rFonts w:hint="default" w:ascii="Times New Roman" w:hAnsi="Times New Roman" w:eastAsia="Batang" w:cs="Times New Roman"/>
          <w:sz w:val="24"/>
          <w:szCs w:val="24"/>
        </w:rPr>
        <w:t>3.1</w:t>
      </w:r>
      <w:r>
        <w:rPr>
          <w:rFonts w:hint="default" w:ascii="Times New Roman" w:hAnsi="Times New Roman" w:eastAsia="Batang" w:cs="Times New Roman"/>
          <w:sz w:val="24"/>
          <w:szCs w:val="24"/>
          <w:lang w:val="pt-BR"/>
        </w:rPr>
        <w:t xml:space="preserve">. </w:t>
      </w:r>
      <w:r>
        <w:rPr>
          <w:rFonts w:hint="default" w:ascii="Times New Roman" w:hAnsi="Times New Roman" w:eastAsia="Batang" w:cs="Times New Roman"/>
          <w:sz w:val="24"/>
          <w:szCs w:val="24"/>
        </w:rPr>
        <w:t>O preço ajustado</w:t>
      </w:r>
      <w:r>
        <w:rPr>
          <w:rFonts w:hint="default" w:ascii="Times New Roman" w:hAnsi="Times New Roman" w:eastAsia="Batang" w:cs="Times New Roman"/>
          <w:color w:val="FF0000"/>
          <w:sz w:val="24"/>
          <w:szCs w:val="24"/>
        </w:rPr>
        <w:t xml:space="preserve"> </w:t>
      </w:r>
      <w:r>
        <w:rPr>
          <w:rFonts w:hint="default" w:ascii="Times New Roman" w:hAnsi="Times New Roman" w:eastAsia="Batang" w:cs="Times New Roman"/>
          <w:sz w:val="24"/>
          <w:szCs w:val="24"/>
        </w:rPr>
        <w:t>será de:</w:t>
      </w:r>
    </w:p>
    <w:p w14:paraId="1A5A3207">
      <w:pPr>
        <w:jc w:val="both"/>
        <w:rPr>
          <w:rFonts w:hint="default" w:ascii="Times New Roman" w:hAnsi="Times New Roman" w:eastAsia="Batang" w:cs="Times New Roman"/>
          <w:color w:val="000000"/>
          <w:sz w:val="24"/>
          <w:szCs w:val="24"/>
        </w:rPr>
      </w:pPr>
      <w:r>
        <w:rPr>
          <w:rFonts w:hint="default" w:ascii="Times New Roman" w:hAnsi="Times New Roman" w:eastAsia="Batang" w:cs="Times New Roman"/>
          <w:color w:val="000000"/>
          <w:sz w:val="24"/>
          <w:szCs w:val="24"/>
        </w:rPr>
        <w:t>I -    R$ ...................  (.......................................).</w:t>
      </w:r>
    </w:p>
    <w:p w14:paraId="46640EEF">
      <w:pPr>
        <w:jc w:val="both"/>
        <w:rPr>
          <w:rFonts w:hint="default" w:ascii="Times New Roman" w:hAnsi="Times New Roman" w:eastAsia="Batang" w:cs="Times New Roman"/>
          <w:b/>
          <w:sz w:val="24"/>
          <w:szCs w:val="24"/>
        </w:rPr>
      </w:pPr>
    </w:p>
    <w:p w14:paraId="67075297">
      <w:pPr>
        <w:jc w:val="both"/>
        <w:rPr>
          <w:rFonts w:hint="default" w:ascii="Times New Roman" w:hAnsi="Times New Roman" w:eastAsia="Batang" w:cs="Times New Roman"/>
          <w:sz w:val="24"/>
          <w:szCs w:val="24"/>
        </w:rPr>
      </w:pPr>
      <w:r>
        <w:rPr>
          <w:rFonts w:hint="default" w:ascii="Times New Roman" w:hAnsi="Times New Roman" w:eastAsia="Batang" w:cs="Times New Roman"/>
          <w:b/>
          <w:sz w:val="24"/>
          <w:szCs w:val="24"/>
        </w:rPr>
        <w:t>CLÁ</w:t>
      </w:r>
      <w:r>
        <w:rPr>
          <w:rFonts w:hint="default" w:ascii="Times New Roman" w:hAnsi="Times New Roman" w:eastAsia="Batang" w:cs="Times New Roman"/>
          <w:b/>
          <w:sz w:val="24"/>
          <w:szCs w:val="24"/>
          <w:lang w:val="pt-BR"/>
        </w:rPr>
        <w:t>U</w:t>
      </w:r>
      <w:r>
        <w:rPr>
          <w:rFonts w:hint="default" w:ascii="Times New Roman" w:hAnsi="Times New Roman" w:eastAsia="Batang" w:cs="Times New Roman"/>
          <w:b/>
          <w:sz w:val="24"/>
          <w:szCs w:val="24"/>
        </w:rPr>
        <w:t>SULA QUARTA - DAS CONDIÇÕES</w:t>
      </w:r>
      <w:r>
        <w:rPr>
          <w:rFonts w:hint="default" w:ascii="Times New Roman" w:hAnsi="Times New Roman" w:eastAsia="Batang" w:cs="Times New Roman"/>
          <w:sz w:val="24"/>
          <w:szCs w:val="24"/>
        </w:rPr>
        <w:t xml:space="preserve"> </w:t>
      </w:r>
    </w:p>
    <w:p w14:paraId="7CA8E7D4">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eastAsia="Batang" w:cs="Times New Roman"/>
          <w:b w:val="0"/>
          <w:bCs/>
          <w:color w:val="000000"/>
          <w:sz w:val="24"/>
          <w:szCs w:val="24"/>
          <w:lang w:val="en-US"/>
        </w:rPr>
      </w:pPr>
      <w:r>
        <w:rPr>
          <w:rFonts w:hint="default" w:ascii="Times New Roman" w:hAnsi="Times New Roman" w:eastAsia="Batang" w:cs="Times New Roman"/>
          <w:b w:val="0"/>
          <w:bCs/>
          <w:sz w:val="24"/>
          <w:szCs w:val="24"/>
          <w:lang w:val="pt-BR"/>
        </w:rPr>
        <w:t>4.1. A área descrita acima destina-se a construção de área de lazer e/ou espaço cultural e/ou comercial.</w:t>
      </w:r>
    </w:p>
    <w:p w14:paraId="6EC7FB2E">
      <w:pPr>
        <w:pStyle w:val="10"/>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both"/>
        <w:textAlignment w:val="auto"/>
        <w:rPr>
          <w:rFonts w:hint="default" w:ascii="Times New Roman" w:hAnsi="Times New Roman" w:eastAsia="Batang" w:cs="Times New Roman"/>
          <w:sz w:val="24"/>
          <w:szCs w:val="24"/>
          <w:lang w:val="pt-BR"/>
        </w:rPr>
      </w:pPr>
      <w:r>
        <w:rPr>
          <w:rFonts w:hint="default" w:ascii="Times New Roman" w:hAnsi="Times New Roman" w:eastAsia="Batang" w:cs="Times New Roman"/>
          <w:sz w:val="24"/>
          <w:szCs w:val="24"/>
          <w:lang w:val="pt-BR"/>
        </w:rPr>
        <w:t xml:space="preserve">4.2. </w:t>
      </w:r>
      <w:r>
        <w:rPr>
          <w:rFonts w:hint="default" w:ascii="Times New Roman" w:hAnsi="Times New Roman" w:eastAsia="Batang" w:cs="Times New Roman"/>
          <w:sz w:val="24"/>
          <w:szCs w:val="24"/>
        </w:rPr>
        <w:t xml:space="preserve">A licitante arrematante terá o prazo de </w:t>
      </w:r>
      <w:r>
        <w:rPr>
          <w:rFonts w:hint="default" w:ascii="Times New Roman" w:hAnsi="Times New Roman" w:eastAsia="Batang" w:cs="Times New Roman"/>
          <w:sz w:val="24"/>
          <w:szCs w:val="24"/>
          <w:lang w:val="pt-BR"/>
        </w:rPr>
        <w:t>18</w:t>
      </w:r>
      <w:r>
        <w:rPr>
          <w:rFonts w:hint="default" w:ascii="Times New Roman" w:hAnsi="Times New Roman" w:eastAsia="Batang" w:cs="Times New Roman"/>
          <w:sz w:val="24"/>
          <w:szCs w:val="24"/>
        </w:rPr>
        <w:t xml:space="preserve"> (</w:t>
      </w:r>
      <w:r>
        <w:rPr>
          <w:rFonts w:hint="default" w:ascii="Times New Roman" w:hAnsi="Times New Roman" w:eastAsia="Batang" w:cs="Times New Roman"/>
          <w:sz w:val="24"/>
          <w:szCs w:val="24"/>
          <w:lang w:val="pt-BR"/>
        </w:rPr>
        <w:t>dezoito</w:t>
      </w:r>
      <w:r>
        <w:rPr>
          <w:rFonts w:hint="default" w:ascii="Times New Roman" w:hAnsi="Times New Roman" w:eastAsia="Batang" w:cs="Times New Roman"/>
          <w:sz w:val="24"/>
          <w:szCs w:val="24"/>
        </w:rPr>
        <w:t xml:space="preserve">) meses para a </w:t>
      </w:r>
      <w:r>
        <w:rPr>
          <w:rFonts w:hint="default" w:ascii="Times New Roman" w:hAnsi="Times New Roman" w:eastAsia="Batang" w:cs="Times New Roman"/>
          <w:sz w:val="24"/>
          <w:szCs w:val="24"/>
          <w:lang w:val="pt-BR"/>
        </w:rPr>
        <w:t xml:space="preserve">execução da infraestrutura necessária sobre o imóvel arrematado, para o início de atividades, devendo ser observadas as disposições da Lei Municipal N.º 2.583 de 10 de novembro de 2006, o qual estabelece o Código de Edificação do Município de Teutônia, e suas alterações. </w:t>
      </w:r>
    </w:p>
    <w:p w14:paraId="2C56BDE7">
      <w:pPr>
        <w:pStyle w:val="10"/>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4"/>
          <w:szCs w:val="24"/>
          <w:lang w:val="pt-BR"/>
        </w:rPr>
      </w:pPr>
      <w:r>
        <w:rPr>
          <w:rFonts w:hint="default" w:ascii="Times New Roman" w:hAnsi="Times New Roman" w:eastAsia="Batang" w:cs="Times New Roman"/>
          <w:sz w:val="24"/>
          <w:szCs w:val="24"/>
          <w:lang w:val="pt-BR"/>
        </w:rPr>
        <w:t xml:space="preserve">4.3. O prazo previsto no caput poderá ser prorrogado por até 18 (dezoito) meses, mediante requerimento encaminhado ao Chefe do Poder Executivo, e mediante a apresentação de justificativa plausível que poderá ou não ser aceita. </w:t>
      </w:r>
    </w:p>
    <w:p w14:paraId="76F74446">
      <w:pPr>
        <w:pStyle w:val="10"/>
        <w:keepNext w:val="0"/>
        <w:keepLines w:val="0"/>
        <w:pageBreakBefore w:val="0"/>
        <w:widowControl/>
        <w:numPr>
          <w:ilvl w:val="0"/>
          <w:numId w:val="0"/>
        </w:numPr>
        <w:kinsoku/>
        <w:wordWrap/>
        <w:overflowPunct/>
        <w:topLinePunct w:val="0"/>
        <w:autoSpaceDE/>
        <w:autoSpaceDN/>
        <w:bidi w:val="0"/>
        <w:adjustRightInd/>
        <w:snapToGrid/>
        <w:spacing w:after="0" w:line="240" w:lineRule="auto"/>
        <w:jc w:val="both"/>
        <w:textAlignment w:val="auto"/>
        <w:rPr>
          <w:rFonts w:hint="default" w:ascii="Times New Roman" w:hAnsi="Times New Roman" w:eastAsia="Batang" w:cs="Times New Roman"/>
          <w:sz w:val="24"/>
          <w:szCs w:val="24"/>
          <w:lang w:val="pt-BR"/>
        </w:rPr>
      </w:pPr>
      <w:r>
        <w:rPr>
          <w:rFonts w:hint="default" w:ascii="Times New Roman" w:hAnsi="Times New Roman" w:eastAsia="Batang" w:cs="Times New Roman"/>
          <w:sz w:val="24"/>
          <w:szCs w:val="24"/>
          <w:lang w:val="pt-BR"/>
        </w:rPr>
        <w:t xml:space="preserve">4.4. Concedida a prorrogação de prazo prevista na cláusula 4.3., prorrogam-se também os demais prazos previstos neste Edital. </w:t>
      </w:r>
    </w:p>
    <w:p w14:paraId="195AAFE6">
      <w:pPr>
        <w:pStyle w:val="10"/>
        <w:keepNext w:val="0"/>
        <w:keepLines w:val="0"/>
        <w:pageBreakBefore w:val="0"/>
        <w:widowControl/>
        <w:numPr>
          <w:ilvl w:val="0"/>
          <w:numId w:val="0"/>
        </w:numPr>
        <w:kinsoku/>
        <w:wordWrap/>
        <w:overflowPunct/>
        <w:topLinePunct w:val="0"/>
        <w:autoSpaceDE/>
        <w:autoSpaceDN/>
        <w:bidi w:val="0"/>
        <w:adjustRightInd/>
        <w:snapToGrid/>
        <w:spacing w:after="0"/>
        <w:ind w:left="0" w:leftChars="0" w:firstLine="0" w:firstLineChars="0"/>
        <w:jc w:val="both"/>
        <w:textAlignment w:val="auto"/>
        <w:rPr>
          <w:rFonts w:hint="default" w:ascii="Times New Roman" w:hAnsi="Times New Roman" w:eastAsia="Batang" w:cs="Times New Roman"/>
          <w:sz w:val="24"/>
          <w:szCs w:val="24"/>
          <w:lang w:val="pt-BR"/>
        </w:rPr>
      </w:pPr>
      <w:r>
        <w:rPr>
          <w:rFonts w:hint="default" w:ascii="Times New Roman" w:hAnsi="Times New Roman" w:eastAsia="Batang" w:cs="Times New Roman"/>
          <w:sz w:val="24"/>
          <w:szCs w:val="24"/>
          <w:lang w:val="pt-BR"/>
        </w:rPr>
        <w:t xml:space="preserve"> </w:t>
      </w:r>
    </w:p>
    <w:p w14:paraId="1B53E8D9">
      <w:pPr>
        <w:jc w:val="both"/>
        <w:rPr>
          <w:rFonts w:hint="default" w:ascii="Times New Roman" w:hAnsi="Times New Roman" w:eastAsia="Batang" w:cs="Times New Roman"/>
          <w:b/>
          <w:color w:val="000000"/>
          <w:sz w:val="24"/>
          <w:szCs w:val="24"/>
        </w:rPr>
      </w:pPr>
      <w:r>
        <w:rPr>
          <w:rFonts w:hint="default" w:ascii="Times New Roman" w:hAnsi="Times New Roman" w:eastAsia="Batang" w:cs="Times New Roman"/>
          <w:b/>
          <w:color w:val="000000"/>
          <w:sz w:val="24"/>
          <w:szCs w:val="24"/>
        </w:rPr>
        <w:t>CLÁUSULA QUINTA – DAS PENALIDADES:</w:t>
      </w:r>
    </w:p>
    <w:p w14:paraId="6B21274E">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eastAsia="Batang" w:cs="Times New Roman"/>
          <w:color w:val="000000"/>
          <w:sz w:val="24"/>
          <w:szCs w:val="24"/>
        </w:rPr>
      </w:pPr>
      <w:r>
        <w:rPr>
          <w:rFonts w:hint="default" w:ascii="Times New Roman" w:hAnsi="Times New Roman" w:eastAsia="Batang" w:cs="Times New Roman"/>
          <w:color w:val="000000"/>
          <w:sz w:val="24"/>
          <w:szCs w:val="24"/>
        </w:rPr>
        <w:t>5.1</w:t>
      </w:r>
      <w:r>
        <w:rPr>
          <w:rFonts w:hint="default" w:ascii="Times New Roman" w:hAnsi="Times New Roman" w:eastAsia="Batang" w:cs="Times New Roman"/>
          <w:color w:val="000000"/>
          <w:sz w:val="24"/>
          <w:szCs w:val="24"/>
          <w:lang w:val="pt-BR"/>
        </w:rPr>
        <w:t xml:space="preserve">. </w:t>
      </w:r>
      <w:r>
        <w:rPr>
          <w:rFonts w:hint="default" w:ascii="Times New Roman" w:hAnsi="Times New Roman" w:eastAsia="Batang" w:cs="Times New Roman"/>
          <w:color w:val="000000"/>
          <w:sz w:val="24"/>
          <w:szCs w:val="24"/>
        </w:rPr>
        <w:t xml:space="preserve">No caso de não cumprimento do estabelecido, ou seja, não havendo a construção sobre o imóvel objeto </w:t>
      </w:r>
      <w:r>
        <w:rPr>
          <w:rFonts w:hint="default" w:ascii="Times New Roman" w:hAnsi="Times New Roman" w:eastAsia="Batang" w:cs="Times New Roman"/>
          <w:color w:val="000000"/>
          <w:sz w:val="24"/>
          <w:szCs w:val="24"/>
          <w:lang w:val="pt-BR"/>
        </w:rPr>
        <w:t>do Edital</w:t>
      </w:r>
      <w:r>
        <w:rPr>
          <w:rFonts w:hint="default" w:ascii="Times New Roman" w:hAnsi="Times New Roman" w:eastAsia="Batang" w:cs="Times New Roman"/>
          <w:color w:val="000000"/>
          <w:sz w:val="24"/>
          <w:szCs w:val="24"/>
        </w:rPr>
        <w:t xml:space="preserve">, o mesmo retornará automaticamente ao patrimônio público municipal, ocorrendo a rescisão automática do contrato de promessa </w:t>
      </w:r>
      <w:r>
        <w:rPr>
          <w:rFonts w:hint="default" w:ascii="Times New Roman" w:hAnsi="Times New Roman" w:eastAsia="Batang" w:cs="Times New Roman"/>
          <w:color w:val="000000"/>
          <w:sz w:val="24"/>
          <w:szCs w:val="24"/>
          <w:lang w:val="pt-BR"/>
        </w:rPr>
        <w:t>d</w:t>
      </w:r>
      <w:r>
        <w:rPr>
          <w:rFonts w:hint="default" w:ascii="Times New Roman" w:hAnsi="Times New Roman" w:eastAsia="Batang" w:cs="Times New Roman"/>
          <w:color w:val="000000"/>
          <w:sz w:val="24"/>
          <w:szCs w:val="24"/>
        </w:rPr>
        <w:t>e compra e venda firmado entre as partes, sem direito a restituição dos valores pagos pela empresa, os quais reverterão em indenização pelo uso do imóvel no período.</w:t>
      </w:r>
    </w:p>
    <w:p w14:paraId="4D8E0908">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eastAsia="Batang" w:cs="Times New Roman"/>
          <w:color w:val="000000"/>
          <w:sz w:val="24"/>
          <w:szCs w:val="24"/>
        </w:rPr>
      </w:pPr>
    </w:p>
    <w:p w14:paraId="4A9312D7">
      <w:pPr>
        <w:jc w:val="both"/>
        <w:rPr>
          <w:rFonts w:hint="default" w:ascii="Times New Roman" w:hAnsi="Times New Roman" w:cs="Times New Roman"/>
          <w:b/>
          <w:sz w:val="24"/>
          <w:szCs w:val="24"/>
        </w:rPr>
      </w:pPr>
      <w:r>
        <w:rPr>
          <w:rFonts w:hint="default" w:ascii="Times New Roman" w:hAnsi="Times New Roman" w:eastAsia="Batang" w:cs="Times New Roman"/>
          <w:b/>
          <w:sz w:val="24"/>
          <w:szCs w:val="24"/>
        </w:rPr>
        <w:t xml:space="preserve">CLÁUSULA SEXTA - DA </w:t>
      </w:r>
      <w:r>
        <w:rPr>
          <w:rFonts w:hint="default" w:ascii="Times New Roman" w:hAnsi="Times New Roman" w:cs="Times New Roman"/>
          <w:b/>
          <w:sz w:val="24"/>
          <w:szCs w:val="24"/>
        </w:rPr>
        <w:t>ESCRITURAÇÃO DA ÁREA DE TERRAS:</w:t>
      </w:r>
    </w:p>
    <w:p w14:paraId="1FBD1CDA">
      <w:pPr>
        <w:jc w:val="both"/>
        <w:rPr>
          <w:rFonts w:hint="default" w:ascii="Times New Roman" w:hAnsi="Times New Roman" w:eastAsia="Batang" w:cs="Times New Roman"/>
          <w:sz w:val="24"/>
          <w:szCs w:val="24"/>
          <w:lang w:val="pt-BR"/>
        </w:rPr>
      </w:pPr>
      <w:r>
        <w:rPr>
          <w:rFonts w:hint="default" w:ascii="Times New Roman" w:hAnsi="Times New Roman" w:eastAsia="Batang" w:cs="Times New Roman"/>
          <w:sz w:val="24"/>
          <w:szCs w:val="24"/>
        </w:rPr>
        <w:t>6.1</w:t>
      </w:r>
      <w:r>
        <w:rPr>
          <w:rFonts w:hint="default" w:ascii="Times New Roman" w:hAnsi="Times New Roman" w:eastAsia="Batang" w:cs="Times New Roman"/>
          <w:sz w:val="24"/>
          <w:szCs w:val="24"/>
          <w:lang w:val="pt-BR"/>
        </w:rPr>
        <w:t xml:space="preserve">. </w:t>
      </w:r>
      <w:r>
        <w:rPr>
          <w:rFonts w:hint="default" w:ascii="Times New Roman" w:hAnsi="Times New Roman" w:eastAsia="Batang" w:cs="Times New Roman"/>
          <w:sz w:val="24"/>
          <w:szCs w:val="24"/>
        </w:rPr>
        <w:t>A escritura pública de compra e venda poderá ser outorgada após a liquidação total dos valores avençados</w:t>
      </w:r>
      <w:r>
        <w:rPr>
          <w:rFonts w:hint="default" w:ascii="Times New Roman" w:hAnsi="Times New Roman" w:eastAsia="Batang" w:cs="Times New Roman"/>
          <w:sz w:val="24"/>
          <w:szCs w:val="24"/>
          <w:lang w:val="pt-BR"/>
        </w:rPr>
        <w:t>.</w:t>
      </w:r>
    </w:p>
    <w:p w14:paraId="6EE43022">
      <w:pPr>
        <w:keepLines w:val="0"/>
        <w:pageBreakBefore w:val="0"/>
        <w:widowControl/>
        <w:numPr>
          <w:ilvl w:val="0"/>
          <w:numId w:val="0"/>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eastAsia="Batang" w:cs="Times New Roman"/>
          <w:sz w:val="24"/>
          <w:szCs w:val="24"/>
        </w:rPr>
      </w:pPr>
      <w:r>
        <w:rPr>
          <w:rFonts w:hint="default" w:ascii="Times New Roman" w:hAnsi="Times New Roman" w:eastAsia="Batang" w:cs="Times New Roman"/>
          <w:sz w:val="24"/>
          <w:szCs w:val="24"/>
        </w:rPr>
        <w:t>6.2</w:t>
      </w:r>
      <w:r>
        <w:rPr>
          <w:rFonts w:hint="default" w:ascii="Times New Roman" w:hAnsi="Times New Roman" w:eastAsia="Batang" w:cs="Times New Roman"/>
          <w:sz w:val="24"/>
          <w:szCs w:val="24"/>
          <w:lang w:val="pt-BR"/>
        </w:rPr>
        <w:t xml:space="preserve">. </w:t>
      </w:r>
      <w:r>
        <w:rPr>
          <w:rFonts w:hint="default" w:ascii="Times New Roman" w:hAnsi="Times New Roman" w:eastAsia="Batang" w:cs="Times New Roman"/>
          <w:sz w:val="24"/>
          <w:szCs w:val="24"/>
        </w:rPr>
        <w:t xml:space="preserve">A escritura deverá conter cláusula de vinculação do imóvel às condições previstas no </w:t>
      </w:r>
      <w:r>
        <w:rPr>
          <w:rFonts w:hint="default" w:ascii="Times New Roman" w:hAnsi="Times New Roman" w:eastAsia="Batang" w:cs="Times New Roman"/>
          <w:sz w:val="24"/>
          <w:szCs w:val="24"/>
          <w:lang w:val="pt-BR"/>
        </w:rPr>
        <w:t>artigo 4 da Lei Nº 6.090/2023</w:t>
      </w:r>
      <w:r>
        <w:rPr>
          <w:rFonts w:hint="default" w:ascii="Times New Roman" w:hAnsi="Times New Roman" w:eastAsia="Batang" w:cs="Times New Roman"/>
          <w:sz w:val="24"/>
          <w:szCs w:val="24"/>
        </w:rPr>
        <w:t>.</w:t>
      </w:r>
    </w:p>
    <w:p w14:paraId="358BC168">
      <w:pPr>
        <w:jc w:val="both"/>
        <w:rPr>
          <w:rFonts w:hint="default" w:ascii="Times New Roman" w:hAnsi="Times New Roman" w:eastAsia="Batang" w:cs="Times New Roman"/>
          <w:color w:val="000000"/>
          <w:sz w:val="24"/>
          <w:szCs w:val="24"/>
          <w:lang w:val="pt-BR"/>
        </w:rPr>
      </w:pPr>
      <w:r>
        <w:rPr>
          <w:rFonts w:hint="default" w:ascii="Times New Roman" w:hAnsi="Times New Roman" w:eastAsia="Batang" w:cs="Times New Roman"/>
          <w:sz w:val="24"/>
          <w:szCs w:val="24"/>
        </w:rPr>
        <w:t>6.3</w:t>
      </w:r>
      <w:r>
        <w:rPr>
          <w:rFonts w:hint="default" w:ascii="Times New Roman" w:hAnsi="Times New Roman" w:eastAsia="Batang" w:cs="Times New Roman"/>
          <w:sz w:val="24"/>
          <w:szCs w:val="24"/>
          <w:lang w:val="pt-BR"/>
        </w:rPr>
        <w:t xml:space="preserve">. </w:t>
      </w:r>
      <w:r>
        <w:rPr>
          <w:rFonts w:hint="default" w:ascii="Times New Roman" w:hAnsi="Times New Roman" w:eastAsia="Batang" w:cs="Times New Roman"/>
          <w:color w:val="000000"/>
          <w:sz w:val="24"/>
          <w:szCs w:val="24"/>
        </w:rPr>
        <w:t xml:space="preserve">No caso de pagamento integral do valor ofertado como lance vencedor no </w:t>
      </w:r>
      <w:r>
        <w:rPr>
          <w:rFonts w:hint="default" w:ascii="Times New Roman" w:hAnsi="Times New Roman" w:eastAsia="Batang" w:cs="Times New Roman"/>
          <w:color w:val="000000"/>
          <w:sz w:val="24"/>
          <w:szCs w:val="24"/>
          <w:lang w:val="pt-BR"/>
        </w:rPr>
        <w:t>leilão</w:t>
      </w:r>
      <w:r>
        <w:rPr>
          <w:rFonts w:hint="default" w:ascii="Times New Roman" w:hAnsi="Times New Roman" w:eastAsia="Batang" w:cs="Times New Roman"/>
          <w:color w:val="000000"/>
          <w:sz w:val="24"/>
          <w:szCs w:val="24"/>
        </w:rPr>
        <w:t>, poderá ser outorgada a escritura pública imediatamente após a quitação, caso reste comprovada a necessidade de obtenção de financiamento para a realização da construção</w:t>
      </w:r>
      <w:r>
        <w:rPr>
          <w:rFonts w:hint="default" w:ascii="Times New Roman" w:hAnsi="Times New Roman" w:eastAsia="Batang" w:cs="Times New Roman"/>
          <w:color w:val="000000"/>
          <w:sz w:val="24"/>
          <w:szCs w:val="24"/>
          <w:lang w:val="pt-BR"/>
        </w:rPr>
        <w:t>.</w:t>
      </w:r>
    </w:p>
    <w:p w14:paraId="44A350A9">
      <w:pPr>
        <w:keepLines w:val="0"/>
        <w:pageBreakBefore w:val="0"/>
        <w:widowControl/>
        <w:numPr>
          <w:ilvl w:val="0"/>
          <w:numId w:val="0"/>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eastAsia="Batang" w:cs="Times New Roman"/>
          <w:sz w:val="24"/>
          <w:szCs w:val="24"/>
        </w:rPr>
      </w:pPr>
      <w:r>
        <w:rPr>
          <w:rFonts w:hint="default" w:ascii="Times New Roman" w:hAnsi="Times New Roman" w:eastAsia="Batang" w:cs="Times New Roman"/>
          <w:color w:val="000000"/>
          <w:sz w:val="24"/>
          <w:szCs w:val="24"/>
        </w:rPr>
        <w:t>6.</w:t>
      </w:r>
      <w:r>
        <w:rPr>
          <w:rFonts w:hint="default" w:ascii="Times New Roman" w:hAnsi="Times New Roman" w:eastAsia="Batang" w:cs="Times New Roman"/>
          <w:color w:val="000000"/>
          <w:sz w:val="24"/>
          <w:szCs w:val="24"/>
          <w:lang w:val="pt-BR"/>
        </w:rPr>
        <w:t xml:space="preserve">3.1. </w:t>
      </w:r>
      <w:r>
        <w:rPr>
          <w:rFonts w:hint="default" w:ascii="Times New Roman" w:hAnsi="Times New Roman" w:eastAsia="Batang" w:cs="Times New Roman"/>
          <w:color w:val="000000"/>
          <w:sz w:val="24"/>
          <w:szCs w:val="24"/>
        </w:rPr>
        <w:t>Neste caso, a esc</w:t>
      </w:r>
      <w:r>
        <w:rPr>
          <w:rFonts w:hint="default" w:ascii="Times New Roman" w:hAnsi="Times New Roman" w:eastAsia="Batang" w:cs="Times New Roman"/>
          <w:sz w:val="24"/>
          <w:szCs w:val="24"/>
        </w:rPr>
        <w:t>ritura deverá conter cláusula exigindo o cumprimento das condições fixadas</w:t>
      </w:r>
      <w:r>
        <w:rPr>
          <w:rFonts w:hint="default" w:ascii="Times New Roman" w:hAnsi="Times New Roman" w:eastAsia="Batang" w:cs="Times New Roman"/>
          <w:sz w:val="24"/>
          <w:szCs w:val="24"/>
          <w:lang w:val="pt-BR"/>
        </w:rPr>
        <w:t xml:space="preserve"> </w:t>
      </w:r>
      <w:r>
        <w:rPr>
          <w:rFonts w:hint="default" w:ascii="Times New Roman" w:hAnsi="Times New Roman" w:eastAsia="Batang" w:cs="Times New Roman"/>
          <w:sz w:val="24"/>
          <w:szCs w:val="24"/>
        </w:rPr>
        <w:t xml:space="preserve">no </w:t>
      </w:r>
      <w:r>
        <w:rPr>
          <w:rFonts w:hint="default" w:ascii="Times New Roman" w:hAnsi="Times New Roman" w:eastAsia="Batang" w:cs="Times New Roman"/>
          <w:sz w:val="24"/>
          <w:szCs w:val="24"/>
          <w:lang w:val="pt-BR"/>
        </w:rPr>
        <w:t>artigo 4 da Lei Nº 6.090/2023</w:t>
      </w:r>
      <w:r>
        <w:rPr>
          <w:rFonts w:hint="default" w:ascii="Times New Roman" w:hAnsi="Times New Roman" w:eastAsia="Batang" w:cs="Times New Roman"/>
          <w:sz w:val="24"/>
          <w:szCs w:val="24"/>
        </w:rPr>
        <w:t>, bem com</w:t>
      </w:r>
      <w:r>
        <w:rPr>
          <w:rFonts w:hint="default" w:ascii="Times New Roman" w:hAnsi="Times New Roman" w:eastAsia="Batang" w:cs="Times New Roman"/>
          <w:sz w:val="24"/>
          <w:szCs w:val="24"/>
          <w:lang w:val="pt-BR"/>
        </w:rPr>
        <w:t>o</w:t>
      </w:r>
      <w:r>
        <w:rPr>
          <w:rFonts w:hint="default" w:ascii="Times New Roman" w:hAnsi="Times New Roman" w:eastAsia="Batang" w:cs="Times New Roman"/>
          <w:sz w:val="24"/>
          <w:szCs w:val="24"/>
        </w:rPr>
        <w:t xml:space="preserve"> a obrigação de indenizar o Município no caso do não cumprimento das exigências estabelecidas na Lei.</w:t>
      </w:r>
    </w:p>
    <w:p w14:paraId="614DBFC2">
      <w:pPr>
        <w:jc w:val="both"/>
        <w:rPr>
          <w:rFonts w:hint="default" w:ascii="Times New Roman" w:hAnsi="Times New Roman" w:eastAsia="Batang" w:cs="Times New Roman"/>
          <w:sz w:val="24"/>
          <w:szCs w:val="24"/>
        </w:rPr>
      </w:pPr>
    </w:p>
    <w:p w14:paraId="0ABC01C5">
      <w:pPr>
        <w:pStyle w:val="11"/>
        <w:keepNext w:val="0"/>
        <w:keepLines w:val="0"/>
        <w:pageBreakBefore w:val="0"/>
        <w:widowControl/>
        <w:kinsoku/>
        <w:wordWrap/>
        <w:overflowPunct/>
        <w:topLinePunct w:val="0"/>
        <w:autoSpaceDE/>
        <w:autoSpaceDN/>
        <w:bidi w:val="0"/>
        <w:adjustRightInd/>
        <w:snapToGrid/>
        <w:spacing w:before="0" w:line="240" w:lineRule="auto"/>
        <w:ind w:firstLine="0"/>
        <w:textAlignment w:val="auto"/>
        <w:rPr>
          <w:rFonts w:hint="default" w:ascii="Times New Roman" w:hAnsi="Times New Roman" w:eastAsia="Batang" w:cs="Times New Roman"/>
          <w:b/>
          <w:color w:val="000000"/>
          <w:sz w:val="24"/>
          <w:szCs w:val="24"/>
        </w:rPr>
      </w:pPr>
      <w:r>
        <w:rPr>
          <w:rFonts w:hint="default" w:ascii="Times New Roman" w:hAnsi="Times New Roman" w:eastAsia="Batang" w:cs="Times New Roman"/>
          <w:b/>
          <w:color w:val="000000"/>
          <w:sz w:val="24"/>
          <w:szCs w:val="24"/>
        </w:rPr>
        <w:t xml:space="preserve">CLÁUSULA SÉTIMA - DA ALIENAÇÃO: </w:t>
      </w:r>
    </w:p>
    <w:p w14:paraId="43517564">
      <w:pPr>
        <w:pStyle w:val="11"/>
        <w:keepNext w:val="0"/>
        <w:keepLines w:val="0"/>
        <w:pageBreakBefore w:val="0"/>
        <w:widowControl/>
        <w:kinsoku/>
        <w:wordWrap/>
        <w:overflowPunct/>
        <w:topLinePunct w:val="0"/>
        <w:autoSpaceDE/>
        <w:autoSpaceDN/>
        <w:bidi w:val="0"/>
        <w:adjustRightInd/>
        <w:snapToGrid/>
        <w:spacing w:before="0" w:line="240" w:lineRule="auto"/>
        <w:ind w:firstLine="0"/>
        <w:textAlignment w:val="auto"/>
        <w:rPr>
          <w:rFonts w:hint="default" w:ascii="Times New Roman" w:hAnsi="Times New Roman" w:eastAsia="Batang" w:cs="Times New Roman"/>
          <w:color w:val="000000"/>
          <w:sz w:val="24"/>
          <w:szCs w:val="24"/>
        </w:rPr>
      </w:pPr>
      <w:r>
        <w:rPr>
          <w:rFonts w:hint="default" w:ascii="Times New Roman" w:hAnsi="Times New Roman" w:eastAsia="Batang" w:cs="Times New Roman"/>
          <w:color w:val="000000"/>
          <w:sz w:val="24"/>
          <w:szCs w:val="24"/>
        </w:rPr>
        <w:t>7.1</w:t>
      </w:r>
      <w:r>
        <w:rPr>
          <w:rFonts w:hint="default" w:ascii="Times New Roman" w:hAnsi="Times New Roman" w:eastAsia="Batang" w:cs="Times New Roman"/>
          <w:color w:val="000000"/>
          <w:sz w:val="24"/>
          <w:szCs w:val="24"/>
          <w:lang w:val="pt-BR"/>
        </w:rPr>
        <w:t xml:space="preserve">. </w:t>
      </w:r>
      <w:r>
        <w:rPr>
          <w:rFonts w:hint="default" w:ascii="Times New Roman" w:hAnsi="Times New Roman" w:eastAsia="Batang" w:cs="Times New Roman"/>
          <w:color w:val="000000"/>
          <w:sz w:val="24"/>
          <w:szCs w:val="24"/>
        </w:rPr>
        <w:t>O imóvel adquirido não poderá ser alienado a terceiros sem a prévia anuência do Poder Executivo Municipal, permitindo-se, no entanto sua hipoteca como garantia de empréstimo ou financiamento, desde que o produto deste seja aplicado no próprio imóvel, ficando a cláusula de reversão e demais obrigações garantidas por hipoteca em 2º grau em favor do Município.</w:t>
      </w:r>
    </w:p>
    <w:p w14:paraId="1C6058DB">
      <w:pPr>
        <w:tabs>
          <w:tab w:val="left" w:pos="1486"/>
        </w:tabs>
        <w:ind w:firstLine="13"/>
        <w:rPr>
          <w:rFonts w:hint="default" w:ascii="Times New Roman" w:hAnsi="Times New Roman" w:cs="Times New Roman"/>
          <w:b/>
          <w:bCs/>
          <w:sz w:val="24"/>
          <w:szCs w:val="24"/>
          <w:lang w:val="pt-BR"/>
        </w:rPr>
      </w:pPr>
    </w:p>
    <w:p w14:paraId="68427989">
      <w:pPr>
        <w:jc w:val="both"/>
        <w:rPr>
          <w:rFonts w:hint="default" w:ascii="Times New Roman" w:hAnsi="Times New Roman" w:cs="Times New Roman"/>
          <w:b/>
          <w:sz w:val="24"/>
          <w:szCs w:val="24"/>
        </w:rPr>
      </w:pPr>
      <w:r>
        <w:rPr>
          <w:rFonts w:hint="default" w:ascii="Times New Roman" w:hAnsi="Times New Roman" w:cs="Times New Roman"/>
          <w:b/>
          <w:sz w:val="24"/>
          <w:szCs w:val="24"/>
        </w:rPr>
        <w:t>CLÁUSULA OITAVA - DO PAGAMENTO:</w:t>
      </w:r>
    </w:p>
    <w:p w14:paraId="01F05F0B">
      <w:pPr>
        <w:keepLines w:val="0"/>
        <w:pageBreakBefore w:val="0"/>
        <w:widowControl/>
        <w:numPr>
          <w:ilvl w:val="0"/>
          <w:numId w:val="0"/>
        </w:numPr>
        <w:kinsoku/>
        <w:wordWrap/>
        <w:overflowPunct/>
        <w:topLinePunct w:val="0"/>
        <w:autoSpaceDE/>
        <w:autoSpaceDN/>
        <w:bidi w:val="0"/>
        <w:adjustRightInd/>
        <w:snapToGrid/>
        <w:spacing w:line="240" w:lineRule="auto"/>
        <w:ind w:leftChars="0"/>
        <w:jc w:val="both"/>
        <w:textAlignment w:val="auto"/>
        <w:rPr>
          <w:rFonts w:hint="default" w:ascii="Times New Roman" w:hAnsi="Times New Roman" w:cs="Times New Roman"/>
          <w:color w:val="0000FF"/>
          <w:sz w:val="24"/>
          <w:szCs w:val="24"/>
        </w:rPr>
      </w:pPr>
      <w:r>
        <w:rPr>
          <w:rFonts w:hint="default" w:ascii="Times New Roman" w:hAnsi="Times New Roman" w:cs="Times New Roman"/>
          <w:sz w:val="24"/>
          <w:szCs w:val="24"/>
          <w:lang w:val="pt-BR"/>
        </w:rPr>
        <w:t>8</w:t>
      </w:r>
      <w:r>
        <w:rPr>
          <w:rFonts w:hint="default" w:ascii="Times New Roman" w:hAnsi="Times New Roman" w:cs="Times New Roman"/>
          <w:sz w:val="24"/>
          <w:szCs w:val="24"/>
        </w:rPr>
        <w:t>.1</w:t>
      </w:r>
      <w:r>
        <w:rPr>
          <w:rFonts w:hint="default" w:ascii="Times New Roman" w:hAnsi="Times New Roman" w:cs="Times New Roman"/>
          <w:sz w:val="24"/>
          <w:szCs w:val="24"/>
          <w:lang w:val="pt-BR"/>
        </w:rPr>
        <w:t>. D</w:t>
      </w:r>
      <w:r>
        <w:rPr>
          <w:rFonts w:hint="default" w:ascii="Times New Roman" w:hAnsi="Times New Roman" w:cs="Times New Roman"/>
          <w:sz w:val="24"/>
          <w:szCs w:val="24"/>
        </w:rPr>
        <w:t>o valor</w:t>
      </w:r>
      <w:r>
        <w:rPr>
          <w:rFonts w:hint="default" w:ascii="Times New Roman" w:hAnsi="Times New Roman" w:cs="Times New Roman"/>
          <w:sz w:val="24"/>
          <w:szCs w:val="24"/>
          <w:lang w:val="pt-BR"/>
        </w:rPr>
        <w:t xml:space="preserve"> devido, 40% (quarenta por cento) deverá ser pago no prazo máximo de 24 (vinte e quatro horas) horas após </w:t>
      </w:r>
      <w:r>
        <w:rPr>
          <w:rFonts w:hint="default" w:ascii="Times New Roman" w:hAnsi="Times New Roman" w:cs="Times New Roman"/>
          <w:color w:val="auto"/>
          <w:sz w:val="24"/>
          <w:szCs w:val="24"/>
        </w:rPr>
        <w:t xml:space="preserve">a </w:t>
      </w:r>
      <w:r>
        <w:rPr>
          <w:rFonts w:hint="default" w:ascii="Times New Roman" w:hAnsi="Times New Roman" w:cs="Times New Roman"/>
          <w:color w:val="auto"/>
          <w:sz w:val="24"/>
          <w:szCs w:val="24"/>
          <w:lang w:val="pt-BR"/>
        </w:rPr>
        <w:t xml:space="preserve">declaração de vencedor arrematante junto ao Portal de Compras Públicas. A guia bancária para efetivação do pagamento deverá ser retirada </w:t>
      </w:r>
      <w:r>
        <w:rPr>
          <w:rFonts w:hint="default" w:ascii="Times New Roman" w:hAnsi="Times New Roman" w:cs="Times New Roman"/>
          <w:color w:val="auto"/>
          <w:sz w:val="24"/>
          <w:szCs w:val="24"/>
        </w:rPr>
        <w:t>n</w:t>
      </w:r>
      <w:r>
        <w:rPr>
          <w:rFonts w:hint="default" w:ascii="Times New Roman" w:hAnsi="Times New Roman" w:cs="Times New Roman"/>
          <w:color w:val="auto"/>
          <w:sz w:val="24"/>
          <w:szCs w:val="24"/>
          <w:lang w:val="pt-BR"/>
        </w:rPr>
        <w:t xml:space="preserve">o Setor de </w:t>
      </w:r>
      <w:r>
        <w:rPr>
          <w:rFonts w:hint="default" w:ascii="Times New Roman" w:hAnsi="Times New Roman" w:cs="Times New Roman"/>
          <w:color w:val="auto"/>
          <w:sz w:val="24"/>
          <w:szCs w:val="24"/>
        </w:rPr>
        <w:t xml:space="preserve">Tesouraria da Prefeitura Municipal de Teutônia, no horário </w:t>
      </w:r>
      <w:r>
        <w:rPr>
          <w:rFonts w:hint="default" w:ascii="Times New Roman" w:hAnsi="Times New Roman" w:cs="Times New Roman"/>
          <w:color w:val="auto"/>
          <w:sz w:val="24"/>
          <w:szCs w:val="24"/>
          <w:lang w:val="pt-BR"/>
        </w:rPr>
        <w:t xml:space="preserve">compreendido entre </w:t>
      </w:r>
      <w:r>
        <w:rPr>
          <w:rFonts w:hint="default" w:ascii="Times New Roman" w:hAnsi="Times New Roman" w:cs="Times New Roman"/>
          <w:color w:val="auto"/>
          <w:sz w:val="24"/>
          <w:szCs w:val="24"/>
        </w:rPr>
        <w:t>7h e 30min às 11h e 30min e das 13h às l6h e 30min.</w:t>
      </w:r>
    </w:p>
    <w:p w14:paraId="4AE3C35C">
      <w:pPr>
        <w:pStyle w:val="7"/>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pt-BR"/>
        </w:rPr>
        <w:t xml:space="preserve">8.2. </w:t>
      </w:r>
      <w:r>
        <w:rPr>
          <w:rFonts w:hint="default" w:ascii="Times New Roman" w:hAnsi="Times New Roman" w:cs="Times New Roman"/>
          <w:sz w:val="24"/>
          <w:szCs w:val="24"/>
        </w:rPr>
        <w:t xml:space="preserve">Após a confirmação do pagamento do valor previsto no item </w:t>
      </w:r>
      <w:r>
        <w:rPr>
          <w:rFonts w:hint="default" w:ascii="Times New Roman" w:hAnsi="Times New Roman" w:cs="Times New Roman"/>
          <w:sz w:val="24"/>
          <w:szCs w:val="24"/>
          <w:lang w:val="pt-BR"/>
        </w:rPr>
        <w:t>8.1</w:t>
      </w:r>
      <w:r>
        <w:rPr>
          <w:rFonts w:hint="default" w:ascii="Times New Roman" w:hAnsi="Times New Roman" w:cs="Times New Roman"/>
          <w:sz w:val="24"/>
          <w:szCs w:val="24"/>
        </w:rPr>
        <w:t>,</w:t>
      </w:r>
      <w:r>
        <w:rPr>
          <w:rFonts w:hint="default" w:ascii="Times New Roman" w:hAnsi="Times New Roman" w:cs="Times New Roman"/>
          <w:sz w:val="24"/>
          <w:szCs w:val="24"/>
          <w:lang w:val="pt-BR"/>
        </w:rPr>
        <w:t xml:space="preserve"> </w:t>
      </w:r>
      <w:r>
        <w:rPr>
          <w:rFonts w:hint="default" w:ascii="Times New Roman" w:hAnsi="Times New Roman" w:cs="Times New Roman"/>
          <w:color w:val="auto"/>
          <w:sz w:val="24"/>
          <w:szCs w:val="24"/>
        </w:rPr>
        <w:t>a arr</w:t>
      </w:r>
      <w:r>
        <w:rPr>
          <w:rFonts w:hint="default" w:ascii="Times New Roman" w:hAnsi="Times New Roman" w:cs="Times New Roman"/>
          <w:sz w:val="24"/>
          <w:szCs w:val="24"/>
        </w:rPr>
        <w:t xml:space="preserve">ematante ficará apta a assinar o competente contrato de promessa de compra e venda, devendo os </w:t>
      </w:r>
      <w:r>
        <w:rPr>
          <w:rFonts w:hint="default" w:ascii="Times New Roman" w:hAnsi="Times New Roman" w:cs="Times New Roman"/>
          <w:sz w:val="24"/>
          <w:szCs w:val="24"/>
          <w:lang w:val="pt-BR"/>
        </w:rPr>
        <w:t>6</w:t>
      </w:r>
      <w:r>
        <w:rPr>
          <w:rFonts w:hint="default" w:ascii="Times New Roman" w:hAnsi="Times New Roman" w:cs="Times New Roman"/>
          <w:sz w:val="24"/>
          <w:szCs w:val="24"/>
        </w:rPr>
        <w:t>0% (</w:t>
      </w:r>
      <w:r>
        <w:rPr>
          <w:rFonts w:hint="default" w:ascii="Times New Roman" w:hAnsi="Times New Roman" w:cs="Times New Roman"/>
          <w:sz w:val="24"/>
          <w:szCs w:val="24"/>
          <w:lang w:val="pt-BR"/>
        </w:rPr>
        <w:t xml:space="preserve">sessenta </w:t>
      </w:r>
      <w:r>
        <w:rPr>
          <w:rFonts w:hint="default" w:ascii="Times New Roman" w:hAnsi="Times New Roman" w:cs="Times New Roman"/>
          <w:sz w:val="24"/>
          <w:szCs w:val="24"/>
        </w:rPr>
        <w:t xml:space="preserve">por cento) restantes serem pagos em até </w:t>
      </w:r>
      <w:r>
        <w:rPr>
          <w:rFonts w:hint="default" w:ascii="Times New Roman" w:hAnsi="Times New Roman" w:cs="Times New Roman"/>
          <w:sz w:val="24"/>
          <w:szCs w:val="24"/>
          <w:lang w:val="pt-BR"/>
        </w:rPr>
        <w:t>36</w:t>
      </w:r>
      <w:r>
        <w:rPr>
          <w:rFonts w:hint="default" w:ascii="Times New Roman" w:hAnsi="Times New Roman" w:cs="Times New Roman"/>
          <w:sz w:val="24"/>
          <w:szCs w:val="24"/>
        </w:rPr>
        <w:t xml:space="preserve"> </w:t>
      </w:r>
      <w:r>
        <w:rPr>
          <w:rFonts w:hint="default" w:ascii="Times New Roman" w:hAnsi="Times New Roman" w:cs="Times New Roman"/>
          <w:sz w:val="24"/>
          <w:szCs w:val="24"/>
          <w:lang w:val="pt-BR"/>
        </w:rPr>
        <w:t>(trinta e seis)</w:t>
      </w:r>
      <w:r>
        <w:rPr>
          <w:rFonts w:hint="default" w:ascii="Times New Roman" w:hAnsi="Times New Roman" w:cs="Times New Roman"/>
          <w:sz w:val="24"/>
          <w:szCs w:val="24"/>
        </w:rPr>
        <w:t xml:space="preserve"> parcelas mensais, iguais e consecutivas.</w:t>
      </w:r>
    </w:p>
    <w:p w14:paraId="726EBF36">
      <w:pPr>
        <w:jc w:val="both"/>
        <w:rPr>
          <w:rFonts w:hint="default" w:ascii="Times New Roman" w:hAnsi="Times New Roman" w:cs="Times New Roman"/>
          <w:sz w:val="24"/>
          <w:szCs w:val="24"/>
        </w:rPr>
      </w:pPr>
      <w:r>
        <w:rPr>
          <w:rFonts w:hint="default" w:ascii="Times New Roman" w:hAnsi="Times New Roman" w:cs="Times New Roman"/>
          <w:sz w:val="24"/>
          <w:szCs w:val="24"/>
          <w:lang w:val="pt-BR"/>
        </w:rPr>
        <w:t xml:space="preserve">8.3. </w:t>
      </w:r>
      <w:r>
        <w:rPr>
          <w:rFonts w:hint="default" w:ascii="Times New Roman" w:hAnsi="Times New Roman" w:cs="Times New Roman"/>
          <w:sz w:val="24"/>
          <w:szCs w:val="24"/>
        </w:rPr>
        <w:t xml:space="preserve">As parcelas não pagas na data de seu vencimento </w:t>
      </w:r>
      <w:r>
        <w:rPr>
          <w:rFonts w:hint="default" w:ascii="Times New Roman" w:hAnsi="Times New Roman" w:cs="Times New Roman"/>
          <w:sz w:val="24"/>
          <w:szCs w:val="24"/>
          <w:lang w:val="pt-BR"/>
        </w:rPr>
        <w:t xml:space="preserve">serão inscritas como Dívida Ativa não Tributária e sofrerão os acréscimos legais estabelecidos no Código Tributário Municipal. </w:t>
      </w:r>
    </w:p>
    <w:p w14:paraId="6643FE01">
      <w:pPr>
        <w:jc w:val="both"/>
        <w:rPr>
          <w:rFonts w:hint="default" w:ascii="Times New Roman" w:hAnsi="Times New Roman" w:cs="Times New Roman"/>
          <w:sz w:val="24"/>
          <w:szCs w:val="24"/>
        </w:rPr>
      </w:pPr>
    </w:p>
    <w:p w14:paraId="78FE3117">
      <w:pPr>
        <w:jc w:val="both"/>
        <w:rPr>
          <w:rFonts w:hint="default" w:ascii="Times New Roman" w:hAnsi="Times New Roman" w:cs="Times New Roman"/>
          <w:b/>
          <w:bCs w:val="0"/>
          <w:sz w:val="24"/>
          <w:szCs w:val="24"/>
          <w:lang w:val="pt-BR"/>
        </w:rPr>
      </w:pPr>
      <w:r>
        <w:rPr>
          <w:rFonts w:hint="default" w:ascii="Times New Roman" w:hAnsi="Times New Roman" w:cs="Times New Roman"/>
          <w:b/>
          <w:sz w:val="24"/>
          <w:szCs w:val="24"/>
        </w:rPr>
        <w:t xml:space="preserve">CLÁUSULA NONA </w:t>
      </w:r>
      <w:r>
        <w:rPr>
          <w:rFonts w:hint="default" w:ascii="Times New Roman" w:hAnsi="Times New Roman" w:cs="Times New Roman"/>
          <w:b/>
          <w:sz w:val="24"/>
          <w:szCs w:val="24"/>
          <w:lang w:val="pt-BR"/>
        </w:rPr>
        <w:t xml:space="preserve">- </w:t>
      </w:r>
      <w:r>
        <w:rPr>
          <w:rFonts w:hint="default" w:ascii="Times New Roman" w:hAnsi="Times New Roman" w:cs="Times New Roman"/>
          <w:b/>
          <w:bCs w:val="0"/>
          <w:sz w:val="24"/>
          <w:szCs w:val="24"/>
          <w:lang w:val="pt-BR"/>
        </w:rPr>
        <w:t>DA FISCALIZAÇÃO</w:t>
      </w:r>
    </w:p>
    <w:p w14:paraId="76C8B570">
      <w:pPr>
        <w:jc w:val="both"/>
        <w:rPr>
          <w:rFonts w:hint="default" w:ascii="Times New Roman" w:hAnsi="Times New Roman" w:cs="Times New Roman"/>
          <w:color w:val="000000"/>
          <w:sz w:val="24"/>
          <w:szCs w:val="24"/>
          <w:lang w:val="pt-BR"/>
        </w:rPr>
      </w:pPr>
      <w:r>
        <w:rPr>
          <w:rFonts w:hint="default" w:ascii="Times New Roman" w:hAnsi="Times New Roman" w:cs="Times New Roman"/>
          <w:b w:val="0"/>
          <w:bCs/>
          <w:sz w:val="24"/>
          <w:szCs w:val="24"/>
          <w:lang w:val="pt-BR"/>
        </w:rPr>
        <w:t xml:space="preserve">9.1. </w:t>
      </w:r>
      <w:r>
        <w:rPr>
          <w:rFonts w:hint="default" w:ascii="Times New Roman" w:hAnsi="Times New Roman" w:cs="Times New Roman"/>
          <w:color w:val="000000"/>
          <w:sz w:val="24"/>
          <w:szCs w:val="24"/>
        </w:rPr>
        <w:t>A execução do Contrato será acompanhada e fiscalizada pelo</w:t>
      </w:r>
      <w:r>
        <w:rPr>
          <w:rFonts w:hint="default" w:ascii="Times New Roman" w:hAnsi="Times New Roman" w:cs="Times New Roman"/>
          <w:color w:val="000000"/>
          <w:sz w:val="24"/>
          <w:szCs w:val="24"/>
          <w:lang w:val="pt-BR"/>
        </w:rPr>
        <w:t>s</w:t>
      </w:r>
      <w:r>
        <w:rPr>
          <w:rFonts w:hint="default" w:ascii="Times New Roman" w:hAnsi="Times New Roman" w:cs="Times New Roman"/>
          <w:color w:val="000000"/>
          <w:sz w:val="24"/>
          <w:szCs w:val="24"/>
        </w:rPr>
        <w:t xml:space="preserve"> representante</w:t>
      </w:r>
      <w:r>
        <w:rPr>
          <w:rFonts w:hint="default" w:ascii="Times New Roman" w:hAnsi="Times New Roman" w:cs="Times New Roman"/>
          <w:color w:val="000000"/>
          <w:sz w:val="24"/>
          <w:szCs w:val="24"/>
          <w:lang w:val="pt-BR"/>
        </w:rPr>
        <w:t>s</w:t>
      </w:r>
      <w:r>
        <w:rPr>
          <w:rFonts w:hint="default" w:ascii="Times New Roman" w:hAnsi="Times New Roman" w:cs="Times New Roman"/>
          <w:color w:val="000000"/>
          <w:sz w:val="24"/>
          <w:szCs w:val="24"/>
        </w:rPr>
        <w:t xml:space="preserve"> da Administração</w:t>
      </w:r>
      <w:r>
        <w:rPr>
          <w:rFonts w:hint="default" w:ascii="Times New Roman" w:hAnsi="Times New Roman" w:cs="Times New Roman"/>
          <w:color w:val="000000"/>
          <w:sz w:val="24"/>
          <w:szCs w:val="24"/>
          <w:lang w:val="pt-BR"/>
        </w:rPr>
        <w:t xml:space="preserve">, servidor </w:t>
      </w:r>
      <w:r>
        <w:rPr>
          <w:rFonts w:hint="default" w:ascii="Times New Roman" w:hAnsi="Times New Roman" w:cs="Times New Roman"/>
          <w:b/>
          <w:bCs/>
          <w:color w:val="000000"/>
          <w:sz w:val="24"/>
          <w:szCs w:val="24"/>
          <w:lang w:val="pt-BR"/>
        </w:rPr>
        <w:t>Guilherme Moacir Engster.</w:t>
      </w:r>
    </w:p>
    <w:p w14:paraId="62AFFA3F">
      <w:pPr>
        <w:jc w:val="both"/>
        <w:rPr>
          <w:rFonts w:hint="default" w:ascii="Times New Roman" w:hAnsi="Times New Roman" w:cs="Times New Roman"/>
          <w:color w:val="000000"/>
          <w:sz w:val="24"/>
          <w:szCs w:val="24"/>
          <w:lang w:val="pt-BR"/>
        </w:rPr>
      </w:pPr>
    </w:p>
    <w:p w14:paraId="277E6559">
      <w:pPr>
        <w:jc w:val="both"/>
        <w:rPr>
          <w:rFonts w:hint="default" w:ascii="Times New Roman" w:hAnsi="Times New Roman" w:cs="Times New Roman"/>
          <w:bCs/>
          <w:sz w:val="24"/>
          <w:szCs w:val="24"/>
        </w:rPr>
      </w:pPr>
      <w:r>
        <w:rPr>
          <w:rFonts w:hint="default" w:ascii="Times New Roman" w:hAnsi="Times New Roman" w:cs="Times New Roman"/>
          <w:b/>
          <w:sz w:val="24"/>
          <w:szCs w:val="24"/>
          <w:lang w:val="pt-BR"/>
        </w:rPr>
        <w:t>CLÁUSULA DÉCIMA -</w:t>
      </w:r>
      <w:r>
        <w:rPr>
          <w:rFonts w:hint="default" w:ascii="Times New Roman" w:hAnsi="Times New Roman" w:cs="Times New Roman"/>
          <w:b/>
          <w:sz w:val="24"/>
          <w:szCs w:val="24"/>
        </w:rPr>
        <w:t xml:space="preserve"> DA RESCISÃO:</w:t>
      </w:r>
    </w:p>
    <w:p w14:paraId="2BDCCADF">
      <w:pPr>
        <w:jc w:val="both"/>
        <w:rPr>
          <w:rFonts w:hint="default" w:ascii="Times New Roman" w:hAnsi="Times New Roman" w:cs="Times New Roman"/>
          <w:bCs/>
          <w:sz w:val="24"/>
          <w:szCs w:val="24"/>
        </w:rPr>
      </w:pPr>
      <w:r>
        <w:rPr>
          <w:rFonts w:hint="default" w:ascii="Times New Roman" w:hAnsi="Times New Roman" w:cs="Times New Roman"/>
          <w:sz w:val="24"/>
          <w:szCs w:val="24"/>
          <w:lang w:val="pt-BR"/>
        </w:rPr>
        <w:t>10</w:t>
      </w:r>
      <w:r>
        <w:rPr>
          <w:rFonts w:hint="default" w:ascii="Times New Roman" w:hAnsi="Times New Roman" w:cs="Times New Roman"/>
          <w:sz w:val="24"/>
          <w:szCs w:val="24"/>
        </w:rPr>
        <w:t>.1</w:t>
      </w:r>
      <w:r>
        <w:rPr>
          <w:rFonts w:hint="default" w:ascii="Times New Roman" w:hAnsi="Times New Roman" w:cs="Times New Roman"/>
          <w:sz w:val="24"/>
          <w:szCs w:val="24"/>
          <w:lang w:val="pt-BR"/>
        </w:rPr>
        <w:t xml:space="preserve">. </w:t>
      </w:r>
      <w:r>
        <w:rPr>
          <w:rFonts w:hint="default" w:ascii="Times New Roman" w:hAnsi="Times New Roman" w:cs="Times New Roman"/>
          <w:sz w:val="24"/>
          <w:szCs w:val="24"/>
        </w:rPr>
        <w:t>Ocorrendo força maior ou caso fortuito, no transcorrer do tempo entre a data da realização d</w:t>
      </w:r>
      <w:r>
        <w:rPr>
          <w:rFonts w:hint="default" w:ascii="Times New Roman" w:hAnsi="Times New Roman" w:cs="Times New Roman"/>
          <w:sz w:val="24"/>
          <w:szCs w:val="24"/>
          <w:lang w:val="pt-BR"/>
        </w:rPr>
        <w:t xml:space="preserve">o Leilão </w:t>
      </w:r>
      <w:r>
        <w:rPr>
          <w:rFonts w:hint="default" w:ascii="Times New Roman" w:hAnsi="Times New Roman" w:cs="Times New Roman"/>
          <w:sz w:val="24"/>
          <w:szCs w:val="24"/>
        </w:rPr>
        <w:t>e a da tradição dos bens, que impeça a entrega dos mesmos, resolve-se a obrigação mediante restituição do valor pago, sem qualquer acréscimo.</w:t>
      </w:r>
    </w:p>
    <w:p w14:paraId="284CD82E">
      <w:pPr>
        <w:jc w:val="both"/>
        <w:rPr>
          <w:rFonts w:hint="default" w:ascii="Times New Roman" w:hAnsi="Times New Roman" w:cs="Times New Roman"/>
          <w:sz w:val="24"/>
          <w:szCs w:val="24"/>
        </w:rPr>
      </w:pPr>
    </w:p>
    <w:p w14:paraId="1CBA78CB">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cs="Times New Roman"/>
          <w:sz w:val="24"/>
          <w:szCs w:val="24"/>
        </w:rPr>
      </w:pPr>
      <w:r>
        <w:rPr>
          <w:rFonts w:hint="default" w:ascii="Times New Roman" w:hAnsi="Times New Roman" w:cs="Times New Roman"/>
          <w:b/>
          <w:sz w:val="24"/>
          <w:szCs w:val="24"/>
        </w:rPr>
        <w:t xml:space="preserve">CLÁUSULA </w:t>
      </w:r>
      <w:r>
        <w:rPr>
          <w:rFonts w:hint="default" w:ascii="Times New Roman" w:hAnsi="Times New Roman" w:cs="Times New Roman"/>
          <w:b/>
          <w:sz w:val="24"/>
          <w:szCs w:val="24"/>
          <w:lang w:val="pt-BR"/>
        </w:rPr>
        <w:t>DÉCIMA PRIMEIRA</w:t>
      </w:r>
      <w:r>
        <w:rPr>
          <w:rFonts w:hint="default" w:ascii="Times New Roman" w:hAnsi="Times New Roman" w:cs="Times New Roman"/>
          <w:b/>
          <w:sz w:val="24"/>
          <w:szCs w:val="24"/>
        </w:rPr>
        <w:t xml:space="preserve"> - DAS DISPOSIÇÕES GERAIS:</w:t>
      </w:r>
    </w:p>
    <w:p w14:paraId="769C72CC">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cs="Times New Roman"/>
          <w:sz w:val="24"/>
          <w:szCs w:val="24"/>
        </w:rPr>
      </w:pPr>
      <w:r>
        <w:rPr>
          <w:rFonts w:hint="default" w:ascii="Times New Roman" w:hAnsi="Times New Roman" w:cs="Times New Roman"/>
          <w:sz w:val="24"/>
          <w:szCs w:val="24"/>
          <w:lang w:val="pt-BR"/>
        </w:rPr>
        <w:t>11</w:t>
      </w:r>
      <w:r>
        <w:rPr>
          <w:rFonts w:hint="default" w:ascii="Times New Roman" w:hAnsi="Times New Roman" w:cs="Times New Roman"/>
          <w:sz w:val="24"/>
          <w:szCs w:val="24"/>
        </w:rPr>
        <w:t>.1. A presente licitação reger-se-á pelas resoluções d</w:t>
      </w:r>
      <w:r>
        <w:rPr>
          <w:rFonts w:hint="default" w:ascii="Times New Roman" w:hAnsi="Times New Roman" w:cs="Times New Roman"/>
          <w:sz w:val="24"/>
          <w:szCs w:val="24"/>
          <w:lang w:val="pt-BR"/>
        </w:rPr>
        <w:t>o Edital de Leilão Eletrônico N.º 05-05/2024</w:t>
      </w:r>
      <w:r>
        <w:rPr>
          <w:rFonts w:hint="default" w:ascii="Times New Roman" w:hAnsi="Times New Roman" w:cs="Times New Roman"/>
          <w:sz w:val="24"/>
          <w:szCs w:val="24"/>
        </w:rPr>
        <w:t xml:space="preserve">, da Lei </w:t>
      </w:r>
      <w:r>
        <w:rPr>
          <w:rFonts w:hint="default" w:ascii="Times New Roman" w:hAnsi="Times New Roman" w:cs="Times New Roman"/>
          <w:sz w:val="24"/>
          <w:szCs w:val="24"/>
          <w:lang w:val="pt-BR"/>
        </w:rPr>
        <w:t>N</w:t>
      </w:r>
      <w:r>
        <w:rPr>
          <w:rFonts w:hint="default" w:ascii="Times New Roman" w:hAnsi="Times New Roman" w:cs="Times New Roman"/>
          <w:sz w:val="24"/>
          <w:szCs w:val="24"/>
        </w:rPr>
        <w:t xml:space="preserve">.º </w:t>
      </w:r>
      <w:r>
        <w:rPr>
          <w:rFonts w:hint="default" w:ascii="Times New Roman" w:hAnsi="Times New Roman" w:cs="Times New Roman"/>
          <w:sz w:val="24"/>
          <w:szCs w:val="24"/>
          <w:lang w:val="pt-BR"/>
        </w:rPr>
        <w:t>14.133/21</w:t>
      </w:r>
      <w:r>
        <w:rPr>
          <w:rFonts w:hint="default" w:ascii="Times New Roman" w:hAnsi="Times New Roman" w:cs="Times New Roman"/>
          <w:sz w:val="24"/>
          <w:szCs w:val="24"/>
        </w:rPr>
        <w:t xml:space="preserve"> e alterações posteriores e das Leis Municipais em anexo.</w:t>
      </w:r>
    </w:p>
    <w:p w14:paraId="626EC829">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cs="Times New Roman"/>
          <w:sz w:val="24"/>
          <w:szCs w:val="24"/>
        </w:rPr>
      </w:pPr>
    </w:p>
    <w:p w14:paraId="2BEE9843">
      <w:pPr>
        <w:keepNext w:val="0"/>
        <w:keepLines w:val="0"/>
        <w:pageBreakBefore w:val="0"/>
        <w:widowControl/>
        <w:tabs>
          <w:tab w:val="left" w:pos="2268"/>
        </w:tab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b/>
          <w:sz w:val="24"/>
          <w:szCs w:val="24"/>
        </w:rPr>
      </w:pPr>
      <w:r>
        <w:rPr>
          <w:rFonts w:hint="default" w:ascii="Times New Roman" w:hAnsi="Times New Roman" w:cs="Times New Roman"/>
          <w:b/>
          <w:sz w:val="24"/>
          <w:szCs w:val="24"/>
        </w:rPr>
        <w:t xml:space="preserve">CLÁUSULA </w:t>
      </w:r>
      <w:r>
        <w:rPr>
          <w:rFonts w:hint="default" w:ascii="Times New Roman" w:hAnsi="Times New Roman" w:cs="Times New Roman"/>
          <w:b/>
          <w:sz w:val="24"/>
          <w:szCs w:val="24"/>
          <w:lang w:val="pt-BR"/>
        </w:rPr>
        <w:t>DÉCIM</w:t>
      </w:r>
      <w:r>
        <w:rPr>
          <w:rFonts w:hint="default" w:ascii="Times New Roman" w:hAnsi="Times New Roman" w:cs="Times New Roman"/>
          <w:b/>
          <w:sz w:val="24"/>
          <w:szCs w:val="24"/>
        </w:rPr>
        <w:t xml:space="preserve">A </w:t>
      </w:r>
      <w:r>
        <w:rPr>
          <w:rFonts w:hint="default" w:ascii="Times New Roman" w:hAnsi="Times New Roman" w:cs="Times New Roman"/>
          <w:b/>
          <w:sz w:val="24"/>
          <w:szCs w:val="24"/>
          <w:lang w:val="pt-BR"/>
        </w:rPr>
        <w:t xml:space="preserve">SEGUNDA </w:t>
      </w:r>
      <w:r>
        <w:rPr>
          <w:rFonts w:hint="default" w:ascii="Times New Roman" w:hAnsi="Times New Roman" w:cs="Times New Roman"/>
          <w:b/>
          <w:sz w:val="24"/>
          <w:szCs w:val="24"/>
        </w:rPr>
        <w:t xml:space="preserve">– </w:t>
      </w:r>
      <w:r>
        <w:rPr>
          <w:rFonts w:hint="default" w:ascii="Times New Roman" w:hAnsi="Times New Roman" w:cs="Times New Roman"/>
          <w:b/>
          <w:sz w:val="24"/>
          <w:szCs w:val="24"/>
          <w:rtl w:val="0"/>
        </w:rPr>
        <w:t>DA ADEQUAÇÃO À LEI GERAL DE PROTEÇÃO DE DADOS PESSOAIS - LEI Nº 13.709/2018 (LGPD)</w:t>
      </w:r>
    </w:p>
    <w:p w14:paraId="275442F4">
      <w:pPr>
        <w:keepNext w:val="0"/>
        <w:keepLines w:val="0"/>
        <w:pageBreakBefore w:val="0"/>
        <w:widowControl/>
        <w:tabs>
          <w:tab w:val="left" w:pos="2268"/>
        </w:tab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b w:val="0"/>
          <w:bCs/>
          <w:sz w:val="24"/>
          <w:szCs w:val="24"/>
          <w:lang w:val="pt-BR"/>
        </w:rPr>
        <w:t xml:space="preserve">12.1. </w:t>
      </w:r>
      <w:r>
        <w:rPr>
          <w:rFonts w:hint="default" w:ascii="Times New Roman" w:hAnsi="Times New Roman" w:cs="Times New Roman"/>
          <w:sz w:val="24"/>
          <w:szCs w:val="24"/>
          <w:rtl w:val="0"/>
        </w:rPr>
        <w:t>As PARTES observarão os preceitos da Lei nº 13.709/2018 (Lei Geral de Proteção de Dados - LGPD) e utilizarão os dados a que tiverem acesso em decorrência do presente contrato estritamente para o cumprimento dos fins a que se propõe o presente contrato, comprometendo-se a adotar as medidas técnicas e administrativas necessárias visando a proteção dos dados pessoais, em conformidade com o disposto na referida legislação e respeitando os princípios da LGPD. Os dados pessoais e sensíveis deverão ser tratados com respeito ao sigilo e confidencialidade, não devendo ser compartilhados com terceiros a menos que necessário para atingir o fim proposto no contrato.</w:t>
      </w:r>
    </w:p>
    <w:p w14:paraId="18C43927">
      <w:pPr>
        <w:keepNext w:val="0"/>
        <w:keepLines w:val="0"/>
        <w:pageBreakBefore w:val="0"/>
        <w:widowControl/>
        <w:tabs>
          <w:tab w:val="left" w:pos="2268"/>
        </w:tab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tl w:val="0"/>
          <w:lang w:val="pt-BR"/>
        </w:rPr>
        <w:t xml:space="preserve">12.2. </w:t>
      </w:r>
      <w:r>
        <w:rPr>
          <w:rFonts w:hint="default" w:ascii="Times New Roman" w:hAnsi="Times New Roman" w:cs="Times New Roman"/>
          <w:sz w:val="24"/>
          <w:szCs w:val="24"/>
          <w:rtl w:val="0"/>
        </w:rPr>
        <w:t xml:space="preserve">A definição das PARTES enquanto controladores, operadores ou controladores conjuntos será prevista no </w:t>
      </w:r>
      <w:bookmarkStart w:id="0" w:name="_GoBack"/>
      <w:bookmarkEnd w:id="0"/>
      <w:r>
        <w:rPr>
          <w:rFonts w:hint="default" w:ascii="Times New Roman" w:hAnsi="Times New Roman" w:cs="Times New Roman"/>
          <w:sz w:val="24"/>
          <w:szCs w:val="24"/>
          <w:rtl w:val="0"/>
        </w:rPr>
        <w:t>Relatório de Atividade de Tratamento (RAT), elaborado pelo(s) controlador(es), conforme cada atividade. As PARTES deverão prover treinamentos periódicos às equipes que realizarem tratamento de dados pessoais e sensíveis, devendo também informar à parte contrária sobre a ocorrência de incidentes de segurança assim que tomar conhecimento do evento, bem como deverão permitir à parte contrária o acesso às informações sobre tratamentos de dados pessoais, inclusive para fins de auditoria. Ainda, as PARTES deverão garantir o atendimento aos direitos dos titulares de dados nos termos da LGPD.</w:t>
      </w:r>
    </w:p>
    <w:p w14:paraId="2DF9894B">
      <w:pPr>
        <w:pStyle w:val="7"/>
        <w:keepNext w:val="0"/>
        <w:keepLines w:val="0"/>
        <w:pageBreakBefore w:val="0"/>
        <w:widowControl/>
        <w:tabs>
          <w:tab w:val="left" w:pos="1418"/>
          <w:tab w:val="left" w:pos="4253"/>
        </w:tabs>
        <w:kinsoku/>
        <w:wordWrap/>
        <w:overflowPunct/>
        <w:topLinePunct w:val="0"/>
        <w:autoSpaceDE/>
        <w:autoSpaceDN/>
        <w:bidi w:val="0"/>
        <w:adjustRightInd/>
        <w:snapToGrid/>
        <w:spacing w:before="0" w:after="0" w:line="240" w:lineRule="auto"/>
        <w:jc w:val="both"/>
        <w:textAlignment w:val="auto"/>
        <w:rPr>
          <w:rFonts w:hint="default" w:ascii="Times New Roman" w:hAnsi="Times New Roman" w:cs="Times New Roman"/>
          <w:b/>
          <w:sz w:val="24"/>
          <w:szCs w:val="24"/>
        </w:rPr>
      </w:pPr>
      <w:r>
        <w:rPr>
          <w:rFonts w:hint="default" w:ascii="Times New Roman" w:hAnsi="Times New Roman" w:cs="Times New Roman"/>
          <w:sz w:val="24"/>
          <w:szCs w:val="24"/>
          <w:rtl w:val="0"/>
          <w:lang w:val="pt-BR"/>
        </w:rPr>
        <w:t xml:space="preserve">12.3. </w:t>
      </w:r>
      <w:r>
        <w:rPr>
          <w:rFonts w:hint="default" w:ascii="Times New Roman" w:hAnsi="Times New Roman" w:cs="Times New Roman"/>
          <w:sz w:val="24"/>
          <w:szCs w:val="24"/>
          <w:rtl w:val="0"/>
        </w:rPr>
        <w:t>Em caso de transferência internacional de dados, as PARTES se comprometem a atender as exigências de LGPD. A PARTE, quando operadora, deverá comunicar a outra PARTE para que emita sua anuência nos casos de subcontratação de qualquer atividade que envolva tratamento de dados pessoais. Cada PARTE será responsável pelos eventuais prejuízos que forem decorrentes das suas específicas atribuições. Ao fim da relação contratual, deverão as PARTES eliminar os dados pessoais e sensíveis de suas bases de dados, salvo quando necessitarem mantê-los para cumprimento de obrigação legal ou outra hipótese prevista na LGPD.</w:t>
      </w:r>
    </w:p>
    <w:p w14:paraId="7442DAE9">
      <w:pPr>
        <w:keepNext w:val="0"/>
        <w:keepLines w:val="0"/>
        <w:pageBreakBefore w:val="0"/>
        <w:widowControl/>
        <w:kinsoku/>
        <w:wordWrap/>
        <w:overflowPunct/>
        <w:topLinePunct w:val="0"/>
        <w:autoSpaceDE/>
        <w:autoSpaceDN/>
        <w:bidi w:val="0"/>
        <w:adjustRightInd/>
        <w:snapToGrid/>
        <w:jc w:val="both"/>
        <w:textAlignment w:val="auto"/>
        <w:rPr>
          <w:rFonts w:hint="default" w:ascii="Times New Roman" w:hAnsi="Times New Roman" w:cs="Times New Roman"/>
          <w:sz w:val="24"/>
          <w:szCs w:val="24"/>
        </w:rPr>
      </w:pPr>
    </w:p>
    <w:p w14:paraId="533E0CE6">
      <w:pPr>
        <w:jc w:val="both"/>
        <w:rPr>
          <w:rFonts w:hint="default" w:ascii="Times New Roman" w:hAnsi="Times New Roman" w:eastAsia="Batang" w:cs="Times New Roman"/>
          <w:b/>
          <w:sz w:val="24"/>
          <w:szCs w:val="24"/>
        </w:rPr>
      </w:pPr>
      <w:r>
        <w:rPr>
          <w:rFonts w:hint="default" w:ascii="Times New Roman" w:hAnsi="Times New Roman" w:eastAsia="Batang" w:cs="Times New Roman"/>
          <w:b/>
          <w:sz w:val="24"/>
          <w:szCs w:val="24"/>
        </w:rPr>
        <w:t>CLÁUSULA DÉCIMA</w:t>
      </w:r>
      <w:r>
        <w:rPr>
          <w:rFonts w:hint="default" w:ascii="Times New Roman" w:hAnsi="Times New Roman" w:eastAsia="Batang" w:cs="Times New Roman"/>
          <w:b/>
          <w:sz w:val="24"/>
          <w:szCs w:val="24"/>
          <w:lang w:val="pt-BR"/>
        </w:rPr>
        <w:t xml:space="preserve"> TERCEIRA </w:t>
      </w:r>
      <w:r>
        <w:rPr>
          <w:rFonts w:hint="default" w:ascii="Times New Roman" w:hAnsi="Times New Roman" w:eastAsia="Batang" w:cs="Times New Roman"/>
          <w:b/>
          <w:sz w:val="24"/>
          <w:szCs w:val="24"/>
        </w:rPr>
        <w:t>– DO FORO</w:t>
      </w:r>
    </w:p>
    <w:p w14:paraId="07CE1D35">
      <w:pPr>
        <w:jc w:val="both"/>
        <w:rPr>
          <w:rFonts w:hint="default" w:ascii="Times New Roman" w:hAnsi="Times New Roman" w:eastAsia="Batang" w:cs="Times New Roman"/>
          <w:sz w:val="24"/>
          <w:szCs w:val="24"/>
        </w:rPr>
      </w:pPr>
      <w:r>
        <w:rPr>
          <w:rFonts w:hint="default" w:ascii="Times New Roman" w:hAnsi="Times New Roman" w:eastAsia="Batang" w:cs="Times New Roman"/>
          <w:sz w:val="24"/>
          <w:szCs w:val="24"/>
        </w:rPr>
        <w:t>1</w:t>
      </w:r>
      <w:r>
        <w:rPr>
          <w:rFonts w:hint="default" w:ascii="Times New Roman" w:hAnsi="Times New Roman" w:eastAsia="Batang" w:cs="Times New Roman"/>
          <w:sz w:val="24"/>
          <w:szCs w:val="24"/>
          <w:lang w:val="pt-BR"/>
        </w:rPr>
        <w:t>3</w:t>
      </w:r>
      <w:r>
        <w:rPr>
          <w:rFonts w:hint="default" w:ascii="Times New Roman" w:hAnsi="Times New Roman" w:eastAsia="Batang" w:cs="Times New Roman"/>
          <w:sz w:val="24"/>
          <w:szCs w:val="24"/>
        </w:rPr>
        <w:t>.1</w:t>
      </w:r>
      <w:r>
        <w:rPr>
          <w:rFonts w:hint="default" w:ascii="Times New Roman" w:hAnsi="Times New Roman" w:eastAsia="Batang" w:cs="Times New Roman"/>
          <w:b/>
          <w:sz w:val="24"/>
          <w:szCs w:val="24"/>
        </w:rPr>
        <w:t xml:space="preserve"> -</w:t>
      </w:r>
      <w:r>
        <w:rPr>
          <w:rFonts w:hint="default" w:ascii="Times New Roman" w:hAnsi="Times New Roman" w:eastAsia="Batang" w:cs="Times New Roman"/>
          <w:sz w:val="24"/>
          <w:szCs w:val="24"/>
        </w:rPr>
        <w:t xml:space="preserve"> As partes elegem o Foro da cidade de Teutônia para dirimir qualquer dúvida que possa advir do presente contrato.</w:t>
      </w:r>
    </w:p>
    <w:p w14:paraId="5B182B37">
      <w:pPr>
        <w:jc w:val="both"/>
        <w:rPr>
          <w:rFonts w:hint="default" w:ascii="Times New Roman" w:hAnsi="Times New Roman" w:eastAsia="Batang" w:cs="Times New Roman"/>
          <w:sz w:val="24"/>
          <w:szCs w:val="24"/>
        </w:rPr>
      </w:pPr>
    </w:p>
    <w:p w14:paraId="4B7A3D63">
      <w:pPr>
        <w:jc w:val="both"/>
        <w:rPr>
          <w:rFonts w:hint="default" w:ascii="Times New Roman" w:hAnsi="Times New Roman" w:eastAsia="Batang" w:cs="Times New Roman"/>
          <w:sz w:val="24"/>
          <w:szCs w:val="24"/>
        </w:rPr>
      </w:pPr>
    </w:p>
    <w:p w14:paraId="08DEA8C2">
      <w:pPr>
        <w:jc w:val="both"/>
        <w:rPr>
          <w:rFonts w:hint="default" w:ascii="Times New Roman" w:hAnsi="Times New Roman" w:eastAsia="Batang" w:cs="Times New Roman"/>
          <w:sz w:val="24"/>
          <w:szCs w:val="24"/>
        </w:rPr>
      </w:pP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rPr>
        <w:t xml:space="preserve">E, como assim se acham justos e contratados, assinam o presente Contrato de Promessa de Compra e Venda em </w:t>
      </w:r>
      <w:r>
        <w:rPr>
          <w:rFonts w:hint="default" w:ascii="Times New Roman" w:hAnsi="Times New Roman" w:eastAsia="Batang" w:cs="Times New Roman"/>
          <w:sz w:val="24"/>
          <w:szCs w:val="24"/>
          <w:lang w:val="pt-BR"/>
        </w:rPr>
        <w:t xml:space="preserve">quatro </w:t>
      </w:r>
      <w:r>
        <w:rPr>
          <w:rFonts w:hint="default" w:ascii="Times New Roman" w:hAnsi="Times New Roman" w:eastAsia="Batang" w:cs="Times New Roman"/>
          <w:sz w:val="24"/>
          <w:szCs w:val="24"/>
        </w:rPr>
        <w:t>vias de igual teor e forma, na presença das testemunhas.</w:t>
      </w:r>
    </w:p>
    <w:p w14:paraId="41ED33B7">
      <w:pPr>
        <w:jc w:val="both"/>
        <w:rPr>
          <w:rFonts w:hint="default" w:ascii="Times New Roman" w:hAnsi="Times New Roman" w:eastAsia="Batang" w:cs="Times New Roman"/>
          <w:sz w:val="24"/>
          <w:szCs w:val="24"/>
        </w:rPr>
      </w:pPr>
    </w:p>
    <w:p w14:paraId="11AFB2BA">
      <w:pPr>
        <w:jc w:val="both"/>
        <w:rPr>
          <w:rFonts w:hint="default" w:ascii="Times New Roman" w:hAnsi="Times New Roman" w:eastAsia="Batang" w:cs="Times New Roman"/>
          <w:sz w:val="24"/>
          <w:szCs w:val="24"/>
          <w:lang w:val="pt-BR"/>
        </w:rPr>
      </w:pP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rPr>
        <w:t>Teutônia,</w:t>
      </w:r>
      <w:r>
        <w:rPr>
          <w:rFonts w:hint="default" w:ascii="Times New Roman" w:hAnsi="Times New Roman" w:eastAsia="Batang" w:cs="Times New Roman"/>
          <w:sz w:val="24"/>
          <w:szCs w:val="24"/>
          <w:lang w:val="pt-BR"/>
        </w:rPr>
        <w:t xml:space="preserve"> xx de junho de 2024.</w:t>
      </w:r>
    </w:p>
    <w:p w14:paraId="7F63AA2A">
      <w:pPr>
        <w:jc w:val="both"/>
        <w:rPr>
          <w:rFonts w:hint="default" w:ascii="Times New Roman" w:hAnsi="Times New Roman" w:eastAsia="Batang" w:cs="Times New Roman"/>
          <w:sz w:val="24"/>
          <w:szCs w:val="24"/>
        </w:rPr>
      </w:pPr>
    </w:p>
    <w:p w14:paraId="7C25D3D8">
      <w:pPr>
        <w:jc w:val="both"/>
        <w:rPr>
          <w:rFonts w:hint="default" w:ascii="Times New Roman" w:hAnsi="Times New Roman" w:eastAsia="Batang" w:cs="Times New Roman"/>
          <w:sz w:val="24"/>
          <w:szCs w:val="24"/>
        </w:rPr>
      </w:pPr>
    </w:p>
    <w:p w14:paraId="0B5097A3">
      <w:pPr>
        <w:jc w:val="both"/>
        <w:rPr>
          <w:rFonts w:hint="default" w:ascii="Times New Roman" w:hAnsi="Times New Roman" w:eastAsia="Batang" w:cs="Times New Roman"/>
          <w:sz w:val="24"/>
          <w:szCs w:val="24"/>
        </w:rPr>
      </w:pPr>
    </w:p>
    <w:p w14:paraId="7A876E5A">
      <w:pPr>
        <w:jc w:val="both"/>
        <w:rPr>
          <w:rFonts w:hint="default" w:ascii="Times New Roman" w:hAnsi="Times New Roman" w:eastAsia="Batang" w:cs="Times New Roman"/>
          <w:sz w:val="24"/>
          <w:szCs w:val="24"/>
        </w:rPr>
      </w:pPr>
      <w:r>
        <w:rPr>
          <w:rFonts w:hint="default" w:ascii="Times New Roman" w:hAnsi="Times New Roman" w:eastAsia="Batang" w:cs="Times New Roman"/>
          <w:sz w:val="24"/>
          <w:szCs w:val="24"/>
        </w:rPr>
        <w:t>__________________________</w:t>
      </w: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rPr>
        <w:t xml:space="preserve">            </w:t>
      </w:r>
      <w:r>
        <w:rPr>
          <w:rFonts w:hint="default" w:ascii="Times New Roman" w:hAnsi="Times New Roman" w:eastAsia="Batang" w:cs="Times New Roman"/>
          <w:sz w:val="24"/>
          <w:szCs w:val="24"/>
          <w:lang w:val="pt-BR"/>
        </w:rPr>
        <w:t>_____</w:t>
      </w:r>
      <w:r>
        <w:rPr>
          <w:rFonts w:hint="default" w:ascii="Times New Roman" w:hAnsi="Times New Roman" w:eastAsia="Batang" w:cs="Times New Roman"/>
          <w:sz w:val="24"/>
          <w:szCs w:val="24"/>
        </w:rPr>
        <w:t>__________</w:t>
      </w:r>
      <w:r>
        <w:rPr>
          <w:rFonts w:hint="default" w:ascii="Times New Roman" w:hAnsi="Times New Roman" w:eastAsia="Batang" w:cs="Times New Roman"/>
          <w:sz w:val="24"/>
          <w:szCs w:val="24"/>
          <w:lang w:val="pt-BR"/>
        </w:rPr>
        <w:t>_____</w:t>
      </w:r>
      <w:r>
        <w:rPr>
          <w:rFonts w:hint="default" w:ascii="Times New Roman" w:hAnsi="Times New Roman" w:eastAsia="Batang" w:cs="Times New Roman"/>
          <w:sz w:val="24"/>
          <w:szCs w:val="24"/>
        </w:rPr>
        <w:t>______________</w:t>
      </w:r>
    </w:p>
    <w:p w14:paraId="017AC15A">
      <w:pPr>
        <w:jc w:val="both"/>
        <w:rPr>
          <w:rFonts w:hint="default" w:ascii="Times New Roman" w:hAnsi="Times New Roman" w:eastAsia="Batang" w:cs="Times New Roman"/>
          <w:sz w:val="24"/>
          <w:szCs w:val="24"/>
        </w:rPr>
      </w:pPr>
      <w:r>
        <w:rPr>
          <w:rFonts w:hint="default" w:ascii="Times New Roman" w:hAnsi="Times New Roman" w:eastAsia="Batang" w:cs="Times New Roman"/>
          <w:sz w:val="24"/>
          <w:szCs w:val="24"/>
        </w:rPr>
        <w:t>PROMITENTE COMPRADOR</w:t>
      </w:r>
      <w:r>
        <w:rPr>
          <w:rFonts w:hint="default" w:ascii="Times New Roman" w:hAnsi="Times New Roman" w:eastAsia="Batang" w:cs="Times New Roman"/>
          <w:sz w:val="24"/>
          <w:szCs w:val="24"/>
        </w:rPr>
        <w:tab/>
      </w:r>
      <w:r>
        <w:rPr>
          <w:rFonts w:hint="default" w:ascii="Times New Roman" w:hAnsi="Times New Roman" w:eastAsia="Batang" w:cs="Times New Roman"/>
          <w:sz w:val="24"/>
          <w:szCs w:val="24"/>
          <w:lang w:val="pt-BR"/>
        </w:rPr>
        <w:t xml:space="preserve">           </w:t>
      </w:r>
      <w:r>
        <w:rPr>
          <w:rFonts w:hint="default" w:ascii="Times New Roman" w:hAnsi="Times New Roman" w:eastAsia="Batang" w:cs="Times New Roman"/>
          <w:sz w:val="24"/>
          <w:szCs w:val="24"/>
        </w:rPr>
        <w:t xml:space="preserve"> </w:t>
      </w:r>
      <w:r>
        <w:rPr>
          <w:rFonts w:hint="default" w:ascii="Times New Roman" w:hAnsi="Times New Roman" w:eastAsia="Batang" w:cs="Times New Roman"/>
          <w:sz w:val="24"/>
          <w:szCs w:val="24"/>
          <w:lang w:val="pt-BR"/>
        </w:rPr>
        <w:t xml:space="preserve">        </w:t>
      </w:r>
      <w:r>
        <w:rPr>
          <w:rFonts w:hint="default" w:ascii="Times New Roman" w:hAnsi="Times New Roman" w:eastAsia="Batang" w:cs="Times New Roman"/>
          <w:sz w:val="24"/>
          <w:szCs w:val="24"/>
        </w:rPr>
        <w:t>MUNICÍPIO DE TEUTÔNIA</w:t>
      </w:r>
    </w:p>
    <w:p w14:paraId="4050675F">
      <w:pPr>
        <w:jc w:val="both"/>
        <w:rPr>
          <w:rFonts w:hint="default" w:ascii="Times New Roman" w:hAnsi="Times New Roman" w:eastAsia="Batang" w:cs="Times New Roman"/>
          <w:sz w:val="24"/>
          <w:szCs w:val="24"/>
        </w:rPr>
      </w:pPr>
    </w:p>
    <w:p w14:paraId="3C550172">
      <w:pPr>
        <w:jc w:val="both"/>
        <w:rPr>
          <w:rFonts w:hint="default" w:ascii="Times New Roman" w:hAnsi="Times New Roman" w:eastAsia="Batang" w:cs="Times New Roman"/>
          <w:sz w:val="24"/>
          <w:szCs w:val="24"/>
        </w:rPr>
      </w:pPr>
    </w:p>
    <w:p w14:paraId="0E311767">
      <w:pPr>
        <w:jc w:val="both"/>
        <w:rPr>
          <w:rFonts w:hint="default" w:ascii="Times New Roman" w:hAnsi="Times New Roman" w:eastAsia="Batang" w:cs="Times New Roman"/>
          <w:sz w:val="24"/>
          <w:szCs w:val="24"/>
        </w:rPr>
      </w:pPr>
      <w:r>
        <w:rPr>
          <w:rFonts w:hint="default" w:ascii="Times New Roman" w:hAnsi="Times New Roman" w:eastAsia="Batang" w:cs="Times New Roman"/>
          <w:sz w:val="24"/>
          <w:szCs w:val="24"/>
        </w:rPr>
        <w:t>Testemunhas:</w:t>
      </w:r>
    </w:p>
    <w:p w14:paraId="482BEA79">
      <w:pPr>
        <w:jc w:val="both"/>
        <w:rPr>
          <w:rFonts w:hint="default" w:ascii="Times New Roman" w:hAnsi="Times New Roman" w:eastAsia="Batang" w:cs="Times New Roman"/>
          <w:sz w:val="24"/>
          <w:szCs w:val="24"/>
        </w:rPr>
      </w:pPr>
      <w:r>
        <w:rPr>
          <w:rFonts w:hint="default" w:ascii="Times New Roman" w:hAnsi="Times New Roman" w:eastAsia="Batang" w:cs="Times New Roman"/>
          <w:sz w:val="24"/>
          <w:szCs w:val="24"/>
        </w:rPr>
        <w:t>_______________________________</w:t>
      </w:r>
      <w:r>
        <w:rPr>
          <w:rFonts w:hint="default" w:ascii="Times New Roman" w:hAnsi="Times New Roman" w:eastAsia="Batang" w:cs="Times New Roman"/>
          <w:sz w:val="24"/>
          <w:szCs w:val="24"/>
          <w:lang w:val="pt-BR"/>
        </w:rPr>
        <w:t xml:space="preserve">                     </w:t>
      </w:r>
      <w:r>
        <w:rPr>
          <w:rFonts w:hint="default" w:ascii="Times New Roman" w:hAnsi="Times New Roman" w:eastAsia="Batang" w:cs="Times New Roman"/>
          <w:sz w:val="24"/>
          <w:szCs w:val="24"/>
        </w:rPr>
        <w:t>__</w:t>
      </w:r>
      <w:r>
        <w:rPr>
          <w:rFonts w:hint="default" w:ascii="Times New Roman" w:hAnsi="Times New Roman" w:eastAsia="Batang" w:cs="Times New Roman"/>
          <w:sz w:val="24"/>
          <w:szCs w:val="24"/>
          <w:lang w:val="pt-BR"/>
        </w:rPr>
        <w:t>___</w:t>
      </w:r>
      <w:r>
        <w:rPr>
          <w:rFonts w:hint="default" w:ascii="Times New Roman" w:hAnsi="Times New Roman" w:eastAsia="Batang" w:cs="Times New Roman"/>
          <w:sz w:val="24"/>
          <w:szCs w:val="24"/>
        </w:rPr>
        <w:t>_________________________</w:t>
      </w:r>
    </w:p>
    <w:p w14:paraId="314D9D57">
      <w:pPr>
        <w:jc w:val="both"/>
        <w:rPr>
          <w:rFonts w:hint="default" w:ascii="Times New Roman" w:hAnsi="Times New Roman" w:cs="Times New Roman"/>
          <w:sz w:val="24"/>
          <w:szCs w:val="24"/>
        </w:rPr>
      </w:pPr>
      <w:r>
        <w:rPr>
          <w:rFonts w:hint="default" w:ascii="Times New Roman" w:hAnsi="Times New Roman" w:eastAsia="Batang" w:cs="Times New Roman"/>
          <w:sz w:val="24"/>
          <w:szCs w:val="24"/>
        </w:rPr>
        <w:t xml:space="preserve">CPF </w:t>
      </w:r>
      <w:r>
        <w:rPr>
          <w:rFonts w:hint="default" w:ascii="Times New Roman" w:hAnsi="Times New Roman" w:eastAsia="Batang" w:cs="Times New Roman"/>
          <w:sz w:val="24"/>
          <w:szCs w:val="24"/>
          <w:lang w:val="pt-BR"/>
        </w:rPr>
        <w:t>N.º                                                                               CPF N.º</w:t>
      </w:r>
    </w:p>
    <w:sectPr>
      <w:headerReference r:id="rId4" w:type="first"/>
      <w:footerReference r:id="rId7" w:type="first"/>
      <w:headerReference r:id="rId3" w:type="default"/>
      <w:footerReference r:id="rId5" w:type="default"/>
      <w:footerReference r:id="rId6" w:type="even"/>
      <w:pgSz w:w="11906" w:h="16838"/>
      <w:pgMar w:top="1701" w:right="1134" w:bottom="1134" w:left="1701" w:header="794" w:footer="794" w:gutter="0"/>
      <w:cols w:space="72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Batang">
    <w:altName w:val="Malgun Gothic"/>
    <w:panose1 w:val="02030600000101010101"/>
    <w:charset w:val="81"/>
    <w:family w:val="auto"/>
    <w:pitch w:val="default"/>
    <w:sig w:usb0="00000000" w:usb1="00000000" w:usb2="00000010" w:usb3="00000000" w:csb0="00080000" w:csb1="00000000"/>
  </w:font>
  <w:font w:name="MS Mincho">
    <w:panose1 w:val="02020609040205080304"/>
    <w:charset w:val="80"/>
    <w:family w:val="modern"/>
    <w:pitch w:val="default"/>
    <w:sig w:usb0="A00002BF" w:usb1="68C7FCFB" w:usb2="00000010"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568AC">
    <w:pPr>
      <w:pStyle w:val="9"/>
      <w:framePr w:wrap="around" w:vAnchor="margin" w:hAnchor="text" w:xAlign="right" w:y="1"/>
      <w:rPr>
        <w:rStyle w:val="5"/>
        <w:sz w:val="20"/>
      </w:rPr>
    </w:pPr>
    <w:r>
      <w:rPr>
        <w:sz w:val="20"/>
      </w:rPr>
      <w:fldChar w:fldCharType="begin"/>
    </w:r>
    <w:r>
      <w:rPr>
        <w:rStyle w:val="5"/>
        <w:sz w:val="20"/>
      </w:rPr>
      <w:instrText xml:space="preserve">PAGE  </w:instrText>
    </w:r>
    <w:r>
      <w:rPr>
        <w:sz w:val="20"/>
      </w:rPr>
      <w:fldChar w:fldCharType="separate"/>
    </w:r>
    <w:r>
      <w:rPr>
        <w:rStyle w:val="5"/>
        <w:sz w:val="20"/>
      </w:rPr>
      <w:t>5</w:t>
    </w:r>
    <w:r>
      <w:rPr>
        <w:sz w:val="20"/>
      </w:rPr>
      <w:fldChar w:fldCharType="end"/>
    </w:r>
  </w:p>
  <w:p w14:paraId="488FC151">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47ED7">
    <w:pPr>
      <w:pStyle w:val="9"/>
      <w:framePr w:wrap="around" w:vAnchor="margin" w:hAnchor="text" w:xAlign="right" w:y="1"/>
      <w:rPr>
        <w:rStyle w:val="5"/>
      </w:rPr>
    </w:pPr>
    <w:r>
      <w:fldChar w:fldCharType="begin"/>
    </w:r>
    <w:r>
      <w:rPr>
        <w:rStyle w:val="5"/>
      </w:rPr>
      <w:instrText xml:space="preserve">PAGE  </w:instrText>
    </w:r>
    <w:r>
      <w:fldChar w:fldCharType="end"/>
    </w:r>
  </w:p>
  <w:p w14:paraId="7F2DF954">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924EF">
    <w:pPr>
      <w:pStyle w:val="9"/>
    </w:pPr>
    <w:r>
      <w:rPr>
        <w:sz w:val="20"/>
      </w:rPr>
      <w:tab/>
    </w:r>
    <w:r>
      <w:rPr>
        <w:sz w:val="20"/>
      </w:rPr>
      <w:tab/>
    </w:r>
    <w:r>
      <w:rPr>
        <w:sz w:val="20"/>
      </w:rPr>
      <w:t xml:space="preserve">1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0" w:type="auto"/>
      <w:jc w:val="center"/>
      <w:tblLayout w:type="fixed"/>
      <w:tblCellMar>
        <w:top w:w="0" w:type="dxa"/>
        <w:left w:w="108" w:type="dxa"/>
        <w:bottom w:w="0" w:type="dxa"/>
        <w:right w:w="108" w:type="dxa"/>
      </w:tblCellMar>
    </w:tblPr>
    <w:tblGrid>
      <w:gridCol w:w="1548"/>
      <w:gridCol w:w="7096"/>
    </w:tblGrid>
    <w:tr w14:paraId="36EDC798">
      <w:tblPrEx>
        <w:tblCellMar>
          <w:top w:w="0" w:type="dxa"/>
          <w:left w:w="108" w:type="dxa"/>
          <w:bottom w:w="0" w:type="dxa"/>
          <w:right w:w="108" w:type="dxa"/>
        </w:tblCellMar>
      </w:tblPrEx>
      <w:trPr>
        <w:jc w:val="center"/>
      </w:trPr>
      <w:tc>
        <w:tcPr>
          <w:tcW w:w="1548" w:type="dxa"/>
          <w:noWrap w:val="0"/>
          <w:vAlign w:val="top"/>
        </w:tcPr>
        <w:p w14:paraId="391D8DE8">
          <w:pPr>
            <w:pStyle w:val="8"/>
            <w:tabs>
              <w:tab w:val="center" w:pos="4252"/>
              <w:tab w:val="right" w:pos="8504"/>
              <w:tab w:val="clear" w:pos="4419"/>
              <w:tab w:val="clear" w:pos="8838"/>
            </w:tabs>
            <w:snapToGrid w:val="0"/>
            <w:rPr>
              <w:sz w:val="22"/>
              <w:szCs w:val="22"/>
            </w:rPr>
          </w:pPr>
          <w:r>
            <w:drawing>
              <wp:anchor distT="0" distB="0" distL="114300" distR="114300" simplePos="0" relativeHeight="251660288" behindDoc="0" locked="0" layoutInCell="1" allowOverlap="1">
                <wp:simplePos x="0" y="0"/>
                <wp:positionH relativeFrom="column">
                  <wp:posOffset>-68580</wp:posOffset>
                </wp:positionH>
                <wp:positionV relativeFrom="paragraph">
                  <wp:posOffset>5080</wp:posOffset>
                </wp:positionV>
                <wp:extent cx="457835" cy="619760"/>
                <wp:effectExtent l="0" t="0" r="18415" b="889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pic:cNvPicPr>
                      </pic:nvPicPr>
                      <pic:blipFill>
                        <a:blip r:embed="rId1"/>
                        <a:srcRect l="-345" t="-253" r="-345" b="-253"/>
                        <a:stretch>
                          <a:fillRect/>
                        </a:stretch>
                      </pic:blipFill>
                      <pic:spPr>
                        <a:xfrm>
                          <a:off x="0" y="0"/>
                          <a:ext cx="457835" cy="619760"/>
                        </a:xfrm>
                        <a:prstGeom prst="rect">
                          <a:avLst/>
                        </a:prstGeom>
                        <a:solidFill>
                          <a:srgbClr val="FFFFFF">
                            <a:alpha val="0"/>
                          </a:srgbClr>
                        </a:solidFill>
                        <a:ln>
                          <a:noFill/>
                        </a:ln>
                      </pic:spPr>
                    </pic:pic>
                  </a:graphicData>
                </a:graphic>
              </wp:anchor>
            </w:drawing>
          </w:r>
        </w:p>
      </w:tc>
      <w:tc>
        <w:tcPr>
          <w:tcW w:w="7096" w:type="dxa"/>
          <w:noWrap w:val="0"/>
          <w:vAlign w:val="top"/>
        </w:tcPr>
        <w:p w14:paraId="64EC1CC4">
          <w:pPr>
            <w:snapToGrid w:val="0"/>
            <w:jc w:val="center"/>
            <w:rPr>
              <w:sz w:val="22"/>
              <w:szCs w:val="22"/>
            </w:rPr>
          </w:pPr>
        </w:p>
        <w:p w14:paraId="1BDC63B1">
          <w:pPr>
            <w:jc w:val="center"/>
          </w:pPr>
          <w:r>
            <w:rPr>
              <w:sz w:val="22"/>
              <w:szCs w:val="22"/>
            </w:rPr>
            <w:t>ESTADO DO RIO GRANDE DO SUL</w:t>
          </w:r>
        </w:p>
        <w:p w14:paraId="104D2715">
          <w:pPr>
            <w:pStyle w:val="2"/>
            <w:jc w:val="center"/>
          </w:pPr>
          <w:r>
            <w:rPr>
              <w:sz w:val="22"/>
              <w:szCs w:val="22"/>
            </w:rPr>
            <w:t>MUNICÍPIO DE TEUTÔNIA</w:t>
          </w:r>
        </w:p>
      </w:tc>
    </w:tr>
  </w:tbl>
  <w:p w14:paraId="14890329">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0" w:type="auto"/>
      <w:jc w:val="center"/>
      <w:tblLayout w:type="fixed"/>
      <w:tblCellMar>
        <w:top w:w="0" w:type="dxa"/>
        <w:left w:w="108" w:type="dxa"/>
        <w:bottom w:w="0" w:type="dxa"/>
        <w:right w:w="108" w:type="dxa"/>
      </w:tblCellMar>
    </w:tblPr>
    <w:tblGrid>
      <w:gridCol w:w="1548"/>
      <w:gridCol w:w="7096"/>
    </w:tblGrid>
    <w:tr w14:paraId="056B27E7">
      <w:tblPrEx>
        <w:tblCellMar>
          <w:top w:w="0" w:type="dxa"/>
          <w:left w:w="108" w:type="dxa"/>
          <w:bottom w:w="0" w:type="dxa"/>
          <w:right w:w="108" w:type="dxa"/>
        </w:tblCellMar>
      </w:tblPrEx>
      <w:trPr>
        <w:jc w:val="center"/>
      </w:trPr>
      <w:tc>
        <w:tcPr>
          <w:tcW w:w="1548" w:type="dxa"/>
          <w:noWrap w:val="0"/>
          <w:vAlign w:val="top"/>
        </w:tcPr>
        <w:p w14:paraId="3DDF17C4">
          <w:pPr>
            <w:pStyle w:val="8"/>
            <w:tabs>
              <w:tab w:val="center" w:pos="4252"/>
              <w:tab w:val="right" w:pos="8504"/>
              <w:tab w:val="clear" w:pos="4419"/>
              <w:tab w:val="clear" w:pos="8838"/>
            </w:tabs>
            <w:snapToGrid w:val="0"/>
            <w:rPr>
              <w:sz w:val="22"/>
              <w:szCs w:val="22"/>
            </w:rPr>
          </w:pPr>
          <w:r>
            <w:drawing>
              <wp:anchor distT="0" distB="0" distL="114300" distR="114300" simplePos="0" relativeHeight="251659264" behindDoc="0" locked="0" layoutInCell="1" allowOverlap="1">
                <wp:simplePos x="0" y="0"/>
                <wp:positionH relativeFrom="column">
                  <wp:posOffset>-68580</wp:posOffset>
                </wp:positionH>
                <wp:positionV relativeFrom="paragraph">
                  <wp:posOffset>5080</wp:posOffset>
                </wp:positionV>
                <wp:extent cx="458470" cy="620395"/>
                <wp:effectExtent l="0" t="0" r="17780" b="8255"/>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pic:cNvPicPr>
                      </pic:nvPicPr>
                      <pic:blipFill>
                        <a:blip r:embed="rId1"/>
                        <a:srcRect l="-345" t="-253" r="-345" b="-253"/>
                        <a:stretch>
                          <a:fillRect/>
                        </a:stretch>
                      </pic:blipFill>
                      <pic:spPr>
                        <a:xfrm>
                          <a:off x="0" y="0"/>
                          <a:ext cx="458470" cy="620395"/>
                        </a:xfrm>
                        <a:prstGeom prst="rect">
                          <a:avLst/>
                        </a:prstGeom>
                        <a:solidFill>
                          <a:srgbClr val="FFFFFF">
                            <a:alpha val="0"/>
                          </a:srgbClr>
                        </a:solidFill>
                        <a:ln>
                          <a:noFill/>
                        </a:ln>
                      </pic:spPr>
                    </pic:pic>
                  </a:graphicData>
                </a:graphic>
              </wp:anchor>
            </w:drawing>
          </w:r>
        </w:p>
      </w:tc>
      <w:tc>
        <w:tcPr>
          <w:tcW w:w="7096" w:type="dxa"/>
          <w:noWrap w:val="0"/>
          <w:vAlign w:val="top"/>
        </w:tcPr>
        <w:p w14:paraId="513BC638">
          <w:pPr>
            <w:snapToGrid w:val="0"/>
            <w:jc w:val="center"/>
            <w:rPr>
              <w:sz w:val="22"/>
              <w:szCs w:val="22"/>
            </w:rPr>
          </w:pPr>
        </w:p>
        <w:p w14:paraId="68692FFC">
          <w:pPr>
            <w:jc w:val="center"/>
          </w:pPr>
          <w:r>
            <w:rPr>
              <w:sz w:val="22"/>
              <w:szCs w:val="22"/>
            </w:rPr>
            <w:t>ESTADO DO RIO GRANDE DO SUL</w:t>
          </w:r>
        </w:p>
        <w:p w14:paraId="71D52AA2">
          <w:pPr>
            <w:pStyle w:val="2"/>
            <w:jc w:val="center"/>
          </w:pPr>
          <w:r>
            <w:rPr>
              <w:sz w:val="22"/>
              <w:szCs w:val="22"/>
            </w:rPr>
            <w:t>MUNICÍPIO DE TEUTÔNIA</w:t>
          </w:r>
        </w:p>
      </w:tc>
    </w:tr>
  </w:tbl>
  <w:p w14:paraId="688BFB8B">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AAF812"/>
    <w:multiLevelType w:val="multilevel"/>
    <w:tmpl w:val="A5AAF812"/>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00000001"/>
    <w:multiLevelType w:val="multilevel"/>
    <w:tmpl w:val="00000001"/>
    <w:lvl w:ilvl="0" w:tentative="0">
      <w:start w:val="1"/>
      <w:numFmt w:val="none"/>
      <w:pStyle w:val="2"/>
      <w:suff w:val="nothing"/>
      <w:lvlText w:val=""/>
      <w:lvlJc w:val="left"/>
      <w:pPr>
        <w:tabs>
          <w:tab w:val="left" w:pos="0"/>
        </w:tabs>
        <w:ind w:left="432" w:hanging="432"/>
      </w:pPr>
    </w:lvl>
    <w:lvl w:ilvl="1" w:tentative="0">
      <w:start w:val="1"/>
      <w:numFmt w:val="none"/>
      <w:suff w:val="nothing"/>
      <w:lvlText w:val=""/>
      <w:lvlJc w:val="left"/>
      <w:pPr>
        <w:tabs>
          <w:tab w:val="left" w:pos="0"/>
        </w:tabs>
        <w:ind w:left="576" w:hanging="576"/>
      </w:pPr>
    </w:lvl>
    <w:lvl w:ilvl="2" w:tentative="0">
      <w:start w:val="1"/>
      <w:numFmt w:val="none"/>
      <w:suff w:val="nothing"/>
      <w:lvlText w:val=""/>
      <w:lvlJc w:val="left"/>
      <w:pPr>
        <w:tabs>
          <w:tab w:val="left" w:pos="0"/>
        </w:tabs>
        <w:ind w:left="720" w:hanging="720"/>
      </w:pPr>
    </w:lvl>
    <w:lvl w:ilvl="3" w:tentative="0">
      <w:start w:val="1"/>
      <w:numFmt w:val="none"/>
      <w:suff w:val="nothing"/>
      <w:lvlText w:val=""/>
      <w:lvlJc w:val="left"/>
      <w:pPr>
        <w:tabs>
          <w:tab w:val="left" w:pos="0"/>
        </w:tabs>
        <w:ind w:left="864" w:hanging="864"/>
      </w:pPr>
    </w:lvl>
    <w:lvl w:ilvl="4" w:tentative="0">
      <w:start w:val="1"/>
      <w:numFmt w:val="none"/>
      <w:suff w:val="nothing"/>
      <w:lvlText w:val=""/>
      <w:lvlJc w:val="left"/>
      <w:pPr>
        <w:tabs>
          <w:tab w:val="left" w:pos="0"/>
        </w:tabs>
        <w:ind w:left="1008" w:hanging="1008"/>
      </w:pPr>
    </w:lvl>
    <w:lvl w:ilvl="5" w:tentative="0">
      <w:start w:val="1"/>
      <w:numFmt w:val="none"/>
      <w:suff w:val="nothing"/>
      <w:lvlText w:val=""/>
      <w:lvlJc w:val="left"/>
      <w:pPr>
        <w:tabs>
          <w:tab w:val="left" w:pos="0"/>
        </w:tabs>
        <w:ind w:left="1152" w:hanging="1152"/>
      </w:pPr>
    </w:lvl>
    <w:lvl w:ilvl="6" w:tentative="0">
      <w:start w:val="1"/>
      <w:numFmt w:val="none"/>
      <w:suff w:val="nothing"/>
      <w:lvlText w:val=""/>
      <w:lvlJc w:val="left"/>
      <w:pPr>
        <w:tabs>
          <w:tab w:val="left" w:pos="0"/>
        </w:tabs>
        <w:ind w:left="1296" w:hanging="1296"/>
      </w:pPr>
    </w:lvl>
    <w:lvl w:ilvl="7" w:tentative="0">
      <w:start w:val="1"/>
      <w:numFmt w:val="none"/>
      <w:suff w:val="nothing"/>
      <w:lvlText w:val=""/>
      <w:lvlJc w:val="left"/>
      <w:pPr>
        <w:tabs>
          <w:tab w:val="left" w:pos="0"/>
        </w:tabs>
        <w:ind w:left="1440" w:hanging="1440"/>
      </w:pPr>
    </w:lvl>
    <w:lvl w:ilvl="8" w:tentative="0">
      <w:start w:val="1"/>
      <w:numFmt w:val="none"/>
      <w:suff w:val="nothing"/>
      <w:lvlText w:val=""/>
      <w:lvlJc w:val="left"/>
      <w:pPr>
        <w:tabs>
          <w:tab w:val="left" w:pos="0"/>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E16D80"/>
    <w:rsid w:val="14281A18"/>
    <w:rsid w:val="25E10FF7"/>
    <w:rsid w:val="29291BBE"/>
    <w:rsid w:val="2946375C"/>
    <w:rsid w:val="2CE16D80"/>
    <w:rsid w:val="35EA2871"/>
    <w:rsid w:val="47660AB5"/>
    <w:rsid w:val="514F0D2A"/>
    <w:rsid w:val="649A2B84"/>
    <w:rsid w:val="66A974E4"/>
    <w:rsid w:val="683006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Arial"/>
      <w:sz w:val="22"/>
      <w:lang w:val="pt-BR" w:eastAsia="ar-SA" w:bidi="ar-SA"/>
    </w:rPr>
  </w:style>
  <w:style w:type="paragraph" w:styleId="2">
    <w:name w:val="heading 1"/>
    <w:basedOn w:val="1"/>
    <w:next w:val="1"/>
    <w:autoRedefine/>
    <w:qFormat/>
    <w:uiPriority w:val="0"/>
    <w:pPr>
      <w:keepNext/>
      <w:numPr>
        <w:ilvl w:val="0"/>
        <w:numId w:val="1"/>
      </w:numPr>
      <w:jc w:val="center"/>
      <w:outlineLvl w:val="0"/>
    </w:pPr>
    <w:rPr>
      <w:b/>
    </w:rPr>
  </w:style>
  <w:style w:type="character" w:default="1" w:styleId="3">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character" w:styleId="5">
    <w:name w:val="page number"/>
    <w:basedOn w:val="6"/>
    <w:autoRedefine/>
    <w:qFormat/>
    <w:uiPriority w:val="0"/>
  </w:style>
  <w:style w:type="character" w:customStyle="1" w:styleId="6">
    <w:name w:val="Fonte parág. padrão1"/>
    <w:autoRedefine/>
    <w:qFormat/>
    <w:uiPriority w:val="0"/>
  </w:style>
  <w:style w:type="paragraph" w:styleId="7">
    <w:name w:val="Body Text"/>
    <w:basedOn w:val="1"/>
    <w:qFormat/>
    <w:uiPriority w:val="0"/>
    <w:pPr>
      <w:spacing w:before="0" w:after="120"/>
    </w:pPr>
  </w:style>
  <w:style w:type="paragraph" w:styleId="8">
    <w:name w:val="header"/>
    <w:basedOn w:val="1"/>
    <w:autoRedefine/>
    <w:qFormat/>
    <w:uiPriority w:val="0"/>
    <w:pPr>
      <w:tabs>
        <w:tab w:val="center" w:pos="4419"/>
        <w:tab w:val="right" w:pos="8838"/>
      </w:tabs>
    </w:pPr>
  </w:style>
  <w:style w:type="paragraph" w:styleId="9">
    <w:name w:val="footer"/>
    <w:basedOn w:val="1"/>
    <w:autoRedefine/>
    <w:qFormat/>
    <w:uiPriority w:val="0"/>
    <w:pPr>
      <w:tabs>
        <w:tab w:val="center" w:pos="4419"/>
        <w:tab w:val="right" w:pos="8838"/>
      </w:tabs>
    </w:pPr>
  </w:style>
  <w:style w:type="paragraph" w:styleId="10">
    <w:name w:val="Body Text Indent 3"/>
    <w:basedOn w:val="1"/>
    <w:autoRedefine/>
    <w:qFormat/>
    <w:uiPriority w:val="0"/>
    <w:pPr>
      <w:spacing w:after="120"/>
      <w:ind w:left="283"/>
    </w:pPr>
    <w:rPr>
      <w:sz w:val="16"/>
      <w:szCs w:val="16"/>
    </w:rPr>
  </w:style>
  <w:style w:type="paragraph" w:customStyle="1" w:styleId="11">
    <w:name w:val="Recuo de corpo de texto 21"/>
    <w:basedOn w:val="1"/>
    <w:autoRedefine/>
    <w:qFormat/>
    <w:uiPriority w:val="0"/>
    <w:pPr>
      <w:spacing w:before="120" w:after="0" w:line="360" w:lineRule="auto"/>
      <w:ind w:left="0" w:right="0" w:firstLine="1418"/>
      <w:jc w:val="both"/>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2022-12-20T11:23:00Z</dcterms:created>
  <dc:creator>yasmin.peres</dc:creator>
  <cp:lastModifiedBy>WPS_1709827922</cp:lastModifiedBy>
  <cp:lastPrinted>2023-11-13T16:05:00Z</cp:lastPrinted>
  <dcterms:modified xsi:type="dcterms:W3CDTF">2024-06-19T10:41:49Z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D7648E6CF28540EFA5515F9284BC85B8</vt:lpwstr>
  </property>
</Properties>
</file>