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center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center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center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Minuta Ata de Registro de Preços</w:t>
      </w: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center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Nº xxx-01/202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>4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.</w:t>
      </w:r>
    </w:p>
    <w:p>
      <w:pPr>
        <w:keepNext w:val="0"/>
        <w:keepLines w:val="0"/>
        <w:pageBreakBefore w:val="0"/>
        <w:tabs>
          <w:tab w:val="left" w:pos="8360"/>
        </w:tabs>
        <w:kinsoku/>
        <w:wordWrap/>
        <w:topLinePunct w:val="0"/>
        <w:bidi w:val="0"/>
        <w:adjustRightInd/>
        <w:spacing w:before="0"/>
        <w:ind w:right="-53" w:rightChars="-24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ab/>
      </w: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both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 xml:space="preserve">PREGÃO 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 xml:space="preserve">ELETRÔNICO 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Nº 0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>11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/202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>4</w:t>
      </w: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both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NÚMERO CONTROLE: 0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>11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/202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>4</w:t>
      </w:r>
    </w:p>
    <w:p>
      <w:pPr>
        <w:keepNext w:val="0"/>
        <w:keepLines w:val="0"/>
        <w:pageBreakBefore w:val="0"/>
        <w:widowControl/>
        <w:tabs>
          <w:tab w:val="left" w:pos="8360"/>
        </w:tabs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240" w:lineRule="auto"/>
        <w:ind w:right="-53" w:rightChars="-24"/>
        <w:jc w:val="both"/>
        <w:textAlignment w:val="auto"/>
        <w:rPr>
          <w:rFonts w:hint="default" w:ascii="Times New Roman" w:hAnsi="Times New Roman" w:eastAsia="Arial-BoldMT" w:cs="Times New Roman"/>
          <w:b/>
          <w:bCs/>
          <w:sz w:val="22"/>
          <w:szCs w:val="22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>VALIDADE: 12 (DOZE) MESES</w:t>
      </w:r>
    </w:p>
    <w:p>
      <w:pPr>
        <w:pStyle w:val="6"/>
        <w:keepNext w:val="0"/>
        <w:keepLines w:val="0"/>
        <w:pageBreakBefore w:val="0"/>
        <w:tabs>
          <w:tab w:val="left" w:leader="dot" w:pos="7610"/>
          <w:tab w:val="left" w:pos="8360"/>
          <w:tab w:val="left" w:pos="8800"/>
        </w:tabs>
        <w:kinsoku/>
        <w:wordWrap/>
        <w:topLinePunct w:val="0"/>
        <w:bidi w:val="0"/>
        <w:adjustRightInd/>
        <w:spacing w:before="0" w:line="24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6"/>
        <w:keepNext w:val="0"/>
        <w:keepLines w:val="0"/>
        <w:pageBreakBefore w:val="0"/>
        <w:tabs>
          <w:tab w:val="left" w:leader="dot" w:pos="7610"/>
          <w:tab w:val="left" w:pos="8360"/>
          <w:tab w:val="left" w:pos="8800"/>
        </w:tabs>
        <w:kinsoku/>
        <w:wordWrap/>
        <w:topLinePunct w:val="0"/>
        <w:bidi w:val="0"/>
        <w:adjustRightInd/>
        <w:spacing w:before="0" w:line="240" w:lineRule="auto"/>
        <w:ind w:left="0" w:leftChars="0" w:right="-53" w:rightChars="-24" w:firstLine="1210" w:firstLineChars="55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Aos ……. dias do mês de ……. do ano de dois mil e vinte 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quatro</w:t>
      </w:r>
      <w:r>
        <w:rPr>
          <w:rFonts w:hint="default" w:ascii="Times New Roman" w:hAnsi="Times New Roman" w:cs="Times New Roman"/>
          <w:sz w:val="22"/>
          <w:szCs w:val="22"/>
        </w:rPr>
        <w:t xml:space="preserve">, o </w:t>
      </w:r>
      <w:r>
        <w:rPr>
          <w:rFonts w:hint="default" w:ascii="Times New Roman" w:hAnsi="Times New Roman" w:cs="Times New Roman"/>
          <w:b/>
          <w:sz w:val="22"/>
          <w:szCs w:val="22"/>
        </w:rPr>
        <w:t>MUNICÍPIO DE</w:t>
      </w:r>
      <w:r>
        <w:rPr>
          <w:rFonts w:hint="default" w:ascii="Times New Roman" w:hAnsi="Times New Roman" w:cs="Times New Roman"/>
          <w:b/>
          <w:spacing w:val="4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TEUTÔNIA</w:t>
      </w:r>
      <w:r>
        <w:rPr>
          <w:rFonts w:hint="default" w:ascii="Times New Roman" w:hAnsi="Times New Roman" w:cs="Times New Roman"/>
          <w:b/>
          <w:sz w:val="22"/>
          <w:szCs w:val="22"/>
        </w:rPr>
        <w:t>/RS</w:t>
      </w:r>
      <w:r>
        <w:rPr>
          <w:rFonts w:hint="default" w:ascii="Times New Roman" w:hAnsi="Times New Roman" w:cs="Times New Roman"/>
          <w:sz w:val="22"/>
          <w:szCs w:val="22"/>
        </w:rPr>
        <w:t xml:space="preserve">, pessoa jurídica de direito público, inscrito no CNPJ sob nº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88.661.400/0001-99, </w:t>
      </w:r>
      <w:r>
        <w:rPr>
          <w:rFonts w:hint="default" w:ascii="Times New Roman" w:hAnsi="Times New Roman" w:eastAsia="ArialMT" w:cs="Times New Roman"/>
          <w:sz w:val="22"/>
          <w:szCs w:val="22"/>
        </w:rPr>
        <w:t xml:space="preserve">sita na </w:t>
      </w:r>
      <w:r>
        <w:rPr>
          <w:rFonts w:hint="default" w:ascii="Times New Roman" w:hAnsi="Times New Roman" w:cs="Times New Roman"/>
          <w:sz w:val="22"/>
          <w:szCs w:val="22"/>
          <w:shd w:val="clear" w:color="auto" w:fill="FFFFFF"/>
        </w:rPr>
        <w:t>Avenida 1 Oeste, 878, Bairro Centro Administrativo</w:t>
      </w:r>
      <w:r>
        <w:rPr>
          <w:rFonts w:hint="default" w:ascii="Times New Roman" w:hAnsi="Times New Roman" w:eastAsia="ArialMT" w:cs="Times New Roman"/>
          <w:sz w:val="22"/>
          <w:szCs w:val="22"/>
        </w:rPr>
        <w:t>, Teutônia/RS</w:t>
      </w:r>
      <w:r>
        <w:rPr>
          <w:rFonts w:hint="default" w:ascii="Times New Roman" w:hAnsi="Times New Roman" w:cs="Times New Roman"/>
          <w:sz w:val="22"/>
          <w:szCs w:val="22"/>
        </w:rPr>
        <w:t xml:space="preserve">, neste ato representado pelo Prefeito Municipal, Sr.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Celso Aloísio Forneck</w:t>
      </w:r>
      <w:r>
        <w:rPr>
          <w:rFonts w:hint="default" w:ascii="Times New Roman" w:hAnsi="Times New Roman" w:cs="Times New Roman"/>
          <w:sz w:val="22"/>
          <w:szCs w:val="22"/>
        </w:rPr>
        <w:t>, brasil</w:t>
      </w:r>
      <w:r>
        <w:rPr>
          <w:rFonts w:hint="default" w:ascii="Times New Roman" w:hAnsi="Times New Roman" w:cs="Times New Roman"/>
          <w:color w:val="auto"/>
          <w:sz w:val="22"/>
          <w:szCs w:val="22"/>
        </w:rPr>
        <w:t xml:space="preserve">eiro, CPF nº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pt-BR"/>
        </w:rPr>
        <w:t>212.802.660-15</w:t>
      </w:r>
      <w:r>
        <w:rPr>
          <w:rFonts w:hint="default" w:ascii="Times New Roman" w:hAnsi="Times New Roman" w:cs="Times New Roman"/>
          <w:sz w:val="22"/>
          <w:szCs w:val="22"/>
        </w:rPr>
        <w:t xml:space="preserve">, residente e domiciliado em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Teutônia</w:t>
      </w:r>
      <w:r>
        <w:rPr>
          <w:rFonts w:hint="default" w:ascii="Times New Roman" w:hAnsi="Times New Roman" w:cs="Times New Roman"/>
          <w:sz w:val="22"/>
          <w:szCs w:val="22"/>
        </w:rPr>
        <w:t xml:space="preserve">/RS, doravante denominado </w:t>
      </w:r>
      <w:r>
        <w:rPr>
          <w:rFonts w:hint="default" w:ascii="Times New Roman" w:hAnsi="Times New Roman" w:cs="Times New Roman"/>
          <w:b/>
          <w:sz w:val="22"/>
          <w:szCs w:val="22"/>
        </w:rPr>
        <w:t>MUNICÍPIO</w:t>
      </w:r>
      <w:r>
        <w:rPr>
          <w:rFonts w:hint="default" w:ascii="Times New Roman" w:hAnsi="Times New Roman" w:cs="Times New Roman"/>
          <w:sz w:val="22"/>
          <w:szCs w:val="22"/>
        </w:rPr>
        <w:t>, resolve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REGISTRAR</w:t>
      </w:r>
      <w:r>
        <w:rPr>
          <w:rFonts w:hint="default" w:ascii="Times New Roman" w:hAnsi="Times New Roman" w:cs="Times New Roman"/>
          <w:spacing w:val="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o</w:t>
      </w:r>
      <w:r>
        <w:rPr>
          <w:rFonts w:hint="default" w:ascii="Times New Roman" w:hAnsi="Times New Roman" w:cs="Times New Roman"/>
          <w:spacing w:val="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preço</w:t>
      </w:r>
      <w:r>
        <w:rPr>
          <w:rFonts w:hint="default" w:ascii="Times New Roman" w:hAnsi="Times New Roman" w:cs="Times New Roman"/>
          <w:spacing w:val="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oferecido</w:t>
      </w:r>
      <w:r>
        <w:rPr>
          <w:rFonts w:hint="default" w:ascii="Times New Roman" w:hAnsi="Times New Roman" w:cs="Times New Roman"/>
          <w:spacing w:val="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pela</w:t>
      </w:r>
      <w:r>
        <w:rPr>
          <w:rFonts w:hint="default" w:ascii="Times New Roman" w:hAnsi="Times New Roman" w:cs="Times New Roman"/>
          <w:spacing w:val="1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empresa</w:t>
      </w:r>
      <w:r>
        <w:rPr>
          <w:rFonts w:hint="default" w:ascii="Times New Roman" w:hAnsi="Times New Roman" w:cs="Times New Roman"/>
          <w:spacing w:val="-2"/>
          <w:sz w:val="22"/>
          <w:szCs w:val="22"/>
          <w:lang w:val="pt-BR"/>
        </w:rPr>
        <w:t xml:space="preserve"> XX</w:t>
      </w:r>
      <w:r>
        <w:rPr>
          <w:rFonts w:hint="default" w:ascii="Times New Roman" w:hAnsi="Times New Roman" w:cs="Times New Roman"/>
          <w:sz w:val="22"/>
          <w:szCs w:val="22"/>
        </w:rPr>
        <w:t>,</w:t>
      </w:r>
      <w:r>
        <w:rPr>
          <w:rFonts w:hint="default" w:ascii="Times New Roman" w:hAnsi="Times New Roman" w:cs="Times New Roman"/>
          <w:spacing w:val="8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inscrita</w:t>
      </w:r>
      <w:r>
        <w:rPr>
          <w:rFonts w:hint="default" w:ascii="Times New Roman" w:hAnsi="Times New Roman" w:cs="Times New Roman"/>
          <w:spacing w:val="11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no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CNPJ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sob</w:t>
      </w:r>
      <w:r>
        <w:rPr>
          <w:rFonts w:hint="default" w:ascii="Times New Roman" w:hAnsi="Times New Roman" w:cs="Times New Roman"/>
          <w:spacing w:val="-5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 xml:space="preserve">nº …………...…., com sede na Rua ..., doravante denominada </w:t>
      </w:r>
      <w:r>
        <w:rPr>
          <w:rFonts w:hint="default" w:ascii="Times New Roman" w:hAnsi="Times New Roman" w:cs="Times New Roman"/>
          <w:b/>
          <w:sz w:val="22"/>
          <w:szCs w:val="22"/>
        </w:rPr>
        <w:t>DETENTORA</w:t>
      </w:r>
      <w:r>
        <w:rPr>
          <w:rFonts w:hint="default" w:ascii="Times New Roman" w:hAnsi="Times New Roman" w:cs="Times New Roman"/>
          <w:sz w:val="22"/>
          <w:szCs w:val="22"/>
        </w:rPr>
        <w:t>, neste ato representada por seu(a) responsável legal, Sr(a). ….., inscrito no CPF sob o nº …., residente e domiciliado(a) na ….., em face da proposta classificada em primeiro lugar no Pregão na Forma Eletrônica nº 0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11</w:t>
      </w:r>
      <w:r>
        <w:rPr>
          <w:rFonts w:hint="default" w:ascii="Times New Roman" w:hAnsi="Times New Roman" w:cs="Times New Roman"/>
          <w:sz w:val="22"/>
          <w:szCs w:val="22"/>
        </w:rPr>
        <w:t>/2024, elaborado com fulcro na Lei Federal 14.133/2021,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no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Decreto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Municipal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 xml:space="preserve">n°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3.250</w:t>
      </w:r>
      <w:r>
        <w:rPr>
          <w:rFonts w:hint="default" w:ascii="Times New Roman" w:hAnsi="Times New Roman" w:cs="Times New Roman"/>
          <w:sz w:val="22"/>
          <w:szCs w:val="22"/>
        </w:rPr>
        <w:t>/2023 e demais normas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aplicáveis,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para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eventual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aquisição,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nas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condições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estabelecidas neste instrumento, dos objetos abaixo discriminados.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CLÁUSULA</w:t>
      </w:r>
      <w:r>
        <w:rPr>
          <w:rFonts w:hint="default" w:ascii="Times New Roman" w:hAnsi="Times New Roman" w:cs="Times New Roman"/>
          <w:b/>
          <w:spacing w:val="4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>PRIMEIRA</w:t>
      </w:r>
      <w:r>
        <w:rPr>
          <w:rFonts w:hint="default" w:ascii="Times New Roman" w:hAnsi="Times New Roman" w:cs="Times New Roman"/>
          <w:b/>
          <w:spacing w:val="4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–</w:t>
      </w:r>
      <w:r>
        <w:rPr>
          <w:rFonts w:hint="default"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hint="default" w:ascii="Times New Roman" w:hAnsi="Times New Roman" w:eastAsia="ArialMT" w:cs="Times New Roman"/>
          <w:sz w:val="22"/>
          <w:szCs w:val="22"/>
        </w:rPr>
        <w:t xml:space="preserve">A presente Ata tem por objeto </w:t>
      </w:r>
      <w:r>
        <w:rPr>
          <w:rFonts w:hint="default" w:ascii="Times New Roman" w:hAnsi="Times New Roman" w:eastAsia="ArialMT" w:cs="Times New Roman"/>
          <w:sz w:val="22"/>
          <w:szCs w:val="22"/>
          <w:lang w:val="pt-PT"/>
        </w:rPr>
        <w:t>o Registro de Preços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visando a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 xml:space="preserve">aquisição de </w:t>
      </w:r>
      <w:r>
        <w:rPr>
          <w:rFonts w:hint="default" w:ascii="Times New Roman" w:hAnsi="Times New Roman" w:cs="Times New Roman"/>
          <w:i w:val="0"/>
          <w:spacing w:val="0"/>
          <w:sz w:val="22"/>
          <w:szCs w:val="22"/>
          <w:lang w:val="pt-BR"/>
        </w:rPr>
        <w:t xml:space="preserve">Larvicida Biológico B.T.I.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(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pt-BR"/>
        </w:rPr>
        <w:t xml:space="preserve">Bacillus Thuringiensis </w:t>
      </w:r>
      <w:r>
        <w:rPr>
          <w:rFonts w:hint="default" w:ascii="Times New Roman" w:hAnsi="Times New Roman" w:cs="Times New Roman"/>
          <w:i w:val="0"/>
          <w:iCs w:val="0"/>
          <w:sz w:val="22"/>
          <w:szCs w:val="22"/>
          <w:lang w:val="pt-BR"/>
        </w:rPr>
        <w:t>variedade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pt-BR"/>
        </w:rPr>
        <w:t xml:space="preserve"> Israelensis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) </w:t>
      </w:r>
      <w:r>
        <w:rPr>
          <w:rFonts w:hint="default" w:ascii="Times New Roman" w:hAnsi="Times New Roman" w:cs="Times New Roman"/>
          <w:i w:val="0"/>
          <w:spacing w:val="0"/>
          <w:sz w:val="22"/>
          <w:szCs w:val="22"/>
          <w:lang w:val="pt-BR"/>
        </w:rPr>
        <w:t>para combate e prevenção ao inseto borrachudo (</w:t>
      </w:r>
      <w:r>
        <w:rPr>
          <w:rFonts w:hint="default" w:ascii="Times New Roman" w:hAnsi="Times New Roman" w:cs="Times New Roman"/>
          <w:i/>
          <w:iCs/>
          <w:spacing w:val="0"/>
          <w:sz w:val="22"/>
          <w:szCs w:val="22"/>
          <w:lang w:val="pt-BR"/>
        </w:rPr>
        <w:t>Simuliidae)</w:t>
      </w:r>
      <w:r>
        <w:rPr>
          <w:rFonts w:hint="default" w:ascii="Times New Roman" w:hAnsi="Times New Roman" w:cs="Times New Roman"/>
          <w:i w:val="0"/>
          <w:spacing w:val="0"/>
          <w:sz w:val="22"/>
          <w:szCs w:val="22"/>
          <w:lang w:val="pt-BR"/>
        </w:rPr>
        <w:t xml:space="preserve">, </w:t>
      </w:r>
      <w:r>
        <w:rPr>
          <w:rFonts w:hint="default" w:ascii="Times New Roman" w:hAnsi="Times New Roman" w:cs="Times New Roman"/>
          <w:sz w:val="22"/>
          <w:szCs w:val="22"/>
        </w:rPr>
        <w:t>cujas descrições e condições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 xml:space="preserve">estão detalhadas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 seguir</w:t>
      </w:r>
      <w:r>
        <w:rPr>
          <w:rFonts w:hint="default" w:ascii="Times New Roman" w:hAnsi="Times New Roman" w:cs="Times New Roman"/>
          <w:sz w:val="22"/>
          <w:szCs w:val="22"/>
        </w:rPr>
        <w:t>: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  <w:lang w:val="pt-BR"/>
        </w:rPr>
      </w:pPr>
    </w:p>
    <w:tbl>
      <w:tblPr>
        <w:tblStyle w:val="3"/>
        <w:tblW w:w="949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8"/>
        <w:gridCol w:w="6928"/>
        <w:gridCol w:w="438"/>
        <w:gridCol w:w="508"/>
        <w:gridCol w:w="111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Item</w:t>
            </w:r>
          </w:p>
        </w:tc>
        <w:tc>
          <w:tcPr>
            <w:tcW w:w="69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Descrição</w:t>
            </w:r>
          </w:p>
        </w:tc>
        <w:tc>
          <w:tcPr>
            <w:tcW w:w="43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</w:t>
            </w:r>
          </w:p>
        </w:tc>
        <w:tc>
          <w:tcPr>
            <w:tcW w:w="5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Qtd</w:t>
            </w:r>
          </w:p>
        </w:tc>
        <w:tc>
          <w:tcPr>
            <w:tcW w:w="1119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V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pt-BR"/>
              </w:rPr>
              <w:t>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pt-BR"/>
              </w:rPr>
              <w:t>o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r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pt-BR"/>
              </w:rPr>
              <w:t>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ni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pt-BR"/>
              </w:rPr>
              <w:t>t máximo permitido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92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0276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-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Larvicida Biológico B.T.I. (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pt-BR"/>
              </w:rPr>
              <w:t>Bacillus Thuringiensis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val="pt-BR"/>
              </w:rPr>
              <w:t xml:space="preserve"> variedade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pt-BR"/>
              </w:rPr>
              <w:t xml:space="preserve"> Israelensis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)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L</w:t>
            </w:r>
          </w:p>
        </w:tc>
        <w:tc>
          <w:tcPr>
            <w:tcW w:w="5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119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jc w:val="right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pt-BR"/>
              </w:rPr>
              <w:t>170,05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1°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 produto a ser adquirido é o Larvicida Biológico B.T.I. para uso exclusivo no combate ao mosquito borrachudo (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pt-BR"/>
        </w:rPr>
        <w:t>Simuliidae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2º A formulação deverá ser do tipo Suspensão Aquosa Concentrada, contendo no mínimo 1,2% de 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pt-BR"/>
        </w:rPr>
        <w:t>Bacillus Thunriensis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da variedade 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pt-BR"/>
        </w:rPr>
        <w:t>Israelensis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, 1.200 UTI/mg (Unidades Tóxicas Internacionais por miligrama), CEPA AM65-52, avaliada e aprovada pela OMS (Organização Mundial da Saúde) para uso em água potável e com prazo de validade mínima de 12 (doze) meses e registro na Anvisa (Agência Nacional de Vigilância Sanitária).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3º Todos os custos relativos à fabricação ou compra do produto, bem como os custos com encargos trabalhistas, previdenciários, fiscais e de seguro, correrão por conta unicamente da contratada.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4º O produto deverá ter validade mínima de 12 (doze) meses a contar da data da fabricação.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5º A Administração adquirirá o produto conforme demanda e necessidade e a aplicação será feita por moradores voluntários, devidamente capacitados pela VISA em cada localidade.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6º A Contratada se obriga a manter, durante toda a vigência da Ata de Registro de Preços, em compatibilidade com as obrigações por ela assumidas, as condições básicas de habilitação e qualificação exigidas.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10"/>
        <w:keepNext w:val="0"/>
        <w:keepLines w:val="0"/>
        <w:pageBreakBefore w:val="0"/>
        <w:widowControl w:val="0"/>
        <w:tabs>
          <w:tab w:val="left" w:pos="72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40" w:lineRule="auto"/>
        <w:ind w:right="0" w:rightChars="0" w:firstLine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CLÁUSULA SEGUNDA</w:t>
      </w:r>
      <w:r>
        <w:rPr>
          <w:rFonts w:hint="default" w:ascii="Times New Roman" w:hAnsi="Times New Roman" w:cs="Times New Roman"/>
          <w:sz w:val="22"/>
          <w:szCs w:val="22"/>
        </w:rPr>
        <w:t xml:space="preserve"> – O acompanhamento e fiscalização desta Ata de Registro de Preços ficará a cargo 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servidor </w:t>
      </w:r>
      <w:r>
        <w:rPr>
          <w:rFonts w:hint="default" w:ascii="Times New Roman" w:hAnsi="Times New Roman" w:cs="Times New Roman"/>
          <w:sz w:val="22"/>
          <w:szCs w:val="22"/>
        </w:rPr>
        <w:t>públic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o </w:t>
      </w: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lang w:val="pt-BR"/>
        </w:rPr>
        <w:t>Evandro do Canto Borba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,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</w:t>
      </w:r>
      <w:r>
        <w:rPr>
          <w:rFonts w:hint="default" w:ascii="Times New Roman" w:hAnsi="Times New Roman" w:cs="Times New Roman"/>
          <w:sz w:val="22"/>
          <w:szCs w:val="22"/>
        </w:rPr>
        <w:t xml:space="preserve"> qua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l</w:t>
      </w:r>
      <w:r>
        <w:rPr>
          <w:rFonts w:hint="default" w:ascii="Times New Roman" w:hAnsi="Times New Roman" w:cs="Times New Roman"/>
          <w:sz w:val="22"/>
          <w:szCs w:val="22"/>
        </w:rPr>
        <w:t xml:space="preserve"> poder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á</w:t>
      </w:r>
      <w:r>
        <w:rPr>
          <w:rFonts w:hint="default" w:ascii="Times New Roman" w:hAnsi="Times New Roman" w:cs="Times New Roman"/>
          <w:sz w:val="22"/>
          <w:szCs w:val="22"/>
        </w:rPr>
        <w:t xml:space="preserve"> ser contatad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</w:t>
      </w:r>
      <w:r>
        <w:rPr>
          <w:rFonts w:hint="default" w:ascii="Times New Roman" w:hAnsi="Times New Roman" w:cs="Times New Roman"/>
          <w:sz w:val="22"/>
          <w:szCs w:val="22"/>
        </w:rPr>
        <w:t xml:space="preserve"> pelo telefone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3762-7800, </w:t>
      </w:r>
      <w:r>
        <w:rPr>
          <w:rFonts w:hint="default" w:ascii="Times New Roman" w:hAnsi="Times New Roman" w:cs="Times New Roman"/>
          <w:sz w:val="22"/>
          <w:szCs w:val="22"/>
        </w:rPr>
        <w:t xml:space="preserve">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ainda </w:t>
      </w:r>
      <w:r>
        <w:rPr>
          <w:rFonts w:hint="default" w:ascii="Times New Roman" w:hAnsi="Times New Roman" w:cs="Times New Roman"/>
          <w:sz w:val="22"/>
          <w:szCs w:val="22"/>
        </w:rPr>
        <w:t>pel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</w:t>
      </w:r>
      <w:r>
        <w:rPr>
          <w:rFonts w:hint="default" w:ascii="Times New Roman" w:hAnsi="Times New Roman" w:cs="Times New Roman"/>
          <w:sz w:val="22"/>
          <w:szCs w:val="22"/>
        </w:rPr>
        <w:t xml:space="preserve"> Secretári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</w:t>
      </w:r>
      <w:r>
        <w:rPr>
          <w:rFonts w:hint="default" w:ascii="Times New Roman" w:hAnsi="Times New Roman" w:cs="Times New Roman"/>
          <w:sz w:val="22"/>
          <w:szCs w:val="22"/>
        </w:rPr>
        <w:t xml:space="preserve"> Municipal 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e Agricultura e Meio Ambiente</w:t>
      </w:r>
      <w:r>
        <w:rPr>
          <w:rFonts w:hint="default" w:ascii="Times New Roman" w:hAnsi="Times New Roman" w:cs="Times New Roman"/>
          <w:sz w:val="22"/>
          <w:szCs w:val="22"/>
        </w:rPr>
        <w:t>, Sr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</w:t>
      </w:r>
      <w:r>
        <w:rPr>
          <w:rFonts w:hint="default" w:ascii="Times New Roman" w:hAnsi="Times New Roman" w:cs="Times New Roman"/>
          <w:sz w:val="22"/>
          <w:szCs w:val="22"/>
        </w:rPr>
        <w:t>.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Lídia Margarete Müller Dhein,</w:t>
      </w:r>
      <w:r>
        <w:rPr>
          <w:rFonts w:hint="default" w:ascii="Times New Roman" w:hAnsi="Times New Roman" w:cs="Times New Roman"/>
          <w:sz w:val="22"/>
          <w:szCs w:val="22"/>
        </w:rPr>
        <w:t xml:space="preserve"> que atuará como gestor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a. E</w:t>
      </w:r>
      <w:r>
        <w:rPr>
          <w:rFonts w:hint="default" w:ascii="Times New Roman" w:hAnsi="Times New Roman" w:cs="Times New Roman"/>
          <w:sz w:val="22"/>
          <w:szCs w:val="22"/>
        </w:rPr>
        <w:t>st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e</w:t>
      </w:r>
      <w:r>
        <w:rPr>
          <w:rFonts w:hint="default" w:ascii="Times New Roman" w:hAnsi="Times New Roman" w:cs="Times New Roman"/>
          <w:sz w:val="22"/>
          <w:szCs w:val="22"/>
        </w:rPr>
        <w:t>s anotarão em livro próprio todas as ocorrências relacionadas com a sua execução, determinando o que for necessário à regularização das faltas ou defeitos observados, tendo amplos poderes para recusar e/ou sustar os serviços que não tenham sido executados de acordo com as normas pertinentes, sendo que: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72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40" w:lineRule="auto"/>
        <w:ind w:right="0" w:rightChars="0" w:firstLine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as decisões e providências que ultrapassem a sua competência serão solicitadas a seus superiores, em tempo hábil para adoção das medidas convenientes.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72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40" w:lineRule="auto"/>
        <w:ind w:right="0" w:rightChars="0" w:firstLine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f</w:t>
      </w:r>
      <w:r>
        <w:rPr>
          <w:rFonts w:hint="default" w:ascii="Times New Roman" w:hAnsi="Times New Roman" w:cs="Times New Roman"/>
          <w:sz w:val="22"/>
          <w:szCs w:val="22"/>
        </w:rPr>
        <w:t>iscalização deste instrumento será auxiliada pelos órgãos de assessoramento jurídico e de controle interno do MUNICÍPIO, que deverão dirimir dúvidas e subsidiá-lo com informações relevantes para prevenir riscos na execução contratual, consoante disposto no artigo 117, §3º, da Lei 14.133/2021.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1° As atividades de gestão e fiscalização da execução contratual são o conjunto de ações que tem por objetivo aferir o cumprimento dos resultados previstos pelo MUNICÍPIO para o serviço contratado, verificar a regularidade das obrigações contratuais, bem como prestar apoio à instrução processual e o encaminhamento da documentação pertinente ao setor de contratos para a formalização dos procedimentos relativos a alteração, reequilíbrio, prorrogação, pagamento, eventual aplicação de sanções, extinção do contrato, dentre outras, com vista a assegurar o cumprimento das cláusulas avençadas e a solução de problemas relativos ao objeto.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2° O conjunto de atividades de gestão e fiscalização, são exercidas de acordo com as seguintes disposições: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Gestor do Contrato: coordenar as atividades de fiscalização do contrato; indicar existência de recurso orçamentário nas hipóteses de aditivo contratual; analisar e decidir as demandas recebidas dos fiscais, acompanhadas de suas manifestações; acompanhar o prazo de execução e vigência do contrato; atestar a realização da despesa, após ateste do fiscal; encaminhar os autos conclusos para pagamento à Secretaria da Fazenda à unidade de orçamento e finanças; encaminhar à unidade competente documentos pertinentes à prorrogação, alteração, reequilíbrio, pagamento, eventuais aplicações de sanções e extinção do contrato.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Fiscal do Contrato: acompanhar a execução do contrato de acordo com o projeto básico; registrar todas as ocorrências e irregularidades relacionadas com a execução do contrato;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acompanhar a regularidade da execução dos serviços e as ocorrências evidenciadas; comunicar ao Gestor do Contrato eventuais inadimplementos das obrigações contratuais, propondo aplicação de penalidades e, se for o caso, a rescisão contratual; solicitar à DETENTORA correções e/ou substituições quando do recebimento de serviços divergentes do contrato; atestar a regularidade da prestação dos serviços e encaminhá-la ao Gestor do Contrato para atesto da despesa, realizar o recebimento provisório dos serviços; acompanhar a execução do contrato quanto às obrigações previdenciárias, fiscais e trabalhistas; analisar, por amostragem, os comprovantes de recolhimento mensal das contribuições previdenciárias estabelecidas para o empregador e seus empregados; comprovantes de recolhimento mensal do Fundo de Garantia por Tempo de Serviço; comprovante de pagamento de salários, vale- transporte, auxílio-alimentação e demais obrigações contidas na convenção coletiva, acordo coletivo ou sentença normativa; comunicar ao Gestor do Contrato eventuais inadimplementos das obrigações contratuais, recomendando a aplicação de penalidades; calcular multas; certificar a regularidade da documentação analisada e encaminhá-la ao Gestor do Contrato para atesto da despesa.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 xml:space="preserve">3° É direito da Fiscalização rejeitar quaisquer serviços quando entender que a sua execução está fora dos padrões técnicos e de qualidade definidos nesta Ata de Registro de Preços, no Edital de Pregão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E</w:t>
      </w:r>
      <w:r>
        <w:rPr>
          <w:rFonts w:hint="default" w:ascii="Times New Roman" w:hAnsi="Times New Roman" w:cs="Times New Roman"/>
          <w:sz w:val="22"/>
          <w:szCs w:val="22"/>
        </w:rPr>
        <w:t>letrônico n° 0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11</w:t>
      </w:r>
      <w:r>
        <w:rPr>
          <w:rFonts w:hint="default" w:ascii="Times New Roman" w:hAnsi="Times New Roman" w:cs="Times New Roman"/>
          <w:sz w:val="22"/>
          <w:szCs w:val="22"/>
        </w:rPr>
        <w:t>/2024, no Termo de Referência e/ou na proposta da DETENTORA, devendo esta reparar, corrigir ou substituir os serviços e peças rejeitados pela fiscalização.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4° Quaisquer exigências da FISCALIZAÇÃO, inerente ao objeto deste instrumento, deverão ser prontamente atendidas pela DETENTORA, sem ônus para o MUNICÍPIO.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5° A fiscalização exercida no interesse do MUNICÍPIO não exclui nem reduz a responsabilidade da DETENTORA, inclusive perante terceiros, por qualquer irregularidade, e, na sua ocorrência, não implica corresponsabilidade do Poder Público ou de seus agentes e prepostos.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6° A DETENTORA será responsável pelos danos causados diretamente ao MUNICÍPIO ou a terceiros em razão da execução desta Ata de Registro de Preço, e a fiscalização ou o acompanhamento pelo MUNICÍPIO não excluirá nem reduzirá essa responsabilidade.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b/>
          <w:sz w:val="22"/>
          <w:szCs w:val="22"/>
        </w:rPr>
      </w:pP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TERCEIRA – </w:t>
      </w:r>
      <w:r>
        <w:rPr>
          <w:rFonts w:hint="default" w:ascii="Times New Roman" w:hAnsi="Times New Roman" w:cs="Times New Roman"/>
          <w:sz w:val="22"/>
          <w:szCs w:val="22"/>
        </w:rPr>
        <w:t xml:space="preserve">O prazo de vigência da Ata de Registro de Preços será de 12 (doze) meses, a contar de sua assinatura, prorrogável, na forma do art. 84, da Lei n° 14.133/2021, e artigo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136</w:t>
      </w:r>
      <w:r>
        <w:rPr>
          <w:rFonts w:hint="default" w:ascii="Times New Roman" w:hAnsi="Times New Roman" w:cs="Times New Roman"/>
          <w:sz w:val="22"/>
          <w:szCs w:val="22"/>
        </w:rPr>
        <w:t>, do Decreto Municipal n° 3.2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50</w:t>
      </w:r>
      <w:r>
        <w:rPr>
          <w:rFonts w:hint="default" w:ascii="Times New Roman" w:hAnsi="Times New Roman" w:cs="Times New Roman"/>
          <w:sz w:val="22"/>
          <w:szCs w:val="22"/>
        </w:rPr>
        <w:t>/2023, por igual período.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1º Durante o prazo de validade desta Ata de Registro de Preços, o MUNICÍPIO não será obrigado a firmar as contratações que dela poderão advir, facultando-se a realização de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licitação específica para a contratação pretendida, sendo assegurado ao beneficiário do registro preferência na execução, em igualdade de condições.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2º A Administração não emitirá qualquer solicitação de aquisição sem a prévia existência do respectivo crédito orçamentário.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QUARTA </w:t>
      </w:r>
      <w:r>
        <w:rPr>
          <w:rFonts w:hint="default" w:ascii="Times New Roman" w:hAnsi="Times New Roman" w:cs="Times New Roman"/>
          <w:sz w:val="22"/>
          <w:szCs w:val="22"/>
        </w:rPr>
        <w:t>– O objeto será recebido provisoriamente pelos fiscais desta Ata, quando da realização 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 entrega</w:t>
      </w:r>
      <w:r>
        <w:rPr>
          <w:rFonts w:hint="default" w:ascii="Times New Roman" w:hAnsi="Times New Roman" w:cs="Times New Roman"/>
          <w:sz w:val="22"/>
          <w:szCs w:val="22"/>
        </w:rPr>
        <w:t>, e definitivamente, de forma tácita, no prazo de vinte dias após o recebimento provisório, uma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vez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verificada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qualidade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da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quantidade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consequente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aceitação, desde que até então nada conste em desabono aos serviços realizados e materiais fornecidos.</w:t>
      </w:r>
    </w:p>
    <w:p>
      <w:pPr>
        <w:pStyle w:val="6"/>
        <w:keepNext w:val="0"/>
        <w:keepLines w:val="0"/>
        <w:pageBreakBefore w:val="0"/>
        <w:widowControl/>
        <w:tabs>
          <w:tab w:val="left" w:pos="101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pacing w:val="-2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Parágrafo Único. O recebimento provisório ou definitivo não exclui a responsabilidade civil pelo fornecimento dos materiais e serviços, nem a ético-profissional pela perfeita execução deste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objeto.</w:t>
      </w:r>
    </w:p>
    <w:p>
      <w:pPr>
        <w:pStyle w:val="6"/>
        <w:keepNext w:val="0"/>
        <w:keepLines w:val="0"/>
        <w:pageBreakBefore w:val="0"/>
        <w:widowControl/>
        <w:tabs>
          <w:tab w:val="left" w:pos="101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pacing w:val="-2"/>
          <w:sz w:val="22"/>
          <w:szCs w:val="22"/>
        </w:rPr>
      </w:pPr>
    </w:p>
    <w:p>
      <w:pPr>
        <w:pStyle w:val="6"/>
        <w:keepNext w:val="0"/>
        <w:keepLines w:val="0"/>
        <w:pageBreakBefore w:val="0"/>
        <w:kinsoku/>
        <w:wordWrap/>
        <w:topLinePunct w:val="0"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 xml:space="preserve">QUINTA </w:t>
      </w:r>
      <w:r>
        <w:rPr>
          <w:rFonts w:hint="default" w:ascii="Times New Roman" w:hAnsi="Times New Roman" w:cs="Times New Roman"/>
          <w:sz w:val="22"/>
          <w:szCs w:val="22"/>
        </w:rPr>
        <w:t xml:space="preserve">– O pagamento será depositado na conta bancária da DETENTORA, no prazo de até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10 </w:t>
      </w:r>
      <w:r>
        <w:rPr>
          <w:rFonts w:hint="default" w:ascii="Times New Roman" w:hAnsi="Times New Roman" w:cs="Times New Roman"/>
          <w:sz w:val="22"/>
          <w:szCs w:val="22"/>
        </w:rPr>
        <w:t>(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dez</w:t>
      </w:r>
      <w:r>
        <w:rPr>
          <w:rFonts w:hint="default" w:ascii="Times New Roman" w:hAnsi="Times New Roman" w:cs="Times New Roman"/>
          <w:sz w:val="22"/>
          <w:szCs w:val="22"/>
        </w:rPr>
        <w:t>) dias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úteis</w:t>
      </w:r>
      <w:r>
        <w:rPr>
          <w:rFonts w:hint="default" w:ascii="Times New Roman" w:hAnsi="Times New Roman" w:cs="Times New Roman"/>
          <w:sz w:val="22"/>
          <w:szCs w:val="22"/>
        </w:rPr>
        <w:t>, após a entrega da respectiva Nota Fiscal, aprovada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pelos fisca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is</w:t>
      </w:r>
      <w:r>
        <w:rPr>
          <w:rFonts w:hint="default" w:ascii="Times New Roman" w:hAnsi="Times New Roman" w:cs="Times New Roman"/>
          <w:sz w:val="22"/>
          <w:szCs w:val="22"/>
        </w:rPr>
        <w:t xml:space="preserve"> desta Ata e pelo Gestor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. O pagamento corresponderá a prestação de serviços realizadas ou do produto fornecido, de acordo com as medições.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1º </w:t>
      </w:r>
      <w:r>
        <w:rPr>
          <w:rFonts w:hint="default" w:ascii="Times New Roman" w:hAnsi="Times New Roman" w:cs="Times New Roman"/>
          <w:sz w:val="22"/>
          <w:szCs w:val="22"/>
        </w:rPr>
        <w:t xml:space="preserve">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N</w:t>
      </w:r>
      <w:r>
        <w:rPr>
          <w:rFonts w:hint="default" w:ascii="Times New Roman" w:hAnsi="Times New Roman" w:cs="Times New Roman"/>
          <w:sz w:val="22"/>
          <w:szCs w:val="22"/>
        </w:rPr>
        <w:t xml:space="preserve">ota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F</w:t>
      </w:r>
      <w:r>
        <w:rPr>
          <w:rFonts w:hint="default" w:ascii="Times New Roman" w:hAnsi="Times New Roman" w:cs="Times New Roman"/>
          <w:sz w:val="22"/>
          <w:szCs w:val="22"/>
        </w:rPr>
        <w:t xml:space="preserve">iscal/fatura emitida pelo fornecedor deverá conter, em local de fácil visualização, a indicação do  número do pregão eletrônico e da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Nota de Empenho</w:t>
      </w:r>
      <w:r>
        <w:rPr>
          <w:rFonts w:hint="default" w:ascii="Times New Roman" w:hAnsi="Times New Roman" w:cs="Times New Roman"/>
          <w:sz w:val="22"/>
          <w:szCs w:val="22"/>
        </w:rPr>
        <w:t>, a fim de se acelerar o trâmite de recebimento do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s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serviços e</w:t>
      </w:r>
      <w:r>
        <w:rPr>
          <w:rFonts w:hint="default" w:ascii="Times New Roman" w:hAnsi="Times New Roman" w:cs="Times New Roman"/>
          <w:sz w:val="22"/>
          <w:szCs w:val="22"/>
        </w:rPr>
        <w:t xml:space="preserve"> posterior liberação do documento fiscal para pagamento.</w:t>
      </w:r>
    </w:p>
    <w:p>
      <w:pPr>
        <w:pStyle w:val="10"/>
        <w:keepNext w:val="0"/>
        <w:keepLines w:val="0"/>
        <w:pageBreakBefore w:val="0"/>
        <w:tabs>
          <w:tab w:val="left" w:pos="720"/>
        </w:tabs>
        <w:kinsoku/>
        <w:wordWrap/>
        <w:overflowPunct/>
        <w:topLinePunct w:val="0"/>
        <w:bidi w:val="0"/>
        <w:adjustRightInd/>
        <w:snapToGrid/>
        <w:spacing w:before="0" w:after="0" w:line="240" w:lineRule="auto"/>
        <w:ind w:right="0" w:rightChars="0" w:firstLine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2º Somente será autorizado o pagamento a fornecedores que estiverem quitas com a Fazenda Municipal de Teutônia.</w:t>
      </w:r>
    </w:p>
    <w:p>
      <w:pPr>
        <w:pStyle w:val="14"/>
        <w:keepNext w:val="0"/>
        <w:keepLines w:val="0"/>
        <w:pageBreakBefore w:val="0"/>
        <w:tabs>
          <w:tab w:val="left" w:pos="142"/>
          <w:tab w:val="left" w:pos="284"/>
          <w:tab w:val="left" w:pos="567"/>
        </w:tabs>
        <w:kinsoku/>
        <w:wordWrap/>
        <w:topLinePunct w:val="0"/>
        <w:bidi w:val="0"/>
        <w:adjustRightInd/>
        <w:snapToGrid/>
        <w:spacing w:before="0" w:after="0" w:line="240" w:lineRule="auto"/>
        <w:ind w:left="0" w:right="0" w:rightChars="0" w:firstLine="0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§ 3º</w:t>
      </w:r>
      <w:r>
        <w:rPr>
          <w:rFonts w:hint="default" w:ascii="Times New Roman" w:hAnsi="Times New Roman" w:cs="Times New Roman"/>
          <w:sz w:val="22"/>
          <w:szCs w:val="22"/>
        </w:rPr>
        <w:t xml:space="preserve"> Serão processadas as retenções tributárias e previdenciárias nos termos da legislação que regula a matéria.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PT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4</w:t>
      </w:r>
      <w:r>
        <w:rPr>
          <w:rFonts w:hint="default" w:ascii="Times New Roman" w:hAnsi="Times New Roman" w:cs="Times New Roman"/>
          <w:sz w:val="22"/>
          <w:szCs w:val="22"/>
          <w:lang w:val="pt-PT"/>
        </w:rPr>
        <w:t xml:space="preserve">º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P</w:t>
      </w:r>
      <w:r>
        <w:rPr>
          <w:rFonts w:hint="default" w:ascii="Times New Roman" w:hAnsi="Times New Roman" w:cs="Times New Roman"/>
          <w:sz w:val="22"/>
          <w:szCs w:val="22"/>
          <w:lang w:val="pt-PT"/>
        </w:rPr>
        <w:t>oderá o Município de Teutônia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/</w:t>
      </w:r>
      <w:r>
        <w:rPr>
          <w:rFonts w:hint="default" w:ascii="Times New Roman" w:hAnsi="Times New Roman" w:cs="Times New Roman"/>
          <w:sz w:val="22"/>
          <w:szCs w:val="22"/>
          <w:lang w:val="pt-PT"/>
        </w:rPr>
        <w:t>RS compensar multas aplicadas com valores contratados e ainda não pagos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5º </w:t>
      </w:r>
      <w:r>
        <w:rPr>
          <w:rFonts w:hint="default" w:ascii="Times New Roman" w:hAnsi="Times New Roman" w:cs="Times New Roman"/>
          <w:sz w:val="22"/>
          <w:szCs w:val="22"/>
        </w:rPr>
        <w:t>A despesa correrá na seguinte dotaç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ão</w:t>
      </w:r>
      <w:r>
        <w:rPr>
          <w:rFonts w:hint="default" w:ascii="Times New Roman" w:hAnsi="Times New Roman" w:cs="Times New Roman"/>
          <w:sz w:val="22"/>
          <w:szCs w:val="22"/>
        </w:rPr>
        <w:t xml:space="preserve"> orçamentária:</w:t>
      </w:r>
    </w:p>
    <w:p>
      <w:pPr>
        <w:keepNext w:val="0"/>
        <w:keepLines w:val="0"/>
        <w:pageBreakBefore w:val="0"/>
        <w:widowControl/>
        <w:tabs>
          <w:tab w:val="left" w:pos="4962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737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9</w:t>
      </w:r>
      <w:r>
        <w:rPr>
          <w:rFonts w:hint="default" w:ascii="Times New Roman" w:hAnsi="Times New Roman" w:cs="Times New Roman"/>
          <w:sz w:val="22"/>
          <w:szCs w:val="22"/>
        </w:rPr>
        <w:t xml:space="preserve"> – SECRETARIA MUNICIPAL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AGRICULTURA E MEIO AMBIENTE</w:t>
      </w:r>
    </w:p>
    <w:p>
      <w:pPr>
        <w:keepNext w:val="0"/>
        <w:keepLines w:val="0"/>
        <w:pageBreakBefore w:val="0"/>
        <w:widowControl/>
        <w:tabs>
          <w:tab w:val="left" w:pos="4962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737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02</w:t>
      </w:r>
      <w:r>
        <w:rPr>
          <w:rFonts w:hint="default" w:ascii="Times New Roman" w:hAnsi="Times New Roman" w:cs="Times New Roman"/>
          <w:sz w:val="22"/>
          <w:szCs w:val="22"/>
        </w:rPr>
        <w:t xml:space="preserve"> – FUNDO MUNICIPAL 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 MEIO AMBIENTE</w:t>
      </w:r>
    </w:p>
    <w:p>
      <w:pPr>
        <w:keepNext w:val="0"/>
        <w:keepLines w:val="0"/>
        <w:pageBreakBefore w:val="0"/>
        <w:widowControl/>
        <w:tabs>
          <w:tab w:val="left" w:pos="4962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737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</w:rPr>
        <w:t>1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8</w:t>
      </w:r>
      <w:r>
        <w:rPr>
          <w:rFonts w:hint="default" w:ascii="Times New Roman" w:hAnsi="Times New Roman" w:cs="Times New Roman"/>
          <w:sz w:val="22"/>
          <w:szCs w:val="22"/>
        </w:rPr>
        <w:t>.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542</w:t>
      </w:r>
      <w:r>
        <w:rPr>
          <w:rFonts w:hint="default" w:ascii="Times New Roman" w:hAnsi="Times New Roman" w:cs="Times New Roman"/>
          <w:sz w:val="22"/>
          <w:szCs w:val="22"/>
        </w:rPr>
        <w:t>.00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10</w:t>
      </w:r>
      <w:r>
        <w:rPr>
          <w:rFonts w:hint="default" w:ascii="Times New Roman" w:hAnsi="Times New Roman" w:cs="Times New Roman"/>
          <w:sz w:val="22"/>
          <w:szCs w:val="22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03</w:t>
      </w:r>
      <w:r>
        <w:rPr>
          <w:rFonts w:hint="default" w:ascii="Times New Roman" w:hAnsi="Times New Roman" w:cs="Times New Roman"/>
          <w:sz w:val="22"/>
          <w:szCs w:val="22"/>
        </w:rPr>
        <w:t xml:space="preserve"> – M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ANUTENÇÃO DAS ATIVIDADES DA SECRETARIA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60" w:firstLineChars="30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3.3.3.9.0.3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0</w:t>
      </w:r>
      <w:r>
        <w:rPr>
          <w:rFonts w:hint="default" w:ascii="Times New Roman" w:hAnsi="Times New Roman" w:cs="Times New Roman"/>
          <w:sz w:val="22"/>
          <w:szCs w:val="22"/>
        </w:rPr>
        <w:t>00000000 – MATERIAL 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E CONSUMO</w:t>
      </w:r>
      <w:r>
        <w:rPr>
          <w:rFonts w:hint="default" w:ascii="Times New Roman" w:hAnsi="Times New Roman" w:cs="Times New Roman"/>
          <w:sz w:val="22"/>
          <w:szCs w:val="22"/>
        </w:rPr>
        <w:t xml:space="preserve"> –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1944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pt-BR"/>
        </w:rPr>
        <w:t>SEXTA</w:t>
      </w:r>
      <w:r>
        <w:rPr>
          <w:rFonts w:hint="default" w:ascii="Times New Roman" w:hAnsi="Times New Roman" w:cs="Times New Roman"/>
          <w:sz w:val="22"/>
          <w:szCs w:val="22"/>
        </w:rPr>
        <w:t xml:space="preserve"> – A contratação junto à DETENTORA será formalizada pela Secretaria interessada por intermédio de emissão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N</w:t>
      </w:r>
      <w:r>
        <w:rPr>
          <w:rFonts w:hint="default" w:ascii="Times New Roman" w:hAnsi="Times New Roman" w:cs="Times New Roman"/>
          <w:sz w:val="22"/>
          <w:szCs w:val="22"/>
        </w:rPr>
        <w:t xml:space="preserve">ota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E</w:t>
      </w:r>
      <w:r>
        <w:rPr>
          <w:rFonts w:hint="default" w:ascii="Times New Roman" w:hAnsi="Times New Roman" w:cs="Times New Roman"/>
          <w:sz w:val="22"/>
          <w:szCs w:val="22"/>
        </w:rPr>
        <w:t>mpenho de despesa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e Ordem de Entrega dos produtos,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os quais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serão</w:t>
      </w:r>
      <w:r>
        <w:rPr>
          <w:rFonts w:hint="default" w:ascii="Times New Roman" w:hAnsi="Times New Roman" w:cs="Times New Roman"/>
          <w:sz w:val="22"/>
          <w:szCs w:val="22"/>
        </w:rPr>
        <w:t xml:space="preserve"> emitid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as</w:t>
      </w:r>
      <w:r>
        <w:rPr>
          <w:rFonts w:hint="default" w:ascii="Times New Roman" w:hAnsi="Times New Roman" w:cs="Times New Roman"/>
          <w:sz w:val="22"/>
          <w:szCs w:val="22"/>
        </w:rPr>
        <w:t xml:space="preserve"> de acordo com a estrita necessidade da Administração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1º A Administração não emitirá qualquer solicitação de aquisição sem a prévia existência do respectivo crédito orçamentário.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</w:t>
      </w:r>
      <w:r>
        <w:rPr>
          <w:rFonts w:hint="default" w:ascii="Times New Roman" w:hAnsi="Times New Roman" w:cs="Times New Roman"/>
          <w:sz w:val="22"/>
          <w:szCs w:val="22"/>
        </w:rPr>
        <w:t>2° As ordens de compra poderão ser encaminhadas por meio eletrônico ou por outra forma admitida pela Administração.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 xml:space="preserve">CLÁUSULA 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  <w:lang w:val="pt-BR"/>
        </w:rPr>
        <w:t xml:space="preserve">SÉTIMA </w:t>
      </w:r>
      <w:r>
        <w:rPr>
          <w:rFonts w:hint="default" w:ascii="Times New Roman" w:hAnsi="Times New Roman" w:eastAsia="Arial-BoldMT" w:cs="Times New Roman"/>
          <w:b/>
          <w:bCs/>
          <w:sz w:val="22"/>
          <w:szCs w:val="22"/>
        </w:rPr>
        <w:t xml:space="preserve">- </w:t>
      </w:r>
      <w:r>
        <w:rPr>
          <w:rFonts w:hint="default" w:ascii="Times New Roman" w:hAnsi="Times New Roman" w:cs="Times New Roman"/>
          <w:sz w:val="22"/>
          <w:szCs w:val="22"/>
        </w:rPr>
        <w:t>O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s materiais deverão ser entregues conforme a necessidade, acondicionados de forma segura para garantir a segurança durante o transporte, em embalagens plásticas de 10 (dez) litros cada, hermeticamente fechados com lacre, contendo obrigatoriamente a data de fabricação (não podendo ser superior a 01 (um) mês da data de entrega), o prazo de validade, o nome comercial, a marca e o número de registro no Ministério da Saúde,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no</w:t>
      </w:r>
      <w:r>
        <w:rPr>
          <w:rFonts w:hint="default" w:ascii="Times New Roman" w:hAnsi="Times New Roman" w:cs="Times New Roman"/>
          <w:sz w:val="22"/>
          <w:szCs w:val="22"/>
        </w:rPr>
        <w:t xml:space="preserve"> prazo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até 15 (quinze)</w:t>
      </w:r>
      <w:r>
        <w:rPr>
          <w:rFonts w:hint="default" w:ascii="Times New Roman" w:hAnsi="Times New Roman" w:cs="Times New Roman"/>
          <w:sz w:val="22"/>
          <w:szCs w:val="22"/>
        </w:rPr>
        <w:t xml:space="preserve"> dias, a contar da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data de envio do pedido pelo Setor de Compras (Ordem de Compra)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p>
      <w:pPr>
        <w:keepNext w:val="0"/>
        <w:keepLines w:val="0"/>
        <w:pageBreakBefore w:val="0"/>
        <w:widowControl/>
        <w:tabs>
          <w:tab w:val="left" w:pos="1134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jc w:val="both"/>
        <w:textAlignment w:val="auto"/>
        <w:rPr>
          <w:rFonts w:hint="default" w:ascii="Times New Roman" w:hAnsi="Times New Roman" w:cs="Times New Roman"/>
          <w:b w:val="0"/>
          <w:bCs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1º </w:t>
      </w:r>
      <w:r>
        <w:rPr>
          <w:rFonts w:hint="default" w:ascii="Times New Roman" w:hAnsi="Times New Roman" w:cs="Times New Roman"/>
          <w:sz w:val="22"/>
          <w:szCs w:val="22"/>
        </w:rPr>
        <w:t xml:space="preserve">Os materiais deverão ser entregues no 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 xml:space="preserve">Almoxarifado 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>Central do Município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 xml:space="preserve">, situado na 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>Av. 01 Oeste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 xml:space="preserve">, nº 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>507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 xml:space="preserve">, Bairro 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>Centro Administrativo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>, Teutônia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>/</w:t>
      </w:r>
      <w:r>
        <w:rPr>
          <w:rFonts w:hint="default" w:ascii="Times New Roman" w:hAnsi="Times New Roman" w:cs="Times New Roman"/>
          <w:sz w:val="22"/>
          <w:szCs w:val="22"/>
          <w:lang w:eastAsia="pt-BR"/>
        </w:rPr>
        <w:t>RS</w:t>
      </w:r>
      <w:r>
        <w:rPr>
          <w:rFonts w:hint="default" w:ascii="Times New Roman" w:hAnsi="Times New Roman" w:cs="Times New Roman"/>
          <w:sz w:val="22"/>
          <w:szCs w:val="22"/>
          <w:lang w:val="en-US" w:eastAsia="pt-BR"/>
        </w:rPr>
        <w:t xml:space="preserve">.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N</w:t>
      </w:r>
      <w:r>
        <w:rPr>
          <w:rFonts w:hint="default" w:ascii="Times New Roman" w:hAnsi="Times New Roman" w:cs="Times New Roman"/>
          <w:sz w:val="22"/>
          <w:szCs w:val="22"/>
        </w:rPr>
        <w:t>ão have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rá</w:t>
      </w:r>
      <w:r>
        <w:rPr>
          <w:rFonts w:hint="default" w:ascii="Times New Roman" w:hAnsi="Times New Roman" w:cs="Times New Roman"/>
          <w:sz w:val="22"/>
          <w:szCs w:val="22"/>
        </w:rPr>
        <w:t xml:space="preserve"> limitação mínima de quantitativos.</w:t>
      </w:r>
    </w:p>
    <w:p>
      <w:pPr>
        <w:keepNext w:val="0"/>
        <w:keepLines w:val="0"/>
        <w:pageBreakBefore w:val="0"/>
        <w:widowControl/>
        <w:tabs>
          <w:tab w:val="left" w:pos="1134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2º </w:t>
      </w:r>
      <w:r>
        <w:rPr>
          <w:rFonts w:hint="default" w:ascii="Times New Roman" w:hAnsi="Times New Roman" w:cs="Times New Roman"/>
          <w:b w:val="0"/>
          <w:bCs/>
          <w:sz w:val="22"/>
          <w:szCs w:val="22"/>
          <w:lang w:val="pt-BR"/>
        </w:rPr>
        <w:t>Os produtos devem vir acompanhados da Nota Fiscal/fatura (constando o nº da Nota de Empenho).</w:t>
      </w:r>
    </w:p>
    <w:p>
      <w:pPr>
        <w:keepNext w:val="0"/>
        <w:keepLines w:val="0"/>
        <w:pageBreakBefore w:val="0"/>
        <w:widowControl/>
        <w:tabs>
          <w:tab w:val="left" w:pos="1134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lang w:val="pt-BR"/>
        </w:rPr>
        <w:t xml:space="preserve">§ 3º </w:t>
      </w:r>
      <w:r>
        <w:rPr>
          <w:rFonts w:hint="default" w:ascii="Times New Roman" w:hAnsi="Times New Roman" w:cs="Times New Roman"/>
          <w:sz w:val="22"/>
          <w:szCs w:val="22"/>
        </w:rPr>
        <w:t xml:space="preserve">Verificada a desconformidade de algum dos produtos, a licitante vencedora deverá promover as correções necessárias no prazo máximo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72 (setenta e duas)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horas</w:t>
      </w:r>
      <w:r>
        <w:rPr>
          <w:rFonts w:hint="default" w:ascii="Times New Roman" w:hAnsi="Times New Roman" w:cs="Times New Roman"/>
          <w:sz w:val="22"/>
          <w:szCs w:val="22"/>
        </w:rPr>
        <w:t>, sujeitando-se às penalidades previstas neste edital.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§ 4º </w:t>
      </w:r>
      <w:r>
        <w:rPr>
          <w:rFonts w:hint="default" w:ascii="Times New Roman" w:hAnsi="Times New Roman" w:cs="Times New Roman"/>
          <w:b w:val="0"/>
          <w:bCs w:val="0"/>
          <w:color w:val="auto"/>
          <w:sz w:val="22"/>
          <w:szCs w:val="22"/>
          <w:lang w:val="pt-BR"/>
        </w:rPr>
        <w:t>Os materiais devem ser acondicionados em embalagem adequada, de forma a garantir a máxima proteção durante o transporte e o armazenamento.</w:t>
      </w:r>
    </w:p>
    <w:p>
      <w:pPr>
        <w:keepNext w:val="0"/>
        <w:keepLines w:val="0"/>
        <w:pageBreakBefore w:val="0"/>
        <w:widowControl/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pt-BR"/>
        </w:rPr>
        <w:t xml:space="preserve">OITAVA </w:t>
      </w:r>
      <w:r>
        <w:rPr>
          <w:rFonts w:hint="default" w:ascii="Times New Roman" w:hAnsi="Times New Roman" w:cs="Times New Roman"/>
          <w:sz w:val="22"/>
          <w:szCs w:val="22"/>
        </w:rPr>
        <w:t>– São obrigações da DETENTORA: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manter, durante toda a vigência da Ata de Registro de Preço, compatibilidade com as obrigações por ela assumidas e as condições e qualificação exigidas no Edital da licitação;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i</w:t>
      </w:r>
      <w:r>
        <w:rPr>
          <w:rFonts w:hint="default" w:ascii="Times New Roman" w:hAnsi="Times New Roman" w:cs="Times New Roman"/>
          <w:sz w:val="22"/>
          <w:szCs w:val="22"/>
        </w:rPr>
        <w:t>ndicar preposto, bem como seu contato telefônico e eletrônico, para representá-la durante a execução desta Ata de Registro de Preços;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no caso de solicitações extras, atender prontamente ao MUNICÍPIO;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efetuar a execução dos serviços/objeto em perfeitas condições, conforme especificações, prazos e locais indicados pela Fiscalização, independentemente de qualquer contratempo, mesmo que para isso tenha que adquirir de suas concorrentes, se formalizado e admitido com antecedência;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prestar todos os esclarecimentos que forem solicitados pelo MUNICÍPIO;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fornecer, sempre que solicitado pelo Município, comprovantes de pagamentos de empregados e do recolhimento dos encargos sociais, trabalhistas e fiscais, decorrentes da execução desta Ata de Registro de Preço;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não transferir a outrem, no todo ou em parte, o objeto do presente instrumento, sem prévia e expressa anuência do MUNICÍPIO;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não caucionar ou utilizar esta Ata de Registro de Preço para qualquer operação financeira, sem a prévia e expressa anuência do MUNICÍPIO, sob pena de rescisão contratual;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manter quadro de pessoal suficiente para atendimento das solicitações, conforme previsto neste instrumento, sem interrupção, seja por motivo de férias, descanso semanal, licença, falta ao serviço e demissão de empregado;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utilizar pessoal qualificado, identificado, uniformizado, utilizando EPI's conforme determina a legislação, se for o caso, com bom comportamento, podendo ser exigida a substituição de qualquer empregado cujo comportamento seja julgado impróprio pelo MUNICÍPIO;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responder por quaisquer danos pessoais e materiais ocasionados por seus funcionários durante a execução desta Ata de Registro de Preços;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reparar, corrigir, remover ou substituir às suas expensas, qualquer dano que venha a surgir pelos serviços prestados;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relatar ao MUNICÍPIO toda e qualquer irregularidade verificada no decorrer da execução desta Ata de Registro de Preço;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indenizar o MUNICÍPIO e/ou terceiros em razão de prejuízos ou danos causados pela DETENTORA, decorrentes de dolo ou culpa, durante a execução desta Ata de Registro de Preço;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240"/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color w:val="auto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comunicar ao MUNICÍPIO, no prazo máximo de 2 (dois) dias que antecedem a data de entrega do objeto, os motivos que impossibilitem o cumprimento do prazo previsto, com a devida comprovação, sem prejuízo de eventuais penalidades, caso a justificativa não seja aceita.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§1° O MUNICÍPIO reserva-se ao direito de promover avaliações, inspeções e diligências visando esclarecer quaisquer situações relacionadas ao fornecimento do objeto contratado, sendo obrigação da DETENTORA acolhê-las.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§2° Para a execução do objeto desta Ata, não será permitida a subcontratação de empresa terceirizada, salvo sob expressa anuência do MUNICÍPIO, a qual deverá ser emitida pelo Gestor deste instrumento.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§3° A DETENTORA será responsável pelos encargos sociais, taxas, encargos ou tributos, alvarás e qualquer outra despesa que vier a incidir sobre o serviço, bem como qualquer responsabilidade do vínculo empregatício e obrigações previdenciárias, referentes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pt-BR"/>
        </w:rPr>
        <w:t>NONA</w:t>
      </w:r>
      <w:r>
        <w:rPr>
          <w:rFonts w:hint="default" w:ascii="Times New Roman" w:hAnsi="Times New Roman" w:cs="Times New Roman"/>
          <w:sz w:val="22"/>
          <w:szCs w:val="22"/>
        </w:rPr>
        <w:t xml:space="preserve"> – O MUNICÍPIO obriga-se a: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solicitar à DETENTORA, em tempo hábil, os serviços para atender às suas necessidades;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fiscalizar o cumprimento desta Ata, por intermédio dos servidores designados;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verificar a conformidade dos serviços prestados com as disposições desta Ata de Registro de Preço, do Edital da Licitação e da proposta da DETENTORA;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efetuar o pagamento à DETENTORA, de acordo com a forma e prazo estabelecidos neste instrumento; e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comunicar à DETENTORA a ocorrência de quaisquer fatos que, a seu critério, exijam correção por parte desta.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Parágrafo Único. O MUNICÍPIO não responderá por quaisquer compromissos assumidos pela DETENTORA com terceiros, ainda que vinculados à execução do objeto, bem como por qualquer dano causado a terceiros em decorrência de ato da DETENTORA, de seus empregados, prepostos ou subordinados.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 xml:space="preserve">DÉCIMA </w:t>
      </w:r>
      <w:r>
        <w:rPr>
          <w:rFonts w:hint="default" w:ascii="Times New Roman" w:hAnsi="Times New Roman" w:cs="Times New Roman"/>
          <w:sz w:val="22"/>
          <w:szCs w:val="22"/>
        </w:rPr>
        <w:t>– Os preços registrados poderão ser revistos em decorrência de eventual redução dos preços praticados no mercado ou de fato que eleve o custo dos serviços ou bens registrados, cabendo ao órgão gerenciador promover as negociações junto aos fornecedores, observadas as disposições contidas no artigo 124 da Lei nº 14.133/2021.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</w:t>
      </w:r>
    </w:p>
    <w:p>
      <w:pPr>
        <w:pStyle w:val="6"/>
        <w:keepNext w:val="0"/>
        <w:keepLines w:val="0"/>
        <w:pageBreakBefore w:val="0"/>
        <w:widowControl/>
        <w:tabs>
          <w:tab w:val="left" w:pos="9460"/>
          <w:tab w:val="left" w:pos="101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b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 xml:space="preserve">CLÁUSULA DÉCIMA PRIMEIRA - 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eastAsia="ArialMT" w:cs="Times New Roman"/>
          <w:sz w:val="22"/>
          <w:szCs w:val="22"/>
        </w:rPr>
        <w:t>A Ata de Registro de Preços poderá ser cancelada pela Administração, de pleno direito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>, quando: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  <w:t>quando o fornecedor descumprir as condições da ata de registro de preços sem motivo justificado;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  <w:t xml:space="preserve">b) quando o fornecedor não retirar a nota de empenho, ou instrumento equivalente, no prazo estabelecido pela Administração, sem justificativa razoável; 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eastAsia="SimSun" w:cs="Times New Roman"/>
          <w:b w:val="0"/>
          <w:bCs w:val="0"/>
          <w:sz w:val="22"/>
          <w:szCs w:val="22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  <w:t xml:space="preserve">c)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  <w:u w:val="none"/>
        </w:rPr>
        <w:t>não aceitar reduzir o seu preço registrado, na hipótese deste se tornar superior àqueles praticados no mercado; ou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</w:rPr>
        <w:t>d) quando o fornecedor sofrer a sanção prevista nos incisos III ou IV do caput do art. 156 da Lei Federal nº 14.133/2021.</w:t>
      </w:r>
    </w:p>
    <w:p>
      <w:pPr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e</w:t>
      </w:r>
      <w:r>
        <w:rPr>
          <w:rFonts w:hint="default" w:ascii="Times New Roman" w:hAnsi="Times New Roman" w:cs="Times New Roman"/>
          <w:sz w:val="22"/>
          <w:szCs w:val="22"/>
        </w:rPr>
        <w:t>) quando o fornecedor solicitar o cancelamento por escrito, por estar impossibilitado de cumprir as exigências desta Ata por fato superveniente à licitação, alheio à sua vontade, decorrente de caso fortuito ou força maior, desde que o pedido de cancelamento seja devidamente comprovado com a respectiva documentação da situação alegada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eastAsia="ArialMT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pt-BR"/>
        </w:rPr>
        <w:t>CLÁUSULA DÉCIMA SEGUNDA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- </w:t>
      </w:r>
      <w:r>
        <w:rPr>
          <w:rFonts w:hint="default" w:ascii="Times New Roman" w:hAnsi="Times New Roman" w:eastAsia="ArialMT" w:cs="Times New Roman"/>
          <w:sz w:val="22"/>
          <w:szCs w:val="22"/>
        </w:rPr>
        <w:t>A recusa injustificada da empresa e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 xml:space="preserve">m prestar os serviços </w:t>
      </w:r>
      <w:r>
        <w:rPr>
          <w:rFonts w:hint="default" w:ascii="Times New Roman" w:hAnsi="Times New Roman" w:eastAsia="ArialMT" w:cs="Times New Roman"/>
          <w:sz w:val="22"/>
          <w:szCs w:val="22"/>
        </w:rPr>
        <w:t xml:space="preserve">descrito na Cláusula Primeira, de conformidade com a proposta classificada na licitação, ensejará a aplicação das penalidades previstas 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 xml:space="preserve">em Edital e </w:t>
      </w:r>
      <w:r>
        <w:rPr>
          <w:rFonts w:hint="default" w:ascii="Times New Roman" w:hAnsi="Times New Roman" w:eastAsia="ArialMT" w:cs="Times New Roman"/>
          <w:sz w:val="22"/>
          <w:szCs w:val="22"/>
        </w:rPr>
        <w:t>no art.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 xml:space="preserve"> 155</w:t>
      </w:r>
      <w:r>
        <w:rPr>
          <w:rFonts w:hint="default" w:ascii="Times New Roman" w:hAnsi="Times New Roman" w:eastAsia="ArialMT" w:cs="Times New Roman"/>
          <w:sz w:val="22"/>
          <w:szCs w:val="22"/>
        </w:rPr>
        <w:t xml:space="preserve"> da Lei nº 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>14.133/2021</w:t>
      </w:r>
      <w:r>
        <w:rPr>
          <w:rFonts w:hint="default" w:ascii="Times New Roman" w:hAnsi="Times New Roman" w:eastAsia="ArialMT" w:cs="Times New Roman"/>
          <w:sz w:val="22"/>
          <w:szCs w:val="22"/>
        </w:rPr>
        <w:t>, a critério da Administração</w:t>
      </w:r>
      <w:r>
        <w:rPr>
          <w:rFonts w:hint="default" w:ascii="Times New Roman" w:hAnsi="Times New Roman" w:eastAsia="ArialMT" w:cs="Times New Roman"/>
          <w:sz w:val="22"/>
          <w:szCs w:val="22"/>
          <w:lang w:val="pt-BR"/>
        </w:rPr>
        <w:t>, podendo ser aplicada sanção de: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a) advertência;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bookmarkStart w:id="0" w:name="art156ii"/>
      <w:bookmarkEnd w:id="0"/>
      <w:r>
        <w:rPr>
          <w:rFonts w:hint="default" w:ascii="Times New Roman" w:hAnsi="Times New Roman" w:cs="Times New Roman"/>
          <w:sz w:val="22"/>
          <w:szCs w:val="22"/>
        </w:rPr>
        <w:t>b) multa de no mínimo 0,5% (cinco décimos por cento) e máximo de 30% (trinta por cento) do valor do objeto licitado ou contratado;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bookmarkStart w:id="1" w:name="art156iii"/>
      <w:bookmarkEnd w:id="1"/>
      <w:r>
        <w:rPr>
          <w:rFonts w:hint="default" w:ascii="Times New Roman" w:hAnsi="Times New Roman" w:cs="Times New Roman"/>
          <w:sz w:val="22"/>
          <w:szCs w:val="22"/>
        </w:rPr>
        <w:t>c) impedimento de licitar e contratar, no âmbito da Administração Pública direta e indireta do órgão licitante, pelo prazo máximo de 3 (três) anos.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  <w:bookmarkStart w:id="2" w:name="art156iv"/>
      <w:bookmarkEnd w:id="2"/>
      <w:r>
        <w:rPr>
          <w:rFonts w:hint="default" w:ascii="Times New Roman" w:hAnsi="Times New Roman" w:cs="Times New Roman"/>
          <w:sz w:val="22"/>
          <w:szCs w:val="22"/>
        </w:rPr>
        <w:t>d) declaração de inidoneidade para licitar ou contratar</w:t>
      </w:r>
      <w:bookmarkStart w:id="3" w:name="art156§1"/>
      <w:bookmarkEnd w:id="3"/>
      <w:bookmarkStart w:id="4" w:name="art156§2"/>
      <w:bookmarkEnd w:id="4"/>
      <w:bookmarkStart w:id="5" w:name="art156§5"/>
      <w:bookmarkEnd w:id="5"/>
      <w:r>
        <w:rPr>
          <w:rFonts w:hint="default" w:ascii="Times New Roman" w:hAnsi="Times New Roman" w:cs="Times New Roman"/>
          <w:sz w:val="22"/>
          <w:szCs w:val="22"/>
        </w:rPr>
        <w:t xml:space="preserve"> no âmbito da Administração Pública direta e indireta de todos os entes federativos, pelo prazo mínimo de 3 (três) anos e máximo de 6 (seis) anos.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right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6"/>
        <w:keepNext w:val="0"/>
        <w:keepLines w:val="0"/>
        <w:pageBreakBefore w:val="0"/>
        <w:tabs>
          <w:tab w:val="left" w:pos="9900"/>
          <w:tab w:val="left" w:pos="10120"/>
        </w:tabs>
        <w:kinsoku/>
        <w:wordWrap/>
        <w:topLinePunct w:val="0"/>
        <w:bidi w:val="0"/>
        <w:adjustRightInd/>
        <w:spacing w:before="0" w:line="24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CL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ÁUSULA DÉCIMA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 xml:space="preserve">TERCEIRA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– </w:t>
      </w:r>
      <w:r>
        <w:rPr>
          <w:rFonts w:hint="default" w:ascii="Times New Roman" w:hAnsi="Times New Roman" w:cs="Times New Roman"/>
          <w:sz w:val="22"/>
          <w:szCs w:val="22"/>
        </w:rPr>
        <w:t xml:space="preserve">Integram este instrumento o Edital no Pregão na Forma Eletrônica nº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011/2024</w:t>
      </w:r>
      <w:r>
        <w:rPr>
          <w:rFonts w:hint="default" w:ascii="Times New Roman" w:hAnsi="Times New Roman" w:cs="Times New Roman"/>
          <w:sz w:val="22"/>
          <w:szCs w:val="22"/>
        </w:rPr>
        <w:t xml:space="preserve">, seus anexos, em especial o Termo de Referência, e a proposta da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DETENTORA</w:t>
      </w:r>
      <w:r>
        <w:rPr>
          <w:rFonts w:hint="default" w:ascii="Times New Roman" w:hAnsi="Times New Roman" w:cs="Times New Roman"/>
          <w:spacing w:val="-2"/>
          <w:sz w:val="22"/>
          <w:szCs w:val="22"/>
          <w:lang w:val="pt-BR"/>
        </w:rPr>
        <w:t>.</w:t>
      </w:r>
    </w:p>
    <w:p>
      <w:pPr>
        <w:keepNext w:val="0"/>
        <w:keepLines w:val="0"/>
        <w:pageBreakBefore w:val="0"/>
        <w:kinsoku/>
        <w:wordWrap/>
        <w:topLinePunct w:val="0"/>
        <w:bidi w:val="0"/>
        <w:adjustRightInd/>
        <w:spacing w:before="0" w:line="24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CLÁUSULA </w:t>
      </w:r>
      <w:r>
        <w:rPr>
          <w:rFonts w:hint="default" w:ascii="Times New Roman" w:hAnsi="Times New Roman" w:cs="Times New Roman"/>
          <w:b/>
          <w:sz w:val="22"/>
          <w:szCs w:val="22"/>
          <w:lang w:val="pt-BR"/>
        </w:rPr>
        <w:t>DÉCIMA QUARTA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– </w:t>
      </w:r>
      <w:r>
        <w:rPr>
          <w:rFonts w:hint="default" w:ascii="Times New Roman" w:hAnsi="Times New Roman" w:cs="Times New Roman"/>
          <w:sz w:val="22"/>
          <w:szCs w:val="22"/>
        </w:rPr>
        <w:t xml:space="preserve">Fica eleito o Foro da Comarca de 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Teutônia</w:t>
      </w:r>
      <w:r>
        <w:rPr>
          <w:rFonts w:hint="default" w:ascii="Times New Roman" w:hAnsi="Times New Roman" w:cs="Times New Roman"/>
          <w:sz w:val="22"/>
          <w:szCs w:val="22"/>
        </w:rPr>
        <w:t>/RS para as questões resultantes desta Ata.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4253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398" w:rightChars="181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4253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398" w:rightChars="181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widowControl/>
        <w:tabs>
          <w:tab w:val="left" w:pos="4253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 w:firstLine="220" w:firstLineChars="100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</w:rPr>
        <w:t>______________________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                                                      ___</w:t>
      </w:r>
      <w:r>
        <w:rPr>
          <w:rFonts w:hint="default" w:ascii="Times New Roman" w:hAnsi="Times New Roman" w:cs="Times New Roman"/>
          <w:sz w:val="22"/>
          <w:szCs w:val="22"/>
        </w:rPr>
        <w:t>______________________</w:t>
      </w:r>
    </w:p>
    <w:p>
      <w:pPr>
        <w:keepNext w:val="0"/>
        <w:keepLines w:val="0"/>
        <w:pageBreakBefore w:val="0"/>
        <w:widowControl/>
        <w:tabs>
          <w:tab w:val="left" w:pos="4253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/>
        <w:jc w:val="both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  <w:lang w:val="pt-BR"/>
        </w:rPr>
        <w:t>CELSO ALOÍSIO FORNECK                                                              CONTRATADA</w:t>
      </w:r>
    </w:p>
    <w:p>
      <w:pPr>
        <w:keepNext w:val="0"/>
        <w:keepLines w:val="0"/>
        <w:pageBreakBefore w:val="0"/>
        <w:widowControl/>
        <w:tabs>
          <w:tab w:val="left" w:pos="4253"/>
          <w:tab w:val="clear" w:pos="226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398" w:rightChars="181" w:firstLine="440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2"/>
          <w:szCs w:val="22"/>
          <w:u w:val="none"/>
          <w:lang w:val="pt-BR"/>
        </w:rPr>
      </w:pPr>
      <w:r>
        <w:rPr>
          <w:rFonts w:hint="default" w:ascii="Times New Roman" w:hAnsi="Times New Roman" w:cs="Times New Roman"/>
          <w:sz w:val="22"/>
          <w:szCs w:val="22"/>
        </w:rPr>
        <w:t>Prefeito Municipal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                                                             </w:t>
      </w:r>
      <w:r>
        <w:rPr>
          <w:rFonts w:hint="default" w:ascii="Times New Roman" w:hAnsi="Times New Roman" w:cs="Times New Roman"/>
          <w:sz w:val="22"/>
          <w:szCs w:val="22"/>
        </w:rPr>
        <w:t>Representante da CONTRATAD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240" w:lineRule="auto"/>
        <w:ind w:right="0" w:rightChars="0"/>
        <w:textAlignment w:val="auto"/>
        <w:rPr>
          <w:rFonts w:hint="default" w:ascii="Times New Roman" w:hAnsi="Times New Roman" w:cs="Times New Roman"/>
          <w:sz w:val="22"/>
          <w:szCs w:val="22"/>
          <w:lang w:val="pt-BR"/>
        </w:rPr>
      </w:pPr>
    </w:p>
    <w:p>
      <w:pPr>
        <w:pStyle w:val="6"/>
        <w:keepNext w:val="0"/>
        <w:keepLines w:val="0"/>
        <w:pageBreakBefore w:val="0"/>
        <w:widowControl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cs="Times New Roman"/>
          <w:sz w:val="22"/>
          <w:szCs w:val="22"/>
        </w:rPr>
      </w:pPr>
    </w:p>
    <w:p>
      <w:bookmarkStart w:id="6" w:name="_GoBack"/>
      <w:bookmarkEnd w:id="6"/>
    </w:p>
    <w:sectPr>
      <w:headerReference r:id="rId5" w:type="default"/>
      <w:pgSz w:w="11906" w:h="16838"/>
      <w:pgMar w:top="1440" w:right="1086" w:bottom="1440" w:left="136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angal">
    <w:altName w:val="Liberation Mono"/>
    <w:panose1 w:val="00000400000000000000"/>
    <w:charset w:val="01"/>
    <w:family w:val="roman"/>
    <w:pitch w:val="default"/>
    <w:sig w:usb0="00000000" w:usb1="00000000" w:usb2="00000000" w:usb3="00000000" w:csb0="00040001" w:csb1="00000000"/>
  </w:font>
  <w:font w:name="Arial-BoldMT">
    <w:altName w:val="Microsoft YaHei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ArialMT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kinsoku/>
      <w:wordWrap/>
      <w:overflowPunct/>
      <w:topLinePunct w:val="0"/>
      <w:bidi w:val="0"/>
      <w:adjustRightInd/>
      <w:snapToGrid/>
      <w:spacing w:before="0" w:after="0" w:line="240" w:lineRule="auto"/>
      <w:jc w:val="center"/>
      <w:textAlignment w:val="auto"/>
      <w:rPr>
        <w:rFonts w:hint="default" w:ascii="Times New Roman" w:hAnsi="Times New Roman" w:cs="Times New Roman"/>
        <w:sz w:val="24"/>
        <w:szCs w:val="24"/>
        <w:lang w:val="pt-BR"/>
      </w:rPr>
    </w:pPr>
    <w:r>
      <w:rPr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972185</wp:posOffset>
          </wp:positionH>
          <wp:positionV relativeFrom="paragraph">
            <wp:posOffset>-155575</wp:posOffset>
          </wp:positionV>
          <wp:extent cx="455295" cy="636905"/>
          <wp:effectExtent l="0" t="0" r="1905" b="10795"/>
          <wp:wrapNone/>
          <wp:docPr id="4" name="Imagem 1" descr="Brasã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Brasão Prefeitur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5295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default" w:ascii="Times New Roman" w:hAnsi="Times New Roman" w:cs="Times New Roman"/>
        <w:sz w:val="24"/>
        <w:szCs w:val="24"/>
        <w:lang w:val="pt-BR"/>
      </w:rPr>
      <w:t>ESTADO DO RIO GRANDE DO SUL</w:t>
    </w:r>
  </w:p>
  <w:p>
    <w:pPr>
      <w:pStyle w:val="8"/>
      <w:keepNext w:val="0"/>
      <w:keepLines w:val="0"/>
      <w:pageBreakBefore w:val="0"/>
      <w:widowControl/>
      <w:kinsoku/>
      <w:wordWrap/>
      <w:overflowPunct/>
      <w:topLinePunct w:val="0"/>
      <w:bidi w:val="0"/>
      <w:adjustRightInd/>
      <w:snapToGrid/>
      <w:spacing w:before="0" w:after="0" w:line="240" w:lineRule="auto"/>
      <w:jc w:val="center"/>
      <w:textAlignment w:val="auto"/>
      <w:rPr>
        <w:rFonts w:hint="default" w:ascii="Times New Roman" w:hAnsi="Times New Roman" w:cs="Times New Roman"/>
        <w:b/>
        <w:bCs/>
        <w:sz w:val="28"/>
        <w:szCs w:val="28"/>
        <w:lang w:val="pt-BR"/>
      </w:rPr>
    </w:pPr>
    <w:r>
      <w:rPr>
        <w:rFonts w:hint="default" w:ascii="Times New Roman" w:hAnsi="Times New Roman" w:cs="Times New Roman"/>
        <w:b/>
        <w:bCs/>
        <w:sz w:val="24"/>
        <w:szCs w:val="24"/>
        <w:lang w:val="pt-BR"/>
      </w:rPr>
      <w:t>MUNICÍPIO DE TEUTÔNIA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A06309"/>
    <w:multiLevelType w:val="singleLevel"/>
    <w:tmpl w:val="9AA06309"/>
    <w:lvl w:ilvl="0" w:tentative="0">
      <w:start w:val="1"/>
      <w:numFmt w:val="lowerLetter"/>
      <w:suff w:val="space"/>
      <w:lvlText w:val="%1)"/>
      <w:lvlJc w:val="left"/>
    </w:lvl>
  </w:abstractNum>
  <w:abstractNum w:abstractNumId="1">
    <w:nsid w:val="A9066C10"/>
    <w:multiLevelType w:val="singleLevel"/>
    <w:tmpl w:val="A9066C10"/>
    <w:lvl w:ilvl="0" w:tentative="0">
      <w:start w:val="1"/>
      <w:numFmt w:val="lowerLetter"/>
      <w:suff w:val="space"/>
      <w:lvlText w:val="%1)"/>
      <w:lvlJc w:val="left"/>
    </w:lvl>
  </w:abstractNum>
  <w:abstractNum w:abstractNumId="2">
    <w:nsid w:val="AC2083D9"/>
    <w:multiLevelType w:val="singleLevel"/>
    <w:tmpl w:val="AC2083D9"/>
    <w:lvl w:ilvl="0" w:tentative="0">
      <w:start w:val="1"/>
      <w:numFmt w:val="lowerLetter"/>
      <w:suff w:val="space"/>
      <w:lvlText w:val="%1)"/>
      <w:lvlJc w:val="left"/>
    </w:lvl>
  </w:abstractNum>
  <w:abstractNum w:abstractNumId="3">
    <w:nsid w:val="489D8CFE"/>
    <w:multiLevelType w:val="singleLevel"/>
    <w:tmpl w:val="489D8CFE"/>
    <w:lvl w:ilvl="0" w:tentative="0">
      <w:start w:val="1"/>
      <w:numFmt w:val="lowerLetter"/>
      <w:suff w:val="space"/>
      <w:lvlText w:val="%1)"/>
      <w:lvlJc w:val="left"/>
    </w:lvl>
  </w:abstractNum>
  <w:abstractNum w:abstractNumId="4">
    <w:nsid w:val="7415575B"/>
    <w:multiLevelType w:val="singleLevel"/>
    <w:tmpl w:val="7415575B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C74FE7"/>
    <w:rsid w:val="023D0F14"/>
    <w:rsid w:val="03A403F8"/>
    <w:rsid w:val="07A13854"/>
    <w:rsid w:val="092B5F96"/>
    <w:rsid w:val="09BC1108"/>
    <w:rsid w:val="22C0776A"/>
    <w:rsid w:val="248F3D0B"/>
    <w:rsid w:val="258355DC"/>
    <w:rsid w:val="26D7621F"/>
    <w:rsid w:val="2FC803CC"/>
    <w:rsid w:val="30C74FE7"/>
    <w:rsid w:val="332B5333"/>
    <w:rsid w:val="380037CA"/>
    <w:rsid w:val="39D028F0"/>
    <w:rsid w:val="42446405"/>
    <w:rsid w:val="45352D42"/>
    <w:rsid w:val="49ED15BF"/>
    <w:rsid w:val="541F6D7A"/>
    <w:rsid w:val="6D3A7090"/>
    <w:rsid w:val="763B59A2"/>
    <w:rsid w:val="76C33E47"/>
    <w:rsid w:val="7AE745D0"/>
    <w:rsid w:val="7D15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tabs>
        <w:tab w:val="left" w:pos="2268"/>
      </w:tabs>
      <w:spacing w:before="120" w:after="120" w:line="360" w:lineRule="auto"/>
      <w:jc w:val="both"/>
    </w:pPr>
    <w:rPr>
      <w:rFonts w:ascii="Arial" w:hAnsi="Arial" w:eastAsia="SimSun" w:cs="Times New Roman"/>
      <w:sz w:val="22"/>
      <w:lang w:val="pt-BR" w:eastAsia="ar-SA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5"/>
    <w:qFormat/>
    <w:uiPriority w:val="0"/>
    <w:rPr>
      <w:color w:val="0000FF"/>
      <w:u w:val="single"/>
    </w:rPr>
  </w:style>
  <w:style w:type="character" w:customStyle="1" w:styleId="5">
    <w:name w:val="Fonte parág. padrão1"/>
    <w:qFormat/>
    <w:uiPriority w:val="0"/>
  </w:style>
  <w:style w:type="paragraph" w:styleId="6">
    <w:name w:val="Body Text"/>
    <w:basedOn w:val="1"/>
    <w:qFormat/>
    <w:uiPriority w:val="1"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  <w:tab w:val="clear" w:pos="2268"/>
      </w:tabs>
    </w:pPr>
  </w:style>
  <w:style w:type="paragraph" w:styleId="9">
    <w:name w:val="footer"/>
    <w:basedOn w:val="1"/>
    <w:qFormat/>
    <w:uiPriority w:val="0"/>
    <w:pPr>
      <w:tabs>
        <w:tab w:val="center" w:pos="4252"/>
        <w:tab w:val="right" w:pos="8504"/>
        <w:tab w:val="clear" w:pos="2268"/>
      </w:tabs>
    </w:pPr>
  </w:style>
  <w:style w:type="paragraph" w:styleId="10">
    <w:name w:val="Body Text Indent 3"/>
    <w:basedOn w:val="1"/>
    <w:qFormat/>
    <w:uiPriority w:val="0"/>
    <w:pPr>
      <w:widowControl w:val="0"/>
      <w:autoSpaceDE w:val="0"/>
      <w:autoSpaceDN w:val="0"/>
      <w:ind w:firstLine="850"/>
      <w:jc w:val="both"/>
    </w:pPr>
    <w:rPr>
      <w:rFonts w:ascii="Courier New" w:hAnsi="Courier New"/>
      <w:color w:val="000000"/>
      <w:sz w:val="20"/>
      <w:szCs w:val="20"/>
    </w:rPr>
  </w:style>
  <w:style w:type="paragraph" w:styleId="11">
    <w:name w:val="Body Text Indent"/>
    <w:basedOn w:val="1"/>
    <w:uiPriority w:val="0"/>
    <w:pPr>
      <w:spacing w:before="120" w:after="0" w:line="360" w:lineRule="auto"/>
      <w:ind w:left="0" w:right="0" w:firstLine="1134"/>
      <w:jc w:val="both"/>
    </w:pPr>
  </w:style>
  <w:style w:type="paragraph" w:customStyle="1" w:styleId="12">
    <w:name w:val="Título de tabela"/>
    <w:basedOn w:val="1"/>
    <w:qFormat/>
    <w:uiPriority w:val="0"/>
    <w:pPr>
      <w:widowControl w:val="0"/>
      <w:suppressLineNumbers/>
      <w:jc w:val="center"/>
    </w:pPr>
    <w:rPr>
      <w:rFonts w:eastAsia="Lucida Sans Unicode" w:cs="Mangal"/>
      <w:b/>
      <w:i/>
      <w:kern w:val="1"/>
      <w:lang w:eastAsia="zh-CN" w:bidi="hi-IN"/>
    </w:rPr>
  </w:style>
  <w:style w:type="paragraph" w:customStyle="1" w:styleId="13">
    <w:name w:val="ecxmsonormal"/>
    <w:basedOn w:val="1"/>
    <w:qFormat/>
    <w:uiPriority w:val="7"/>
    <w:pPr>
      <w:spacing w:before="280" w:after="280"/>
    </w:pPr>
  </w:style>
  <w:style w:type="paragraph" w:customStyle="1" w:styleId="14">
    <w:name w:val="Body Text 2"/>
    <w:basedOn w:val="1"/>
    <w:qFormat/>
    <w:uiPriority w:val="0"/>
    <w:pPr>
      <w:overflowPunct w:val="0"/>
      <w:autoSpaceDE w:val="0"/>
      <w:ind w:left="360" w:right="0" w:firstLine="0"/>
      <w:jc w:val="both"/>
      <w:textAlignment w:val="baseline"/>
    </w:pPr>
    <w:rPr>
      <w:szCs w:val="20"/>
    </w:rPr>
  </w:style>
  <w:style w:type="paragraph" w:styleId="15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customStyle="1" w:styleId="16">
    <w:name w:val="object"/>
    <w:qFormat/>
    <w:uiPriority w:val="0"/>
  </w:style>
  <w:style w:type="paragraph" w:customStyle="1" w:styleId="17">
    <w:name w:val="Recuo de corpo de texto 311"/>
    <w:basedOn w:val="1"/>
    <w:qFormat/>
    <w:uiPriority w:val="6"/>
    <w:pPr>
      <w:widowControl w:val="0"/>
      <w:autoSpaceDE w:val="0"/>
      <w:ind w:left="0" w:right="0" w:firstLine="850"/>
      <w:jc w:val="both"/>
    </w:pPr>
    <w:rPr>
      <w:rFonts w:ascii="Courier New" w:hAnsi="Courier New" w:cs="Courier New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2024-02-08T16:40:00Z</dcterms:created>
  <dc:creator>WPS_1706808687</dc:creator>
  <cp:lastModifiedBy>candida.klein</cp:lastModifiedBy>
  <cp:lastPrinted>2024-02-19T19:50:00Z</cp:lastPrinted>
  <dcterms:modified xsi:type="dcterms:W3CDTF">2024-02-20T17:49:49Z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375AE87AF53A44F78E3DF7017BAA79E4_13</vt:lpwstr>
  </property>
</Properties>
</file>