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9E6BE9">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hint="default" w:ascii="Arial" w:hAnsi="Arial" w:cs="Arial"/>
          <w:sz w:val="22"/>
          <w:szCs w:val="22"/>
        </w:rPr>
      </w:pPr>
      <w:r>
        <w:rPr>
          <w:rFonts w:hint="default" w:ascii="Arial" w:hAnsi="Arial" w:cs="Arial"/>
          <w:b/>
          <w:sz w:val="22"/>
          <w:szCs w:val="22"/>
        </w:rPr>
        <w:t>ESTUDO TÉCNICO PRELIMINAR</w:t>
      </w:r>
    </w:p>
    <w:p w14:paraId="55EBA281">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hint="default" w:ascii="Arial" w:hAnsi="Arial" w:cs="Arial"/>
          <w:sz w:val="22"/>
          <w:szCs w:val="22"/>
        </w:rPr>
      </w:pPr>
    </w:p>
    <w:p w14:paraId="58913FDB">
      <w:pPr>
        <w:keepNext w:val="0"/>
        <w:keepLines w:val="0"/>
        <w:pageBreakBefore w:val="0"/>
        <w:widowControl/>
        <w:tabs>
          <w:tab w:val="left" w:pos="288"/>
          <w:tab w:val="left" w:pos="1008"/>
          <w:tab w:val="left" w:pos="1728"/>
          <w:tab w:val="left" w:pos="2448"/>
          <w:tab w:val="left" w:pos="3168"/>
          <w:tab w:val="left" w:pos="3888"/>
          <w:tab w:val="left" w:pos="4608"/>
          <w:tab w:val="left" w:pos="5328"/>
          <w:tab w:val="left" w:pos="6048"/>
          <w:tab w:val="left" w:pos="6768"/>
        </w:tabs>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rPr>
        <w:t>PROCESSO ADMINISTRATIVO</w:t>
      </w:r>
    </w:p>
    <w:p w14:paraId="524467B2">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rPr>
        <w:t xml:space="preserve">Município de </w:t>
      </w:r>
      <w:r>
        <w:rPr>
          <w:rFonts w:hint="default" w:ascii="Arial" w:hAnsi="Arial" w:cs="Arial"/>
          <w:sz w:val="22"/>
          <w:szCs w:val="22"/>
          <w:lang w:val="pt-BR"/>
        </w:rPr>
        <w:t>Teutônia</w:t>
      </w:r>
    </w:p>
    <w:p w14:paraId="46397A52">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rPr>
        <w:t>Secretaria Municipal de</w:t>
      </w:r>
      <w:r>
        <w:rPr>
          <w:rFonts w:hint="default" w:ascii="Arial" w:hAnsi="Arial" w:cs="Arial"/>
          <w:sz w:val="22"/>
          <w:szCs w:val="22"/>
          <w:lang w:val="pt-BR"/>
        </w:rPr>
        <w:t xml:space="preserve"> Educação</w:t>
      </w:r>
    </w:p>
    <w:p w14:paraId="1B711DD3">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rPr>
        <w:t xml:space="preserve">Objeto da contratação: contratação de </w:t>
      </w:r>
      <w:r>
        <w:rPr>
          <w:rFonts w:hint="default" w:ascii="Arial" w:hAnsi="Arial" w:cs="Arial"/>
          <w:sz w:val="22"/>
          <w:szCs w:val="22"/>
          <w:lang w:val="pt-BR"/>
        </w:rPr>
        <w:t>empresa para elaboração e lançamento de livro infantojuvenil</w:t>
      </w:r>
    </w:p>
    <w:p w14:paraId="17CA8318">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0DB05317">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rPr>
        <w:t>1. DESCRIÇÃO DA NECESSIDADE</w:t>
      </w:r>
    </w:p>
    <w:p w14:paraId="4667D0E2">
      <w:pPr>
        <w:keepNext w:val="0"/>
        <w:keepLines w:val="0"/>
        <w:pageBreakBefore w:val="0"/>
        <w:widowControl/>
        <w:kinsoku/>
        <w:wordWrap/>
        <w:overflowPunct/>
        <w:topLinePunct w:val="0"/>
        <w:autoSpaceDE/>
        <w:autoSpaceDN/>
        <w:bidi w:val="0"/>
        <w:adjustRightInd/>
        <w:snapToGrid/>
        <w:spacing w:after="0" w:afterLines="50" w:line="360" w:lineRule="auto"/>
        <w:jc w:val="both"/>
        <w:textAlignment w:val="auto"/>
        <w:rPr>
          <w:rFonts w:hint="default" w:ascii="Arial" w:hAnsi="Arial" w:eastAsia="Calibri" w:cs="Arial"/>
          <w:sz w:val="22"/>
          <w:szCs w:val="22"/>
          <w:lang w:val="pt-BR"/>
        </w:rPr>
      </w:pPr>
      <w:r>
        <w:rPr>
          <w:rFonts w:hint="default" w:ascii="Arial" w:hAnsi="Arial" w:eastAsia="Calibri" w:cs="Arial"/>
          <w:sz w:val="22"/>
          <w:szCs w:val="22"/>
        </w:rPr>
        <w:t xml:space="preserve">O objeto da presente licitação é a contratação de empresa especializada para </w:t>
      </w:r>
      <w:r>
        <w:rPr>
          <w:rFonts w:hint="default" w:ascii="Arial" w:hAnsi="Arial" w:eastAsia="Calibri" w:cs="Arial"/>
          <w:sz w:val="22"/>
          <w:szCs w:val="22"/>
          <w:lang w:val="pt-BR"/>
        </w:rPr>
        <w:t xml:space="preserve">elaboração e lançamento de livro infanto juvenil sobre a história, cultura e memória do município de Teutônia. </w:t>
      </w:r>
    </w:p>
    <w:p w14:paraId="5A5A9758">
      <w:pPr>
        <w:keepNext w:val="0"/>
        <w:keepLines w:val="0"/>
        <w:pageBreakBefore w:val="0"/>
        <w:widowControl/>
        <w:kinsoku/>
        <w:wordWrap/>
        <w:overflowPunct/>
        <w:topLinePunct w:val="0"/>
        <w:autoSpaceDE/>
        <w:autoSpaceDN/>
        <w:bidi w:val="0"/>
        <w:adjustRightInd/>
        <w:snapToGrid/>
        <w:spacing w:after="0" w:afterLines="50" w:line="360" w:lineRule="auto"/>
        <w:jc w:val="both"/>
        <w:textAlignment w:val="auto"/>
        <w:rPr>
          <w:rFonts w:hint="default" w:ascii="Arial" w:hAnsi="Arial" w:eastAsia="Calibri" w:cs="Arial"/>
          <w:sz w:val="22"/>
          <w:szCs w:val="22"/>
        </w:rPr>
      </w:pPr>
      <w:r>
        <w:rPr>
          <w:rFonts w:hint="default" w:ascii="Arial" w:hAnsi="Arial" w:eastAsia="Calibri" w:cs="Arial"/>
          <w:sz w:val="22"/>
          <w:szCs w:val="22"/>
        </w:rPr>
        <w:t xml:space="preserve">A contratação é necessária </w:t>
      </w:r>
      <w:r>
        <w:rPr>
          <w:rFonts w:hint="default" w:ascii="Arial" w:hAnsi="Arial" w:eastAsia="Calibri" w:cs="Arial"/>
          <w:sz w:val="22"/>
          <w:szCs w:val="22"/>
          <w:lang w:val="pt-BR" w:eastAsia="zh-CN"/>
        </w:rPr>
        <w:t>pois os livros com a história de Teutônia serão materiais de utilização pedagógica, com o objetivo de d</w:t>
      </w:r>
      <w:r>
        <w:rPr>
          <w:rFonts w:hint="default" w:ascii="Arial" w:hAnsi="Arial" w:eastAsia="Calibri" w:cs="Arial"/>
          <w:sz w:val="22"/>
          <w:szCs w:val="22"/>
        </w:rPr>
        <w:t>espertar a comunidade sobre a formação étnico cultural do município; facilitar o processo de ensino aprendizagem na sala de aula, despertando no aluno um processo de identificação do seu espaço e de sua realidade para uma formação crítica de suas origens e a sociedade em qual está inserido; e construir um processo de formação para a cidadania tendo alunos e professores como multiplicadores dessa ação.</w:t>
      </w:r>
      <w:r>
        <w:rPr>
          <w:rFonts w:hint="default" w:ascii="Arial" w:hAnsi="Arial" w:eastAsia="Calibri" w:cs="Arial"/>
          <w:sz w:val="22"/>
          <w:szCs w:val="22"/>
          <w:lang w:val="pt-BR"/>
        </w:rPr>
        <w:t xml:space="preserve"> </w:t>
      </w:r>
      <w:r>
        <w:rPr>
          <w:rFonts w:hint="default" w:ascii="Arial" w:hAnsi="Arial" w:eastAsia="Calibri" w:cs="Arial"/>
          <w:sz w:val="22"/>
          <w:szCs w:val="22"/>
        </w:rPr>
        <w:t>O material será distribuído para todos os alunos do município de 1º a 5ºs anos em comemoração aos 45 anos de Teutônia, em maio de 2026.</w:t>
      </w:r>
    </w:p>
    <w:p w14:paraId="738D6ACD">
      <w:pPr>
        <w:keepNext w:val="0"/>
        <w:keepLines w:val="0"/>
        <w:pageBreakBefore w:val="0"/>
        <w:widowControl/>
        <w:kinsoku/>
        <w:wordWrap/>
        <w:overflowPunct/>
        <w:topLinePunct w:val="0"/>
        <w:autoSpaceDE/>
        <w:autoSpaceDN/>
        <w:bidi w:val="0"/>
        <w:adjustRightInd/>
        <w:snapToGrid/>
        <w:spacing w:after="0" w:afterLines="50" w:line="360" w:lineRule="auto"/>
        <w:jc w:val="both"/>
        <w:textAlignment w:val="auto"/>
        <w:rPr>
          <w:rFonts w:hint="default" w:ascii="Arial" w:hAnsi="Arial" w:cs="Arial"/>
          <w:sz w:val="22"/>
          <w:szCs w:val="22"/>
        </w:rPr>
      </w:pPr>
      <w:r>
        <w:rPr>
          <w:rFonts w:hint="default" w:ascii="Arial" w:hAnsi="Arial" w:eastAsia="Calibri" w:cs="Arial"/>
          <w:sz w:val="22"/>
          <w:szCs w:val="22"/>
          <w:lang w:val="pt-BR" w:eastAsia="en-US"/>
        </w:rPr>
        <w:t>A autora L</w:t>
      </w:r>
      <w:r>
        <w:rPr>
          <w:rFonts w:hint="default" w:ascii="Arial" w:hAnsi="Arial" w:cs="Arial"/>
          <w:sz w:val="22"/>
          <w:szCs w:val="22"/>
          <w:lang w:val="pt-BR" w:eastAsia="en-US"/>
        </w:rPr>
        <w:t>é</w:t>
      </w:r>
      <w:bookmarkStart w:id="12" w:name="_GoBack"/>
      <w:bookmarkEnd w:id="12"/>
      <w:r>
        <w:rPr>
          <w:rFonts w:hint="default" w:ascii="Arial" w:hAnsi="Arial" w:eastAsia="Calibri" w:cs="Arial"/>
          <w:sz w:val="22"/>
          <w:szCs w:val="22"/>
          <w:lang w:val="pt-BR" w:eastAsia="en-US"/>
        </w:rPr>
        <w:t>ia Cassol, através da Editora Cassol, já realizou esta proposta de livro em vários municípios e tem seu trabalho bastante conhecido no Rio Grande do Sul, sendo uma referência na literatura infantojuvenil.</w:t>
      </w:r>
    </w:p>
    <w:p w14:paraId="41774754">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710DF90D">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rPr>
        <w:t>2. ALINHAMENTO ENTRE A CONTRATAÇÃO E O PLANEJAMENTO</w:t>
      </w:r>
    </w:p>
    <w:p w14:paraId="472902E1">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cs="Arial"/>
          <w:sz w:val="22"/>
          <w:szCs w:val="22"/>
        </w:rPr>
        <w:t xml:space="preserve">A contratação pretendida </w:t>
      </w:r>
      <w:r>
        <w:rPr>
          <w:rFonts w:hint="default" w:ascii="Arial" w:hAnsi="Arial" w:cs="Arial"/>
          <w:sz w:val="22"/>
          <w:szCs w:val="22"/>
          <w:lang w:val="pt-BR"/>
        </w:rPr>
        <w:t>foi incluída</w:t>
      </w:r>
      <w:r>
        <w:rPr>
          <w:rFonts w:hint="default" w:ascii="Arial" w:hAnsi="Arial" w:cs="Arial"/>
          <w:sz w:val="22"/>
          <w:szCs w:val="22"/>
        </w:rPr>
        <w:t xml:space="preserve"> no Plano de Contratações Anual do Município de </w:t>
      </w:r>
      <w:r>
        <w:rPr>
          <w:rFonts w:hint="default" w:ascii="Arial" w:hAnsi="Arial" w:cs="Arial"/>
          <w:sz w:val="22"/>
          <w:szCs w:val="22"/>
          <w:lang w:val="pt-BR"/>
        </w:rPr>
        <w:t xml:space="preserve">Teutônia, </w:t>
      </w:r>
      <w:r>
        <w:rPr>
          <w:rFonts w:hint="default" w:ascii="Arial" w:hAnsi="Arial" w:cs="Arial"/>
          <w:sz w:val="22"/>
          <w:szCs w:val="22"/>
        </w:rPr>
        <w:t>estando assim alinhada com o planejamento desta Administração.</w:t>
      </w:r>
    </w:p>
    <w:p w14:paraId="1073D9AD">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0075A594">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rPr>
      </w:pPr>
      <w:r>
        <w:rPr>
          <w:rFonts w:hint="default" w:ascii="Arial" w:hAnsi="Arial" w:cs="Arial"/>
          <w:b/>
          <w:bCs/>
          <w:sz w:val="22"/>
          <w:szCs w:val="22"/>
        </w:rPr>
        <w:t>3. DESCRIÇÃO DOS REQUISITOS DA CONTRATAÇÃO</w:t>
      </w:r>
    </w:p>
    <w:p w14:paraId="0DA45BAD">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cs="Arial"/>
          <w:sz w:val="22"/>
          <w:szCs w:val="22"/>
          <w:lang w:val="pt-BR"/>
        </w:rPr>
        <w:t xml:space="preserve">3.1 </w:t>
      </w:r>
      <w:r>
        <w:rPr>
          <w:rFonts w:hint="default" w:ascii="Arial" w:hAnsi="Arial" w:cs="Arial"/>
          <w:sz w:val="22"/>
          <w:szCs w:val="22"/>
        </w:rPr>
        <w:t xml:space="preserve">Os serviços têm natureza de serviços comuns, tendo em vista que seus </w:t>
      </w:r>
      <w:r>
        <w:rPr>
          <w:rFonts w:hint="default" w:ascii="Arial" w:hAnsi="Arial" w:cs="Arial"/>
          <w:color w:val="000000"/>
          <w:sz w:val="22"/>
          <w:szCs w:val="22"/>
        </w:rPr>
        <w:t xml:space="preserve">padrões de desempenho e qualidade podem ser objetivamente definidos pelo edital, por meio de especificações usuais de mercado, </w:t>
      </w:r>
      <w:r>
        <w:rPr>
          <w:rFonts w:hint="default" w:ascii="Arial" w:hAnsi="Arial" w:cs="Arial"/>
          <w:sz w:val="22"/>
          <w:szCs w:val="22"/>
        </w:rPr>
        <w:t>nos termos do art. 6º, inciso XIII, da Lei Federal nº 14.133/2021.</w:t>
      </w:r>
    </w:p>
    <w:p w14:paraId="4FCA29E7">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lang w:val="pt-BR"/>
        </w:rPr>
      </w:pPr>
      <w:r>
        <w:rPr>
          <w:rFonts w:hint="default" w:ascii="Arial" w:hAnsi="Arial" w:cs="Arial"/>
          <w:b/>
          <w:bCs/>
          <w:sz w:val="22"/>
          <w:szCs w:val="22"/>
          <w:lang w:val="pt-BR"/>
        </w:rPr>
        <w:t>3.2 ESPECIFICAÇÕES DO SERVIÇO</w:t>
      </w:r>
    </w:p>
    <w:p w14:paraId="2B88322C">
      <w:pPr>
        <w:keepNext w:val="0"/>
        <w:keepLines w:val="0"/>
        <w:pageBreakBefore w:val="0"/>
        <w:widowControl/>
        <w:kinsoku/>
        <w:wordWrap/>
        <w:overflowPunct/>
        <w:topLinePunct w:val="0"/>
        <w:autoSpaceDE/>
        <w:autoSpaceDN/>
        <w:bidi w:val="0"/>
        <w:adjustRightInd/>
        <w:snapToGrid/>
        <w:spacing w:after="0" w:afterLines="50" w:line="360" w:lineRule="auto"/>
        <w:jc w:val="both"/>
        <w:textAlignment w:val="auto"/>
        <w:rPr>
          <w:rFonts w:hint="default" w:ascii="Arial" w:hAnsi="Arial" w:cs="Arial"/>
          <w:sz w:val="22"/>
          <w:szCs w:val="22"/>
        </w:rPr>
      </w:pPr>
      <w:r>
        <w:rPr>
          <w:rFonts w:hint="default" w:ascii="Arial" w:hAnsi="Arial" w:cs="Arial"/>
          <w:sz w:val="22"/>
          <w:szCs w:val="22"/>
          <w:lang w:val="pt-BR"/>
        </w:rPr>
        <w:t xml:space="preserve">3.2.1 </w:t>
      </w:r>
      <w:r>
        <w:rPr>
          <w:rFonts w:hint="default" w:ascii="Arial" w:hAnsi="Arial" w:cs="Arial"/>
          <w:sz w:val="22"/>
          <w:szCs w:val="22"/>
        </w:rPr>
        <w:t>O livro deverá ser elaborado com conteúdo específico sobre o município, abordando aspectos históricos, culturais, sociais e econômicos que contribuam para a preservação da memória local e para a valorização da identidade municipal. O material precisa ser produzido em linguagem acessível e adequada ao público-alvo, de forma organizada e coesa, garantindo qualidade textual e relevância informativa.</w:t>
      </w:r>
    </w:p>
    <w:p w14:paraId="1B50F1F7">
      <w:pPr>
        <w:keepNext w:val="0"/>
        <w:keepLines w:val="0"/>
        <w:pageBreakBefore w:val="0"/>
        <w:widowControl/>
        <w:kinsoku/>
        <w:wordWrap/>
        <w:overflowPunct/>
        <w:topLinePunct w:val="0"/>
        <w:autoSpaceDE/>
        <w:autoSpaceDN/>
        <w:bidi w:val="0"/>
        <w:adjustRightInd/>
        <w:snapToGrid/>
        <w:spacing w:after="0" w:afterLines="50" w:line="360" w:lineRule="auto"/>
        <w:jc w:val="both"/>
        <w:textAlignment w:val="auto"/>
        <w:rPr>
          <w:rFonts w:hint="default" w:ascii="Arial" w:hAnsi="Arial" w:cs="Arial"/>
          <w:sz w:val="22"/>
          <w:szCs w:val="22"/>
          <w:lang w:val="pt-BR"/>
        </w:rPr>
      </w:pPr>
      <w:r>
        <w:rPr>
          <w:rFonts w:hint="default" w:ascii="Arial" w:hAnsi="Arial" w:cs="Arial"/>
          <w:sz w:val="22"/>
          <w:szCs w:val="22"/>
          <w:lang w:val="pt-BR"/>
        </w:rPr>
        <w:t>3.2.2 O livro deverá ser devidamente registrado e publicado</w:t>
      </w:r>
      <w:r>
        <w:rPr>
          <w:rFonts w:hint="default" w:ascii="Arial" w:hAnsi="Arial" w:cs="Arial"/>
          <w:sz w:val="22"/>
          <w:szCs w:val="22"/>
        </w:rPr>
        <w:t>, a fim de assegurar os direitos autorais e a circulação oficial do material. O processo de publicação deverá seguir as normas legais aplicáveis, garantindo autenticidade e a disponibilização formal do livro</w:t>
      </w:r>
      <w:r>
        <w:rPr>
          <w:rFonts w:hint="default" w:ascii="Arial" w:hAnsi="Arial" w:cs="Arial"/>
          <w:sz w:val="22"/>
          <w:szCs w:val="22"/>
          <w:lang w:val="pt-BR"/>
        </w:rPr>
        <w:t>.</w:t>
      </w:r>
    </w:p>
    <w:p w14:paraId="04F13C33">
      <w:pPr>
        <w:keepNext w:val="0"/>
        <w:keepLines w:val="0"/>
        <w:pageBreakBefore w:val="0"/>
        <w:widowControl/>
        <w:kinsoku/>
        <w:wordWrap/>
        <w:overflowPunct/>
        <w:topLinePunct w:val="0"/>
        <w:autoSpaceDE/>
        <w:autoSpaceDN/>
        <w:bidi w:val="0"/>
        <w:adjustRightInd/>
        <w:snapToGrid/>
        <w:spacing w:after="0" w:afterLines="50" w:line="360" w:lineRule="auto"/>
        <w:jc w:val="both"/>
        <w:textAlignment w:val="auto"/>
        <w:rPr>
          <w:rFonts w:hint="default" w:ascii="Arial" w:hAnsi="Arial" w:cs="Arial"/>
          <w:sz w:val="22"/>
          <w:szCs w:val="22"/>
          <w:lang w:val="pt-BR"/>
        </w:rPr>
      </w:pPr>
      <w:r>
        <w:rPr>
          <w:rFonts w:hint="default" w:ascii="Arial" w:hAnsi="Arial" w:cs="Arial"/>
          <w:sz w:val="22"/>
          <w:szCs w:val="22"/>
          <w:lang w:val="pt-BR"/>
        </w:rPr>
        <w:t>3.2.3 Os serviços contratados consistem também na</w:t>
      </w:r>
      <w:r>
        <w:rPr>
          <w:rFonts w:hint="default" w:ascii="Arial" w:hAnsi="Arial" w:cs="Arial"/>
          <w:sz w:val="22"/>
          <w:szCs w:val="22"/>
        </w:rPr>
        <w:t xml:space="preserve"> impressão da obra, contemplando serviços gráficos especializados que assegurem acabamento de qualidade, diagramação adequada e atratividade visual. O trabalho gráfico deve contribuir para a compreensão do conteúdo, tornando a obra mais acessível, didática e visualmente harmônica, além de garantir a durabilidade e a boa apresentação do livro.</w:t>
      </w:r>
    </w:p>
    <w:p w14:paraId="582FAF7A">
      <w:pPr>
        <w:keepNext w:val="0"/>
        <w:keepLines w:val="0"/>
        <w:pageBreakBefore w:val="0"/>
        <w:widowControl/>
        <w:numPr>
          <w:ilvl w:val="0"/>
          <w:numId w:val="0"/>
        </w:numPr>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p>
    <w:p w14:paraId="3EC3FE35">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cs="Arial"/>
          <w:b/>
          <w:bCs/>
          <w:sz w:val="22"/>
          <w:szCs w:val="22"/>
          <w:lang w:val="pt-BR"/>
        </w:rPr>
        <w:t>3.3 DA HABILITAÇÃO</w:t>
      </w:r>
      <w:r>
        <w:rPr>
          <w:rFonts w:hint="default" w:ascii="Arial" w:hAnsi="Arial" w:cs="Arial"/>
          <w:sz w:val="22"/>
          <w:szCs w:val="22"/>
          <w:lang w:val="pt-BR"/>
        </w:rPr>
        <w:t xml:space="preserve"> </w:t>
      </w:r>
      <w:r>
        <w:rPr>
          <w:rFonts w:hint="default" w:ascii="Arial" w:hAnsi="Arial" w:cs="Arial"/>
          <w:sz w:val="22"/>
          <w:szCs w:val="22"/>
        </w:rPr>
        <w:t>Para prestação dos serviços pretendidos os eventuais interessados deverão comprovar que atuam em ramo de atividade compatível com o objeto da licitação, bem como apresentar os seguintes documentos a título de habilitação, nos termos do art. 62 e 66, da Lei nº 14.133/2021:</w:t>
      </w:r>
    </w:p>
    <w:p w14:paraId="36222D12">
      <w:pPr>
        <w:numPr>
          <w:ilvl w:val="0"/>
          <w:numId w:val="0"/>
        </w:numPr>
        <w:spacing w:afterLines="50" w:line="360" w:lineRule="auto"/>
        <w:ind w:leftChars="0"/>
        <w:jc w:val="both"/>
        <w:rPr>
          <w:rFonts w:hint="default" w:ascii="Arial" w:hAnsi="Arial" w:cs="Arial"/>
          <w:sz w:val="22"/>
          <w:szCs w:val="22"/>
        </w:rPr>
      </w:pPr>
    </w:p>
    <w:p w14:paraId="5E9C8353">
      <w:pPr>
        <w:numPr>
          <w:ilvl w:val="0"/>
          <w:numId w:val="1"/>
        </w:numPr>
        <w:tabs>
          <w:tab w:val="clear" w:pos="425"/>
        </w:tabs>
        <w:spacing w:afterLines="50" w:line="360" w:lineRule="auto"/>
        <w:jc w:val="both"/>
        <w:rPr>
          <w:rFonts w:hint="default" w:ascii="Arial" w:hAnsi="Arial" w:cs="Arial"/>
          <w:sz w:val="22"/>
          <w:szCs w:val="22"/>
        </w:rPr>
      </w:pPr>
      <w:r>
        <w:rPr>
          <w:rFonts w:hint="default" w:ascii="Arial" w:hAnsi="Arial" w:cs="Arial"/>
          <w:sz w:val="22"/>
          <w:szCs w:val="22"/>
        </w:rPr>
        <w:t>Inscrição no Cadastro Nacional da Pessoa Jurídica (CNPJ);</w:t>
      </w:r>
    </w:p>
    <w:p w14:paraId="518DA532">
      <w:pPr>
        <w:numPr>
          <w:ilvl w:val="0"/>
          <w:numId w:val="1"/>
        </w:numPr>
        <w:tabs>
          <w:tab w:val="clear" w:pos="425"/>
        </w:tabs>
        <w:spacing w:afterLines="50" w:line="360" w:lineRule="auto"/>
        <w:jc w:val="both"/>
        <w:rPr>
          <w:rFonts w:hint="default" w:ascii="Arial" w:hAnsi="Arial" w:cs="Arial"/>
          <w:sz w:val="22"/>
          <w:szCs w:val="22"/>
        </w:rPr>
      </w:pPr>
      <w:r>
        <w:rPr>
          <w:rFonts w:hint="default" w:ascii="Arial" w:hAnsi="Arial" w:cs="Arial"/>
          <w:sz w:val="22"/>
          <w:szCs w:val="22"/>
          <w:highlight w:val="none"/>
        </w:rPr>
        <w:t>Contrato Social com todas as alterações e/ou equivalente que comprove a aptidão da empresa para atendimento do objeto ora licitado;</w:t>
      </w:r>
    </w:p>
    <w:p w14:paraId="4139E037">
      <w:pPr>
        <w:numPr>
          <w:ilvl w:val="0"/>
          <w:numId w:val="1"/>
        </w:numPr>
        <w:tabs>
          <w:tab w:val="clear" w:pos="425"/>
        </w:tabs>
        <w:spacing w:afterLines="50" w:line="360" w:lineRule="auto"/>
        <w:jc w:val="both"/>
        <w:rPr>
          <w:rFonts w:hint="default" w:ascii="Arial" w:hAnsi="Arial" w:cs="Arial"/>
          <w:sz w:val="22"/>
          <w:szCs w:val="22"/>
        </w:rPr>
      </w:pPr>
      <w:r>
        <w:rPr>
          <w:rFonts w:hint="default" w:ascii="Arial" w:hAnsi="Arial" w:cs="Arial"/>
          <w:sz w:val="22"/>
          <w:szCs w:val="22"/>
        </w:rPr>
        <w:t>Prova de Regularidade quanto aos Tributos e Encargos Sociais administrados pela Secretaria da Receita Federal do Brasil - RFB e quanto à Dívida Ativa da União administrada pela Procuradoria Geral da Fazenda Nacional – PGFN (Certidão Conjunta Negativa);</w:t>
      </w:r>
    </w:p>
    <w:p w14:paraId="01966FFB">
      <w:pPr>
        <w:numPr>
          <w:ilvl w:val="0"/>
          <w:numId w:val="1"/>
        </w:numPr>
        <w:tabs>
          <w:tab w:val="clear" w:pos="425"/>
        </w:tabs>
        <w:spacing w:afterLines="50" w:line="360" w:lineRule="auto"/>
        <w:jc w:val="both"/>
        <w:rPr>
          <w:rFonts w:hint="default" w:ascii="Arial" w:hAnsi="Arial" w:cs="Arial"/>
          <w:sz w:val="22"/>
          <w:szCs w:val="22"/>
        </w:rPr>
      </w:pPr>
      <w:r>
        <w:rPr>
          <w:rFonts w:hint="default" w:ascii="Arial" w:hAnsi="Arial" w:cs="Arial"/>
          <w:sz w:val="22"/>
          <w:szCs w:val="22"/>
        </w:rPr>
        <w:t>Certidão Negativa da Receita Estadual;</w:t>
      </w:r>
    </w:p>
    <w:p w14:paraId="209FE205">
      <w:pPr>
        <w:numPr>
          <w:ilvl w:val="0"/>
          <w:numId w:val="1"/>
        </w:numPr>
        <w:tabs>
          <w:tab w:val="clear" w:pos="425"/>
        </w:tabs>
        <w:spacing w:afterLines="50" w:line="360" w:lineRule="auto"/>
        <w:jc w:val="both"/>
        <w:rPr>
          <w:rFonts w:hint="default" w:ascii="Arial" w:hAnsi="Arial" w:cs="Arial"/>
          <w:sz w:val="22"/>
          <w:szCs w:val="22"/>
        </w:rPr>
      </w:pPr>
      <w:r>
        <w:rPr>
          <w:rFonts w:hint="default" w:ascii="Arial" w:hAnsi="Arial" w:cs="Arial"/>
          <w:sz w:val="22"/>
          <w:szCs w:val="22"/>
        </w:rPr>
        <w:t>Certidão Negativa Débito Municipal do domicílio ou sede da empresa licitante;</w:t>
      </w:r>
    </w:p>
    <w:p w14:paraId="69426FD0">
      <w:pPr>
        <w:numPr>
          <w:ilvl w:val="0"/>
          <w:numId w:val="1"/>
        </w:numPr>
        <w:tabs>
          <w:tab w:val="clear" w:pos="425"/>
        </w:tabs>
        <w:spacing w:afterLines="50" w:line="360" w:lineRule="auto"/>
        <w:jc w:val="both"/>
        <w:rPr>
          <w:rFonts w:hint="default" w:ascii="Arial" w:hAnsi="Arial" w:cs="Arial"/>
          <w:sz w:val="22"/>
          <w:szCs w:val="22"/>
        </w:rPr>
      </w:pPr>
      <w:r>
        <w:rPr>
          <w:rFonts w:hint="default" w:ascii="Arial" w:hAnsi="Arial" w:cs="Arial"/>
          <w:sz w:val="22"/>
          <w:szCs w:val="22"/>
        </w:rPr>
        <w:t>Certificado de Regularidade relativa à Seguridade Social e ao FGTS, que demonstre cumprimento dos encargos sociais instituídos por lei;</w:t>
      </w:r>
    </w:p>
    <w:p w14:paraId="7DB4807C">
      <w:pPr>
        <w:numPr>
          <w:ilvl w:val="0"/>
          <w:numId w:val="1"/>
        </w:numPr>
        <w:tabs>
          <w:tab w:val="clear" w:pos="425"/>
        </w:tabs>
        <w:spacing w:afterLines="50" w:line="360" w:lineRule="auto"/>
        <w:jc w:val="both"/>
        <w:rPr>
          <w:rFonts w:hint="default" w:ascii="Arial" w:hAnsi="Arial" w:cs="Arial"/>
          <w:sz w:val="22"/>
          <w:szCs w:val="22"/>
        </w:rPr>
      </w:pPr>
      <w:r>
        <w:rPr>
          <w:rFonts w:hint="default" w:ascii="Arial" w:hAnsi="Arial" w:cs="Arial"/>
          <w:sz w:val="22"/>
          <w:szCs w:val="22"/>
        </w:rPr>
        <w:t>Certidão Negativa de Débitos Trabalhistas – CNDT, emitida pela Justiça do Trabalho;</w:t>
      </w:r>
    </w:p>
    <w:p w14:paraId="3A5BBB22">
      <w:pPr>
        <w:numPr>
          <w:ilvl w:val="0"/>
          <w:numId w:val="1"/>
        </w:numPr>
        <w:tabs>
          <w:tab w:val="clear" w:pos="425"/>
        </w:tabs>
        <w:spacing w:afterLines="50" w:line="360" w:lineRule="auto"/>
        <w:jc w:val="both"/>
        <w:rPr>
          <w:rFonts w:hint="default" w:ascii="Arial" w:hAnsi="Arial" w:cs="Arial"/>
          <w:sz w:val="22"/>
          <w:szCs w:val="22"/>
        </w:rPr>
      </w:pPr>
      <w:r>
        <w:rPr>
          <w:rFonts w:hint="default" w:ascii="Arial" w:hAnsi="Arial" w:cs="Arial"/>
          <w:sz w:val="22"/>
          <w:szCs w:val="22"/>
        </w:rPr>
        <w:t>Declaração assinada pelo representante legal da proponente, sob as penas da lei, que não possui em seu quadro de funcionários menores de 18 anos exercendo trabalhos noturno, perigoso ou insalubre, ou menores de 16 anos exercendo qualquer trabalho, salvo na condição de aprendiz, a partir de 14 anos, em cumprimento ao inciso XXXIII, do artigo 7º da Constituição Federal combinado ao inciso VI do artigo 68 da Lei N.º 14.133/2021;</w:t>
      </w:r>
    </w:p>
    <w:p w14:paraId="6DAB60F3">
      <w:pPr>
        <w:numPr>
          <w:ilvl w:val="0"/>
          <w:numId w:val="1"/>
        </w:numPr>
        <w:tabs>
          <w:tab w:val="clear" w:pos="425"/>
        </w:tabs>
        <w:spacing w:afterLines="50" w:line="360" w:lineRule="auto"/>
        <w:jc w:val="both"/>
        <w:rPr>
          <w:rFonts w:hint="default" w:ascii="Arial" w:hAnsi="Arial" w:cs="Arial"/>
          <w:sz w:val="22"/>
          <w:szCs w:val="22"/>
        </w:rPr>
      </w:pPr>
      <w:r>
        <w:rPr>
          <w:rFonts w:hint="default" w:ascii="Arial" w:hAnsi="Arial" w:cs="Arial"/>
          <w:sz w:val="22"/>
          <w:szCs w:val="22"/>
        </w:rPr>
        <w:t>Certidão Negativa de concordata e falência do Cartório Distribuidor da Comarca sede da proponente, emitida a menos de 90 (noventa) dias da data de abertura das Propostas a este edital;</w:t>
      </w:r>
    </w:p>
    <w:p w14:paraId="4E4C6F3D">
      <w:pPr>
        <w:numPr>
          <w:ilvl w:val="0"/>
          <w:numId w:val="1"/>
        </w:numPr>
        <w:tabs>
          <w:tab w:val="clear" w:pos="425"/>
        </w:tabs>
        <w:spacing w:afterLines="50" w:line="360" w:lineRule="auto"/>
        <w:jc w:val="both"/>
        <w:rPr>
          <w:rFonts w:hint="default" w:ascii="Arial" w:hAnsi="Arial" w:cs="Arial"/>
          <w:sz w:val="22"/>
          <w:szCs w:val="22"/>
        </w:rPr>
      </w:pPr>
      <w:r>
        <w:rPr>
          <w:rFonts w:hint="default" w:ascii="Arial" w:hAnsi="Arial" w:cs="Arial"/>
          <w:sz w:val="22"/>
          <w:szCs w:val="22"/>
          <w:highlight w:val="none"/>
          <w:lang w:val="pt-BR"/>
        </w:rPr>
        <w:t>Comprovação de n</w:t>
      </w:r>
      <w:r>
        <w:rPr>
          <w:rFonts w:hint="default" w:ascii="Arial" w:hAnsi="Arial" w:cs="Arial"/>
          <w:sz w:val="22"/>
          <w:szCs w:val="22"/>
          <w:highlight w:val="none"/>
        </w:rPr>
        <w:t>otória especialização o profissional ou a empresa cujo conceito no campo de sua especialidade, decorrente de desempenho anterior, estudos, experiência, publicações, organização, aparelhamento, equipe técnica ou outros requisitos relacionados com suas atividades, permita inferir que o seu trabalho é essencial e reconhecidamente adequado à plena satisfação do objeto do contrato.</w:t>
      </w:r>
      <w:r>
        <w:rPr>
          <w:rFonts w:hint="default" w:ascii="Arial" w:hAnsi="Arial" w:cs="Arial"/>
          <w:sz w:val="22"/>
          <w:szCs w:val="22"/>
          <w:highlight w:val="none"/>
          <w:lang w:val="pt-BR"/>
        </w:rPr>
        <w:t xml:space="preserve"> (currículo e outros que comprovem).</w:t>
      </w:r>
    </w:p>
    <w:p w14:paraId="21A1CCDE">
      <w:pPr>
        <w:numPr>
          <w:ilvl w:val="0"/>
          <w:numId w:val="0"/>
        </w:numPr>
        <w:spacing w:afterLines="50" w:line="360" w:lineRule="auto"/>
        <w:ind w:leftChars="0"/>
        <w:jc w:val="both"/>
        <w:rPr>
          <w:rFonts w:hint="default" w:ascii="Arial" w:hAnsi="Arial" w:cs="Arial"/>
          <w:sz w:val="22"/>
          <w:szCs w:val="22"/>
          <w:highlight w:val="none"/>
        </w:rPr>
      </w:pPr>
    </w:p>
    <w:p w14:paraId="0EB21F78">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highlight w:val="none"/>
        </w:rPr>
      </w:pPr>
      <w:r>
        <w:rPr>
          <w:rFonts w:hint="default" w:ascii="Arial" w:hAnsi="Arial" w:cs="Arial"/>
          <w:b/>
          <w:bCs/>
          <w:sz w:val="22"/>
          <w:szCs w:val="22"/>
          <w:highlight w:val="none"/>
        </w:rPr>
        <w:t>4. ESTIMATIVA DAS QUANTIDADES</w:t>
      </w:r>
    </w:p>
    <w:p w14:paraId="3A5E8215">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highlight w:val="none"/>
          <w:lang w:val="pt-BR"/>
        </w:rPr>
      </w:pPr>
      <w:r>
        <w:rPr>
          <w:rFonts w:hint="default" w:ascii="Arial" w:hAnsi="Arial" w:cs="Arial"/>
          <w:sz w:val="22"/>
          <w:szCs w:val="22"/>
          <w:highlight w:val="none"/>
        </w:rPr>
        <w:t>Os quantitativos estimados para a contratação pretendida têm como parâmetro a</w:t>
      </w:r>
      <w:r>
        <w:rPr>
          <w:rFonts w:hint="default" w:ascii="Arial" w:hAnsi="Arial" w:cs="Arial"/>
          <w:sz w:val="22"/>
          <w:szCs w:val="22"/>
          <w:highlight w:val="none"/>
          <w:lang w:val="pt-BR"/>
        </w:rPr>
        <w:t xml:space="preserve"> atual demanda da secretaria requisitante e a quantidade atual de alunos na rede municipal.</w:t>
      </w:r>
    </w:p>
    <w:p w14:paraId="16CFF0A9">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highlight w:val="none"/>
          <w:lang w:val="pt-BR"/>
        </w:rPr>
      </w:pPr>
    </w:p>
    <w:p w14:paraId="46552266">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highlight w:val="none"/>
        </w:rPr>
      </w:pPr>
      <w:r>
        <w:rPr>
          <w:rFonts w:hint="default" w:ascii="Arial" w:hAnsi="Arial" w:cs="Arial"/>
          <w:b/>
          <w:bCs/>
          <w:sz w:val="22"/>
          <w:szCs w:val="22"/>
          <w:highlight w:val="none"/>
        </w:rPr>
        <w:t>5. ALTERNATIVAS DISPONÍVEIS NO MERCADO</w:t>
      </w:r>
    </w:p>
    <w:p w14:paraId="766CD699">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rPr>
        <w:t>Conforme pesquisa de mercado realizada, para solução da necessidade administrativa, objeto do presente Estudo Técnico Preliminar, vislumbra-se possível, sob o aspecto técnico e econômico, a contratação de empresa especializada</w:t>
      </w:r>
      <w:r>
        <w:rPr>
          <w:rFonts w:hint="default" w:ascii="Arial" w:hAnsi="Arial" w:cs="Arial"/>
          <w:sz w:val="22"/>
          <w:szCs w:val="22"/>
          <w:lang w:val="pt-BR"/>
        </w:rPr>
        <w:t xml:space="preserve"> </w:t>
      </w:r>
      <w:r>
        <w:rPr>
          <w:rFonts w:hint="default" w:ascii="Arial" w:hAnsi="Arial" w:cs="Arial"/>
          <w:sz w:val="22"/>
          <w:szCs w:val="22"/>
        </w:rPr>
        <w:t>em</w:t>
      </w:r>
      <w:r>
        <w:rPr>
          <w:rFonts w:hint="default" w:ascii="Arial" w:hAnsi="Arial" w:cs="Arial"/>
          <w:sz w:val="22"/>
          <w:szCs w:val="22"/>
          <w:lang w:val="pt-BR"/>
        </w:rPr>
        <w:t xml:space="preserve"> elaboração e lançamento de livro infanto juvenil.</w:t>
      </w:r>
    </w:p>
    <w:p w14:paraId="7FC67DC9">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3A0032DD">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highlight w:val="none"/>
          <w:lang w:val="pt-BR"/>
        </w:rPr>
      </w:pPr>
      <w:r>
        <w:rPr>
          <w:rFonts w:hint="default" w:ascii="Arial" w:hAnsi="Arial" w:cs="Arial"/>
          <w:sz w:val="22"/>
          <w:szCs w:val="22"/>
          <w:highlight w:val="none"/>
        </w:rPr>
        <w:t>Neste sentido, a cont</w:t>
      </w:r>
      <w:r>
        <w:rPr>
          <w:rFonts w:hint="default" w:ascii="Arial" w:hAnsi="Arial" w:eastAsia="Calibri" w:cs="Arial"/>
          <w:sz w:val="22"/>
          <w:szCs w:val="22"/>
          <w:highlight w:val="none"/>
          <w:lang w:val="pt-BR"/>
        </w:rPr>
        <w:t>ratação da escritora Léia Cassol, representada pela a LIVRARIA E EDITORA CASSOL, CNPJ 00.582.584/0001-50) torna-s</w:t>
      </w:r>
      <w:r>
        <w:rPr>
          <w:rFonts w:hint="default" w:ascii="Arial" w:hAnsi="Arial" w:cs="Arial"/>
          <w:sz w:val="22"/>
          <w:szCs w:val="22"/>
          <w:highlight w:val="none"/>
          <w:lang w:val="pt-BR"/>
        </w:rPr>
        <w:t>e a melhor alternativa para atender a necessidade da secretaria, tendo em vista a sua notória especialidade e feitos, tais como:</w:t>
      </w:r>
    </w:p>
    <w:p w14:paraId="3AFF38A2">
      <w:pPr>
        <w:keepNext w:val="0"/>
        <w:keepLines w:val="0"/>
        <w:pageBreakBefore w:val="0"/>
        <w:widowControl/>
        <w:numPr>
          <w:ilvl w:val="0"/>
          <w:numId w:val="2"/>
        </w:numPr>
        <w:kinsoku/>
        <w:wordWrap/>
        <w:overflowPunct/>
        <w:topLinePunct w:val="0"/>
        <w:autoSpaceDE/>
        <w:autoSpaceDN/>
        <w:bidi w:val="0"/>
        <w:adjustRightInd/>
        <w:snapToGrid/>
        <w:spacing w:after="0" w:afterLines="50" w:line="360" w:lineRule="auto"/>
        <w:ind w:left="420" w:leftChars="0" w:hanging="420" w:firstLineChars="0"/>
        <w:jc w:val="both"/>
        <w:textAlignment w:val="auto"/>
        <w:rPr>
          <w:rFonts w:hint="default" w:ascii="Arial" w:hAnsi="Arial" w:cs="Arial"/>
          <w:sz w:val="22"/>
          <w:szCs w:val="22"/>
          <w:highlight w:val="none"/>
          <w:lang w:val="pt-BR"/>
        </w:rPr>
      </w:pPr>
      <w:r>
        <w:rPr>
          <w:rFonts w:hint="default" w:ascii="Arial" w:hAnsi="Arial" w:cs="Arial"/>
          <w:sz w:val="22"/>
          <w:szCs w:val="22"/>
          <w:highlight w:val="none"/>
          <w:lang w:val="pt-BR"/>
        </w:rPr>
        <w:t>Detém</w:t>
      </w:r>
      <w:r>
        <w:rPr>
          <w:rFonts w:hint="default" w:ascii="Arial" w:hAnsi="Arial" w:eastAsia="Calibri" w:cs="Arial"/>
          <w:sz w:val="22"/>
          <w:szCs w:val="22"/>
          <w:lang w:val="pt-BR"/>
        </w:rPr>
        <w:t xml:space="preserve"> e</w:t>
      </w:r>
      <w:r>
        <w:rPr>
          <w:rFonts w:hint="default" w:ascii="Arial" w:hAnsi="Arial" w:eastAsia="Calibri" w:cs="Arial"/>
          <w:sz w:val="22"/>
          <w:szCs w:val="22"/>
          <w:highlight w:val="none"/>
          <w:lang w:val="pt-BR"/>
        </w:rPr>
        <w:t>xclusividade sobre a criação do livro “Era uma vez... Em Teutônia” ISBN 978-85-5575-088-5, conforme carta de exclusividade em anexo.</w:t>
      </w:r>
    </w:p>
    <w:p w14:paraId="41268047">
      <w:pPr>
        <w:keepNext w:val="0"/>
        <w:keepLines w:val="0"/>
        <w:pageBreakBefore w:val="0"/>
        <w:widowControl/>
        <w:numPr>
          <w:ilvl w:val="0"/>
          <w:numId w:val="2"/>
        </w:numPr>
        <w:kinsoku/>
        <w:wordWrap/>
        <w:overflowPunct/>
        <w:topLinePunct w:val="0"/>
        <w:autoSpaceDE/>
        <w:autoSpaceDN/>
        <w:bidi w:val="0"/>
        <w:adjustRightInd/>
        <w:snapToGrid/>
        <w:spacing w:after="0" w:afterLines="50" w:line="360" w:lineRule="auto"/>
        <w:ind w:left="420" w:leftChars="0" w:hanging="420" w:firstLineChars="0"/>
        <w:jc w:val="both"/>
        <w:textAlignment w:val="auto"/>
        <w:rPr>
          <w:rFonts w:hint="default" w:ascii="Arial" w:hAnsi="Arial" w:cs="Arial"/>
          <w:sz w:val="22"/>
          <w:szCs w:val="22"/>
          <w:highlight w:val="none"/>
          <w:lang w:val="pt-BR"/>
        </w:rPr>
      </w:pPr>
      <w:r>
        <w:rPr>
          <w:rFonts w:hint="default" w:ascii="Arial" w:hAnsi="Arial" w:eastAsia="Calibri" w:cs="Arial"/>
          <w:sz w:val="22"/>
          <w:szCs w:val="22"/>
          <w:highlight w:val="none"/>
          <w:lang w:val="pt-BR"/>
        </w:rPr>
        <w:t>A autora já realizou essa proposta de livro em vários municípios do Estado, tais como Estrela, Wesftália, São Leopoldo, Venâncio Aires, Bento Golçalves, entre outros.</w:t>
      </w:r>
    </w:p>
    <w:p w14:paraId="63D2C22C">
      <w:pPr>
        <w:keepNext w:val="0"/>
        <w:keepLines w:val="0"/>
        <w:pageBreakBefore w:val="0"/>
        <w:widowControl/>
        <w:numPr>
          <w:ilvl w:val="0"/>
          <w:numId w:val="2"/>
        </w:numPr>
        <w:kinsoku/>
        <w:wordWrap/>
        <w:overflowPunct/>
        <w:topLinePunct w:val="0"/>
        <w:autoSpaceDE/>
        <w:autoSpaceDN/>
        <w:bidi w:val="0"/>
        <w:adjustRightInd/>
        <w:snapToGrid/>
        <w:spacing w:after="0" w:afterLines="50" w:line="360" w:lineRule="auto"/>
        <w:ind w:left="420" w:leftChars="0" w:hanging="420" w:firstLineChars="0"/>
        <w:jc w:val="both"/>
        <w:textAlignment w:val="auto"/>
        <w:rPr>
          <w:rFonts w:ascii="sans-serif" w:hAnsi="sans-serif" w:eastAsia="sans-serif" w:cs="sans-serif"/>
          <w:caps w:val="0"/>
          <w:color w:val="000000"/>
          <w:spacing w:val="0"/>
          <w:sz w:val="24"/>
          <w:szCs w:val="24"/>
        </w:rPr>
      </w:pPr>
      <w:r>
        <w:rPr>
          <w:rFonts w:hint="default" w:ascii="Arial" w:hAnsi="Arial" w:cs="Arial"/>
          <w:sz w:val="22"/>
          <w:szCs w:val="22"/>
          <w:highlight w:val="none"/>
          <w:lang w:val="pt-BR"/>
        </w:rPr>
        <w:t>A autora Léia Cassol é autora de diversos livros de infanto juvenil, com vasta experiência na área e reconhecida por seus livros voltados para o público infantil.</w:t>
      </w:r>
    </w:p>
    <w:p w14:paraId="76CFB40C">
      <w:pPr>
        <w:keepNext w:val="0"/>
        <w:keepLines w:val="0"/>
        <w:pageBreakBefore w:val="0"/>
        <w:widowControl/>
        <w:numPr>
          <w:ilvl w:val="0"/>
          <w:numId w:val="3"/>
        </w:numPr>
        <w:tabs>
          <w:tab w:val="left" w:pos="420"/>
          <w:tab w:val="clear" w:pos="1260"/>
        </w:tabs>
        <w:kinsoku/>
        <w:wordWrap/>
        <w:overflowPunct/>
        <w:topLinePunct w:val="0"/>
        <w:autoSpaceDE/>
        <w:autoSpaceDN/>
        <w:bidi w:val="0"/>
        <w:adjustRightInd/>
        <w:snapToGrid/>
        <w:spacing w:after="0" w:afterLines="50" w:line="360" w:lineRule="auto"/>
        <w:ind w:left="1260" w:leftChars="0" w:hanging="420" w:firstLineChars="0"/>
        <w:jc w:val="both"/>
        <w:textAlignment w:val="auto"/>
        <w:rPr>
          <w:rFonts w:hint="default" w:ascii="Arial" w:hAnsi="Arial" w:eastAsia="Calibri" w:cs="Arial"/>
          <w:sz w:val="22"/>
          <w:szCs w:val="22"/>
          <w:highlight w:val="none"/>
          <w:lang w:val="pt-BR"/>
        </w:rPr>
      </w:pPr>
      <w:r>
        <w:rPr>
          <w:rFonts w:hint="default" w:ascii="Arial" w:hAnsi="Arial" w:eastAsia="Calibri" w:cs="Arial"/>
          <w:sz w:val="22"/>
          <w:szCs w:val="22"/>
          <w:highlight w:val="none"/>
          <w:lang w:val="pt-BR"/>
        </w:rPr>
        <w:t>É Escritora de literatura infantojuvenil com mais de 80 livros publicados;</w:t>
      </w:r>
    </w:p>
    <w:p w14:paraId="78A92A6C">
      <w:pPr>
        <w:keepNext w:val="0"/>
        <w:keepLines w:val="0"/>
        <w:pageBreakBefore w:val="0"/>
        <w:widowControl/>
        <w:numPr>
          <w:ilvl w:val="0"/>
          <w:numId w:val="3"/>
        </w:numPr>
        <w:tabs>
          <w:tab w:val="left" w:pos="420"/>
          <w:tab w:val="clear" w:pos="1260"/>
        </w:tabs>
        <w:kinsoku/>
        <w:wordWrap/>
        <w:overflowPunct/>
        <w:topLinePunct w:val="0"/>
        <w:autoSpaceDE/>
        <w:autoSpaceDN/>
        <w:bidi w:val="0"/>
        <w:adjustRightInd/>
        <w:snapToGrid/>
        <w:spacing w:after="0" w:afterLines="50" w:line="360" w:lineRule="auto"/>
        <w:ind w:left="1260" w:leftChars="0" w:hanging="420" w:firstLineChars="0"/>
        <w:jc w:val="both"/>
        <w:textAlignment w:val="auto"/>
        <w:rPr>
          <w:rFonts w:hint="default" w:ascii="Arial" w:hAnsi="Arial" w:eastAsia="Calibri" w:cs="Arial"/>
          <w:sz w:val="22"/>
          <w:szCs w:val="22"/>
          <w:highlight w:val="none"/>
          <w:lang w:val="pt-BR"/>
        </w:rPr>
      </w:pPr>
      <w:r>
        <w:rPr>
          <w:rFonts w:hint="default" w:ascii="Arial" w:hAnsi="Arial" w:eastAsia="Calibri" w:cs="Arial"/>
          <w:sz w:val="22"/>
          <w:szCs w:val="22"/>
          <w:highlight w:val="none"/>
          <w:lang w:val="pt-BR"/>
        </w:rPr>
        <w:t>Contadora de histórias há 25 anos - histórias cantadas e interativas;</w:t>
      </w:r>
    </w:p>
    <w:p w14:paraId="45C18909">
      <w:pPr>
        <w:keepNext w:val="0"/>
        <w:keepLines w:val="0"/>
        <w:pageBreakBefore w:val="0"/>
        <w:widowControl/>
        <w:numPr>
          <w:ilvl w:val="0"/>
          <w:numId w:val="3"/>
        </w:numPr>
        <w:tabs>
          <w:tab w:val="left" w:pos="420"/>
          <w:tab w:val="clear" w:pos="1260"/>
        </w:tabs>
        <w:kinsoku/>
        <w:wordWrap/>
        <w:overflowPunct/>
        <w:topLinePunct w:val="0"/>
        <w:autoSpaceDE/>
        <w:autoSpaceDN/>
        <w:bidi w:val="0"/>
        <w:adjustRightInd/>
        <w:snapToGrid/>
        <w:spacing w:after="0" w:afterLines="50" w:line="360" w:lineRule="auto"/>
        <w:ind w:left="1260" w:leftChars="0" w:hanging="420" w:firstLineChars="0"/>
        <w:jc w:val="both"/>
        <w:textAlignment w:val="auto"/>
        <w:rPr>
          <w:rFonts w:hint="default" w:ascii="Arial" w:hAnsi="Arial" w:eastAsia="Calibri" w:cs="Arial"/>
          <w:sz w:val="22"/>
          <w:szCs w:val="22"/>
          <w:highlight w:val="none"/>
          <w:lang w:val="pt-BR"/>
        </w:rPr>
      </w:pPr>
      <w:r>
        <w:rPr>
          <w:rFonts w:hint="default" w:ascii="Arial" w:hAnsi="Arial" w:eastAsia="Calibri" w:cs="Arial"/>
          <w:sz w:val="22"/>
          <w:szCs w:val="22"/>
          <w:highlight w:val="none"/>
          <w:lang w:val="pt-BR"/>
        </w:rPr>
        <w:t>Palestrante motivacional para professores e alunos;</w:t>
      </w:r>
    </w:p>
    <w:p w14:paraId="30B0A70C">
      <w:pPr>
        <w:keepNext w:val="0"/>
        <w:keepLines w:val="0"/>
        <w:pageBreakBefore w:val="0"/>
        <w:widowControl/>
        <w:numPr>
          <w:ilvl w:val="0"/>
          <w:numId w:val="3"/>
        </w:numPr>
        <w:tabs>
          <w:tab w:val="left" w:pos="420"/>
          <w:tab w:val="clear" w:pos="1260"/>
        </w:tabs>
        <w:kinsoku/>
        <w:wordWrap/>
        <w:overflowPunct/>
        <w:topLinePunct w:val="0"/>
        <w:autoSpaceDE/>
        <w:autoSpaceDN/>
        <w:bidi w:val="0"/>
        <w:adjustRightInd/>
        <w:snapToGrid/>
        <w:spacing w:after="0" w:afterLines="50" w:line="360" w:lineRule="auto"/>
        <w:ind w:left="1260" w:leftChars="0" w:hanging="420" w:firstLineChars="0"/>
        <w:jc w:val="both"/>
        <w:textAlignment w:val="auto"/>
        <w:rPr>
          <w:rFonts w:hint="default" w:ascii="Arial" w:hAnsi="Arial" w:eastAsia="Calibri" w:cs="Arial"/>
          <w:sz w:val="22"/>
          <w:szCs w:val="22"/>
          <w:highlight w:val="none"/>
          <w:lang w:val="pt-BR"/>
        </w:rPr>
      </w:pPr>
      <w:r>
        <w:rPr>
          <w:rFonts w:hint="default" w:ascii="Arial" w:hAnsi="Arial" w:eastAsia="Calibri" w:cs="Arial"/>
          <w:sz w:val="22"/>
          <w:szCs w:val="22"/>
          <w:highlight w:val="none"/>
          <w:lang w:val="pt-BR"/>
        </w:rPr>
        <w:t>Guia de turismo regional com trabalho reconhecido em educação patrimonial</w:t>
      </w:r>
    </w:p>
    <w:p w14:paraId="5FF15F71">
      <w:pPr>
        <w:keepNext w:val="0"/>
        <w:keepLines w:val="0"/>
        <w:pageBreakBefore w:val="0"/>
        <w:widowControl/>
        <w:numPr>
          <w:ilvl w:val="0"/>
          <w:numId w:val="2"/>
        </w:numPr>
        <w:kinsoku/>
        <w:wordWrap/>
        <w:overflowPunct/>
        <w:topLinePunct w:val="0"/>
        <w:autoSpaceDE/>
        <w:autoSpaceDN/>
        <w:bidi w:val="0"/>
        <w:adjustRightInd/>
        <w:snapToGrid/>
        <w:spacing w:after="0" w:afterLines="50" w:line="360" w:lineRule="auto"/>
        <w:ind w:left="420" w:leftChars="0" w:hanging="420" w:firstLineChars="0"/>
        <w:jc w:val="both"/>
        <w:textAlignment w:val="auto"/>
        <w:rPr>
          <w:rFonts w:hint="default" w:ascii="Arial" w:hAnsi="Arial" w:eastAsia="Calibri" w:cs="Arial"/>
          <w:sz w:val="22"/>
          <w:szCs w:val="22"/>
          <w:highlight w:val="none"/>
          <w:lang w:val="pt-BR"/>
        </w:rPr>
      </w:pPr>
      <w:r>
        <w:rPr>
          <w:rFonts w:hint="default" w:ascii="Arial" w:hAnsi="Arial" w:eastAsia="Calibri" w:cs="Arial"/>
          <w:sz w:val="22"/>
          <w:szCs w:val="22"/>
          <w:highlight w:val="none"/>
          <w:lang w:val="pt-BR"/>
        </w:rPr>
        <w:t>Suas obras são repletas de valores que dialogam com o coração e também fazem pensar, buscando desenvolver no leitor as competências socioemocionais. Um exemplo é o livro "A Menina do Cabelo Roxo e o Chá das Maravilhas", um intertexto que chama a nossa atenção para "nós e o outro", apresentando sentimentos e sensibilizando o leitor para que tenha um olhar mais acolhedor.</w:t>
      </w:r>
    </w:p>
    <w:p w14:paraId="6865734A">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4A3D2C75">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cs="Arial"/>
          <w:sz w:val="22"/>
          <w:szCs w:val="22"/>
        </w:rPr>
        <w:t>Tais referências foram obtidas por meio de pesquisa</w:t>
      </w:r>
      <w:r>
        <w:rPr>
          <w:rFonts w:hint="default" w:ascii="Arial" w:hAnsi="Arial" w:cs="Arial"/>
          <w:sz w:val="22"/>
          <w:szCs w:val="22"/>
          <w:lang w:val="pt-BR"/>
        </w:rPr>
        <w:t xml:space="preserve">, </w:t>
      </w:r>
      <w:r>
        <w:rPr>
          <w:rFonts w:hint="default" w:ascii="Arial" w:hAnsi="Arial" w:cs="Arial"/>
          <w:sz w:val="22"/>
          <w:szCs w:val="22"/>
        </w:rPr>
        <w:t xml:space="preserve">efetuadas com base no Decreto Municipal n.º </w:t>
      </w:r>
      <w:r>
        <w:rPr>
          <w:rFonts w:hint="default" w:ascii="Arial" w:hAnsi="Arial" w:cs="Arial"/>
          <w:sz w:val="22"/>
          <w:szCs w:val="22"/>
          <w:lang w:val="pt-BR"/>
        </w:rPr>
        <w:t>3.250 de 30 de maio de 2023</w:t>
      </w:r>
      <w:r>
        <w:rPr>
          <w:rFonts w:hint="default" w:ascii="Arial" w:hAnsi="Arial" w:cs="Arial"/>
          <w:sz w:val="22"/>
          <w:szCs w:val="22"/>
        </w:rPr>
        <w:t xml:space="preserve">, que “Estabelece o procedimento administrativo para a realização de pesquisa de preços para aquisição de bens, contratação de serviços em geral e para contratação de obras e serviços de engenharia no âmbito do Município de </w:t>
      </w:r>
      <w:r>
        <w:rPr>
          <w:rFonts w:hint="default" w:ascii="Arial" w:hAnsi="Arial" w:cs="Arial"/>
          <w:sz w:val="22"/>
          <w:szCs w:val="22"/>
          <w:lang w:val="pt-BR"/>
        </w:rPr>
        <w:t>Teutônia</w:t>
      </w:r>
      <w:r>
        <w:rPr>
          <w:rFonts w:hint="default" w:ascii="Arial" w:hAnsi="Arial" w:cs="Arial"/>
          <w:sz w:val="22"/>
          <w:szCs w:val="22"/>
        </w:rPr>
        <w:t>, nos termos da Lei Federal nº 14.133/2021”.</w:t>
      </w:r>
    </w:p>
    <w:p w14:paraId="4CB0CB8A">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0B4D3ED6">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highlight w:val="none"/>
        </w:rPr>
      </w:pPr>
      <w:r>
        <w:rPr>
          <w:rFonts w:hint="default" w:ascii="Arial" w:hAnsi="Arial" w:cs="Arial"/>
          <w:b/>
          <w:bCs/>
          <w:sz w:val="22"/>
          <w:szCs w:val="22"/>
          <w:highlight w:val="none"/>
        </w:rPr>
        <w:t>6. ESTIMATIVA DO VALOR DA CONTRATAÇÃO</w:t>
      </w:r>
    </w:p>
    <w:p w14:paraId="26B86EE1">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rPr>
        <w:t xml:space="preserve">Estima-se para a contratação almejada o valor total de </w:t>
      </w:r>
      <w:r>
        <w:rPr>
          <w:rFonts w:hint="default" w:ascii="Arial" w:hAnsi="Arial" w:cs="Arial"/>
          <w:b/>
          <w:bCs/>
          <w:sz w:val="22"/>
          <w:szCs w:val="22"/>
        </w:rPr>
        <w:t xml:space="preserve">R$ </w:t>
      </w:r>
      <w:r>
        <w:rPr>
          <w:rFonts w:hint="default" w:ascii="Arial" w:hAnsi="Arial" w:cs="Arial"/>
          <w:b/>
          <w:bCs/>
          <w:sz w:val="22"/>
          <w:szCs w:val="22"/>
          <w:lang w:val="pt-BR"/>
        </w:rPr>
        <w:t>89.667,00</w:t>
      </w:r>
      <w:r>
        <w:rPr>
          <w:rFonts w:hint="default" w:ascii="Arial" w:hAnsi="Arial" w:cs="Arial"/>
          <w:sz w:val="22"/>
          <w:szCs w:val="22"/>
          <w:lang w:val="pt-BR"/>
        </w:rPr>
        <w:t xml:space="preserve"> (oitenta e nove mil seiscentos e sessenta e sete reais).</w:t>
      </w:r>
    </w:p>
    <w:p w14:paraId="3FFC04CB">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p>
    <w:p w14:paraId="7B90144D">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eastAsia="Times New Roman" w:cs="Arial"/>
          <w:sz w:val="22"/>
          <w:szCs w:val="22"/>
          <w:rtl w:val="0"/>
          <w:lang w:val="pt-BR" w:eastAsia="zh-CN" w:bidi="ar-SA"/>
        </w:rPr>
        <w:t xml:space="preserve">Para comprovação de preço praticado pelo mercado, foi solicitado ao fornecedor notas fiscais junto à terceiros, emitidas no período de até um ano, as quais encontram-se anexas ao presente processo, conforme artigo 23, </w:t>
      </w:r>
      <w:r>
        <w:rPr>
          <w:rFonts w:hint="default" w:ascii="Arial" w:hAnsi="Arial" w:eastAsia="Times New Roman" w:cs="Arial"/>
          <w:sz w:val="22"/>
          <w:szCs w:val="22"/>
          <w:lang w:val="pt-BR" w:eastAsia="zh-CN" w:bidi="ar-SA"/>
        </w:rPr>
        <w:t xml:space="preserve">§ 4º </w:t>
      </w:r>
      <w:r>
        <w:rPr>
          <w:rFonts w:hint="default" w:ascii="Arial" w:hAnsi="Arial" w:eastAsia="Times New Roman" w:cs="Arial"/>
          <w:sz w:val="22"/>
          <w:szCs w:val="22"/>
          <w:rtl w:val="0"/>
          <w:lang w:val="pt-BR" w:eastAsia="zh-CN" w:bidi="ar-SA"/>
        </w:rPr>
        <w:t>da lei 14.133/202</w:t>
      </w:r>
      <w:r>
        <w:rPr>
          <w:rFonts w:hint="default" w:ascii="Arial" w:hAnsi="Arial" w:eastAsia="Times New Roman" w:cs="Arial"/>
          <w:sz w:val="22"/>
          <w:szCs w:val="22"/>
          <w:rtl w:val="0"/>
          <w:lang w:val="pt-BR"/>
        </w:rPr>
        <w:t>1.</w:t>
      </w:r>
    </w:p>
    <w:p w14:paraId="0B82C3AB">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p>
    <w:p w14:paraId="52E42CB0">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cs="Arial"/>
          <w:sz w:val="22"/>
          <w:szCs w:val="22"/>
        </w:rPr>
        <w:t xml:space="preserve">Vislumbra-se que tal valor é compatível com o praticado pelo mercado correspondente, observando-se o disposto no Decreto Municipal n.º </w:t>
      </w:r>
      <w:r>
        <w:rPr>
          <w:rFonts w:hint="default" w:ascii="Arial" w:hAnsi="Arial" w:cs="Arial"/>
          <w:sz w:val="22"/>
          <w:szCs w:val="22"/>
          <w:lang w:val="pt-BR"/>
        </w:rPr>
        <w:t>3.250 de 30 de maio de 2023</w:t>
      </w:r>
      <w:r>
        <w:rPr>
          <w:rFonts w:hint="default" w:ascii="Arial" w:hAnsi="Arial" w:cs="Arial"/>
          <w:sz w:val="22"/>
          <w:szCs w:val="22"/>
        </w:rPr>
        <w:t xml:space="preserve">, que “Estabelece o procedimento administrativo para a realização de pesquisa de preços para aquisição de bens, contratação de serviços em geral e para contratação de obras e serviços de engenharia no âmbito do Município de </w:t>
      </w:r>
      <w:r>
        <w:rPr>
          <w:rFonts w:hint="default" w:ascii="Arial" w:hAnsi="Arial" w:cs="Arial"/>
          <w:sz w:val="22"/>
          <w:szCs w:val="22"/>
          <w:lang w:val="pt-BR"/>
        </w:rPr>
        <w:t>Teutônia</w:t>
      </w:r>
      <w:r>
        <w:rPr>
          <w:rFonts w:hint="default" w:ascii="Arial" w:hAnsi="Arial" w:cs="Arial"/>
          <w:sz w:val="22"/>
          <w:szCs w:val="22"/>
        </w:rPr>
        <w:t>, nos termos da Lei Federal nº 14.133/2021”.</w:t>
      </w:r>
    </w:p>
    <w:p w14:paraId="4236BF91">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3335B47B">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highlight w:val="none"/>
        </w:rPr>
      </w:pPr>
      <w:r>
        <w:rPr>
          <w:rFonts w:hint="default" w:ascii="Arial" w:hAnsi="Arial" w:cs="Arial"/>
          <w:b/>
          <w:bCs/>
          <w:sz w:val="22"/>
          <w:szCs w:val="22"/>
          <w:highlight w:val="none"/>
        </w:rPr>
        <w:t>7. DESCRIÇÃO DA SOLUÇÃO COMO UM TODO</w:t>
      </w:r>
    </w:p>
    <w:p w14:paraId="025CCDD5">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r>
        <w:rPr>
          <w:rFonts w:hint="default" w:ascii="Arial" w:hAnsi="Arial" w:cs="Arial"/>
          <w:sz w:val="22"/>
          <w:szCs w:val="22"/>
        </w:rPr>
        <w:t xml:space="preserve">A solução proposta é a contratação de empresa especializada para </w:t>
      </w:r>
      <w:r>
        <w:rPr>
          <w:rFonts w:hint="default" w:ascii="Arial" w:hAnsi="Arial" w:cs="Arial"/>
          <w:sz w:val="22"/>
          <w:szCs w:val="22"/>
          <w:lang w:val="pt-BR"/>
        </w:rPr>
        <w:t xml:space="preserve">a </w:t>
      </w:r>
      <w:r>
        <w:rPr>
          <w:rFonts w:hint="default" w:ascii="Arial" w:hAnsi="Arial" w:cs="Arial"/>
          <w:sz w:val="22"/>
          <w:szCs w:val="22"/>
        </w:rPr>
        <w:t xml:space="preserve">prestação de serviços de </w:t>
      </w:r>
      <w:r>
        <w:rPr>
          <w:rFonts w:hint="default" w:ascii="Arial" w:hAnsi="Arial" w:cs="Arial"/>
          <w:sz w:val="22"/>
          <w:szCs w:val="22"/>
          <w:lang w:val="pt-BR"/>
        </w:rPr>
        <w:t>elaboração e lançamentos de livro infanto juvenil e o fornecimento de 2.700 exemplares para distribuição nas escolas</w:t>
      </w:r>
      <w:r>
        <w:rPr>
          <w:rFonts w:hint="default" w:ascii="Arial" w:hAnsi="Arial" w:cs="Arial"/>
          <w:sz w:val="22"/>
          <w:szCs w:val="22"/>
        </w:rPr>
        <w:t>, conforme as seguintes especificações</w:t>
      </w:r>
      <w:r>
        <w:rPr>
          <w:rFonts w:hint="default" w:ascii="Arial" w:hAnsi="Arial" w:cs="Arial"/>
          <w:sz w:val="22"/>
          <w:szCs w:val="22"/>
          <w:lang w:val="pt-BR"/>
        </w:rPr>
        <w:t xml:space="preserve"> e</w:t>
      </w:r>
      <w:r>
        <w:rPr>
          <w:rFonts w:hint="default" w:ascii="Arial" w:hAnsi="Arial" w:cs="Arial"/>
          <w:sz w:val="22"/>
          <w:szCs w:val="22"/>
        </w:rPr>
        <w:t xml:space="preserve"> condiçõe</w:t>
      </w:r>
      <w:r>
        <w:rPr>
          <w:rFonts w:hint="default" w:ascii="Arial" w:hAnsi="Arial" w:cs="Arial"/>
          <w:sz w:val="22"/>
          <w:szCs w:val="22"/>
          <w:lang w:val="pt-BR"/>
        </w:rPr>
        <w:t xml:space="preserve">s dos itens 1 e 3. </w:t>
      </w:r>
    </w:p>
    <w:p w14:paraId="76848EDB">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lang w:val="pt-BR"/>
        </w:rPr>
      </w:pPr>
    </w:p>
    <w:p w14:paraId="51E0CDE5">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highlight w:val="none"/>
          <w:lang w:val="pt-BR"/>
        </w:rPr>
      </w:pPr>
      <w:r>
        <w:rPr>
          <w:rFonts w:hint="default" w:ascii="Arial" w:hAnsi="Arial" w:eastAsia="Calibri" w:cs="Arial"/>
          <w:sz w:val="22"/>
          <w:szCs w:val="22"/>
          <w:lang w:val="pt-BR" w:eastAsia="en-US"/>
        </w:rPr>
        <w:t>Para que o serviço seja considerado concluído, todas as etapas descritas no orçamento deverão ser cumpridas (pesquisa, coleta de dados, escrita da história, capa, vinhetas, ilustrações, projeto do livro, finalização, revisão ortográfica, ficha catalográfica, assessoria pedagógica, prova de cor e impressão do</w:t>
      </w:r>
      <w:r>
        <w:rPr>
          <w:rFonts w:hint="default" w:ascii="Arial" w:hAnsi="Arial" w:eastAsia="Calibri" w:cs="Arial"/>
          <w:b w:val="0"/>
          <w:bCs w:val="0"/>
          <w:sz w:val="22"/>
          <w:szCs w:val="22"/>
          <w:lang w:val="pt-BR" w:eastAsia="en-US"/>
        </w:rPr>
        <w:t>s livros) até final de abril de 2026 e</w:t>
      </w:r>
      <w:r>
        <w:rPr>
          <w:rFonts w:hint="default" w:ascii="Arial" w:hAnsi="Arial" w:eastAsia="Calibri" w:cs="Arial"/>
          <w:sz w:val="22"/>
          <w:szCs w:val="22"/>
          <w:lang w:val="pt-BR" w:eastAsia="en-US"/>
        </w:rPr>
        <w:t xml:space="preserve"> workshop com a autora no lançamento do livro “Era uma vez em Teutônia”, que tem data prevista para ocorrer nas semanas em comemoração ao aniversário do município.</w:t>
      </w:r>
    </w:p>
    <w:p w14:paraId="1DB090FE">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highlight w:val="none"/>
        </w:rPr>
      </w:pPr>
    </w:p>
    <w:p w14:paraId="6086FA18">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b/>
          <w:bCs/>
          <w:sz w:val="22"/>
          <w:szCs w:val="22"/>
          <w:highlight w:val="none"/>
        </w:rPr>
      </w:pPr>
      <w:r>
        <w:rPr>
          <w:rFonts w:hint="default" w:ascii="Arial" w:hAnsi="Arial" w:cs="Arial"/>
          <w:b/>
          <w:bCs/>
          <w:sz w:val="22"/>
          <w:szCs w:val="22"/>
          <w:highlight w:val="none"/>
        </w:rPr>
        <w:t>8. JUSTIFICATIVA PARA O PARCELAMENTO OU NÃO DA CONTRATAÇÃO</w:t>
      </w:r>
    </w:p>
    <w:p w14:paraId="46EDA740">
      <w:pPr>
        <w:pStyle w:val="13"/>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color w:val="000000"/>
          <w:sz w:val="22"/>
          <w:szCs w:val="22"/>
        </w:rPr>
      </w:pPr>
      <w:r>
        <w:rPr>
          <w:rFonts w:hint="default" w:ascii="Arial" w:hAnsi="Arial" w:cs="Arial"/>
          <w:sz w:val="22"/>
          <w:szCs w:val="22"/>
        </w:rPr>
        <w:t xml:space="preserve">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w:t>
      </w:r>
      <w:r>
        <w:rPr>
          <w:rFonts w:hint="default" w:ascii="Arial" w:hAnsi="Arial" w:cs="Arial"/>
          <w:color w:val="000000"/>
          <w:sz w:val="22"/>
          <w:szCs w:val="22"/>
        </w:rPr>
        <w:t xml:space="preserve">o custo para a Administração de vários contratos frente às vantagens da redução de custos, com divisão do objeto em itens, </w:t>
      </w:r>
      <w:bookmarkStart w:id="0" w:name="art47§1iii"/>
      <w:bookmarkEnd w:id="0"/>
      <w:r>
        <w:rPr>
          <w:rFonts w:hint="default" w:ascii="Arial" w:hAnsi="Arial" w:cs="Arial"/>
          <w:color w:val="000000"/>
          <w:sz w:val="22"/>
          <w:szCs w:val="22"/>
        </w:rPr>
        <w:t>e o dever de buscar a ampliação da competição e de evitar a concentração de mercado.</w:t>
      </w:r>
    </w:p>
    <w:p w14:paraId="41A58F63">
      <w:pPr>
        <w:pStyle w:val="13"/>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color w:val="000000"/>
          <w:sz w:val="22"/>
          <w:szCs w:val="22"/>
        </w:rPr>
      </w:pPr>
    </w:p>
    <w:p w14:paraId="178134BE">
      <w:pPr>
        <w:pStyle w:val="13"/>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sz w:val="22"/>
          <w:szCs w:val="22"/>
        </w:rPr>
      </w:pPr>
      <w:r>
        <w:rPr>
          <w:rFonts w:hint="default" w:ascii="Arial" w:hAnsi="Arial" w:cs="Arial"/>
          <w:sz w:val="22"/>
          <w:szCs w:val="22"/>
        </w:rPr>
        <w:t>Em vista disto, o princípio do parcelamento não deverá ser aplicado à presente contratação, tendo em vista que eventual divisão do objeto geraria perda de economia de escala e causaria inviabilidade técnica, pois geraria maior trabalho de fiscalização contratual frente à falta de padronização e uniformização.</w:t>
      </w:r>
    </w:p>
    <w:p w14:paraId="217AF6FE">
      <w:pPr>
        <w:pStyle w:val="13"/>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sz w:val="22"/>
          <w:szCs w:val="22"/>
        </w:rPr>
      </w:pPr>
    </w:p>
    <w:p w14:paraId="3E5AC6BE">
      <w:pPr>
        <w:pStyle w:val="13"/>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color w:val="000000"/>
          <w:sz w:val="22"/>
          <w:szCs w:val="22"/>
        </w:rPr>
      </w:pPr>
      <w:r>
        <w:rPr>
          <w:rFonts w:hint="default" w:ascii="Arial" w:hAnsi="Arial" w:cs="Arial"/>
          <w:b/>
          <w:bCs/>
          <w:sz w:val="22"/>
          <w:szCs w:val="22"/>
        </w:rPr>
        <w:t xml:space="preserve">9. RESULTADOS PRETENDIDOS </w:t>
      </w:r>
    </w:p>
    <w:p w14:paraId="5799CA24">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color w:val="000000"/>
          <w:sz w:val="22"/>
          <w:szCs w:val="22"/>
        </w:rPr>
      </w:pPr>
      <w:r>
        <w:rPr>
          <w:rFonts w:hint="default" w:ascii="Arial" w:hAnsi="Arial" w:cs="Arial"/>
          <w:sz w:val="22"/>
          <w:szCs w:val="22"/>
        </w:rPr>
        <w:t xml:space="preserve">Pretende-se, com o presente processo licitatório, assegurar </w:t>
      </w:r>
      <w:r>
        <w:rPr>
          <w:rFonts w:hint="default" w:ascii="Arial" w:hAnsi="Arial" w:cs="Arial"/>
          <w:color w:val="000000"/>
          <w:sz w:val="22"/>
          <w:szCs w:val="22"/>
        </w:rPr>
        <w:t>a seleção da proposta apta a gerar a contratação mais vantajosa para o Município.</w:t>
      </w:r>
    </w:p>
    <w:p w14:paraId="079A169B">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color w:val="000000"/>
          <w:sz w:val="22"/>
          <w:szCs w:val="22"/>
        </w:rPr>
      </w:pPr>
    </w:p>
    <w:p w14:paraId="4A51EB43">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cs="Arial"/>
          <w:color w:val="000000"/>
          <w:sz w:val="22"/>
          <w:szCs w:val="22"/>
        </w:rPr>
        <w:t>Almeja-se, igualmente, assegurar tratamento isonômico entre os licitantes, bem como a justa competição, bem como evitar contratação com sobrepreço ou com preço manifestamente inexequível e superfaturamento na execução do contrato.</w:t>
      </w:r>
    </w:p>
    <w:p w14:paraId="36617564">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2E1C2BF4">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r>
        <w:rPr>
          <w:rFonts w:hint="default" w:ascii="Arial" w:hAnsi="Arial" w:cs="Arial"/>
          <w:sz w:val="22"/>
          <w:szCs w:val="22"/>
        </w:rPr>
        <w:t xml:space="preserve">A contratação decorrente do presente processo licitatório exigirá da contratada o cumprimento das boas práticas de sustentabilidade, contribuindo para a racionalização e otimização do uso dos recursos, bem como para a redução dos impactos ambientais. </w:t>
      </w:r>
    </w:p>
    <w:p w14:paraId="4FDC47A5">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075C193D">
      <w:pPr>
        <w:pStyle w:val="13"/>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b/>
          <w:bCs/>
          <w:color w:val="000000"/>
          <w:sz w:val="22"/>
          <w:szCs w:val="22"/>
        </w:rPr>
      </w:pPr>
      <w:bookmarkStart w:id="1" w:name="art18§1viii"/>
      <w:bookmarkEnd w:id="1"/>
      <w:bookmarkStart w:id="2" w:name="art18§1ii"/>
      <w:bookmarkEnd w:id="2"/>
      <w:bookmarkStart w:id="3" w:name="art18§1ix"/>
      <w:bookmarkEnd w:id="3"/>
      <w:bookmarkStart w:id="4" w:name="art18§1x"/>
      <w:bookmarkEnd w:id="4"/>
      <w:bookmarkStart w:id="5" w:name="art18§1vii"/>
      <w:bookmarkEnd w:id="5"/>
      <w:bookmarkStart w:id="6" w:name="art18§1iii"/>
      <w:bookmarkEnd w:id="6"/>
      <w:bookmarkStart w:id="7" w:name="art18§1vi"/>
      <w:bookmarkEnd w:id="7"/>
      <w:bookmarkStart w:id="8" w:name="art18§1v"/>
      <w:bookmarkEnd w:id="8"/>
      <w:r>
        <w:rPr>
          <w:rFonts w:hint="default" w:ascii="Arial" w:hAnsi="Arial" w:cs="Arial"/>
          <w:b/>
          <w:bCs/>
          <w:color w:val="000000"/>
          <w:sz w:val="22"/>
          <w:szCs w:val="22"/>
        </w:rPr>
        <w:t>10. PROVIDÊNCIAS PRÉVIAS AO CONTRATO</w:t>
      </w:r>
    </w:p>
    <w:p w14:paraId="5F69691D">
      <w:pPr>
        <w:pStyle w:val="13"/>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sz w:val="22"/>
          <w:szCs w:val="22"/>
        </w:rPr>
      </w:pPr>
      <w:bookmarkStart w:id="9" w:name="art18§1xi"/>
      <w:bookmarkEnd w:id="9"/>
      <w:r>
        <w:rPr>
          <w:rFonts w:hint="default" w:ascii="Arial" w:hAnsi="Arial" w:cs="Arial"/>
          <w:color w:val="000000"/>
          <w:sz w:val="22"/>
          <w:szCs w:val="22"/>
        </w:rPr>
        <w:t>Para a contratação pretendida não haverá necessidade de providências prévias no âmbito da Administração</w:t>
      </w:r>
      <w:r>
        <w:rPr>
          <w:rFonts w:hint="default" w:ascii="Arial" w:hAnsi="Arial" w:cs="Arial"/>
          <w:color w:val="000000"/>
          <w:sz w:val="22"/>
          <w:szCs w:val="22"/>
          <w:lang w:val="pt-BR"/>
        </w:rPr>
        <w:t>. Embora</w:t>
      </w:r>
      <w:r>
        <w:rPr>
          <w:rFonts w:hint="default" w:ascii="Arial" w:hAnsi="Arial" w:cs="Arial"/>
          <w:sz w:val="22"/>
          <w:szCs w:val="22"/>
        </w:rPr>
        <w:t xml:space="preserve">, para que a pretendida contratação tenha sucesso, é preciso que outras etapas sejam concluídas, quais sejam: </w:t>
      </w:r>
    </w:p>
    <w:p w14:paraId="6D0B88AD">
      <w:pPr>
        <w:pStyle w:val="13"/>
        <w:keepNext w:val="0"/>
        <w:keepLines w:val="0"/>
        <w:pageBreakBefore w:val="0"/>
        <w:widowControl/>
        <w:numPr>
          <w:ilvl w:val="0"/>
          <w:numId w:val="4"/>
        </w:numPr>
        <w:kinsoku/>
        <w:wordWrap/>
        <w:overflowPunct/>
        <w:topLinePunct w:val="0"/>
        <w:autoSpaceDE/>
        <w:autoSpaceDN/>
        <w:bidi w:val="0"/>
        <w:adjustRightInd/>
        <w:snapToGrid/>
        <w:spacing w:beforeAutospacing="0" w:after="0" w:afterAutospacing="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 xml:space="preserve">realização de certificação de disponibilidade orçamentária; </w:t>
      </w:r>
    </w:p>
    <w:p w14:paraId="619E4671">
      <w:pPr>
        <w:pStyle w:val="13"/>
        <w:keepNext w:val="0"/>
        <w:keepLines w:val="0"/>
        <w:pageBreakBefore w:val="0"/>
        <w:widowControl/>
        <w:numPr>
          <w:ilvl w:val="0"/>
          <w:numId w:val="4"/>
        </w:numPr>
        <w:kinsoku/>
        <w:wordWrap/>
        <w:overflowPunct/>
        <w:topLinePunct w:val="0"/>
        <w:autoSpaceDE/>
        <w:autoSpaceDN/>
        <w:bidi w:val="0"/>
        <w:adjustRightInd/>
        <w:snapToGrid/>
        <w:spacing w:beforeAutospacing="0" w:after="0" w:afterAutospacing="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 xml:space="preserve">designação em Portaria de pregoeiro, equipe de apoio, agente de contratação (conforme o caso); </w:t>
      </w:r>
    </w:p>
    <w:p w14:paraId="5376582D">
      <w:pPr>
        <w:pStyle w:val="13"/>
        <w:keepNext w:val="0"/>
        <w:keepLines w:val="0"/>
        <w:pageBreakBefore w:val="0"/>
        <w:widowControl/>
        <w:numPr>
          <w:ilvl w:val="0"/>
          <w:numId w:val="4"/>
        </w:numPr>
        <w:kinsoku/>
        <w:wordWrap/>
        <w:overflowPunct/>
        <w:topLinePunct w:val="0"/>
        <w:autoSpaceDE/>
        <w:autoSpaceDN/>
        <w:bidi w:val="0"/>
        <w:adjustRightInd/>
        <w:snapToGrid/>
        <w:spacing w:beforeAutospacing="0" w:after="0" w:afterAutospacing="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 xml:space="preserve">elaboração de minuta do contrato; </w:t>
      </w:r>
    </w:p>
    <w:p w14:paraId="51D414B3">
      <w:pPr>
        <w:pStyle w:val="13"/>
        <w:keepNext w:val="0"/>
        <w:keepLines w:val="0"/>
        <w:pageBreakBefore w:val="0"/>
        <w:widowControl/>
        <w:numPr>
          <w:ilvl w:val="0"/>
          <w:numId w:val="4"/>
        </w:numPr>
        <w:kinsoku/>
        <w:wordWrap/>
        <w:overflowPunct/>
        <w:topLinePunct w:val="0"/>
        <w:autoSpaceDE/>
        <w:autoSpaceDN/>
        <w:bidi w:val="0"/>
        <w:adjustRightInd/>
        <w:snapToGrid/>
        <w:spacing w:beforeAutospacing="0" w:after="0" w:afterAutospacing="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 xml:space="preserve">encaminhamento do processo para análise jurídica; </w:t>
      </w:r>
    </w:p>
    <w:p w14:paraId="393FCFB7">
      <w:pPr>
        <w:pStyle w:val="13"/>
        <w:keepNext w:val="0"/>
        <w:keepLines w:val="0"/>
        <w:pageBreakBefore w:val="0"/>
        <w:widowControl/>
        <w:numPr>
          <w:ilvl w:val="0"/>
          <w:numId w:val="4"/>
        </w:numPr>
        <w:kinsoku/>
        <w:wordWrap/>
        <w:overflowPunct/>
        <w:topLinePunct w:val="0"/>
        <w:autoSpaceDE/>
        <w:autoSpaceDN/>
        <w:bidi w:val="0"/>
        <w:adjustRightInd/>
        <w:snapToGrid/>
        <w:spacing w:beforeAutospacing="0" w:after="0" w:afterAutospacing="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 xml:space="preserve">análise da manifestação jurídica e atendimento aos apontamentos constantes no parecer, mediante Nota Técnica com os ajustes indicados; </w:t>
      </w:r>
    </w:p>
    <w:p w14:paraId="2559D32F">
      <w:pPr>
        <w:pStyle w:val="13"/>
        <w:keepNext w:val="0"/>
        <w:keepLines w:val="0"/>
        <w:pageBreakBefore w:val="0"/>
        <w:widowControl/>
        <w:numPr>
          <w:ilvl w:val="0"/>
          <w:numId w:val="4"/>
        </w:numPr>
        <w:kinsoku/>
        <w:wordWrap/>
        <w:overflowPunct/>
        <w:topLinePunct w:val="0"/>
        <w:autoSpaceDE/>
        <w:autoSpaceDN/>
        <w:bidi w:val="0"/>
        <w:adjustRightInd/>
        <w:snapToGrid/>
        <w:spacing w:beforeAutospacing="0" w:after="0" w:afterAutospacing="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 xml:space="preserve">resposta a eventuais pedidos de esclarecimentos e/ou impugnação, caso aplicável; </w:t>
      </w:r>
    </w:p>
    <w:p w14:paraId="0F6CDAFE">
      <w:pPr>
        <w:pStyle w:val="13"/>
        <w:keepNext w:val="0"/>
        <w:keepLines w:val="0"/>
        <w:pageBreakBefore w:val="0"/>
        <w:widowControl/>
        <w:numPr>
          <w:ilvl w:val="0"/>
          <w:numId w:val="4"/>
        </w:numPr>
        <w:kinsoku/>
        <w:wordWrap/>
        <w:overflowPunct/>
        <w:topLinePunct w:val="0"/>
        <w:autoSpaceDE/>
        <w:autoSpaceDN/>
        <w:bidi w:val="0"/>
        <w:adjustRightInd/>
        <w:snapToGrid/>
        <w:spacing w:beforeAutospacing="0" w:after="0" w:afterAutospacing="0" w:line="360" w:lineRule="auto"/>
        <w:ind w:left="425" w:leftChars="0" w:hanging="425" w:firstLineChars="0"/>
        <w:jc w:val="both"/>
        <w:textAlignment w:val="auto"/>
        <w:rPr>
          <w:rFonts w:hint="default" w:ascii="Arial" w:hAnsi="Arial" w:cs="Arial"/>
          <w:sz w:val="22"/>
          <w:szCs w:val="22"/>
        </w:rPr>
      </w:pPr>
      <w:r>
        <w:rPr>
          <w:rFonts w:hint="default" w:ascii="Arial" w:hAnsi="Arial" w:cs="Arial"/>
          <w:sz w:val="22"/>
          <w:szCs w:val="22"/>
        </w:rPr>
        <w:t xml:space="preserve">realização de empenho; e </w:t>
      </w:r>
    </w:p>
    <w:p w14:paraId="56918BDA">
      <w:pPr>
        <w:pStyle w:val="13"/>
        <w:keepNext w:val="0"/>
        <w:keepLines w:val="0"/>
        <w:pageBreakBefore w:val="0"/>
        <w:widowControl/>
        <w:numPr>
          <w:ilvl w:val="0"/>
          <w:numId w:val="4"/>
        </w:numPr>
        <w:kinsoku/>
        <w:wordWrap/>
        <w:overflowPunct/>
        <w:topLinePunct w:val="0"/>
        <w:autoSpaceDE/>
        <w:autoSpaceDN/>
        <w:bidi w:val="0"/>
        <w:adjustRightInd/>
        <w:snapToGrid/>
        <w:spacing w:beforeAutospacing="0" w:after="0" w:afterAutospacing="0" w:line="360" w:lineRule="auto"/>
        <w:ind w:left="425" w:leftChars="0" w:hanging="425" w:firstLineChars="0"/>
        <w:jc w:val="both"/>
        <w:textAlignment w:val="auto"/>
        <w:rPr>
          <w:rFonts w:hint="default" w:ascii="Arial" w:hAnsi="Arial" w:cs="Arial"/>
          <w:color w:val="000000"/>
          <w:sz w:val="22"/>
          <w:szCs w:val="22"/>
        </w:rPr>
      </w:pPr>
      <w:r>
        <w:rPr>
          <w:rFonts w:hint="default" w:ascii="Arial" w:hAnsi="Arial" w:cs="Arial"/>
          <w:sz w:val="22"/>
          <w:szCs w:val="22"/>
        </w:rPr>
        <w:t xml:space="preserve">assinatura e publicação do contrato.  </w:t>
      </w:r>
    </w:p>
    <w:p w14:paraId="630DF3D9">
      <w:pPr>
        <w:pStyle w:val="13"/>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color w:val="000000"/>
          <w:sz w:val="22"/>
          <w:szCs w:val="22"/>
        </w:rPr>
      </w:pPr>
      <w:r>
        <w:rPr>
          <w:rFonts w:hint="default" w:ascii="Arial" w:hAnsi="Arial" w:cs="Arial"/>
          <w:color w:val="000000"/>
          <w:sz w:val="22"/>
          <w:szCs w:val="22"/>
        </w:rPr>
        <w:t xml:space="preserve">A Secretaria de </w:t>
      </w:r>
      <w:r>
        <w:rPr>
          <w:rFonts w:hint="default" w:ascii="Arial" w:hAnsi="Arial" w:cs="Arial"/>
          <w:color w:val="000000"/>
          <w:sz w:val="22"/>
          <w:szCs w:val="22"/>
          <w:lang w:val="pt-BR"/>
        </w:rPr>
        <w:t>Educação i</w:t>
      </w:r>
      <w:r>
        <w:rPr>
          <w:rFonts w:hint="default" w:ascii="Arial" w:hAnsi="Arial" w:cs="Arial"/>
          <w:color w:val="000000"/>
          <w:sz w:val="22"/>
          <w:szCs w:val="22"/>
        </w:rPr>
        <w:t>ndicará servidores para atuarem como gestor e fiscal do contrato.</w:t>
      </w:r>
    </w:p>
    <w:p w14:paraId="1275F8FD">
      <w:pPr>
        <w:pStyle w:val="13"/>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b/>
          <w:bCs/>
          <w:color w:val="000000"/>
          <w:sz w:val="22"/>
          <w:szCs w:val="22"/>
        </w:rPr>
      </w:pPr>
    </w:p>
    <w:p w14:paraId="05740667">
      <w:pPr>
        <w:pStyle w:val="13"/>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b/>
          <w:bCs/>
          <w:color w:val="000000"/>
          <w:sz w:val="22"/>
          <w:szCs w:val="22"/>
        </w:rPr>
      </w:pPr>
      <w:r>
        <w:rPr>
          <w:rFonts w:hint="default" w:ascii="Arial" w:hAnsi="Arial" w:cs="Arial"/>
          <w:b/>
          <w:bCs/>
          <w:color w:val="000000"/>
          <w:sz w:val="22"/>
          <w:szCs w:val="22"/>
        </w:rPr>
        <w:t>11. CONTRATAÇÕES CORRELATAS E/OU INTERDEPENDENTES</w:t>
      </w:r>
    </w:p>
    <w:p w14:paraId="186CDFEC">
      <w:pPr>
        <w:pStyle w:val="13"/>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b/>
          <w:bCs/>
          <w:color w:val="000000"/>
          <w:sz w:val="22"/>
          <w:szCs w:val="22"/>
        </w:rPr>
      </w:pPr>
      <w:r>
        <w:rPr>
          <w:rFonts w:hint="default" w:ascii="Arial" w:hAnsi="Arial" w:cs="Arial"/>
          <w:sz w:val="22"/>
          <w:szCs w:val="22"/>
        </w:rPr>
        <w:t>Este estudo não identificou a necessidade de realizar contratações acessórias para a perfeita execução do objeto, uma vez que todos os meios necessários para a aquisição/operacionalização dos serviços podem ser supridos apenas com a contratação ora proposta.</w:t>
      </w:r>
      <w:r>
        <w:rPr>
          <w:rFonts w:hint="default" w:ascii="Arial" w:hAnsi="Arial" w:cs="Arial"/>
          <w:sz w:val="22"/>
          <w:szCs w:val="22"/>
          <w:lang w:val="pt-BR"/>
        </w:rPr>
        <w:t xml:space="preserve"> </w:t>
      </w:r>
      <w:r>
        <w:rPr>
          <w:rFonts w:hint="default" w:ascii="Arial" w:hAnsi="Arial" w:cs="Arial"/>
          <w:sz w:val="22"/>
          <w:szCs w:val="22"/>
        </w:rPr>
        <w:t>Os</w:t>
      </w:r>
      <w:r>
        <w:rPr>
          <w:rFonts w:hint="default" w:ascii="Arial" w:hAnsi="Arial" w:cs="Arial"/>
          <w:sz w:val="22"/>
          <w:szCs w:val="22"/>
          <w:lang w:val="pt-BR"/>
        </w:rPr>
        <w:t xml:space="preserve"> </w:t>
      </w:r>
      <w:r>
        <w:rPr>
          <w:rFonts w:hint="default" w:ascii="Arial" w:hAnsi="Arial" w:cs="Arial"/>
          <w:sz w:val="22"/>
          <w:szCs w:val="22"/>
        </w:rPr>
        <w:t>serviços que se pretende, portanto, são autônomos e prescindem de contratações correlatas ou interdependentes.</w:t>
      </w:r>
      <w:bookmarkStart w:id="10" w:name="art18§1xii"/>
      <w:bookmarkEnd w:id="10"/>
    </w:p>
    <w:p w14:paraId="3C702EA1">
      <w:pPr>
        <w:pStyle w:val="13"/>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b/>
          <w:bCs/>
          <w:color w:val="000000"/>
          <w:sz w:val="22"/>
          <w:szCs w:val="22"/>
        </w:rPr>
      </w:pPr>
      <w:r>
        <w:rPr>
          <w:rFonts w:hint="default" w:ascii="Arial" w:hAnsi="Arial" w:cs="Arial"/>
          <w:b/>
          <w:bCs/>
          <w:color w:val="000000"/>
          <w:sz w:val="22"/>
          <w:szCs w:val="22"/>
        </w:rPr>
        <w:t xml:space="preserve">12. POSSÍVEIS IMPACTOS AMBIENTAIS </w:t>
      </w:r>
    </w:p>
    <w:p w14:paraId="3E71DF7F">
      <w:pPr>
        <w:pStyle w:val="13"/>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color w:val="000000"/>
          <w:sz w:val="22"/>
          <w:szCs w:val="22"/>
        </w:rPr>
      </w:pPr>
      <w:r>
        <w:rPr>
          <w:rFonts w:hint="default" w:ascii="Arial" w:hAnsi="Arial" w:cs="Arial"/>
          <w:sz w:val="22"/>
          <w:szCs w:val="22"/>
          <w:lang w:val="pt-BR"/>
        </w:rPr>
        <w:t>Não v</w:t>
      </w:r>
      <w:r>
        <w:rPr>
          <w:rFonts w:hint="default" w:ascii="Arial" w:hAnsi="Arial" w:cs="Arial"/>
          <w:sz w:val="22"/>
          <w:szCs w:val="22"/>
        </w:rPr>
        <w:t>islumbram-se impactos ambientais provenientes desta contratação</w:t>
      </w:r>
      <w:r>
        <w:rPr>
          <w:rFonts w:hint="default" w:ascii="Arial" w:hAnsi="Arial" w:cs="Arial"/>
          <w:sz w:val="22"/>
          <w:szCs w:val="22"/>
          <w:lang w:val="pt-BR"/>
        </w:rPr>
        <w:t>.</w:t>
      </w:r>
      <w:r>
        <w:rPr>
          <w:rFonts w:hint="default" w:ascii="Arial" w:hAnsi="Arial" w:cs="Arial"/>
          <w:color w:val="000000"/>
          <w:sz w:val="22"/>
          <w:szCs w:val="22"/>
        </w:rPr>
        <w:t>Orientações complementares acerca da sustentabilidade da prestação almejada poderão ser repassadas pela fiscalização competente.</w:t>
      </w:r>
    </w:p>
    <w:p w14:paraId="519555C4">
      <w:pPr>
        <w:pStyle w:val="13"/>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color w:val="000000"/>
          <w:sz w:val="22"/>
          <w:szCs w:val="22"/>
        </w:rPr>
      </w:pPr>
    </w:p>
    <w:p w14:paraId="517D981B">
      <w:pPr>
        <w:pStyle w:val="13"/>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b/>
          <w:bCs/>
          <w:color w:val="000000"/>
          <w:sz w:val="22"/>
          <w:szCs w:val="22"/>
        </w:rPr>
      </w:pPr>
      <w:bookmarkStart w:id="11" w:name="art18§1xiii"/>
      <w:bookmarkEnd w:id="11"/>
      <w:r>
        <w:rPr>
          <w:rFonts w:hint="default" w:ascii="Arial" w:hAnsi="Arial" w:cs="Arial"/>
          <w:b/>
          <w:bCs/>
          <w:color w:val="000000"/>
          <w:sz w:val="22"/>
          <w:szCs w:val="22"/>
        </w:rPr>
        <w:t xml:space="preserve">13. DECLARAÇÃO DE VIABILIDADE </w:t>
      </w:r>
    </w:p>
    <w:p w14:paraId="50FF3F92">
      <w:pPr>
        <w:pStyle w:val="13"/>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Arial" w:hAnsi="Arial" w:cs="Arial"/>
          <w:b/>
          <w:bCs/>
          <w:color w:val="000000"/>
          <w:sz w:val="22"/>
          <w:szCs w:val="22"/>
        </w:rPr>
      </w:pPr>
      <w:r>
        <w:rPr>
          <w:rFonts w:hint="default" w:ascii="Arial" w:hAnsi="Arial" w:cs="Arial"/>
          <w:sz w:val="22"/>
          <w:szCs w:val="22"/>
        </w:rPr>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23A27E20">
      <w:pPr>
        <w:keepNext w:val="0"/>
        <w:keepLines w:val="0"/>
        <w:pageBreakBefore w:val="0"/>
        <w:widowControl/>
        <w:tabs>
          <w:tab w:val="left" w:pos="1134"/>
        </w:tabs>
        <w:kinsoku/>
        <w:wordWrap/>
        <w:overflowPunct/>
        <w:topLinePunct w:val="0"/>
        <w:autoSpaceDE/>
        <w:autoSpaceDN/>
        <w:bidi w:val="0"/>
        <w:adjustRightInd/>
        <w:snapToGrid/>
        <w:spacing w:after="0" w:line="360" w:lineRule="auto"/>
        <w:jc w:val="both"/>
        <w:textAlignment w:val="auto"/>
        <w:rPr>
          <w:rFonts w:hint="default" w:ascii="Arial" w:hAnsi="Arial" w:cs="Arial"/>
          <w:sz w:val="22"/>
          <w:szCs w:val="22"/>
        </w:rPr>
      </w:pPr>
    </w:p>
    <w:p w14:paraId="18A39F14">
      <w:pPr>
        <w:spacing w:line="360" w:lineRule="auto"/>
        <w:jc w:val="right"/>
        <w:rPr>
          <w:rFonts w:hint="default" w:ascii="Arial" w:hAnsi="Arial" w:eastAsia="SimSun" w:cs="Arial"/>
          <w:sz w:val="22"/>
          <w:szCs w:val="22"/>
          <w:lang w:val="pt-BR" w:eastAsia="pt-BR" w:bidi="ar-SA"/>
        </w:rPr>
      </w:pPr>
      <w:r>
        <w:rPr>
          <w:rFonts w:hint="default" w:ascii="Arial" w:hAnsi="Arial" w:eastAsia="SimSun" w:cs="Arial"/>
          <w:sz w:val="22"/>
          <w:szCs w:val="22"/>
          <w:lang w:val="pt-BR" w:eastAsia="pt-BR" w:bidi="ar-SA"/>
        </w:rPr>
        <w:t xml:space="preserve">Teutônia, </w:t>
      </w:r>
      <w:r>
        <w:rPr>
          <w:rFonts w:hint="default" w:ascii="Arial" w:hAnsi="Arial" w:eastAsia="SimSun" w:cs="Arial"/>
          <w:sz w:val="22"/>
          <w:szCs w:val="22"/>
          <w:lang w:val="en-US" w:eastAsia="pt-BR" w:bidi="ar-SA"/>
        </w:rPr>
        <w:t xml:space="preserve">17 </w:t>
      </w:r>
      <w:r>
        <w:rPr>
          <w:rFonts w:hint="default" w:ascii="Arial" w:hAnsi="Arial" w:eastAsia="SimSun" w:cs="Arial"/>
          <w:sz w:val="22"/>
          <w:szCs w:val="22"/>
          <w:lang w:val="pt-BR" w:eastAsia="pt-BR" w:bidi="ar-SA"/>
        </w:rPr>
        <w:t xml:space="preserve">de </w:t>
      </w:r>
      <w:r>
        <w:rPr>
          <w:rFonts w:hint="default" w:ascii="Arial" w:hAnsi="Arial" w:eastAsia="SimSun" w:cs="Arial"/>
          <w:sz w:val="22"/>
          <w:szCs w:val="22"/>
          <w:lang w:val="en-US" w:eastAsia="pt-BR" w:bidi="ar-SA"/>
        </w:rPr>
        <w:t xml:space="preserve">setembro </w:t>
      </w:r>
      <w:r>
        <w:rPr>
          <w:rFonts w:hint="default" w:ascii="Arial" w:hAnsi="Arial" w:eastAsia="SimSun" w:cs="Arial"/>
          <w:sz w:val="22"/>
          <w:szCs w:val="22"/>
          <w:lang w:val="pt-BR" w:eastAsia="pt-BR" w:bidi="ar-SA"/>
        </w:rPr>
        <w:t>de 2025.</w:t>
      </w:r>
    </w:p>
    <w:p w14:paraId="243D905C">
      <w:pPr>
        <w:spacing w:line="360" w:lineRule="auto"/>
        <w:jc w:val="both"/>
        <w:rPr>
          <w:sz w:val="20"/>
        </w:rPr>
      </w:pPr>
    </w:p>
    <w:p w14:paraId="551F3DB7">
      <w:pPr>
        <w:spacing w:line="360" w:lineRule="auto"/>
        <w:jc w:val="both"/>
        <w:rPr>
          <w:sz w:val="20"/>
        </w:rPr>
      </w:pPr>
    </w:p>
    <w:tbl>
      <w:tblPr>
        <w:tblStyle w:val="9"/>
        <w:tblW w:w="9287" w:type="dxa"/>
        <w:tblInd w:w="0" w:type="dxa"/>
        <w:tblLayout w:type="fixed"/>
        <w:tblCellMar>
          <w:top w:w="0" w:type="dxa"/>
          <w:left w:w="108" w:type="dxa"/>
          <w:bottom w:w="0" w:type="dxa"/>
          <w:right w:w="108" w:type="dxa"/>
        </w:tblCellMar>
      </w:tblPr>
      <w:tblGrid>
        <w:gridCol w:w="4643"/>
        <w:gridCol w:w="4644"/>
      </w:tblGrid>
      <w:tr w14:paraId="75B2322E">
        <w:tblPrEx>
          <w:tblCellMar>
            <w:top w:w="0" w:type="dxa"/>
            <w:left w:w="108" w:type="dxa"/>
            <w:bottom w:w="0" w:type="dxa"/>
            <w:right w:w="108" w:type="dxa"/>
          </w:tblCellMar>
        </w:tblPrEx>
        <w:tc>
          <w:tcPr>
            <w:tcW w:w="4643" w:type="dxa"/>
            <w:tcBorders>
              <w:top w:val="nil"/>
              <w:left w:val="nil"/>
              <w:bottom w:val="nil"/>
              <w:right w:val="nil"/>
            </w:tcBorders>
          </w:tcPr>
          <w:p w14:paraId="79C07586">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eastAsia="SimSun" w:cs="Arial"/>
                <w:sz w:val="18"/>
                <w:szCs w:val="18"/>
                <w:lang w:val="pt-BR" w:eastAsia="pt-BR" w:bidi="ar-SA"/>
              </w:rPr>
            </w:pPr>
            <w:r>
              <w:rPr>
                <w:rFonts w:hint="default" w:ascii="Arial" w:hAnsi="Arial" w:eastAsia="SimSun" w:cs="Arial"/>
                <w:sz w:val="18"/>
                <w:szCs w:val="18"/>
                <w:lang w:val="pt-BR" w:eastAsia="pt-BR" w:bidi="ar-SA"/>
              </w:rPr>
              <w:t>Rafaela Allebrandt</w:t>
            </w:r>
          </w:p>
          <w:p w14:paraId="62ACB40B">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eastAsia="SimSun" w:cs="Arial"/>
                <w:sz w:val="18"/>
                <w:szCs w:val="18"/>
                <w:lang w:val="pt-BR" w:eastAsia="pt-BR" w:bidi="ar-SA"/>
              </w:rPr>
            </w:pPr>
            <w:r>
              <w:rPr>
                <w:rFonts w:hint="default" w:ascii="Arial" w:hAnsi="Arial" w:eastAsia="SimSun" w:cs="Arial"/>
                <w:sz w:val="18"/>
                <w:szCs w:val="18"/>
                <w:lang w:val="pt-BR" w:eastAsia="pt-BR" w:bidi="ar-SA"/>
              </w:rPr>
              <w:t>Agente Administrativa - redatora do ETP</w:t>
            </w:r>
          </w:p>
        </w:tc>
        <w:tc>
          <w:tcPr>
            <w:tcW w:w="4644" w:type="dxa"/>
            <w:tcBorders>
              <w:top w:val="nil"/>
              <w:left w:val="nil"/>
              <w:bottom w:val="nil"/>
              <w:right w:val="nil"/>
            </w:tcBorders>
          </w:tcPr>
          <w:p w14:paraId="28FCE86E">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eastAsia="SimSun" w:cs="Arial"/>
                <w:sz w:val="18"/>
                <w:szCs w:val="18"/>
                <w:lang w:val="pt-BR" w:eastAsia="pt-BR" w:bidi="ar-SA"/>
              </w:rPr>
            </w:pPr>
            <w:r>
              <w:rPr>
                <w:rFonts w:hint="default" w:ascii="Arial" w:hAnsi="Arial" w:eastAsia="SimSun" w:cs="Arial"/>
                <w:sz w:val="18"/>
                <w:szCs w:val="18"/>
                <w:lang w:val="pt-BR" w:eastAsia="pt-BR" w:bidi="ar-SA"/>
              </w:rPr>
              <w:t>Evandro Biondo</w:t>
            </w:r>
          </w:p>
          <w:p w14:paraId="3753E40A">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eastAsia="SimSun" w:cs="Arial"/>
                <w:sz w:val="18"/>
                <w:szCs w:val="18"/>
                <w:lang w:val="pt-BR" w:eastAsia="pt-BR" w:bidi="ar-SA"/>
              </w:rPr>
            </w:pPr>
            <w:r>
              <w:rPr>
                <w:rFonts w:hint="default" w:ascii="Arial" w:hAnsi="Arial" w:eastAsia="SimSun" w:cs="Arial"/>
                <w:sz w:val="18"/>
                <w:szCs w:val="18"/>
                <w:lang w:val="pt-BR" w:eastAsia="pt-BR" w:bidi="ar-SA"/>
              </w:rPr>
              <w:t>Secretário Municipal de Educação.</w:t>
            </w:r>
          </w:p>
        </w:tc>
      </w:tr>
      <w:tr w14:paraId="0207F35D">
        <w:tblPrEx>
          <w:tblCellMar>
            <w:top w:w="0" w:type="dxa"/>
            <w:left w:w="108" w:type="dxa"/>
            <w:bottom w:w="0" w:type="dxa"/>
            <w:right w:w="108" w:type="dxa"/>
          </w:tblCellMar>
        </w:tblPrEx>
        <w:trPr>
          <w:trHeight w:val="1592" w:hRule="atLeast"/>
        </w:trPr>
        <w:tc>
          <w:tcPr>
            <w:tcW w:w="4643" w:type="dxa"/>
            <w:tcBorders>
              <w:top w:val="nil"/>
              <w:left w:val="nil"/>
              <w:bottom w:val="nil"/>
              <w:right w:val="nil"/>
            </w:tcBorders>
          </w:tcPr>
          <w:p w14:paraId="34A8FE1A">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eastAsia="SimSun" w:cs="Arial"/>
                <w:sz w:val="18"/>
                <w:szCs w:val="18"/>
                <w:lang w:val="pt-BR" w:eastAsia="pt-BR" w:bidi="ar-SA"/>
              </w:rPr>
            </w:pPr>
          </w:p>
          <w:p w14:paraId="45F2E9A6">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eastAsia="SimSun" w:cs="Arial"/>
                <w:sz w:val="18"/>
                <w:szCs w:val="18"/>
                <w:lang w:val="pt-BR" w:eastAsia="pt-BR" w:bidi="ar-SA"/>
              </w:rPr>
            </w:pPr>
          </w:p>
          <w:p w14:paraId="1C68435C">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eastAsia="SimSun" w:cs="Arial"/>
                <w:sz w:val="18"/>
                <w:szCs w:val="18"/>
                <w:lang w:val="pt-BR" w:eastAsia="pt-BR" w:bidi="ar-SA"/>
              </w:rPr>
            </w:pPr>
          </w:p>
          <w:p w14:paraId="71969B51">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eastAsia="SimSun" w:cs="Arial"/>
                <w:sz w:val="18"/>
                <w:szCs w:val="18"/>
                <w:lang w:val="pt-BR" w:eastAsia="pt-BR" w:bidi="ar-SA"/>
              </w:rPr>
            </w:pPr>
            <w:r>
              <w:rPr>
                <w:rFonts w:hint="default" w:ascii="Arial" w:hAnsi="Arial" w:eastAsia="SimSun" w:cs="Arial"/>
                <w:sz w:val="18"/>
                <w:szCs w:val="18"/>
                <w:lang w:val="pt-BR" w:eastAsia="pt-BR" w:bidi="ar-SA"/>
              </w:rPr>
              <w:t>Leandra Gomes Gonçalves</w:t>
            </w:r>
          </w:p>
          <w:p w14:paraId="478E5690">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eastAsia="SimSun" w:cs="Arial"/>
                <w:sz w:val="18"/>
                <w:szCs w:val="18"/>
                <w:lang w:val="pt-BR" w:eastAsia="pt-BR" w:bidi="ar-SA"/>
              </w:rPr>
            </w:pPr>
            <w:r>
              <w:rPr>
                <w:rFonts w:hint="default" w:ascii="Arial" w:hAnsi="Arial" w:eastAsia="SimSun" w:cs="Arial"/>
                <w:sz w:val="18"/>
                <w:szCs w:val="18"/>
                <w:lang w:val="pt-BR" w:eastAsia="pt-BR" w:bidi="ar-SA"/>
              </w:rPr>
              <w:t>Coordenadora Pedagógica</w:t>
            </w:r>
          </w:p>
        </w:tc>
        <w:tc>
          <w:tcPr>
            <w:tcW w:w="4644" w:type="dxa"/>
            <w:tcBorders>
              <w:top w:val="nil"/>
              <w:left w:val="nil"/>
              <w:bottom w:val="nil"/>
              <w:right w:val="nil"/>
            </w:tcBorders>
          </w:tcPr>
          <w:p w14:paraId="71D2B1C6">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eastAsia="SimSun" w:cs="Arial"/>
                <w:sz w:val="18"/>
                <w:szCs w:val="18"/>
                <w:lang w:val="pt-BR" w:eastAsia="pt-BR" w:bidi="ar-SA"/>
              </w:rPr>
            </w:pPr>
          </w:p>
          <w:p w14:paraId="377877A0">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eastAsia="SimSun" w:cs="Arial"/>
                <w:sz w:val="18"/>
                <w:szCs w:val="18"/>
                <w:lang w:val="pt-BR" w:eastAsia="pt-BR" w:bidi="ar-SA"/>
              </w:rPr>
            </w:pPr>
          </w:p>
          <w:p w14:paraId="4745E8B0">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Arial" w:hAnsi="Arial" w:eastAsia="SimSun" w:cs="Arial"/>
                <w:sz w:val="18"/>
                <w:szCs w:val="18"/>
                <w:lang w:val="pt-BR" w:eastAsia="pt-BR" w:bidi="ar-SA"/>
              </w:rPr>
            </w:pPr>
          </w:p>
        </w:tc>
      </w:tr>
    </w:tbl>
    <w:p w14:paraId="0C374424">
      <w:pPr>
        <w:keepNext w:val="0"/>
        <w:keepLines w:val="0"/>
        <w:pageBreakBefore w:val="0"/>
        <w:widowControl/>
        <w:kinsoku/>
        <w:wordWrap/>
        <w:overflowPunct/>
        <w:topLinePunct w:val="0"/>
        <w:autoSpaceDE/>
        <w:autoSpaceDN/>
        <w:bidi w:val="0"/>
        <w:adjustRightInd/>
        <w:snapToGrid/>
        <w:spacing w:after="0"/>
        <w:textAlignment w:val="auto"/>
      </w:pPr>
    </w:p>
    <w:sectPr>
      <w:headerReference r:id="rId7" w:type="first"/>
      <w:footerReference r:id="rId10" w:type="first"/>
      <w:headerReference r:id="rId5" w:type="default"/>
      <w:footerReference r:id="rId8" w:type="default"/>
      <w:headerReference r:id="rId6" w:type="even"/>
      <w:footerReference r:id="rId9" w:type="even"/>
      <w:pgSz w:w="11906" w:h="16838"/>
      <w:pgMar w:top="398" w:right="1440" w:bottom="1440" w:left="1560" w:header="170" w:footer="43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Georgia">
    <w:panose1 w:val="02040502050405020303"/>
    <w:charset w:val="00"/>
    <w:family w:val="roman"/>
    <w:pitch w:val="default"/>
    <w:sig w:usb0="00000287" w:usb1="00000000" w:usb2="00000000" w:usb3="00000000" w:csb0="2000009F" w:csb1="00000000"/>
  </w:font>
  <w:font w:name="Quire Sans Pro Light">
    <w:altName w:val="Liberation Mono"/>
    <w:panose1 w:val="00000000000000000000"/>
    <w:charset w:val="00"/>
    <w:family w:val="swiss"/>
    <w:pitch w:val="default"/>
    <w:sig w:usb0="00000000" w:usb1="00000000" w:usb2="00000000" w:usb3="00000000" w:csb0="00000001" w:csb1="00000000"/>
  </w:font>
  <w:font w:name="Montserrat">
    <w:altName w:val="Times New Roman"/>
    <w:panose1 w:val="00000000000000000000"/>
    <w:charset w:val="00"/>
    <w:family w:val="auto"/>
    <w:pitch w:val="default"/>
    <w:sig w:usb0="00000000" w:usb1="00000000" w:usb2="00000000" w:usb3="00000000" w:csb0="00000197" w:csb1="00000000"/>
  </w:font>
  <w:font w:name="Liberation Mono">
    <w:panose1 w:val="02070409020205020404"/>
    <w:charset w:val="00"/>
    <w:family w:val="auto"/>
    <w:pitch w:val="default"/>
    <w:sig w:usb0="E0000AFF" w:usb1="400078FF" w:usb2="00000001" w:usb3="00000000" w:csb0="600001BF" w:csb1="DFF70000"/>
  </w:font>
  <w:font w:name="Wingdings">
    <w:panose1 w:val="05000000000000000000"/>
    <w:charset w:val="00"/>
    <w:family w:val="auto"/>
    <w:pitch w:val="default"/>
    <w:sig w:usb0="00000000" w:usb1="00000000" w:usb2="00000000" w:usb3="00000000" w:csb0="80000000" w:csb1="00000000"/>
  </w:font>
  <w:font w:name="sans-serif">
    <w:altName w:val="Liberation Mono"/>
    <w:panose1 w:val="00000000000000000000"/>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8BC1E">
    <w:pPr>
      <w:tabs>
        <w:tab w:val="center" w:pos="4680"/>
        <w:tab w:val="right" w:pos="10050"/>
      </w:tabs>
      <w:spacing w:after="0" w:line="240" w:lineRule="auto"/>
      <w:ind w:left="-992" w:right="-1032"/>
      <w:jc w:val="center"/>
      <w:rPr>
        <w:rFonts w:ascii="Montserrat" w:hAnsi="Montserrat" w:eastAsia="Montserrat" w:cs="Montserrat"/>
        <w:color w:val="1155CC"/>
        <w:sz w:val="20"/>
        <w:szCs w:val="20"/>
      </w:rPr>
    </w:pPr>
    <w:r>
      <w:rPr>
        <w:rFonts w:ascii="Montserrat" w:hAnsi="Montserrat" w:eastAsia="Montserrat" w:cs="Montserrat"/>
        <w:color w:val="1155CC"/>
        <w:sz w:val="20"/>
        <w:szCs w:val="20"/>
      </w:rPr>
      <w:t xml:space="preserve">Av. 1 Oeste, 878, Bairro Centro Administrativo, Teutônia | RS | (51) 3762-7700  </w:t>
    </w:r>
  </w:p>
  <w:p w14:paraId="021B5D99">
    <w:pPr>
      <w:pStyle w:val="15"/>
      <w:jc w:val="center"/>
    </w:pPr>
    <w:r>
      <w:rPr>
        <w:rFonts w:ascii="Montserrat" w:hAnsi="Montserrat" w:eastAsia="Montserrat" w:cs="Montserrat"/>
        <w:color w:val="1155CC"/>
        <w:sz w:val="20"/>
        <w:szCs w:val="20"/>
      </w:rPr>
      <w:t>e-mail: licita@teutonia.rs.gov.br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FC03CD">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F130A">
    <w:pPr>
      <w:pStyle w:val="1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26"/>
      <w:tblW w:w="9090" w:type="dxa"/>
      <w:jc w:val="center"/>
      <w:tblLayout w:type="fixed"/>
      <w:tblCellMar>
        <w:top w:w="0" w:type="dxa"/>
        <w:left w:w="108" w:type="dxa"/>
        <w:bottom w:w="0" w:type="dxa"/>
        <w:right w:w="108" w:type="dxa"/>
      </w:tblCellMar>
    </w:tblPr>
    <w:tblGrid>
      <w:gridCol w:w="9090"/>
    </w:tblGrid>
    <w:tr w14:paraId="773C57CF">
      <w:tblPrEx>
        <w:tblCellMar>
          <w:top w:w="0" w:type="dxa"/>
          <w:left w:w="108" w:type="dxa"/>
          <w:bottom w:w="0" w:type="dxa"/>
          <w:right w:w="108" w:type="dxa"/>
        </w:tblCellMar>
      </w:tblPrEx>
      <w:trPr>
        <w:trHeight w:val="1277" w:hRule="atLeast"/>
        <w:jc w:val="center"/>
      </w:trPr>
      <w:tc>
        <w:tcPr>
          <w:tcW w:w="9090" w:type="dxa"/>
          <w:tcBorders>
            <w:top w:val="nil"/>
            <w:left w:val="nil"/>
            <w:bottom w:val="nil"/>
            <w:right w:val="nil"/>
          </w:tcBorders>
        </w:tcPr>
        <w:p w14:paraId="63F70FF6">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spacing w:after="0" w:line="240" w:lineRule="auto"/>
            <w:ind w:left="-1417"/>
            <w:jc w:val="center"/>
            <w:rPr>
              <w:rFonts w:ascii="Quire Sans Pro Light" w:hAnsi="Quire Sans Pro Light" w:eastAsia="Quire Sans Pro Light" w:cs="Quire Sans Pro Light"/>
              <w:b/>
              <w:color w:val="E283AE"/>
              <w:sz w:val="32"/>
              <w:szCs w:val="32"/>
            </w:rPr>
          </w:pPr>
          <w:r>
            <w:t xml:space="preserve">                          </w:t>
          </w:r>
          <w:r>
            <w:drawing>
              <wp:inline distT="114300" distB="114300" distL="114300" distR="114300">
                <wp:extent cx="3674110" cy="1130300"/>
                <wp:effectExtent l="0" t="0" r="0" b="0"/>
                <wp:docPr id="751185123" name="image1.png"/>
                <wp:cNvGraphicFramePr/>
                <a:graphic xmlns:a="http://schemas.openxmlformats.org/drawingml/2006/main">
                  <a:graphicData uri="http://schemas.openxmlformats.org/drawingml/2006/picture">
                    <pic:pic xmlns:pic="http://schemas.openxmlformats.org/drawingml/2006/picture">
                      <pic:nvPicPr>
                        <pic:cNvPr id="751185123"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14:paraId="7DF66098">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spacing w:after="0" w:line="240" w:lineRule="auto"/>
      <w:rPr>
        <w:color w:val="000000"/>
      </w:rPr>
    </w:pPr>
    <w:r>
      <w:drawing>
        <wp:anchor distT="0" distB="0" distL="114300" distR="114300" simplePos="0" relativeHeight="251659264" behindDoc="1" locked="0" layoutInCell="1" allowOverlap="1">
          <wp:simplePos x="0" y="0"/>
          <wp:positionH relativeFrom="margin">
            <wp:align>center</wp:align>
          </wp:positionH>
          <wp:positionV relativeFrom="margin">
            <wp:posOffset>-163830</wp:posOffset>
          </wp:positionV>
          <wp:extent cx="5661025" cy="7921625"/>
          <wp:effectExtent l="0" t="0" r="15875" b="3175"/>
          <wp:wrapNone/>
          <wp:docPr id="1" name="WordPictureWatermark1" descr="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 descr="image3"/>
                  <pic:cNvPicPr>
                    <a:picLocks noChangeAspect="1"/>
                  </pic:cNvPicPr>
                </pic:nvPicPr>
                <pic:blipFill>
                  <a:blip r:embed="rId2">
                    <a:lum bright="70001" contrast="-70000"/>
                  </a:blip>
                  <a:stretch>
                    <a:fillRect/>
                  </a:stretch>
                </pic:blipFill>
                <pic:spPr>
                  <a:xfrm>
                    <a:off x="0" y="0"/>
                    <a:ext cx="5661025" cy="7921625"/>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B001C">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B1D76">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D2CAEA"/>
    <w:multiLevelType w:val="singleLevel"/>
    <w:tmpl w:val="84D2CAEA"/>
    <w:lvl w:ilvl="0" w:tentative="0">
      <w:start w:val="1"/>
      <w:numFmt w:val="lowerLetter"/>
      <w:lvlText w:val="%1)"/>
      <w:lvlJc w:val="left"/>
      <w:pPr>
        <w:tabs>
          <w:tab w:val="left" w:pos="425"/>
        </w:tabs>
        <w:ind w:left="425" w:leftChars="0" w:hanging="425" w:firstLineChars="0"/>
      </w:pPr>
      <w:rPr>
        <w:rFonts w:hint="default"/>
      </w:rPr>
    </w:lvl>
  </w:abstractNum>
  <w:abstractNum w:abstractNumId="1">
    <w:nsid w:val="278A5C6A"/>
    <w:multiLevelType w:val="singleLevel"/>
    <w:tmpl w:val="278A5C6A"/>
    <w:lvl w:ilvl="0" w:tentative="0">
      <w:start w:val="1"/>
      <w:numFmt w:val="bullet"/>
      <w:lvlText w:val=""/>
      <w:lvlJc w:val="left"/>
      <w:pPr>
        <w:tabs>
          <w:tab w:val="left" w:pos="1260"/>
        </w:tabs>
        <w:ind w:left="1260" w:leftChars="0" w:hanging="420" w:firstLineChars="0"/>
      </w:pPr>
      <w:rPr>
        <w:rFonts w:hint="default" w:ascii="Wingdings" w:hAnsi="Wingdings" w:cs="Wingdings"/>
        <w:sz w:val="16"/>
      </w:rPr>
    </w:lvl>
  </w:abstractNum>
  <w:abstractNum w:abstractNumId="2">
    <w:nsid w:val="538F192F"/>
    <w:multiLevelType w:val="singleLevel"/>
    <w:tmpl w:val="538F192F"/>
    <w:lvl w:ilvl="0" w:tentative="0">
      <w:start w:val="1"/>
      <w:numFmt w:val="lowerLetter"/>
      <w:lvlText w:val="%1)"/>
      <w:lvlJc w:val="left"/>
      <w:pPr>
        <w:tabs>
          <w:tab w:val="left" w:pos="425"/>
        </w:tabs>
        <w:ind w:left="425" w:hanging="425"/>
      </w:pPr>
      <w:rPr>
        <w:rFonts w:hint="default"/>
      </w:rPr>
    </w:lvl>
  </w:abstractNum>
  <w:abstractNum w:abstractNumId="3">
    <w:nsid w:val="61D948FC"/>
    <w:multiLevelType w:val="multilevel"/>
    <w:tmpl w:val="61D948FC"/>
    <w:lvl w:ilvl="0" w:tentative="0">
      <w:start w:val="1"/>
      <w:numFmt w:val="bullet"/>
      <w:lvlText w:val=""/>
      <w:lvlJc w:val="left"/>
      <w:pPr>
        <w:tabs>
          <w:tab w:val="left" w:pos="420"/>
        </w:tabs>
        <w:ind w:left="420" w:leftChars="0" w:hanging="420" w:firstLineChars="0"/>
      </w:pPr>
      <w:rPr>
        <w:rFonts w:hint="default" w:ascii="Wingdings" w:hAnsi="Wingdings" w:cs="Wingdings"/>
        <w:sz w:val="16"/>
      </w:rPr>
    </w:lvl>
    <w:lvl w:ilvl="1" w:tentative="0">
      <w:start w:val="1"/>
      <w:numFmt w:val="bullet"/>
      <w:lvlText w:val=""/>
      <w:lvlJc w:val="left"/>
      <w:pPr>
        <w:tabs>
          <w:tab w:val="left" w:pos="840"/>
        </w:tabs>
        <w:ind w:left="840" w:leftChars="0" w:hanging="420" w:firstLineChars="0"/>
      </w:pPr>
      <w:rPr>
        <w:rFonts w:hint="default" w:ascii="Wingdings" w:hAnsi="Wingdings"/>
      </w:rPr>
    </w:lvl>
    <w:lvl w:ilvl="2" w:tentative="0">
      <w:start w:val="1"/>
      <w:numFmt w:val="bullet"/>
      <w:lvlText w:val=""/>
      <w:lvlJc w:val="left"/>
      <w:pPr>
        <w:tabs>
          <w:tab w:val="left" w:pos="1260"/>
        </w:tabs>
        <w:ind w:left="1260" w:leftChars="0" w:hanging="420" w:firstLineChars="0"/>
      </w:pPr>
      <w:rPr>
        <w:rFonts w:hint="default" w:ascii="Wingdings" w:hAnsi="Wingdings"/>
      </w:rPr>
    </w:lvl>
    <w:lvl w:ilvl="3" w:tentative="0">
      <w:start w:val="1"/>
      <w:numFmt w:val="bullet"/>
      <w:lvlText w:val=""/>
      <w:lvlJc w:val="left"/>
      <w:pPr>
        <w:tabs>
          <w:tab w:val="left" w:pos="1680"/>
        </w:tabs>
        <w:ind w:left="1680" w:leftChars="0" w:hanging="420" w:firstLineChars="0"/>
      </w:pPr>
      <w:rPr>
        <w:rFonts w:hint="default" w:ascii="Wingdings" w:hAnsi="Wingdings"/>
      </w:rPr>
    </w:lvl>
    <w:lvl w:ilvl="4" w:tentative="0">
      <w:start w:val="1"/>
      <w:numFmt w:val="bullet"/>
      <w:lvlText w:val=""/>
      <w:lvlJc w:val="left"/>
      <w:pPr>
        <w:tabs>
          <w:tab w:val="left" w:pos="2100"/>
        </w:tabs>
        <w:ind w:left="2100" w:leftChars="0" w:hanging="420" w:firstLineChars="0"/>
      </w:pPr>
      <w:rPr>
        <w:rFonts w:hint="default" w:ascii="Wingdings" w:hAnsi="Wingdings"/>
      </w:rPr>
    </w:lvl>
    <w:lvl w:ilvl="5" w:tentative="0">
      <w:start w:val="1"/>
      <w:numFmt w:val="bullet"/>
      <w:lvlText w:val=""/>
      <w:lvlJc w:val="left"/>
      <w:pPr>
        <w:tabs>
          <w:tab w:val="left" w:pos="2520"/>
        </w:tabs>
        <w:ind w:left="2520" w:leftChars="0" w:hanging="420" w:firstLineChars="0"/>
      </w:pPr>
      <w:rPr>
        <w:rFonts w:hint="default" w:ascii="Wingdings" w:hAnsi="Wingdings"/>
      </w:rPr>
    </w:lvl>
    <w:lvl w:ilvl="6" w:tentative="0">
      <w:start w:val="1"/>
      <w:numFmt w:val="bullet"/>
      <w:lvlText w:val=""/>
      <w:lvlJc w:val="left"/>
      <w:pPr>
        <w:tabs>
          <w:tab w:val="left" w:pos="2940"/>
        </w:tabs>
        <w:ind w:left="2940" w:leftChars="0" w:hanging="420" w:firstLineChars="0"/>
      </w:pPr>
      <w:rPr>
        <w:rFonts w:hint="default" w:ascii="Wingdings" w:hAnsi="Wingdings"/>
      </w:rPr>
    </w:lvl>
    <w:lvl w:ilvl="7" w:tentative="0">
      <w:start w:val="1"/>
      <w:numFmt w:val="bullet"/>
      <w:lvlText w:val=""/>
      <w:lvlJc w:val="left"/>
      <w:pPr>
        <w:tabs>
          <w:tab w:val="left" w:pos="3360"/>
        </w:tabs>
        <w:ind w:left="3360" w:leftChars="0" w:hanging="420" w:firstLineChars="0"/>
      </w:pPr>
      <w:rPr>
        <w:rFonts w:hint="default" w:ascii="Wingdings" w:hAnsi="Wingdings"/>
      </w:rPr>
    </w:lvl>
    <w:lvl w:ilvl="8" w:tentative="0">
      <w:start w:val="1"/>
      <w:numFmt w:val="bullet"/>
      <w:lvlText w:val=""/>
      <w:lvlJc w:val="left"/>
      <w:pPr>
        <w:tabs>
          <w:tab w:val="left" w:pos="3780"/>
        </w:tabs>
        <w:ind w:left="3780" w:leftChars="0" w:hanging="420" w:firstLineChars="0"/>
      </w:pPr>
      <w:rPr>
        <w:rFonts w:hint="default" w:ascii="Wingdings" w:hAnsi="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hyphenationZone w:val="425"/>
  <w:displayHorizontalDrawingGridEvery w:val="1"/>
  <w:displayVerticalDrawingGridEvery w:val="1"/>
  <w:noPunctuationKerning w:val="1"/>
  <w:characterSpacingControl w:val="doNotCompress"/>
  <w:hdrShapeDefaults>
    <o:shapelayout v:ext="edit">
      <o:idmap v:ext="edit" data="1"/>
    </o:shapelayout>
  </w:hdrShapeDefaults>
  <w:footnotePr>
    <w:footnote w:id="0"/>
    <w:footnote w:id="1"/>
  </w:footnotePr>
  <w:endnotePr>
    <w:endnote w:id="0"/>
    <w:endnote w:id="1"/>
  </w:endnotePr>
  <w:compat>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05C7"/>
    <w:rsid w:val="000D30D1"/>
    <w:rsid w:val="00297F68"/>
    <w:rsid w:val="00305A3F"/>
    <w:rsid w:val="004D27E2"/>
    <w:rsid w:val="005A7840"/>
    <w:rsid w:val="00710BDD"/>
    <w:rsid w:val="0079516A"/>
    <w:rsid w:val="008A7458"/>
    <w:rsid w:val="008E6A0D"/>
    <w:rsid w:val="009E6F53"/>
    <w:rsid w:val="00A77C75"/>
    <w:rsid w:val="00A85D9E"/>
    <w:rsid w:val="00AD0487"/>
    <w:rsid w:val="00B02493"/>
    <w:rsid w:val="00B039BC"/>
    <w:rsid w:val="00C73FB5"/>
    <w:rsid w:val="00DD05C7"/>
    <w:rsid w:val="00E278AF"/>
    <w:rsid w:val="019348BC"/>
    <w:rsid w:val="01BB2CC6"/>
    <w:rsid w:val="073D5515"/>
    <w:rsid w:val="40F23EF4"/>
    <w:rsid w:val="47D91483"/>
    <w:rsid w:val="4B496D45"/>
    <w:rsid w:val="4DB2236A"/>
    <w:rsid w:val="738B6AD5"/>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iPriority="99"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Calibri" w:hAnsi="Calibri" w:eastAsia="Calibri" w:cs="Calibri"/>
      <w:sz w:val="22"/>
      <w:szCs w:val="22"/>
      <w:lang w:val="pt-BR" w:eastAsia="pt-BR"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Hyperlink"/>
    <w:basedOn w:val="8"/>
    <w:unhideWhenUsed/>
    <w:qFormat/>
    <w:uiPriority w:val="99"/>
    <w:rPr>
      <w:color w:val="0563C1"/>
      <w:u w:val="single"/>
    </w:rPr>
  </w:style>
  <w:style w:type="paragraph" w:styleId="11">
    <w:name w:val="Body Text"/>
    <w:basedOn w:val="1"/>
    <w:link w:val="28"/>
    <w:qFormat/>
    <w:uiPriority w:val="0"/>
    <w:pPr>
      <w:spacing w:after="120" w:line="240" w:lineRule="auto"/>
    </w:pPr>
    <w:rPr>
      <w:rFonts w:ascii="Arial" w:hAnsi="Arial" w:eastAsia="SimSun" w:cs="Arial"/>
      <w:szCs w:val="20"/>
      <w:lang w:eastAsia="zh-CN"/>
    </w:rPr>
  </w:style>
  <w:style w:type="paragraph" w:styleId="12">
    <w:name w:val="Title"/>
    <w:basedOn w:val="1"/>
    <w:next w:val="1"/>
    <w:qFormat/>
    <w:uiPriority w:val="10"/>
    <w:pPr>
      <w:keepNext/>
      <w:keepLines/>
      <w:spacing w:before="480" w:after="120"/>
    </w:pPr>
    <w:rPr>
      <w:b/>
      <w:sz w:val="72"/>
      <w:szCs w:val="72"/>
    </w:rPr>
  </w:style>
  <w:style w:type="paragraph" w:styleId="13">
    <w:name w:val="Normal (Web)"/>
    <w:basedOn w:val="1"/>
    <w:unhideWhenUsed/>
    <w:qFormat/>
    <w:uiPriority w:val="99"/>
    <w:pPr>
      <w:spacing w:before="100" w:beforeAutospacing="1" w:after="100" w:afterAutospacing="1" w:line="240" w:lineRule="auto"/>
    </w:pPr>
    <w:rPr>
      <w:rFonts w:ascii="Times New Roman" w:hAnsi="Times New Roman" w:eastAsia="SimSun" w:cs="Times New Roman"/>
      <w:sz w:val="24"/>
      <w:szCs w:val="24"/>
    </w:rPr>
  </w:style>
  <w:style w:type="paragraph" w:styleId="14">
    <w:name w:val="header"/>
    <w:basedOn w:val="1"/>
    <w:link w:val="21"/>
    <w:unhideWhenUsed/>
    <w:qFormat/>
    <w:uiPriority w:val="99"/>
    <w:pPr>
      <w:tabs>
        <w:tab w:val="center" w:pos="4680"/>
        <w:tab w:val="right" w:pos="9360"/>
      </w:tabs>
      <w:spacing w:after="0" w:line="240" w:lineRule="auto"/>
    </w:pPr>
  </w:style>
  <w:style w:type="paragraph" w:styleId="15">
    <w:name w:val="footer"/>
    <w:basedOn w:val="1"/>
    <w:link w:val="22"/>
    <w:unhideWhenUsed/>
    <w:qFormat/>
    <w:uiPriority w:val="99"/>
    <w:pPr>
      <w:tabs>
        <w:tab w:val="center" w:pos="4680"/>
        <w:tab w:val="right" w:pos="9360"/>
      </w:tabs>
      <w:spacing w:after="0" w:line="240" w:lineRule="auto"/>
    </w:pPr>
  </w:style>
  <w:style w:type="paragraph" w:styleId="16">
    <w:name w:val="Body Text Indent 3"/>
    <w:basedOn w:val="1"/>
    <w:link w:val="29"/>
    <w:unhideWhenUsed/>
    <w:qFormat/>
    <w:uiPriority w:val="99"/>
    <w:pPr>
      <w:spacing w:after="120" w:line="240" w:lineRule="auto"/>
      <w:ind w:left="283"/>
    </w:pPr>
    <w:rPr>
      <w:rFonts w:ascii="Arial" w:hAnsi="Arial" w:eastAsia="SimSun" w:cs="Arial"/>
      <w:sz w:val="16"/>
      <w:szCs w:val="16"/>
      <w:lang w:eastAsia="zh-CN"/>
    </w:rPr>
  </w:style>
  <w:style w:type="paragraph" w:styleId="17">
    <w:name w:val="Balloon Text"/>
    <w:basedOn w:val="1"/>
    <w:link w:val="27"/>
    <w:semiHidden/>
    <w:unhideWhenUsed/>
    <w:qFormat/>
    <w:uiPriority w:val="99"/>
    <w:pPr>
      <w:spacing w:after="0" w:line="240" w:lineRule="auto"/>
    </w:pPr>
    <w:rPr>
      <w:rFonts w:ascii="Tahoma" w:hAnsi="Tahoma" w:cs="Tahoma"/>
      <w:sz w:val="16"/>
      <w:szCs w:val="16"/>
    </w:rPr>
  </w:style>
  <w:style w:type="paragraph" w:styleId="18">
    <w:name w:val="Subtitle"/>
    <w:basedOn w:val="1"/>
    <w:next w:val="1"/>
    <w:qFormat/>
    <w:uiPriority w:val="11"/>
    <w:pPr>
      <w:keepNext/>
      <w:keepLines/>
      <w:spacing w:before="360" w:after="80"/>
    </w:pPr>
    <w:rPr>
      <w:rFonts w:ascii="Georgia" w:hAnsi="Georgia" w:eastAsia="Georgia" w:cs="Georgia"/>
      <w:i/>
      <w:color w:val="666666"/>
      <w:sz w:val="48"/>
      <w:szCs w:val="48"/>
    </w:rPr>
  </w:style>
  <w:style w:type="table" w:styleId="19">
    <w:name w:val="Table Grid"/>
    <w:basedOn w:val="9"/>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customStyle="1" w:styleId="20">
    <w:name w:val="Table Normal"/>
    <w:qFormat/>
    <w:uiPriority w:val="0"/>
    <w:tblPr>
      <w:tblCellMar>
        <w:top w:w="0" w:type="dxa"/>
        <w:left w:w="0" w:type="dxa"/>
        <w:bottom w:w="0" w:type="dxa"/>
        <w:right w:w="0" w:type="dxa"/>
      </w:tblCellMar>
    </w:tblPr>
  </w:style>
  <w:style w:type="character" w:customStyle="1" w:styleId="21">
    <w:name w:val="Cabeçalho Char"/>
    <w:basedOn w:val="8"/>
    <w:link w:val="14"/>
    <w:qFormat/>
    <w:uiPriority w:val="99"/>
  </w:style>
  <w:style w:type="character" w:customStyle="1" w:styleId="22">
    <w:name w:val="Rodapé Char"/>
    <w:basedOn w:val="8"/>
    <w:link w:val="15"/>
    <w:qFormat/>
    <w:uiPriority w:val="99"/>
  </w:style>
  <w:style w:type="paragraph" w:styleId="23">
    <w:name w:val="List Paragraph"/>
    <w:basedOn w:val="1"/>
    <w:qFormat/>
    <w:uiPriority w:val="34"/>
    <w:pPr>
      <w:ind w:left="720"/>
      <w:contextualSpacing/>
    </w:pPr>
  </w:style>
  <w:style w:type="table" w:customStyle="1" w:styleId="24">
    <w:name w:val="Grid Table Light"/>
    <w:basedOn w:val="9"/>
    <w:qFormat/>
    <w:uiPriority w:val="40"/>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
  </w:style>
  <w:style w:type="table" w:customStyle="1" w:styleId="25">
    <w:name w:val="_Style 20"/>
    <w:basedOn w:val="9"/>
    <w:qFormat/>
    <w:uiPriority w:val="0"/>
    <w:tblPr>
      <w:tblCellMar>
        <w:top w:w="0" w:type="dxa"/>
        <w:left w:w="108" w:type="dxa"/>
        <w:bottom w:w="0" w:type="dxa"/>
        <w:right w:w="108" w:type="dxa"/>
      </w:tblCellMar>
    </w:tblPr>
  </w:style>
  <w:style w:type="table" w:customStyle="1" w:styleId="26">
    <w:name w:val="_Style 21"/>
    <w:basedOn w:val="9"/>
    <w:qFormat/>
    <w:uiPriority w:val="0"/>
    <w:tblPr>
      <w:tblCellMar>
        <w:top w:w="0" w:type="dxa"/>
        <w:left w:w="108" w:type="dxa"/>
        <w:bottom w:w="0" w:type="dxa"/>
        <w:right w:w="108" w:type="dxa"/>
      </w:tblCellMar>
    </w:tblPr>
  </w:style>
  <w:style w:type="character" w:customStyle="1" w:styleId="27">
    <w:name w:val="Texto de balão Char"/>
    <w:basedOn w:val="8"/>
    <w:link w:val="17"/>
    <w:semiHidden/>
    <w:qFormat/>
    <w:uiPriority w:val="99"/>
    <w:rPr>
      <w:rFonts w:ascii="Tahoma" w:hAnsi="Tahoma" w:cs="Tahoma"/>
      <w:sz w:val="16"/>
      <w:szCs w:val="16"/>
    </w:rPr>
  </w:style>
  <w:style w:type="character" w:customStyle="1" w:styleId="28">
    <w:name w:val="Corpo de texto Char"/>
    <w:basedOn w:val="8"/>
    <w:link w:val="11"/>
    <w:qFormat/>
    <w:uiPriority w:val="0"/>
    <w:rPr>
      <w:rFonts w:ascii="Arial" w:hAnsi="Arial" w:eastAsia="SimSun" w:cs="Arial"/>
      <w:szCs w:val="20"/>
      <w:lang w:eastAsia="zh-CN"/>
    </w:rPr>
  </w:style>
  <w:style w:type="character" w:customStyle="1" w:styleId="29">
    <w:name w:val="Recuo de corpo de texto 3 Char"/>
    <w:basedOn w:val="8"/>
    <w:link w:val="16"/>
    <w:qFormat/>
    <w:uiPriority w:val="99"/>
    <w:rPr>
      <w:rFonts w:ascii="Arial" w:hAnsi="Arial" w:eastAsia="SimSun" w:cs="Arial"/>
      <w:sz w:val="16"/>
      <w:szCs w:val="16"/>
      <w:lang w:eastAsia="zh-CN"/>
    </w:rPr>
  </w:style>
  <w:style w:type="paragraph" w:customStyle="1" w:styleId="30">
    <w:name w:val="Corpo do texto"/>
    <w:basedOn w:val="1"/>
    <w:qFormat/>
    <w:uiPriority w:val="7"/>
    <w:pPr>
      <w:widowControl w:val="0"/>
      <w:suppressAutoHyphens/>
      <w:autoSpaceDE w:val="0"/>
      <w:spacing w:after="283" w:line="240" w:lineRule="auto"/>
    </w:pPr>
    <w:rPr>
      <w:rFonts w:ascii="Times New Roman" w:hAnsi="Times New Roman" w:eastAsia="Times New Roman" w:cs="Times New Roman"/>
      <w:sz w:val="20"/>
      <w:szCs w:val="24"/>
      <w:lang w:eastAsia="zh-CN"/>
    </w:rPr>
  </w:style>
  <w:style w:type="character" w:customStyle="1" w:styleId="31">
    <w:name w:val="Link da Internet"/>
    <w:unhideWhenUsed/>
    <w:qFormat/>
    <w:uiPriority w:val="99"/>
    <w:rPr>
      <w:color w:val="0563C1"/>
      <w:u w:val="single"/>
    </w:rPr>
  </w:style>
  <w:style w:type="paragraph" w:customStyle="1" w:styleId="32">
    <w:name w:val="Footer1"/>
    <w:basedOn w:val="1"/>
    <w:uiPriority w:val="99"/>
    <w:pPr>
      <w:tabs>
        <w:tab w:val="center" w:pos="4419"/>
        <w:tab w:val="right" w:pos="8838"/>
      </w:tabs>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Normal.dotm</Template>
  <Pages>7</Pages>
  <Words>2793</Words>
  <Characters>15087</Characters>
  <Lines>125</Lines>
  <Paragraphs>35</Paragraphs>
  <TotalTime>5</TotalTime>
  <ScaleCrop>false</ScaleCrop>
  <LinksUpToDate>false</LinksUpToDate>
  <CharactersWithSpaces>17845</CharactersWithSpaces>
  <Application>WPS Office_12.2.0.22556_F1E327BC-269C-435d-A152-05C5408002CA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2023-12-01T13:46:00Z</dcterms:created>
  <dc:creator>nicole leyser alves</dc:creator>
  <cp:lastModifiedBy>rafaela.allebrandt</cp:lastModifiedBy>
  <dcterms:modified xsi:type="dcterms:W3CDTF">2025-09-19T12:30:59Z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1046-12.2.0.22556</vt:lpwstr>
  </property>
  <property fmtid="{D5CDD505-2E9C-101B-9397-08002B2CF9AE}" pid="3" name="ICV">
    <vt:lpwstr>F83A0F1B8D08420DBF7330B37FB0032F_13</vt:lpwstr>
  </property>
</Properties>
</file>