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0521814">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center"/>
        <w:rPr>
          <w:rFonts w:hint="default" w:ascii="Arial" w:hAnsi="Arial" w:cs="Arial"/>
          <w:sz w:val="22"/>
          <w:szCs w:val="22"/>
        </w:rPr>
      </w:pPr>
      <w:r>
        <w:rPr>
          <w:rFonts w:hint="default" w:ascii="Arial" w:hAnsi="Arial" w:cs="Arial"/>
          <w:b/>
          <w:sz w:val="22"/>
          <w:szCs w:val="22"/>
        </w:rPr>
        <w:t>ESTUDO TÉCNICO PRELIMINAR</w:t>
      </w:r>
    </w:p>
    <w:p w14:paraId="32D02114">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both"/>
        <w:rPr>
          <w:rFonts w:hint="default" w:ascii="Arial" w:hAnsi="Arial" w:cs="Arial"/>
          <w:sz w:val="22"/>
          <w:szCs w:val="22"/>
        </w:rPr>
      </w:pPr>
    </w:p>
    <w:p w14:paraId="7679A7CF">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both"/>
        <w:rPr>
          <w:rFonts w:hint="default" w:ascii="Arial" w:hAnsi="Arial" w:cs="Arial"/>
          <w:b/>
          <w:bCs/>
          <w:sz w:val="22"/>
          <w:szCs w:val="22"/>
        </w:rPr>
      </w:pPr>
      <w:r>
        <w:rPr>
          <w:rFonts w:hint="default" w:ascii="Arial" w:hAnsi="Arial" w:cs="Arial"/>
          <w:b/>
          <w:bCs/>
          <w:sz w:val="22"/>
          <w:szCs w:val="22"/>
        </w:rPr>
        <w:t>PROCESSO ADMINISTRATIVO</w:t>
      </w:r>
    </w:p>
    <w:p w14:paraId="6AA3E802">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Arial" w:hAnsi="Arial" w:cs="Arial"/>
          <w:sz w:val="22"/>
          <w:szCs w:val="22"/>
          <w:lang w:val="pt-BR"/>
        </w:rPr>
      </w:pPr>
      <w:r>
        <w:rPr>
          <w:rFonts w:hint="default" w:ascii="Arial" w:hAnsi="Arial" w:cs="Arial"/>
          <w:sz w:val="22"/>
          <w:szCs w:val="22"/>
          <w:lang w:val="pt-BR"/>
        </w:rPr>
        <w:t>Município de Teutônia</w:t>
      </w:r>
    </w:p>
    <w:p w14:paraId="70D1D264">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Arial" w:hAnsi="Arial" w:cs="Arial"/>
          <w:sz w:val="22"/>
          <w:szCs w:val="22"/>
          <w:lang w:val="pt-BR"/>
        </w:rPr>
      </w:pPr>
      <w:r>
        <w:rPr>
          <w:rFonts w:hint="default" w:ascii="Arial" w:hAnsi="Arial" w:cs="Arial"/>
          <w:sz w:val="22"/>
          <w:szCs w:val="22"/>
          <w:lang w:val="pt-BR"/>
        </w:rPr>
        <w:t>Secretaria Municipal de Obras, Viação e T</w:t>
      </w:r>
      <w:bookmarkStart w:id="12" w:name="_GoBack"/>
      <w:bookmarkEnd w:id="12"/>
      <w:r>
        <w:rPr>
          <w:rFonts w:hint="default" w:ascii="Arial" w:hAnsi="Arial" w:cs="Arial"/>
          <w:sz w:val="22"/>
          <w:szCs w:val="22"/>
          <w:lang w:val="pt-BR"/>
        </w:rPr>
        <w:t>ransportes, Secretaria Municipal de Agricultura e Meio Ambiente; Secretaria Municipal de Educação; Secretaria Municipal de Saúde e Secretaria Municipal de Juventude, Cultura, Esporte e Lazer.</w:t>
      </w:r>
    </w:p>
    <w:p w14:paraId="4D5C89EB">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Arial" w:hAnsi="Arial" w:cs="Arial"/>
          <w:sz w:val="22"/>
          <w:szCs w:val="22"/>
          <w:lang w:val="pt-BR"/>
        </w:rPr>
      </w:pPr>
      <w:r>
        <w:rPr>
          <w:rFonts w:hint="default" w:ascii="Arial" w:hAnsi="Arial" w:cs="Arial"/>
          <w:sz w:val="22"/>
          <w:szCs w:val="22"/>
        </w:rPr>
        <w:t>Objeto da contratação: contratação de serviços</w:t>
      </w:r>
      <w:r>
        <w:rPr>
          <w:rFonts w:hint="default" w:ascii="Arial" w:hAnsi="Arial" w:cs="Arial"/>
          <w:sz w:val="22"/>
          <w:szCs w:val="22"/>
          <w:lang w:val="pt-BR"/>
        </w:rPr>
        <w:t xml:space="preserve"> para manutenção de veículos e equipamentos</w:t>
      </w:r>
    </w:p>
    <w:p w14:paraId="6C274DB3">
      <w:pPr>
        <w:spacing w:line="360" w:lineRule="auto"/>
        <w:jc w:val="both"/>
        <w:rPr>
          <w:rFonts w:hint="default" w:ascii="Arial" w:hAnsi="Arial" w:cs="Arial"/>
          <w:sz w:val="22"/>
          <w:szCs w:val="22"/>
          <w:lang w:val="pt-BR"/>
        </w:rPr>
      </w:pPr>
    </w:p>
    <w:p w14:paraId="1AD32E22">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Arial" w:hAnsi="Arial" w:cs="Arial"/>
          <w:b/>
          <w:bCs/>
          <w:sz w:val="22"/>
          <w:szCs w:val="22"/>
        </w:rPr>
      </w:pPr>
      <w:r>
        <w:rPr>
          <w:rFonts w:hint="default" w:ascii="Arial" w:hAnsi="Arial" w:cs="Arial"/>
          <w:b/>
          <w:bCs/>
          <w:sz w:val="22"/>
          <w:szCs w:val="22"/>
        </w:rPr>
        <w:t>1. DESCRIÇÃO DA NECESSIDADE</w:t>
      </w:r>
    </w:p>
    <w:p w14:paraId="23C46073">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Arial" w:hAnsi="Arial" w:cs="Arial"/>
          <w:sz w:val="22"/>
          <w:szCs w:val="22"/>
          <w:lang w:val="pt-BR"/>
        </w:rPr>
      </w:pPr>
      <w:r>
        <w:rPr>
          <w:rFonts w:hint="default" w:ascii="Arial" w:hAnsi="Arial" w:cs="Arial"/>
          <w:sz w:val="22"/>
          <w:szCs w:val="22"/>
        </w:rPr>
        <w:t>O objeto da presente licitação é a contratação de empresa</w:t>
      </w:r>
      <w:r>
        <w:rPr>
          <w:rFonts w:hint="default" w:ascii="Arial" w:hAnsi="Arial" w:cs="Arial"/>
          <w:sz w:val="22"/>
          <w:szCs w:val="22"/>
          <w:lang w:val="pt-BR"/>
        </w:rPr>
        <w:t>(s)</w:t>
      </w:r>
      <w:r>
        <w:rPr>
          <w:rFonts w:hint="default" w:ascii="Arial" w:hAnsi="Arial" w:cs="Arial"/>
          <w:sz w:val="22"/>
          <w:szCs w:val="22"/>
        </w:rPr>
        <w:t xml:space="preserve"> especializada</w:t>
      </w:r>
      <w:r>
        <w:rPr>
          <w:rFonts w:hint="default" w:ascii="Arial" w:hAnsi="Arial" w:cs="Arial"/>
          <w:sz w:val="22"/>
          <w:szCs w:val="22"/>
          <w:lang w:val="pt-BR"/>
        </w:rPr>
        <w:t>(s)</w:t>
      </w:r>
      <w:r>
        <w:rPr>
          <w:rFonts w:hint="default" w:ascii="Arial" w:hAnsi="Arial" w:cs="Arial"/>
          <w:sz w:val="22"/>
          <w:szCs w:val="22"/>
        </w:rPr>
        <w:t xml:space="preserve"> para a prestação de serviços de</w:t>
      </w:r>
      <w:r>
        <w:rPr>
          <w:rFonts w:hint="default" w:ascii="Arial" w:hAnsi="Arial" w:cs="Arial"/>
          <w:sz w:val="22"/>
          <w:szCs w:val="22"/>
          <w:lang w:val="pt-BR"/>
        </w:rPr>
        <w:t xml:space="preserve"> torno, fresa, solda e recarga de gás, </w:t>
      </w:r>
      <w:r>
        <w:rPr>
          <w:rFonts w:hint="default" w:ascii="Arial" w:hAnsi="Arial" w:cs="Arial"/>
          <w:sz w:val="22"/>
          <w:szCs w:val="22"/>
        </w:rPr>
        <w:t>essenciais para o funcionamento e conservação de bens públicos.</w:t>
      </w:r>
    </w:p>
    <w:p w14:paraId="70B34AE1">
      <w:pPr>
        <w:pStyle w:val="14"/>
        <w:keepNext w:val="0"/>
        <w:keepLines w:val="0"/>
        <w:widowControl/>
        <w:suppressLineNumbers w:val="0"/>
        <w:spacing w:line="360" w:lineRule="auto"/>
        <w:jc w:val="both"/>
        <w:rPr>
          <w:rFonts w:hint="default" w:ascii="Arial" w:hAnsi="Arial" w:eastAsia="Times New Roman" w:cs="Arial"/>
          <w:sz w:val="22"/>
          <w:szCs w:val="22"/>
          <w:lang w:val="pt-BR" w:eastAsia="zh-CN" w:bidi="ar-SA"/>
        </w:rPr>
      </w:pPr>
      <w:r>
        <w:rPr>
          <w:rFonts w:hint="default" w:ascii="Arial" w:hAnsi="Arial" w:eastAsia="Times New Roman" w:cs="Arial"/>
          <w:sz w:val="22"/>
          <w:szCs w:val="22"/>
          <w:lang w:val="pt-BR" w:eastAsia="zh-CN" w:bidi="ar-SA"/>
        </w:rPr>
        <w:t>A contratação é necessária para viabilizar a manutenção preventiva e corretiva de veículos, equipamentos, maquinários leves e pesados, bem como para atender demandas estruturais em praças e demais espaços públicos, onde se fizer necessária a aplicação desses serviços técnicos especializados.</w:t>
      </w:r>
    </w:p>
    <w:p w14:paraId="129E2645">
      <w:pPr>
        <w:pStyle w:val="14"/>
        <w:keepNext w:val="0"/>
        <w:keepLines w:val="0"/>
        <w:widowControl/>
        <w:suppressLineNumbers w:val="0"/>
        <w:spacing w:line="360" w:lineRule="auto"/>
        <w:jc w:val="both"/>
        <w:rPr>
          <w:rFonts w:hint="default" w:ascii="Arial" w:hAnsi="Arial" w:cs="Arial" w:eastAsiaTheme="minorHAnsi"/>
          <w:sz w:val="22"/>
          <w:szCs w:val="22"/>
          <w:lang w:eastAsia="en-US"/>
        </w:rPr>
      </w:pPr>
      <w:r>
        <w:rPr>
          <w:rFonts w:hint="default" w:ascii="Arial" w:hAnsi="Arial" w:eastAsia="Times New Roman" w:cs="Arial"/>
          <w:sz w:val="22"/>
          <w:szCs w:val="22"/>
          <w:lang w:val="pt-BR" w:eastAsia="zh-CN" w:bidi="ar-SA"/>
        </w:rPr>
        <w:t>Cabe destacar que o atual contrato vigente, oriundo do Pregão Eletrônico nº 38/2024, terá sua vigência encerrada em 19/08/2025, sendo, portanto, imprescindível o encaminhamento de novo processo licitatório com a devida antecedência para garantir a continuidade dos serviços essenciais à manutenção da infraestrutura e do patrimônio público municipal.</w:t>
      </w:r>
    </w:p>
    <w:p w14:paraId="3C97E6CA">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Arial" w:hAnsi="Arial" w:cs="Arial"/>
          <w:b/>
          <w:bCs/>
          <w:sz w:val="22"/>
          <w:szCs w:val="22"/>
        </w:rPr>
      </w:pPr>
      <w:r>
        <w:rPr>
          <w:rFonts w:hint="default" w:ascii="Arial" w:hAnsi="Arial" w:cs="Arial"/>
          <w:b/>
          <w:bCs/>
          <w:sz w:val="22"/>
          <w:szCs w:val="22"/>
        </w:rPr>
        <w:t>2. ALINHAMENTO ENTRE A CONTRATAÇÃO E O PLANEJAMENTO</w:t>
      </w:r>
    </w:p>
    <w:p w14:paraId="3EB286C1">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Arial" w:hAnsi="Arial" w:cs="Arial"/>
          <w:sz w:val="22"/>
          <w:szCs w:val="22"/>
          <w:highlight w:val="none"/>
        </w:rPr>
      </w:pPr>
      <w:r>
        <w:rPr>
          <w:rFonts w:hint="default" w:ascii="Arial" w:hAnsi="Arial" w:cs="Arial"/>
          <w:sz w:val="22"/>
          <w:szCs w:val="22"/>
        </w:rPr>
        <w:t xml:space="preserve">A contratação pretendida está prevista no Plano de Contratações Anual do Município de </w:t>
      </w:r>
      <w:r>
        <w:rPr>
          <w:rFonts w:hint="default" w:ascii="Arial" w:hAnsi="Arial" w:cs="Arial"/>
          <w:sz w:val="22"/>
          <w:szCs w:val="22"/>
          <w:lang w:val="pt-BR"/>
        </w:rPr>
        <w:t>Teutônia</w:t>
      </w:r>
      <w:r>
        <w:rPr>
          <w:rFonts w:hint="default" w:ascii="Arial" w:hAnsi="Arial" w:cs="Arial"/>
          <w:sz w:val="22"/>
          <w:szCs w:val="22"/>
        </w:rPr>
        <w:t>, como s</w:t>
      </w:r>
      <w:r>
        <w:rPr>
          <w:rFonts w:hint="default" w:ascii="Arial" w:hAnsi="Arial" w:cs="Arial"/>
          <w:sz w:val="22"/>
          <w:szCs w:val="22"/>
          <w:highlight w:val="none"/>
        </w:rPr>
        <w:t>e vê do item</w:t>
      </w:r>
      <w:r>
        <w:rPr>
          <w:rFonts w:hint="default" w:ascii="Arial" w:hAnsi="Arial" w:cs="Arial"/>
          <w:sz w:val="22"/>
          <w:szCs w:val="22"/>
          <w:highlight w:val="none"/>
          <w:lang w:val="pt-BR"/>
        </w:rPr>
        <w:t xml:space="preserve"> SERVIÇOS DE SOLDA MIG, </w:t>
      </w:r>
      <w:r>
        <w:rPr>
          <w:rFonts w:hint="default" w:ascii="Arial" w:hAnsi="Arial"/>
          <w:sz w:val="22"/>
          <w:szCs w:val="22"/>
          <w:highlight w:val="none"/>
          <w:lang w:val="pt-BR"/>
        </w:rPr>
        <w:t xml:space="preserve">SERVIÇO DE TORNO, SERVIÇO DE FRESA E RECARGA DE GÁS, </w:t>
      </w:r>
      <w:r>
        <w:rPr>
          <w:rFonts w:hint="default" w:ascii="Arial" w:hAnsi="Arial" w:cs="Arial"/>
          <w:sz w:val="22"/>
          <w:szCs w:val="22"/>
          <w:highlight w:val="none"/>
        </w:rPr>
        <w:t>daquele documento, estando assim alinhada com o planejamento desta Administração.</w:t>
      </w:r>
    </w:p>
    <w:p w14:paraId="2E8CC5C1">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Arial" w:hAnsi="Arial" w:cs="Arial"/>
          <w:sz w:val="22"/>
          <w:szCs w:val="22"/>
        </w:rPr>
      </w:pPr>
    </w:p>
    <w:p w14:paraId="1523CB26">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Arial" w:hAnsi="Arial" w:cs="Arial"/>
          <w:b/>
          <w:bCs/>
          <w:sz w:val="22"/>
          <w:szCs w:val="22"/>
        </w:rPr>
      </w:pPr>
      <w:r>
        <w:rPr>
          <w:rFonts w:hint="default" w:ascii="Arial" w:hAnsi="Arial" w:cs="Arial"/>
          <w:b/>
          <w:bCs/>
          <w:sz w:val="22"/>
          <w:szCs w:val="22"/>
        </w:rPr>
        <w:t>3. DESCRIÇÃO DOS REQUISITOS DA CONTRATAÇÃO</w:t>
      </w:r>
    </w:p>
    <w:p w14:paraId="173A1D67">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Arial" w:hAnsi="Arial" w:cs="Arial"/>
          <w:sz w:val="22"/>
          <w:szCs w:val="22"/>
        </w:rPr>
      </w:pPr>
      <w:r>
        <w:rPr>
          <w:rFonts w:hint="default" w:ascii="Arial" w:hAnsi="Arial" w:cs="Arial"/>
          <w:sz w:val="22"/>
          <w:szCs w:val="22"/>
          <w:lang w:val="pt-BR"/>
        </w:rPr>
        <w:t xml:space="preserve">3.1 </w:t>
      </w:r>
      <w:r>
        <w:rPr>
          <w:rFonts w:hint="default" w:ascii="Arial" w:hAnsi="Arial" w:cs="Arial"/>
          <w:sz w:val="22"/>
          <w:szCs w:val="22"/>
        </w:rPr>
        <w:t>Os serviços têm natureza de</w:t>
      </w:r>
      <w:r>
        <w:rPr>
          <w:rFonts w:hint="default" w:ascii="Arial" w:hAnsi="Arial" w:cs="Arial"/>
          <w:sz w:val="22"/>
          <w:szCs w:val="22"/>
          <w:lang w:val="pt-BR"/>
        </w:rPr>
        <w:t xml:space="preserve"> </w:t>
      </w:r>
      <w:r>
        <w:rPr>
          <w:rFonts w:hint="default" w:ascii="Arial" w:hAnsi="Arial" w:cs="Arial"/>
          <w:sz w:val="22"/>
          <w:szCs w:val="22"/>
        </w:rPr>
        <w:t xml:space="preserve">serviços comuns, tendo em vista que seus </w:t>
      </w:r>
      <w:r>
        <w:rPr>
          <w:rFonts w:hint="default" w:ascii="Arial" w:hAnsi="Arial" w:cs="Arial"/>
          <w:color w:val="000000"/>
          <w:sz w:val="22"/>
          <w:szCs w:val="22"/>
        </w:rPr>
        <w:t xml:space="preserve">padrões de desempenho e qualidade podem ser objetivamente definidos pelo edital, por meio de especificações usuais de mercado, </w:t>
      </w:r>
      <w:r>
        <w:rPr>
          <w:rFonts w:hint="default" w:ascii="Arial" w:hAnsi="Arial" w:cs="Arial"/>
          <w:sz w:val="22"/>
          <w:szCs w:val="22"/>
        </w:rPr>
        <w:t>nos termos do art. 6º, inciso XIII, da Lei Federal nº 14.133/2021.</w:t>
      </w:r>
    </w:p>
    <w:p w14:paraId="76B0B6E4">
      <w:pPr>
        <w:spacing w:line="360" w:lineRule="auto"/>
        <w:jc w:val="both"/>
        <w:rPr>
          <w:rFonts w:hint="default" w:ascii="Arial" w:hAnsi="Arial" w:cs="Arial"/>
          <w:sz w:val="22"/>
          <w:szCs w:val="22"/>
        </w:rPr>
      </w:pPr>
    </w:p>
    <w:p w14:paraId="189D71FF">
      <w:pPr>
        <w:pStyle w:val="12"/>
        <w:widowControl w:val="0"/>
        <w:tabs>
          <w:tab w:val="left" w:pos="4962"/>
        </w:tabs>
        <w:spacing w:before="114" w:after="114" w:line="360" w:lineRule="auto"/>
        <w:jc w:val="both"/>
        <w:rPr>
          <w:rFonts w:hint="default" w:ascii="Arial" w:hAnsi="Arial" w:cs="Arial" w:eastAsiaTheme="minorHAnsi"/>
          <w:sz w:val="22"/>
          <w:szCs w:val="22"/>
          <w:lang w:eastAsia="en-US"/>
        </w:rPr>
      </w:pPr>
      <w:r>
        <w:rPr>
          <w:rFonts w:hint="default" w:ascii="Arial" w:hAnsi="Arial" w:cs="Arial"/>
          <w:b/>
          <w:bCs/>
          <w:sz w:val="22"/>
          <w:szCs w:val="22"/>
          <w:lang w:val="pt-BR"/>
        </w:rPr>
        <w:t>3.2 DA EXECUÇÃO DO SERVIÇO</w:t>
      </w:r>
      <w:r>
        <w:rPr>
          <w:rFonts w:hint="default" w:ascii="Arial" w:hAnsi="Arial" w:cs="Arial"/>
          <w:sz w:val="22"/>
          <w:szCs w:val="22"/>
          <w:lang w:val="pt-BR"/>
        </w:rPr>
        <w:t xml:space="preserve"> </w:t>
      </w:r>
      <w:r>
        <w:rPr>
          <w:rFonts w:hint="default" w:ascii="Arial" w:hAnsi="Arial" w:cs="Arial" w:eastAsiaTheme="minorHAnsi"/>
          <w:sz w:val="22"/>
          <w:szCs w:val="22"/>
          <w:lang w:eastAsia="en-US"/>
        </w:rPr>
        <w:t>Para realização do objeto solicitado, as empresas interessadas deverão se atentar para as seguintes especificações:</w:t>
      </w:r>
    </w:p>
    <w:p w14:paraId="5E68B4D0">
      <w:pPr>
        <w:pStyle w:val="12"/>
        <w:widowControl w:val="0"/>
        <w:tabs>
          <w:tab w:val="left" w:pos="4962"/>
        </w:tabs>
        <w:spacing w:before="114" w:after="114" w:line="360" w:lineRule="auto"/>
        <w:jc w:val="both"/>
        <w:rPr>
          <w:rFonts w:hint="default" w:ascii="Arial" w:hAnsi="Arial" w:cs="Arial" w:eastAsiaTheme="minorHAnsi"/>
          <w:sz w:val="22"/>
          <w:szCs w:val="22"/>
          <w:lang w:eastAsia="en-US"/>
        </w:rPr>
      </w:pPr>
      <w:r>
        <w:rPr>
          <w:rFonts w:hint="default" w:ascii="Arial" w:hAnsi="Arial" w:cs="Arial" w:eastAsiaTheme="minorHAnsi"/>
          <w:sz w:val="22"/>
          <w:szCs w:val="22"/>
          <w:lang w:val="pt-BR" w:eastAsia="en-US"/>
        </w:rPr>
        <w:t xml:space="preserve">3.2.1 </w:t>
      </w:r>
      <w:r>
        <w:rPr>
          <w:rFonts w:hint="default" w:ascii="Arial" w:hAnsi="Arial" w:cs="Arial" w:eastAsiaTheme="minorHAnsi"/>
          <w:sz w:val="22"/>
          <w:szCs w:val="22"/>
          <w:lang w:eastAsia="en-US"/>
        </w:rPr>
        <w:t>Correrá por conta da empresa licitante todas as despesas relacionadas na execução dos serviços, como: mão de obra, equipamentos, aparelhos, bem como tributos e encargos trabalhistas e previdenciários dos funcionários, bem como qualquer custo relacionado a perfeita entrega.</w:t>
      </w:r>
    </w:p>
    <w:p w14:paraId="247CE025">
      <w:pPr>
        <w:pStyle w:val="12"/>
        <w:widowControl w:val="0"/>
        <w:tabs>
          <w:tab w:val="left" w:pos="4962"/>
        </w:tabs>
        <w:spacing w:before="114" w:after="114" w:line="360" w:lineRule="auto"/>
        <w:jc w:val="both"/>
        <w:rPr>
          <w:rFonts w:hint="default" w:ascii="Arial" w:hAnsi="Arial" w:cs="Arial" w:eastAsiaTheme="minorHAnsi"/>
          <w:sz w:val="22"/>
          <w:szCs w:val="22"/>
          <w:lang w:eastAsia="en-US"/>
        </w:rPr>
      </w:pPr>
      <w:r>
        <w:rPr>
          <w:rFonts w:hint="default" w:ascii="Arial" w:hAnsi="Arial" w:cs="Arial" w:eastAsiaTheme="minorHAnsi"/>
          <w:sz w:val="22"/>
          <w:szCs w:val="22"/>
          <w:lang w:val="pt-BR" w:eastAsia="en-US"/>
        </w:rPr>
        <w:t xml:space="preserve">3.2.2 </w:t>
      </w:r>
      <w:r>
        <w:rPr>
          <w:rFonts w:hint="default" w:ascii="Arial" w:hAnsi="Arial" w:cs="Arial" w:eastAsiaTheme="minorHAnsi"/>
          <w:sz w:val="22"/>
          <w:szCs w:val="22"/>
          <w:lang w:eastAsia="en-US"/>
        </w:rPr>
        <w:t xml:space="preserve">A empresa ficará responsável pela total execução do serviço, com material incluso, bem como pelo recolhimento/entrega e transporte/frete do equipamento/veículo/maquinário em caso de impossibilidade de realização do serviço no local, devendo esta agendar previamente data e horário com a Secretaria responsável pela solicitação. </w:t>
      </w:r>
    </w:p>
    <w:p w14:paraId="107E83F3">
      <w:pPr>
        <w:pStyle w:val="12"/>
        <w:widowControl w:val="0"/>
        <w:tabs>
          <w:tab w:val="left" w:pos="4962"/>
        </w:tabs>
        <w:spacing w:before="114" w:after="114" w:line="360" w:lineRule="auto"/>
        <w:jc w:val="both"/>
        <w:rPr>
          <w:rFonts w:hint="default" w:ascii="Arial" w:hAnsi="Arial" w:cs="Arial" w:eastAsiaTheme="minorHAnsi"/>
          <w:sz w:val="22"/>
          <w:szCs w:val="22"/>
          <w:lang w:eastAsia="en-US"/>
        </w:rPr>
      </w:pPr>
      <w:r>
        <w:rPr>
          <w:rFonts w:hint="default" w:ascii="Arial" w:hAnsi="Arial" w:cs="Arial" w:eastAsiaTheme="minorHAnsi"/>
          <w:sz w:val="22"/>
          <w:szCs w:val="22"/>
          <w:lang w:val="pt-BR" w:eastAsia="en-US"/>
        </w:rPr>
        <w:t xml:space="preserve">3.2.3 </w:t>
      </w:r>
      <w:r>
        <w:rPr>
          <w:rFonts w:hint="default" w:ascii="Arial" w:hAnsi="Arial" w:cs="Arial" w:eastAsiaTheme="minorHAnsi"/>
          <w:sz w:val="22"/>
          <w:szCs w:val="22"/>
          <w:lang w:eastAsia="en-US"/>
        </w:rPr>
        <w:t>É de responsabilidade da empresa a segurança do trabalho de seus funcionários e pelos atos por ele praticados, responsabilizando-se, ainda, por eventuais danos pessoais e materiais causados a terceiros, durante a prestação dos serviços contratados.</w:t>
      </w:r>
    </w:p>
    <w:p w14:paraId="0C034834">
      <w:pPr>
        <w:pStyle w:val="12"/>
        <w:widowControl w:val="0"/>
        <w:tabs>
          <w:tab w:val="left" w:pos="4962"/>
        </w:tabs>
        <w:spacing w:before="114" w:after="114" w:line="360" w:lineRule="auto"/>
        <w:jc w:val="both"/>
        <w:rPr>
          <w:rFonts w:hint="default" w:ascii="Arial" w:hAnsi="Arial" w:cs="Arial" w:eastAsiaTheme="minorHAnsi"/>
          <w:sz w:val="22"/>
          <w:szCs w:val="22"/>
          <w:lang w:eastAsia="en-US"/>
        </w:rPr>
      </w:pPr>
      <w:r>
        <w:rPr>
          <w:rFonts w:hint="default" w:ascii="Arial" w:hAnsi="Arial" w:cs="Arial" w:eastAsiaTheme="minorHAnsi"/>
          <w:sz w:val="22"/>
          <w:szCs w:val="22"/>
          <w:lang w:val="pt-BR" w:eastAsia="en-US"/>
        </w:rPr>
        <w:t xml:space="preserve">3.2.4 </w:t>
      </w:r>
      <w:r>
        <w:rPr>
          <w:rFonts w:hint="default" w:ascii="Arial" w:hAnsi="Arial" w:cs="Arial" w:eastAsiaTheme="minorHAnsi"/>
          <w:sz w:val="22"/>
          <w:szCs w:val="22"/>
          <w:lang w:eastAsia="en-US"/>
        </w:rPr>
        <w:t>Os serviços deverão ser executados através de profissionais com experiência, com a utilização de equipamentos e ferramentas apropriados para a execução dos serviços.</w:t>
      </w:r>
    </w:p>
    <w:p w14:paraId="5F481CA1">
      <w:pPr>
        <w:pStyle w:val="12"/>
        <w:widowControl w:val="0"/>
        <w:tabs>
          <w:tab w:val="left" w:pos="4962"/>
        </w:tabs>
        <w:spacing w:before="114" w:after="114" w:line="360" w:lineRule="auto"/>
        <w:jc w:val="both"/>
        <w:rPr>
          <w:rFonts w:hint="default" w:ascii="Arial" w:hAnsi="Arial" w:cs="Arial" w:eastAsiaTheme="minorHAnsi"/>
          <w:sz w:val="22"/>
          <w:szCs w:val="22"/>
          <w:lang w:eastAsia="en-US"/>
        </w:rPr>
      </w:pPr>
      <w:r>
        <w:rPr>
          <w:rFonts w:hint="default" w:ascii="Arial" w:hAnsi="Arial" w:cs="Arial" w:eastAsiaTheme="minorHAnsi"/>
          <w:sz w:val="22"/>
          <w:szCs w:val="22"/>
          <w:lang w:val="pt-BR" w:eastAsia="en-US"/>
        </w:rPr>
        <w:t xml:space="preserve">3.2.5 </w:t>
      </w:r>
      <w:r>
        <w:rPr>
          <w:rFonts w:hint="default" w:ascii="Arial" w:hAnsi="Arial" w:cs="Arial" w:eastAsiaTheme="minorHAnsi"/>
          <w:sz w:val="22"/>
          <w:szCs w:val="22"/>
          <w:lang w:eastAsia="en-US"/>
        </w:rPr>
        <w:t>Se no ato do recebimento for constatado que a qualidade dos serviços entregue não atender ao solicitado e esperado pela Administração Municipal, ou se por imperícia durante a manutenção efetuar danos na máquina ou até mesmo comprometendo a funcionalidade de alguma peça ou mecanismo, deverá ser imediatamente refeito ou reparado pelo licitante, por sua conta e risco.</w:t>
      </w:r>
    </w:p>
    <w:p w14:paraId="486D1EE8">
      <w:pPr>
        <w:pStyle w:val="12"/>
        <w:widowControl w:val="0"/>
        <w:tabs>
          <w:tab w:val="left" w:pos="4962"/>
        </w:tabs>
        <w:spacing w:before="114" w:after="114" w:line="360" w:lineRule="auto"/>
        <w:jc w:val="both"/>
        <w:rPr>
          <w:rFonts w:hint="default" w:ascii="Arial" w:hAnsi="Arial" w:cs="Arial"/>
          <w:sz w:val="22"/>
          <w:szCs w:val="22"/>
          <w:lang w:val="pt-BR"/>
        </w:rPr>
      </w:pPr>
      <w:r>
        <w:rPr>
          <w:rFonts w:hint="default" w:ascii="Arial" w:hAnsi="Arial" w:cs="Arial" w:eastAsiaTheme="minorHAnsi"/>
          <w:sz w:val="22"/>
          <w:szCs w:val="22"/>
          <w:lang w:val="pt-BR" w:eastAsia="en-US"/>
        </w:rPr>
        <w:t xml:space="preserve">3.2.6 </w:t>
      </w:r>
      <w:r>
        <w:rPr>
          <w:rFonts w:hint="default" w:ascii="Arial" w:hAnsi="Arial" w:cs="Arial" w:eastAsiaTheme="minorHAnsi"/>
          <w:sz w:val="22"/>
          <w:szCs w:val="22"/>
          <w:lang w:eastAsia="en-US"/>
        </w:rPr>
        <w:t>A empresa deverá substituir todo e qualquer material/serviço que estiver fora dos padrões solicitados ou que seja considerado impróprio para o uso, ficando ainda sujeito as demais penalidades legais.</w:t>
      </w:r>
    </w:p>
    <w:p w14:paraId="5910FBEE">
      <w:pPr>
        <w:spacing w:line="360" w:lineRule="auto"/>
        <w:jc w:val="both"/>
        <w:rPr>
          <w:rFonts w:hint="default" w:ascii="Arial" w:hAnsi="Arial" w:cs="Arial"/>
          <w:sz w:val="22"/>
          <w:szCs w:val="22"/>
        </w:rPr>
      </w:pPr>
    </w:p>
    <w:p w14:paraId="391EFE27">
      <w:pPr>
        <w:spacing w:line="360" w:lineRule="auto"/>
        <w:jc w:val="both"/>
        <w:rPr>
          <w:rFonts w:hint="default" w:ascii="Arial" w:hAnsi="Arial" w:cs="Arial"/>
          <w:sz w:val="22"/>
          <w:szCs w:val="22"/>
        </w:rPr>
      </w:pPr>
      <w:r>
        <w:rPr>
          <w:rFonts w:hint="default" w:ascii="Arial" w:hAnsi="Arial" w:cs="Arial"/>
          <w:b/>
          <w:bCs/>
          <w:sz w:val="22"/>
          <w:szCs w:val="22"/>
          <w:lang w:val="pt-BR"/>
        </w:rPr>
        <w:t>3.3 DA HABILITAÇÃO</w:t>
      </w:r>
      <w:r>
        <w:rPr>
          <w:rFonts w:hint="default" w:ascii="Arial" w:hAnsi="Arial" w:cs="Arial"/>
          <w:sz w:val="22"/>
          <w:szCs w:val="22"/>
          <w:lang w:val="pt-BR"/>
        </w:rPr>
        <w:t xml:space="preserve"> </w:t>
      </w:r>
      <w:r>
        <w:rPr>
          <w:rFonts w:hint="default" w:ascii="Arial" w:hAnsi="Arial" w:cs="Arial"/>
          <w:sz w:val="22"/>
          <w:szCs w:val="22"/>
        </w:rPr>
        <w:t xml:space="preserve">Para prestação dos serviços pretendidos os eventuais interessados deverão comprovar que atuam em ramo de atividade compatível com o objeto da licitação, bem como apresentar os seguintes documentos a título de habilitação, nos termos do art. 62 e 66, da Lei nº 14.133/2021: </w:t>
      </w:r>
    </w:p>
    <w:p w14:paraId="0E3D082F">
      <w:pPr>
        <w:keepNext w:val="0"/>
        <w:keepLines w:val="0"/>
        <w:pageBreakBefore w:val="0"/>
        <w:widowControl/>
        <w:numPr>
          <w:ilvl w:val="0"/>
          <w:numId w:val="1"/>
        </w:numPr>
        <w:kinsoku/>
        <w:wordWrap/>
        <w:overflowPunct/>
        <w:topLinePunct w:val="0"/>
        <w:autoSpaceDE/>
        <w:autoSpaceDN/>
        <w:bidi w:val="0"/>
        <w:adjustRightInd/>
        <w:snapToGrid/>
        <w:spacing w:after="181" w:afterLines="50" w:line="360" w:lineRule="auto"/>
        <w:ind w:left="425" w:leftChars="0" w:hanging="425" w:firstLineChars="0"/>
        <w:jc w:val="both"/>
        <w:textAlignment w:val="auto"/>
        <w:rPr>
          <w:rFonts w:hint="default" w:ascii="Arial" w:hAnsi="Arial" w:cs="Arial"/>
          <w:sz w:val="22"/>
          <w:szCs w:val="22"/>
        </w:rPr>
      </w:pPr>
      <w:r>
        <w:rPr>
          <w:rFonts w:hint="default" w:ascii="Arial" w:hAnsi="Arial" w:cs="Arial"/>
          <w:sz w:val="22"/>
          <w:szCs w:val="22"/>
        </w:rPr>
        <w:t>Contrato Social com todas as alterações ou a última consolidação e/ou equivalente, que comprove a aptidão da empresa para atendimento ora licitados;</w:t>
      </w:r>
    </w:p>
    <w:p w14:paraId="4E485BD6">
      <w:pPr>
        <w:keepNext w:val="0"/>
        <w:keepLines w:val="0"/>
        <w:pageBreakBefore w:val="0"/>
        <w:widowControl/>
        <w:numPr>
          <w:ilvl w:val="0"/>
          <w:numId w:val="1"/>
        </w:numPr>
        <w:kinsoku/>
        <w:wordWrap/>
        <w:overflowPunct/>
        <w:topLinePunct w:val="0"/>
        <w:autoSpaceDE/>
        <w:autoSpaceDN/>
        <w:bidi w:val="0"/>
        <w:adjustRightInd/>
        <w:snapToGrid/>
        <w:spacing w:after="181" w:afterLines="50" w:line="360" w:lineRule="auto"/>
        <w:ind w:left="425" w:leftChars="0" w:hanging="425" w:firstLineChars="0"/>
        <w:jc w:val="both"/>
        <w:textAlignment w:val="auto"/>
        <w:rPr>
          <w:rFonts w:hint="default" w:ascii="Arial" w:hAnsi="Arial" w:cs="Arial"/>
          <w:sz w:val="22"/>
          <w:szCs w:val="22"/>
        </w:rPr>
      </w:pPr>
      <w:r>
        <w:rPr>
          <w:rFonts w:hint="default" w:ascii="Arial" w:hAnsi="Arial" w:cs="Arial"/>
          <w:sz w:val="22"/>
          <w:szCs w:val="22"/>
        </w:rPr>
        <w:t>Inscrição no Cadastro Nacional da Pessoa Jurídica (CNPJ);</w:t>
      </w:r>
    </w:p>
    <w:p w14:paraId="5ADD2B80">
      <w:pPr>
        <w:keepNext w:val="0"/>
        <w:keepLines w:val="0"/>
        <w:pageBreakBefore w:val="0"/>
        <w:widowControl/>
        <w:numPr>
          <w:ilvl w:val="0"/>
          <w:numId w:val="1"/>
        </w:numPr>
        <w:kinsoku/>
        <w:wordWrap/>
        <w:overflowPunct/>
        <w:topLinePunct w:val="0"/>
        <w:autoSpaceDE/>
        <w:autoSpaceDN/>
        <w:bidi w:val="0"/>
        <w:adjustRightInd/>
        <w:snapToGrid/>
        <w:spacing w:after="181" w:afterLines="50" w:line="360" w:lineRule="auto"/>
        <w:ind w:left="425" w:leftChars="0" w:hanging="425" w:firstLineChars="0"/>
        <w:jc w:val="both"/>
        <w:textAlignment w:val="auto"/>
        <w:rPr>
          <w:rFonts w:hint="default" w:ascii="Arial" w:hAnsi="Arial" w:cs="Arial"/>
          <w:sz w:val="22"/>
          <w:szCs w:val="22"/>
        </w:rPr>
      </w:pPr>
      <w:r>
        <w:rPr>
          <w:rFonts w:hint="default" w:ascii="Arial" w:hAnsi="Arial" w:cs="Arial"/>
          <w:sz w:val="22"/>
          <w:szCs w:val="22"/>
        </w:rPr>
        <w:t>Prova de Regularidade quanto aos Tributos e Encargos Sociais administrados pela Secretaria da Receita Federal do Brasil - RFB e quanto à Dívida Ativa da União administrada pela Procuradoria Geral da Fazenda Nacional – PGFN (Certidão Conjunta Negativa);</w:t>
      </w:r>
    </w:p>
    <w:p w14:paraId="13F4C64A">
      <w:pPr>
        <w:keepNext w:val="0"/>
        <w:keepLines w:val="0"/>
        <w:pageBreakBefore w:val="0"/>
        <w:widowControl/>
        <w:numPr>
          <w:ilvl w:val="0"/>
          <w:numId w:val="1"/>
        </w:numPr>
        <w:kinsoku/>
        <w:wordWrap/>
        <w:overflowPunct/>
        <w:topLinePunct w:val="0"/>
        <w:autoSpaceDE/>
        <w:autoSpaceDN/>
        <w:bidi w:val="0"/>
        <w:adjustRightInd/>
        <w:snapToGrid/>
        <w:spacing w:after="181" w:afterLines="50" w:line="360" w:lineRule="auto"/>
        <w:ind w:left="425" w:leftChars="0" w:hanging="425" w:firstLineChars="0"/>
        <w:jc w:val="both"/>
        <w:textAlignment w:val="auto"/>
        <w:rPr>
          <w:rFonts w:hint="default" w:ascii="Arial" w:hAnsi="Arial" w:cs="Arial"/>
          <w:sz w:val="22"/>
          <w:szCs w:val="22"/>
        </w:rPr>
      </w:pPr>
      <w:r>
        <w:rPr>
          <w:rFonts w:hint="default" w:ascii="Arial" w:hAnsi="Arial" w:cs="Arial"/>
          <w:sz w:val="22"/>
          <w:szCs w:val="22"/>
        </w:rPr>
        <w:t>Certidão Negativa da Receita Estadual;</w:t>
      </w:r>
    </w:p>
    <w:p w14:paraId="5199A585">
      <w:pPr>
        <w:keepNext w:val="0"/>
        <w:keepLines w:val="0"/>
        <w:pageBreakBefore w:val="0"/>
        <w:widowControl/>
        <w:numPr>
          <w:ilvl w:val="0"/>
          <w:numId w:val="1"/>
        </w:numPr>
        <w:kinsoku/>
        <w:wordWrap/>
        <w:overflowPunct/>
        <w:topLinePunct w:val="0"/>
        <w:autoSpaceDE/>
        <w:autoSpaceDN/>
        <w:bidi w:val="0"/>
        <w:adjustRightInd/>
        <w:snapToGrid/>
        <w:spacing w:after="181" w:afterLines="50" w:line="360" w:lineRule="auto"/>
        <w:ind w:left="425" w:leftChars="0" w:hanging="425" w:firstLineChars="0"/>
        <w:jc w:val="both"/>
        <w:textAlignment w:val="auto"/>
        <w:rPr>
          <w:rFonts w:hint="default" w:ascii="Arial" w:hAnsi="Arial" w:cs="Arial"/>
          <w:sz w:val="22"/>
          <w:szCs w:val="22"/>
        </w:rPr>
      </w:pPr>
      <w:r>
        <w:rPr>
          <w:rFonts w:hint="default" w:ascii="Arial" w:hAnsi="Arial" w:cs="Arial"/>
          <w:sz w:val="22"/>
          <w:szCs w:val="22"/>
        </w:rPr>
        <w:t>Certidão Negativa Débito Municipal do domicílio ou sede da empresa licitante;</w:t>
      </w:r>
    </w:p>
    <w:p w14:paraId="21049300">
      <w:pPr>
        <w:keepNext w:val="0"/>
        <w:keepLines w:val="0"/>
        <w:pageBreakBefore w:val="0"/>
        <w:widowControl/>
        <w:numPr>
          <w:ilvl w:val="0"/>
          <w:numId w:val="1"/>
        </w:numPr>
        <w:kinsoku/>
        <w:wordWrap/>
        <w:overflowPunct/>
        <w:topLinePunct w:val="0"/>
        <w:autoSpaceDE/>
        <w:autoSpaceDN/>
        <w:bidi w:val="0"/>
        <w:adjustRightInd/>
        <w:snapToGrid/>
        <w:spacing w:after="181" w:afterLines="50" w:line="360" w:lineRule="auto"/>
        <w:ind w:left="425" w:leftChars="0" w:hanging="425" w:firstLineChars="0"/>
        <w:jc w:val="both"/>
        <w:textAlignment w:val="auto"/>
        <w:rPr>
          <w:rFonts w:hint="default" w:ascii="Arial" w:hAnsi="Arial" w:cs="Arial"/>
          <w:sz w:val="22"/>
          <w:szCs w:val="22"/>
        </w:rPr>
      </w:pPr>
      <w:r>
        <w:rPr>
          <w:rFonts w:hint="default" w:ascii="Arial" w:hAnsi="Arial" w:cs="Arial"/>
          <w:sz w:val="22"/>
          <w:szCs w:val="22"/>
        </w:rPr>
        <w:t>Certificado de Regularidade relativa à Seguridade Social e ao FGTS, que demonstre cumprimento dos encargos sociais instituídos por lei;</w:t>
      </w:r>
    </w:p>
    <w:p w14:paraId="74416213">
      <w:pPr>
        <w:keepNext w:val="0"/>
        <w:keepLines w:val="0"/>
        <w:pageBreakBefore w:val="0"/>
        <w:widowControl/>
        <w:numPr>
          <w:ilvl w:val="0"/>
          <w:numId w:val="1"/>
        </w:numPr>
        <w:kinsoku/>
        <w:wordWrap/>
        <w:overflowPunct/>
        <w:topLinePunct w:val="0"/>
        <w:autoSpaceDE/>
        <w:autoSpaceDN/>
        <w:bidi w:val="0"/>
        <w:adjustRightInd/>
        <w:snapToGrid/>
        <w:spacing w:after="181" w:afterLines="50" w:line="360" w:lineRule="auto"/>
        <w:ind w:left="425" w:leftChars="0" w:hanging="425" w:firstLineChars="0"/>
        <w:jc w:val="both"/>
        <w:textAlignment w:val="auto"/>
        <w:rPr>
          <w:rFonts w:hint="default" w:ascii="Arial" w:hAnsi="Arial" w:cs="Arial"/>
          <w:sz w:val="22"/>
          <w:szCs w:val="22"/>
        </w:rPr>
      </w:pPr>
      <w:r>
        <w:rPr>
          <w:rFonts w:hint="default" w:ascii="Arial" w:hAnsi="Arial" w:cs="Arial"/>
          <w:sz w:val="22"/>
          <w:szCs w:val="22"/>
        </w:rPr>
        <w:t>Certidão Negativa de Débitos Trabalhistas – CNDT, emitida pela Justiça do Trabalho;</w:t>
      </w:r>
    </w:p>
    <w:p w14:paraId="68CC01C0">
      <w:pPr>
        <w:keepNext w:val="0"/>
        <w:keepLines w:val="0"/>
        <w:pageBreakBefore w:val="0"/>
        <w:widowControl/>
        <w:numPr>
          <w:ilvl w:val="0"/>
          <w:numId w:val="1"/>
        </w:numPr>
        <w:kinsoku/>
        <w:wordWrap/>
        <w:overflowPunct/>
        <w:topLinePunct w:val="0"/>
        <w:autoSpaceDE/>
        <w:autoSpaceDN/>
        <w:bidi w:val="0"/>
        <w:adjustRightInd/>
        <w:snapToGrid/>
        <w:spacing w:after="181" w:afterLines="50" w:line="360" w:lineRule="auto"/>
        <w:ind w:left="425" w:leftChars="0" w:hanging="425" w:firstLineChars="0"/>
        <w:jc w:val="both"/>
        <w:textAlignment w:val="auto"/>
        <w:rPr>
          <w:rFonts w:hint="default" w:ascii="Arial" w:hAnsi="Arial" w:cs="Arial"/>
          <w:sz w:val="22"/>
          <w:szCs w:val="22"/>
        </w:rPr>
      </w:pPr>
      <w:r>
        <w:rPr>
          <w:rFonts w:hint="default" w:ascii="Arial" w:hAnsi="Arial" w:cs="Arial"/>
          <w:sz w:val="22"/>
          <w:szCs w:val="22"/>
        </w:rPr>
        <w:t>Declaração assinada pelo representante legal da proponente, sob as penas da lei, que não possui em seu quadro de funcionários menores de 18 anos exercendo trabalhos noturno, perigoso ou insalubre, ou menores de 16 anos exercendo qualquer trabalho, salvo na condição de aprendiz, a partir de 14 anos, em cumprimento ao inciso XXXIII, do artigo 7º da Constituição Federal combinado ao inciso VI do artigo 68 da Lei N.º 14.133/2021;</w:t>
      </w:r>
    </w:p>
    <w:p w14:paraId="703398B7">
      <w:pPr>
        <w:keepNext w:val="0"/>
        <w:keepLines w:val="0"/>
        <w:pageBreakBefore w:val="0"/>
        <w:widowControl/>
        <w:numPr>
          <w:ilvl w:val="0"/>
          <w:numId w:val="1"/>
        </w:numPr>
        <w:kinsoku/>
        <w:wordWrap/>
        <w:overflowPunct/>
        <w:topLinePunct w:val="0"/>
        <w:autoSpaceDE/>
        <w:autoSpaceDN/>
        <w:bidi w:val="0"/>
        <w:adjustRightInd/>
        <w:snapToGrid/>
        <w:spacing w:after="181" w:afterLines="50" w:line="360" w:lineRule="auto"/>
        <w:ind w:left="425" w:leftChars="0" w:hanging="425" w:firstLineChars="0"/>
        <w:jc w:val="both"/>
        <w:textAlignment w:val="auto"/>
        <w:rPr>
          <w:rFonts w:hint="default" w:ascii="Arial" w:hAnsi="Arial" w:cs="Arial"/>
          <w:sz w:val="22"/>
          <w:szCs w:val="22"/>
          <w:lang w:val="pt-BR"/>
        </w:rPr>
      </w:pPr>
      <w:r>
        <w:rPr>
          <w:rFonts w:hint="default" w:ascii="Arial" w:hAnsi="Arial" w:eastAsia="Times New Roman" w:cs="Arial"/>
          <w:sz w:val="22"/>
          <w:szCs w:val="22"/>
        </w:rPr>
        <w:t xml:space="preserve">Certidão Negativa de concordata e falência do Cartório Distribuidor da Comarca sede da proponente, emitida a menos de </w:t>
      </w:r>
      <w:r>
        <w:rPr>
          <w:rFonts w:hint="default" w:ascii="Arial" w:hAnsi="Arial" w:cs="Arial"/>
          <w:sz w:val="22"/>
          <w:szCs w:val="22"/>
          <w:lang w:val="pt-BR"/>
        </w:rPr>
        <w:t>9</w:t>
      </w:r>
      <w:r>
        <w:rPr>
          <w:rFonts w:hint="default" w:ascii="Arial" w:hAnsi="Arial" w:eastAsia="Times New Roman" w:cs="Arial"/>
          <w:sz w:val="22"/>
          <w:szCs w:val="22"/>
        </w:rPr>
        <w:t>0 (</w:t>
      </w:r>
      <w:r>
        <w:rPr>
          <w:rFonts w:hint="default" w:ascii="Arial" w:hAnsi="Arial" w:cs="Arial"/>
          <w:sz w:val="22"/>
          <w:szCs w:val="22"/>
          <w:lang w:val="pt-BR"/>
        </w:rPr>
        <w:t>noventa</w:t>
      </w:r>
      <w:r>
        <w:rPr>
          <w:rFonts w:hint="default" w:ascii="Arial" w:hAnsi="Arial" w:eastAsia="Times New Roman" w:cs="Arial"/>
          <w:sz w:val="22"/>
          <w:szCs w:val="22"/>
        </w:rPr>
        <w:t>) dias da data de abertura das Propostas a este edital;</w:t>
      </w:r>
    </w:p>
    <w:p w14:paraId="28818505">
      <w:pPr>
        <w:keepNext w:val="0"/>
        <w:keepLines w:val="0"/>
        <w:pageBreakBefore w:val="0"/>
        <w:widowControl/>
        <w:numPr>
          <w:ilvl w:val="0"/>
          <w:numId w:val="1"/>
        </w:numPr>
        <w:kinsoku/>
        <w:wordWrap/>
        <w:overflowPunct/>
        <w:topLinePunct w:val="0"/>
        <w:autoSpaceDE/>
        <w:autoSpaceDN/>
        <w:bidi w:val="0"/>
        <w:adjustRightInd/>
        <w:snapToGrid/>
        <w:spacing w:after="181" w:afterLines="50" w:line="360" w:lineRule="auto"/>
        <w:ind w:left="425" w:leftChars="0" w:hanging="425" w:firstLineChars="0"/>
        <w:jc w:val="both"/>
        <w:textAlignment w:val="auto"/>
        <w:rPr>
          <w:rFonts w:hint="default" w:ascii="Arial" w:hAnsi="Arial" w:cs="Arial"/>
          <w:sz w:val="22"/>
          <w:szCs w:val="22"/>
        </w:rPr>
      </w:pPr>
      <w:r>
        <w:rPr>
          <w:rFonts w:hint="default" w:ascii="Arial" w:hAnsi="Arial" w:eastAsia="Times New Roman" w:cs="Arial"/>
          <w:sz w:val="22"/>
          <w:szCs w:val="22"/>
          <w:lang w:eastAsia="en-US"/>
        </w:rPr>
        <w:t xml:space="preserve">Licença de Operação para a atividade de oficina mecânica ou similar, para os </w:t>
      </w:r>
      <w:r>
        <w:rPr>
          <w:rFonts w:hint="default" w:ascii="Arial" w:hAnsi="Arial" w:eastAsia="Times New Roman" w:cs="Arial"/>
          <w:sz w:val="22"/>
          <w:szCs w:val="22"/>
          <w:lang w:val="pt-BR" w:eastAsia="en-US"/>
        </w:rPr>
        <w:t>serviços de torno, fresagem e solda MIG</w:t>
      </w:r>
      <w:r>
        <w:rPr>
          <w:rFonts w:hint="default" w:ascii="Arial" w:hAnsi="Arial" w:eastAsia="Times New Roman" w:cs="Arial"/>
          <w:sz w:val="22"/>
          <w:szCs w:val="22"/>
          <w:lang w:eastAsia="en-US"/>
        </w:rPr>
        <w:t>.</w:t>
      </w:r>
    </w:p>
    <w:p w14:paraId="09D16FD9">
      <w:pPr>
        <w:keepNext w:val="0"/>
        <w:keepLines w:val="0"/>
        <w:pageBreakBefore w:val="0"/>
        <w:widowControl/>
        <w:numPr>
          <w:ilvl w:val="0"/>
          <w:numId w:val="0"/>
        </w:numPr>
        <w:kinsoku/>
        <w:wordWrap/>
        <w:overflowPunct/>
        <w:topLinePunct w:val="0"/>
        <w:autoSpaceDE/>
        <w:autoSpaceDN/>
        <w:bidi w:val="0"/>
        <w:adjustRightInd/>
        <w:snapToGrid/>
        <w:spacing w:after="181" w:afterLines="50" w:line="360" w:lineRule="auto"/>
        <w:ind w:leftChars="0"/>
        <w:jc w:val="both"/>
        <w:textAlignment w:val="auto"/>
        <w:rPr>
          <w:rFonts w:hint="default" w:ascii="Arial" w:hAnsi="Arial" w:cs="Arial"/>
          <w:sz w:val="22"/>
          <w:szCs w:val="22"/>
        </w:rPr>
      </w:pPr>
    </w:p>
    <w:p w14:paraId="3B2CD979">
      <w:pPr>
        <w:spacing w:line="360" w:lineRule="auto"/>
        <w:jc w:val="both"/>
        <w:rPr>
          <w:rFonts w:hint="default" w:ascii="Arial" w:hAnsi="Arial" w:cs="Arial"/>
          <w:b/>
          <w:bCs/>
          <w:sz w:val="22"/>
          <w:szCs w:val="22"/>
          <w:highlight w:val="none"/>
        </w:rPr>
      </w:pPr>
      <w:r>
        <w:rPr>
          <w:rFonts w:hint="default" w:ascii="Arial" w:hAnsi="Arial" w:cs="Arial"/>
          <w:b/>
          <w:bCs/>
          <w:sz w:val="22"/>
          <w:szCs w:val="22"/>
          <w:highlight w:val="none"/>
        </w:rPr>
        <w:t>4. ESTIMATIVA DAS QUANTIDADES</w:t>
      </w:r>
    </w:p>
    <w:p w14:paraId="2D5B4987">
      <w:pPr>
        <w:spacing w:line="360" w:lineRule="auto"/>
        <w:jc w:val="both"/>
        <w:rPr>
          <w:rFonts w:hint="default" w:ascii="Arial" w:hAnsi="Arial" w:cs="Arial"/>
          <w:sz w:val="22"/>
          <w:szCs w:val="22"/>
        </w:rPr>
      </w:pPr>
      <w:r>
        <w:rPr>
          <w:rFonts w:hint="default" w:ascii="Arial" w:hAnsi="Arial" w:cs="Arial"/>
          <w:sz w:val="22"/>
          <w:szCs w:val="22"/>
        </w:rPr>
        <w:t>Os quantitativos estimados para a contratação pretendida têm como parâmetro as últimas contratações com o mesmo objeto, realizadas por esta Administração. Neste sentido, seque memória de cálculo:</w:t>
      </w:r>
    </w:p>
    <w:p w14:paraId="38FC37BB">
      <w:pPr>
        <w:spacing w:line="360" w:lineRule="auto"/>
        <w:jc w:val="both"/>
        <w:rPr>
          <w:rFonts w:hint="default" w:ascii="Arial" w:hAnsi="Arial" w:cs="Arial"/>
          <w:sz w:val="22"/>
          <w:szCs w:val="22"/>
        </w:rPr>
      </w:pPr>
    </w:p>
    <w:tbl>
      <w:tblPr>
        <w:tblStyle w:val="20"/>
        <w:tblW w:w="66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386"/>
        <w:gridCol w:w="3302"/>
      </w:tblGrid>
      <w:tr w14:paraId="521250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386" w:type="dxa"/>
            <w:shd w:val="clear" w:color="auto" w:fill="E7E6E6" w:themeFill="background2"/>
          </w:tcPr>
          <w:p w14:paraId="1ED814CA">
            <w:pPr>
              <w:spacing w:line="360" w:lineRule="auto"/>
              <w:jc w:val="center"/>
              <w:rPr>
                <w:rFonts w:hint="default" w:ascii="Arial" w:hAnsi="Arial" w:cs="Arial"/>
                <w:b/>
                <w:bCs/>
                <w:sz w:val="22"/>
                <w:szCs w:val="22"/>
              </w:rPr>
            </w:pPr>
            <w:r>
              <w:rPr>
                <w:rFonts w:hint="default" w:ascii="Arial" w:hAnsi="Arial" w:cs="Arial"/>
                <w:b/>
                <w:bCs/>
                <w:sz w:val="22"/>
                <w:szCs w:val="22"/>
              </w:rPr>
              <w:t>PROCESSO Nº</w:t>
            </w:r>
          </w:p>
        </w:tc>
        <w:tc>
          <w:tcPr>
            <w:tcW w:w="3302" w:type="dxa"/>
            <w:shd w:val="clear" w:color="auto" w:fill="E7E6E6" w:themeFill="background2"/>
          </w:tcPr>
          <w:p w14:paraId="6C1B5EC2">
            <w:pPr>
              <w:spacing w:line="360" w:lineRule="auto"/>
              <w:jc w:val="center"/>
              <w:rPr>
                <w:rFonts w:hint="default" w:ascii="Arial" w:hAnsi="Arial" w:cs="Arial"/>
                <w:sz w:val="22"/>
                <w:szCs w:val="22"/>
              </w:rPr>
            </w:pPr>
            <w:r>
              <w:rPr>
                <w:rFonts w:hint="default" w:ascii="Arial" w:hAnsi="Arial" w:cs="Arial"/>
                <w:b/>
                <w:bCs/>
                <w:sz w:val="22"/>
                <w:szCs w:val="22"/>
              </w:rPr>
              <w:t>CONSUMO</w:t>
            </w:r>
          </w:p>
        </w:tc>
      </w:tr>
      <w:tr w14:paraId="2DE89D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386" w:type="dxa"/>
          </w:tcPr>
          <w:p w14:paraId="225CF6B0">
            <w:pPr>
              <w:spacing w:line="360" w:lineRule="auto"/>
              <w:jc w:val="center"/>
              <w:rPr>
                <w:rFonts w:hint="default" w:ascii="Arial" w:hAnsi="Arial" w:cs="Arial"/>
                <w:sz w:val="22"/>
                <w:szCs w:val="22"/>
                <w:lang w:val="pt-BR"/>
              </w:rPr>
            </w:pPr>
            <w:r>
              <w:rPr>
                <w:rFonts w:hint="default" w:ascii="Arial" w:hAnsi="Arial" w:cs="Arial"/>
                <w:sz w:val="22"/>
                <w:szCs w:val="22"/>
                <w:lang w:val="pt-BR"/>
              </w:rPr>
              <w:t>PRP 04/2022</w:t>
            </w:r>
          </w:p>
        </w:tc>
        <w:tc>
          <w:tcPr>
            <w:tcW w:w="3302" w:type="dxa"/>
          </w:tcPr>
          <w:p w14:paraId="293826EE">
            <w:pPr>
              <w:spacing w:line="360" w:lineRule="auto"/>
              <w:jc w:val="center"/>
              <w:rPr>
                <w:rFonts w:hint="default" w:ascii="Arial" w:hAnsi="Arial" w:cs="Arial"/>
                <w:sz w:val="22"/>
                <w:szCs w:val="22"/>
                <w:lang w:val="pt-BR"/>
              </w:rPr>
            </w:pPr>
            <w:r>
              <w:rPr>
                <w:rFonts w:hint="default" w:ascii="Arial" w:hAnsi="Arial" w:cs="Arial"/>
                <w:sz w:val="22"/>
                <w:szCs w:val="22"/>
                <w:lang w:val="pt-BR"/>
              </w:rPr>
              <w:t>R$ 33.141,50</w:t>
            </w:r>
          </w:p>
        </w:tc>
      </w:tr>
      <w:tr w14:paraId="314264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386" w:type="dxa"/>
          </w:tcPr>
          <w:p w14:paraId="16064708">
            <w:pPr>
              <w:spacing w:line="360" w:lineRule="auto"/>
              <w:jc w:val="center"/>
              <w:rPr>
                <w:rFonts w:hint="default" w:ascii="Arial" w:hAnsi="Arial" w:cs="Arial"/>
                <w:sz w:val="22"/>
                <w:szCs w:val="22"/>
                <w:lang w:val="pt-BR"/>
              </w:rPr>
            </w:pPr>
            <w:r>
              <w:rPr>
                <w:rFonts w:hint="default" w:ascii="Arial" w:hAnsi="Arial" w:cs="Arial"/>
                <w:sz w:val="22"/>
                <w:szCs w:val="22"/>
                <w:lang w:val="pt-BR"/>
              </w:rPr>
              <w:t>PRE 38/2023</w:t>
            </w:r>
          </w:p>
        </w:tc>
        <w:tc>
          <w:tcPr>
            <w:tcW w:w="3302" w:type="dxa"/>
          </w:tcPr>
          <w:p w14:paraId="021246B5">
            <w:pPr>
              <w:spacing w:line="360" w:lineRule="auto"/>
              <w:jc w:val="center"/>
              <w:rPr>
                <w:rFonts w:hint="default" w:ascii="Arial" w:hAnsi="Arial" w:cs="Arial"/>
                <w:sz w:val="22"/>
                <w:szCs w:val="22"/>
                <w:lang w:val="pt-BR"/>
              </w:rPr>
            </w:pPr>
            <w:r>
              <w:rPr>
                <w:rFonts w:hint="default" w:ascii="Arial" w:hAnsi="Arial" w:cs="Arial"/>
                <w:sz w:val="22"/>
                <w:szCs w:val="22"/>
                <w:lang w:val="pt-BR"/>
              </w:rPr>
              <w:t>R$ 11.400,00</w:t>
            </w:r>
          </w:p>
        </w:tc>
      </w:tr>
      <w:tr w14:paraId="38FFED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386" w:type="dxa"/>
          </w:tcPr>
          <w:p w14:paraId="588D2638">
            <w:pPr>
              <w:spacing w:line="360" w:lineRule="auto"/>
              <w:jc w:val="center"/>
              <w:rPr>
                <w:rFonts w:hint="default" w:ascii="Arial" w:hAnsi="Arial" w:cs="Arial"/>
                <w:sz w:val="22"/>
                <w:szCs w:val="22"/>
                <w:lang w:val="pt-BR"/>
              </w:rPr>
            </w:pPr>
            <w:r>
              <w:rPr>
                <w:rFonts w:hint="default" w:ascii="Arial" w:hAnsi="Arial" w:cs="Arial"/>
                <w:sz w:val="22"/>
                <w:szCs w:val="22"/>
                <w:lang w:val="pt-BR"/>
              </w:rPr>
              <w:t>PCE 38/2024</w:t>
            </w:r>
          </w:p>
        </w:tc>
        <w:tc>
          <w:tcPr>
            <w:tcW w:w="3302" w:type="dxa"/>
          </w:tcPr>
          <w:p w14:paraId="634CAC2A">
            <w:pPr>
              <w:spacing w:line="360" w:lineRule="auto"/>
              <w:jc w:val="center"/>
              <w:rPr>
                <w:rFonts w:hint="default" w:ascii="Arial" w:hAnsi="Arial" w:cs="Arial"/>
                <w:sz w:val="22"/>
                <w:szCs w:val="22"/>
                <w:lang w:val="pt-BR"/>
              </w:rPr>
            </w:pPr>
            <w:r>
              <w:rPr>
                <w:rFonts w:hint="default" w:ascii="Arial" w:hAnsi="Arial" w:cs="Arial"/>
                <w:sz w:val="22"/>
                <w:szCs w:val="22"/>
                <w:lang w:val="pt-BR"/>
              </w:rPr>
              <w:t>R$ 79.219,50</w:t>
            </w:r>
          </w:p>
        </w:tc>
      </w:tr>
    </w:tbl>
    <w:p w14:paraId="3008E091">
      <w:pPr>
        <w:spacing w:line="360" w:lineRule="auto"/>
        <w:jc w:val="both"/>
        <w:rPr>
          <w:rFonts w:hint="default" w:ascii="Arial" w:hAnsi="Arial" w:cs="Arial"/>
          <w:sz w:val="22"/>
          <w:szCs w:val="22"/>
        </w:rPr>
      </w:pPr>
    </w:p>
    <w:p w14:paraId="76EF849F">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Arial" w:hAnsi="Arial" w:cs="Arial"/>
          <w:b/>
          <w:bCs/>
          <w:sz w:val="22"/>
          <w:szCs w:val="22"/>
          <w:highlight w:val="none"/>
        </w:rPr>
      </w:pPr>
      <w:r>
        <w:rPr>
          <w:rFonts w:hint="default" w:ascii="Arial" w:hAnsi="Arial" w:cs="Arial"/>
          <w:b/>
          <w:bCs/>
          <w:sz w:val="22"/>
          <w:szCs w:val="22"/>
          <w:highlight w:val="none"/>
        </w:rPr>
        <w:t>5. ALTERNATIVAS DISPONÍVEIS NO MERCADO</w:t>
      </w:r>
    </w:p>
    <w:p w14:paraId="1F7F9A3F">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Arial" w:hAnsi="Arial" w:cs="Arial"/>
          <w:sz w:val="22"/>
          <w:szCs w:val="22"/>
        </w:rPr>
      </w:pPr>
      <w:r>
        <w:rPr>
          <w:rFonts w:hint="default" w:ascii="Arial" w:hAnsi="Arial" w:cs="Arial"/>
          <w:sz w:val="22"/>
          <w:szCs w:val="22"/>
        </w:rPr>
        <w:t>Conforme pesquisa de mercado realizada, para solução da necessidade administrativa, objeto do presente Estudo Técnico Preliminar, vislumbra-se possível, sob o aspecto técnico e econômico, a contratação de empresas especializadas</w:t>
      </w:r>
      <w:r>
        <w:rPr>
          <w:rFonts w:hint="default" w:ascii="Arial" w:hAnsi="Arial" w:cs="Arial"/>
          <w:sz w:val="22"/>
          <w:szCs w:val="22"/>
          <w:lang w:val="pt-BR"/>
        </w:rPr>
        <w:t xml:space="preserve"> na prestação dos serviços de torno, fresagem e solda. </w:t>
      </w:r>
      <w:r>
        <w:rPr>
          <w:rFonts w:hint="default" w:ascii="Arial" w:hAnsi="Arial" w:cs="Arial"/>
          <w:b w:val="0"/>
          <w:bCs w:val="0"/>
          <w:sz w:val="22"/>
          <w:szCs w:val="22"/>
        </w:rPr>
        <w:t>Considerando as soluções possíveis para o atendimento da necessidade da Administração Pública, foram identificadas as seguintes alternativas:</w:t>
      </w:r>
    </w:p>
    <w:p w14:paraId="2EE36028">
      <w:pPr>
        <w:pStyle w:val="14"/>
        <w:keepNext w:val="0"/>
        <w:keepLines w:val="0"/>
        <w:widowControl/>
        <w:numPr>
          <w:ilvl w:val="0"/>
          <w:numId w:val="2"/>
        </w:numPr>
        <w:suppressLineNumbers w:val="0"/>
        <w:spacing w:line="360" w:lineRule="auto"/>
        <w:ind w:left="425" w:leftChars="0" w:hanging="425" w:firstLineChars="0"/>
        <w:jc w:val="both"/>
        <w:rPr>
          <w:rStyle w:val="10"/>
          <w:rFonts w:hint="default" w:ascii="Arial" w:hAnsi="Arial" w:cs="Arial"/>
          <w:b w:val="0"/>
          <w:bCs w:val="0"/>
          <w:sz w:val="22"/>
          <w:szCs w:val="22"/>
          <w:lang w:val="pt-BR"/>
        </w:rPr>
      </w:pPr>
      <w:r>
        <w:rPr>
          <w:rStyle w:val="10"/>
          <w:rFonts w:hint="default" w:ascii="Arial" w:hAnsi="Arial" w:cs="Arial"/>
          <w:b w:val="0"/>
          <w:bCs w:val="0"/>
          <w:sz w:val="22"/>
          <w:szCs w:val="22"/>
        </w:rPr>
        <w:t>Capacitação de servidores do quadro funcional da Prefeitura</w:t>
      </w:r>
      <w:r>
        <w:rPr>
          <w:rFonts w:hint="default" w:ascii="Arial" w:hAnsi="Arial" w:cs="Arial"/>
          <w:b w:val="0"/>
          <w:bCs w:val="0"/>
          <w:sz w:val="22"/>
          <w:szCs w:val="22"/>
        </w:rPr>
        <w:t>;</w:t>
      </w:r>
    </w:p>
    <w:p w14:paraId="5FBB306D">
      <w:pPr>
        <w:pStyle w:val="14"/>
        <w:keepNext w:val="0"/>
        <w:keepLines w:val="0"/>
        <w:widowControl/>
        <w:numPr>
          <w:ilvl w:val="0"/>
          <w:numId w:val="2"/>
        </w:numPr>
        <w:suppressLineNumbers w:val="0"/>
        <w:spacing w:line="360" w:lineRule="auto"/>
        <w:ind w:left="425" w:leftChars="0" w:hanging="425" w:firstLineChars="0"/>
        <w:jc w:val="both"/>
        <w:rPr>
          <w:rStyle w:val="10"/>
          <w:rFonts w:hint="default" w:ascii="Arial" w:hAnsi="Arial" w:cs="Arial"/>
          <w:b w:val="0"/>
          <w:bCs w:val="0"/>
          <w:sz w:val="22"/>
          <w:szCs w:val="22"/>
          <w:lang w:val="pt-BR"/>
        </w:rPr>
      </w:pPr>
      <w:r>
        <w:rPr>
          <w:rStyle w:val="10"/>
          <w:rFonts w:hint="default" w:ascii="Arial" w:hAnsi="Arial" w:cs="Arial"/>
          <w:b w:val="0"/>
          <w:bCs w:val="0"/>
          <w:sz w:val="22"/>
          <w:szCs w:val="22"/>
        </w:rPr>
        <w:t>Contratação de empresa especializada na prestação de serviços técnicos de manutenção</w:t>
      </w:r>
      <w:r>
        <w:rPr>
          <w:rStyle w:val="10"/>
          <w:rFonts w:hint="default" w:ascii="Arial" w:hAnsi="Arial" w:cs="Arial"/>
          <w:b w:val="0"/>
          <w:bCs w:val="0"/>
          <w:sz w:val="22"/>
          <w:szCs w:val="22"/>
          <w:lang w:val="pt-BR"/>
        </w:rPr>
        <w:t>.</w:t>
      </w:r>
    </w:p>
    <w:p w14:paraId="2259AEB1">
      <w:pPr>
        <w:pStyle w:val="14"/>
        <w:keepNext w:val="0"/>
        <w:keepLines w:val="0"/>
        <w:widowControl/>
        <w:suppressLineNumbers w:val="0"/>
        <w:spacing w:line="360" w:lineRule="auto"/>
        <w:jc w:val="both"/>
        <w:rPr>
          <w:rFonts w:hint="default" w:ascii="Arial" w:hAnsi="Arial" w:eastAsia="Calibri" w:cs="Arial"/>
          <w:sz w:val="22"/>
          <w:szCs w:val="22"/>
          <w:lang w:val="pt-BR" w:eastAsia="pt-BR" w:bidi="ar-SA"/>
        </w:rPr>
      </w:pPr>
      <w:r>
        <w:rPr>
          <w:rFonts w:hint="default" w:ascii="Arial" w:hAnsi="Arial" w:eastAsia="Calibri" w:cs="Arial"/>
          <w:sz w:val="22"/>
          <w:szCs w:val="22"/>
          <w:lang w:val="pt-BR" w:eastAsia="pt-BR" w:bidi="ar-SA"/>
        </w:rPr>
        <w:t>Após análise dos cenários, vislumbra-se que a melhor solução para atender às demandas atuais das secretarias municipais é a opção 2. A primeira alternativa, embora possível, envolve elevado custo com aquisição de maquinário, equipamentos, estrutura física adequada e ainda treinamentos específicos para os servidores, o que exigiria um planejamento a longo prazo e um investimento elevado.</w:t>
      </w:r>
    </w:p>
    <w:p w14:paraId="00B31D7C">
      <w:pPr>
        <w:pStyle w:val="14"/>
        <w:keepNext w:val="0"/>
        <w:keepLines w:val="0"/>
        <w:widowControl/>
        <w:suppressLineNumbers w:val="0"/>
        <w:spacing w:line="360" w:lineRule="auto"/>
        <w:jc w:val="both"/>
        <w:rPr>
          <w:rFonts w:hint="default" w:ascii="Arial" w:hAnsi="Arial" w:cs="Arial"/>
          <w:sz w:val="22"/>
          <w:szCs w:val="22"/>
          <w:lang w:val="en-US"/>
        </w:rPr>
      </w:pPr>
      <w:r>
        <w:rPr>
          <w:rFonts w:hint="default" w:ascii="Arial" w:hAnsi="Arial" w:eastAsia="Calibri" w:cs="Arial"/>
          <w:sz w:val="22"/>
          <w:szCs w:val="22"/>
          <w:lang w:val="pt-BR" w:eastAsia="pt-BR" w:bidi="ar-SA"/>
        </w:rPr>
        <w:t>A opção 2, por sua vez, oferece maior agilidade, flexibilidade e eficiência, uma vez que os serviços são prestados sob demanda, conforme a necessidade eventual das secretarias. Essa abordagem permite à Administração otimizar recursos, manter a continuidade dos serviços essenciais e responder com prontidão às necessidades de manutenção de veículos, equipamentos e estruturas municipais, garantindo assim eficiência na gestão pública</w:t>
      </w:r>
      <w:r>
        <w:rPr>
          <w:rFonts w:hint="default" w:ascii="Arial" w:hAnsi="Arial" w:eastAsia="Calibri" w:cs="Arial"/>
          <w:sz w:val="22"/>
          <w:szCs w:val="22"/>
          <w:lang w:val="en-US" w:eastAsia="pt-BR" w:bidi="ar-SA"/>
        </w:rPr>
        <w:t>.</w:t>
      </w:r>
    </w:p>
    <w:p w14:paraId="205C5B4C">
      <w:pPr>
        <w:spacing w:line="360" w:lineRule="auto"/>
        <w:jc w:val="both"/>
        <w:rPr>
          <w:rFonts w:hint="default" w:ascii="Arial" w:hAnsi="Arial" w:cs="Arial"/>
          <w:sz w:val="22"/>
          <w:szCs w:val="22"/>
        </w:rPr>
      </w:pPr>
      <w:r>
        <w:rPr>
          <w:rFonts w:hint="default" w:ascii="Arial" w:hAnsi="Arial" w:cs="Arial"/>
          <w:sz w:val="22"/>
          <w:szCs w:val="22"/>
        </w:rPr>
        <w:t xml:space="preserve">Neste sentido, segue indicação de potenciais prestadores de serviços: </w:t>
      </w:r>
    </w:p>
    <w:p w14:paraId="448DE2BE">
      <w:pPr>
        <w:numPr>
          <w:ilvl w:val="0"/>
          <w:numId w:val="3"/>
        </w:numPr>
        <w:spacing w:line="360" w:lineRule="auto"/>
        <w:ind w:left="420" w:leftChars="0" w:hanging="420" w:firstLineChars="0"/>
        <w:jc w:val="both"/>
        <w:rPr>
          <w:rFonts w:hint="default" w:ascii="Arial" w:hAnsi="Arial" w:cs="Arial"/>
          <w:sz w:val="22"/>
          <w:szCs w:val="22"/>
        </w:rPr>
      </w:pPr>
      <w:r>
        <w:rPr>
          <w:rFonts w:hint="default" w:ascii="Arial" w:hAnsi="Arial" w:eastAsia="SimSun" w:cs="Arial"/>
          <w:sz w:val="22"/>
          <w:szCs w:val="22"/>
        </w:rPr>
        <w:t xml:space="preserve">Tornearia </w:t>
      </w:r>
      <w:r>
        <w:rPr>
          <w:rFonts w:hint="default" w:ascii="Arial" w:hAnsi="Arial" w:eastAsia="SimSun" w:cs="Arial"/>
          <w:sz w:val="22"/>
          <w:szCs w:val="22"/>
          <w:lang w:val="pt-BR"/>
        </w:rPr>
        <w:t>M</w:t>
      </w:r>
      <w:r>
        <w:rPr>
          <w:rFonts w:hint="default" w:ascii="Arial" w:hAnsi="Arial" w:eastAsia="SimSun" w:cs="Arial"/>
          <w:sz w:val="22"/>
          <w:szCs w:val="22"/>
        </w:rPr>
        <w:t xml:space="preserve">arkmann </w:t>
      </w:r>
      <w:r>
        <w:rPr>
          <w:rFonts w:hint="default" w:ascii="Arial" w:hAnsi="Arial" w:eastAsia="SimSun" w:cs="Arial"/>
          <w:sz w:val="22"/>
          <w:szCs w:val="22"/>
          <w:lang w:val="pt-BR"/>
        </w:rPr>
        <w:t xml:space="preserve">LTDA, CNPJ  </w:t>
      </w:r>
      <w:r>
        <w:rPr>
          <w:rFonts w:hint="default" w:ascii="Arial" w:hAnsi="Arial" w:eastAsia="SimSun" w:cs="Arial"/>
          <w:sz w:val="22"/>
          <w:szCs w:val="22"/>
        </w:rPr>
        <w:t>92.220.656/0001-38</w:t>
      </w:r>
    </w:p>
    <w:p w14:paraId="5940A121">
      <w:pPr>
        <w:numPr>
          <w:ilvl w:val="0"/>
          <w:numId w:val="3"/>
        </w:numPr>
        <w:spacing w:line="360" w:lineRule="auto"/>
        <w:ind w:left="420" w:leftChars="0" w:hanging="420" w:firstLineChars="0"/>
        <w:jc w:val="both"/>
        <w:rPr>
          <w:rFonts w:hint="default" w:ascii="Arial" w:hAnsi="Arial" w:cs="Arial"/>
          <w:sz w:val="22"/>
          <w:szCs w:val="22"/>
        </w:rPr>
      </w:pPr>
      <w:r>
        <w:rPr>
          <w:rFonts w:hint="default" w:ascii="Arial" w:hAnsi="Arial" w:eastAsia="SimSun" w:cs="Arial"/>
          <w:sz w:val="22"/>
          <w:szCs w:val="22"/>
        </w:rPr>
        <w:t xml:space="preserve">Marcos </w:t>
      </w:r>
      <w:r>
        <w:rPr>
          <w:rFonts w:hint="default" w:ascii="Arial" w:hAnsi="Arial" w:eastAsia="SimSun" w:cs="Arial"/>
          <w:sz w:val="22"/>
          <w:szCs w:val="22"/>
          <w:lang w:val="pt-BR"/>
        </w:rPr>
        <w:t>G</w:t>
      </w:r>
      <w:r>
        <w:rPr>
          <w:rFonts w:hint="default" w:ascii="Arial" w:hAnsi="Arial" w:eastAsia="SimSun" w:cs="Arial"/>
          <w:sz w:val="22"/>
          <w:szCs w:val="22"/>
        </w:rPr>
        <w:t xml:space="preserve">oes </w:t>
      </w:r>
      <w:r>
        <w:rPr>
          <w:rFonts w:hint="default" w:ascii="Arial" w:hAnsi="Arial" w:eastAsia="SimSun" w:cs="Arial"/>
          <w:sz w:val="22"/>
          <w:szCs w:val="22"/>
          <w:lang w:val="pt-BR"/>
        </w:rPr>
        <w:t>P</w:t>
      </w:r>
      <w:r>
        <w:rPr>
          <w:rFonts w:hint="default" w:ascii="Arial" w:hAnsi="Arial" w:eastAsia="SimSun" w:cs="Arial"/>
          <w:sz w:val="22"/>
          <w:szCs w:val="22"/>
        </w:rPr>
        <w:t>avanatto</w:t>
      </w:r>
      <w:r>
        <w:rPr>
          <w:rFonts w:hint="default" w:ascii="Arial" w:hAnsi="Arial" w:eastAsia="SimSun" w:cs="Arial"/>
          <w:sz w:val="22"/>
          <w:szCs w:val="22"/>
          <w:lang w:val="pt-BR"/>
        </w:rPr>
        <w:t xml:space="preserve">, CNPJ </w:t>
      </w:r>
      <w:r>
        <w:rPr>
          <w:rFonts w:hint="default" w:ascii="Arial" w:hAnsi="Arial" w:eastAsia="SimSun" w:cs="Arial"/>
          <w:sz w:val="22"/>
          <w:szCs w:val="22"/>
        </w:rPr>
        <w:t>53.178.929/0001-71</w:t>
      </w:r>
    </w:p>
    <w:p w14:paraId="6C93FC52">
      <w:pPr>
        <w:spacing w:line="360" w:lineRule="auto"/>
        <w:jc w:val="both"/>
        <w:rPr>
          <w:rFonts w:hint="default" w:ascii="Arial" w:hAnsi="Arial" w:cs="Arial"/>
          <w:sz w:val="22"/>
          <w:szCs w:val="22"/>
        </w:rPr>
      </w:pPr>
      <w:r>
        <w:rPr>
          <w:rFonts w:hint="default" w:ascii="Arial" w:hAnsi="Arial" w:cs="Arial"/>
          <w:sz w:val="22"/>
          <w:szCs w:val="22"/>
        </w:rPr>
        <w:t xml:space="preserve">Tais referências foram obtidas por meio de pesquisa, efetuadas com base no Decreto Municipal n.º </w:t>
      </w:r>
      <w:r>
        <w:rPr>
          <w:rFonts w:hint="default" w:ascii="Arial" w:hAnsi="Arial" w:cs="Arial"/>
          <w:sz w:val="22"/>
          <w:szCs w:val="22"/>
          <w:lang w:val="pt-BR"/>
        </w:rPr>
        <w:t>3.250 de 30 de maio de 2023</w:t>
      </w:r>
      <w:r>
        <w:rPr>
          <w:rFonts w:hint="default" w:ascii="Arial" w:hAnsi="Arial" w:cs="Arial"/>
          <w:sz w:val="22"/>
          <w:szCs w:val="22"/>
        </w:rPr>
        <w:t xml:space="preserve">, que “Estabelece o procedimento administrativo para a realização de pesquisa de preços para aquisição de bens, contratação de serviços em geral e para contratação de obras e serviços de engenharia no âmbito do Município de </w:t>
      </w:r>
      <w:r>
        <w:rPr>
          <w:rFonts w:hint="default" w:ascii="Arial" w:hAnsi="Arial" w:cs="Arial"/>
          <w:sz w:val="22"/>
          <w:szCs w:val="22"/>
          <w:lang w:val="pt-BR"/>
        </w:rPr>
        <w:t>Teutônia</w:t>
      </w:r>
      <w:r>
        <w:rPr>
          <w:rFonts w:hint="default" w:ascii="Arial" w:hAnsi="Arial" w:cs="Arial"/>
          <w:sz w:val="22"/>
          <w:szCs w:val="22"/>
        </w:rPr>
        <w:t>, nos termos da Lei Federal nº 14.133/2021”.</w:t>
      </w:r>
    </w:p>
    <w:p w14:paraId="2C0F4F80">
      <w:pPr>
        <w:spacing w:line="360" w:lineRule="auto"/>
        <w:jc w:val="both"/>
        <w:rPr>
          <w:rFonts w:hint="default" w:ascii="Arial" w:hAnsi="Arial" w:cs="Arial"/>
          <w:sz w:val="22"/>
          <w:szCs w:val="22"/>
        </w:rPr>
      </w:pPr>
    </w:p>
    <w:p w14:paraId="742E0DDA">
      <w:pPr>
        <w:keepNext w:val="0"/>
        <w:keepLines w:val="0"/>
        <w:pageBreakBefore w:val="0"/>
        <w:widowControl/>
        <w:numPr>
          <w:numId w:val="0"/>
        </w:numPr>
        <w:kinsoku/>
        <w:wordWrap/>
        <w:overflowPunct/>
        <w:topLinePunct w:val="0"/>
        <w:autoSpaceDE/>
        <w:autoSpaceDN/>
        <w:bidi w:val="0"/>
        <w:adjustRightInd/>
        <w:snapToGrid/>
        <w:spacing w:after="0" w:line="360" w:lineRule="auto"/>
        <w:jc w:val="both"/>
        <w:textAlignment w:val="auto"/>
        <w:rPr>
          <w:rFonts w:hint="default" w:ascii="Arial" w:hAnsi="Arial" w:cs="Arial"/>
          <w:sz w:val="22"/>
          <w:szCs w:val="22"/>
          <w:highlight w:val="yellow"/>
        </w:rPr>
      </w:pPr>
      <w:r>
        <w:rPr>
          <w:rFonts w:hint="default" w:ascii="Arial" w:hAnsi="Arial" w:cs="Arial"/>
          <w:b/>
          <w:bCs/>
          <w:sz w:val="22"/>
          <w:szCs w:val="22"/>
          <w:lang w:val="pt-BR"/>
        </w:rPr>
        <w:t>6. E</w:t>
      </w:r>
      <w:r>
        <w:rPr>
          <w:rFonts w:hint="default" w:ascii="Arial" w:hAnsi="Arial" w:cs="Arial"/>
          <w:b/>
          <w:bCs/>
          <w:sz w:val="22"/>
          <w:szCs w:val="22"/>
        </w:rPr>
        <w:t>STIMATIVA DO VALOR DA CONTRATAÇÃO</w:t>
      </w:r>
    </w:p>
    <w:p w14:paraId="4AA4EE85">
      <w:pPr>
        <w:spacing w:line="360" w:lineRule="auto"/>
        <w:jc w:val="both"/>
        <w:rPr>
          <w:rFonts w:hint="default" w:ascii="Arial" w:hAnsi="Arial" w:eastAsia="SimSun" w:cs="Arial"/>
          <w:i w:val="0"/>
          <w:iCs w:val="0"/>
          <w:caps w:val="0"/>
          <w:color w:val="000000"/>
          <w:spacing w:val="0"/>
          <w:sz w:val="22"/>
          <w:szCs w:val="22"/>
        </w:rPr>
      </w:pPr>
      <w:r>
        <w:rPr>
          <w:rFonts w:hint="default" w:ascii="Arial" w:hAnsi="Arial" w:cs="Arial"/>
          <w:sz w:val="22"/>
          <w:szCs w:val="22"/>
        </w:rPr>
        <w:t>Vislumbra-se que tal valor é compatível com o praticado pelo mercado correspondente,</w:t>
      </w:r>
      <w:r>
        <w:rPr>
          <w:rFonts w:hint="default" w:ascii="Arial" w:hAnsi="Arial" w:cs="Arial"/>
          <w:sz w:val="22"/>
          <w:szCs w:val="22"/>
          <w:lang w:val="pt-BR"/>
        </w:rPr>
        <w:t xml:space="preserve"> considerando a pesquisa de preços realizada pelo setor de compras do município que utilizou como parâmetro </w:t>
      </w:r>
      <w:r>
        <w:rPr>
          <w:rFonts w:hint="default" w:ascii="Arial" w:hAnsi="Arial" w:eastAsia="SimSun" w:cs="Arial"/>
          <w:i w:val="0"/>
          <w:iCs w:val="0"/>
          <w:caps w:val="0"/>
          <w:color w:val="000000"/>
          <w:spacing w:val="0"/>
          <w:sz w:val="22"/>
          <w:szCs w:val="22"/>
        </w:rPr>
        <w:t>contratações similares feitas pela Administração Pública, em execução ou concluídas no período de 1 (um) ano anterior à data da pesquisa de preços, inclusive mediante sistema de registro de preços, observado o índice de atualização de preços correspondente;</w:t>
      </w:r>
    </w:p>
    <w:p w14:paraId="44FC6A82">
      <w:pPr>
        <w:spacing w:line="360" w:lineRule="auto"/>
        <w:jc w:val="both"/>
        <w:rPr>
          <w:rFonts w:hint="default" w:ascii="Arial" w:hAnsi="Arial" w:cs="Arial"/>
          <w:sz w:val="22"/>
          <w:szCs w:val="22"/>
        </w:rPr>
      </w:pPr>
      <w:r>
        <w:rPr>
          <w:rFonts w:hint="default" w:ascii="Arial" w:hAnsi="Arial" w:cs="Arial"/>
          <w:sz w:val="22"/>
          <w:szCs w:val="22"/>
          <w:lang w:val="pt-BR"/>
        </w:rPr>
        <w:t>O</w:t>
      </w:r>
      <w:r>
        <w:rPr>
          <w:rFonts w:hint="default" w:ascii="Arial" w:hAnsi="Arial" w:cs="Arial"/>
          <w:sz w:val="22"/>
          <w:szCs w:val="22"/>
        </w:rPr>
        <w:t xml:space="preserve">bservando-se o disposto no Decreto Municipal n.º </w:t>
      </w:r>
      <w:r>
        <w:rPr>
          <w:rFonts w:hint="default" w:ascii="Arial" w:hAnsi="Arial" w:cs="Arial"/>
          <w:sz w:val="22"/>
          <w:szCs w:val="22"/>
          <w:lang w:val="pt-BR"/>
        </w:rPr>
        <w:t>3.250 de 30 de maio de 2023</w:t>
      </w:r>
      <w:r>
        <w:rPr>
          <w:rFonts w:hint="default" w:ascii="Arial" w:hAnsi="Arial" w:cs="Arial"/>
          <w:sz w:val="22"/>
          <w:szCs w:val="22"/>
        </w:rPr>
        <w:t xml:space="preserve">, que “Estabelece o procedimento administrativo para a realização de pesquisa de preços para aquisição de bens, contratação de serviços em geral e para contratação de obras e serviços de engenharia no âmbito do Município de </w:t>
      </w:r>
      <w:r>
        <w:rPr>
          <w:rFonts w:hint="default" w:ascii="Arial" w:hAnsi="Arial" w:cs="Arial"/>
          <w:sz w:val="22"/>
          <w:szCs w:val="22"/>
          <w:lang w:val="pt-BR"/>
        </w:rPr>
        <w:t>Teutônia</w:t>
      </w:r>
      <w:r>
        <w:rPr>
          <w:rFonts w:hint="default" w:ascii="Arial" w:hAnsi="Arial" w:cs="Arial"/>
          <w:sz w:val="22"/>
          <w:szCs w:val="22"/>
        </w:rPr>
        <w:t>, nos termos da Lei Federal nº 14.133/2021”.</w:t>
      </w:r>
    </w:p>
    <w:p w14:paraId="6C1921AE">
      <w:pPr>
        <w:spacing w:line="360" w:lineRule="auto"/>
        <w:jc w:val="both"/>
        <w:rPr>
          <w:rFonts w:hint="default" w:ascii="Arial" w:hAnsi="Arial" w:cs="Arial"/>
          <w:sz w:val="22"/>
          <w:szCs w:val="22"/>
        </w:rPr>
      </w:pPr>
    </w:p>
    <w:p w14:paraId="1D86F025">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Arial" w:hAnsi="Arial" w:cs="Arial"/>
          <w:b/>
          <w:bCs/>
          <w:sz w:val="22"/>
          <w:szCs w:val="22"/>
        </w:rPr>
      </w:pPr>
      <w:r>
        <w:rPr>
          <w:rFonts w:hint="default" w:ascii="Arial" w:hAnsi="Arial" w:cs="Arial"/>
          <w:b/>
          <w:bCs/>
          <w:sz w:val="22"/>
          <w:szCs w:val="22"/>
        </w:rPr>
        <w:t>7. DESCRIÇÃO DA SOLUÇÃO COMO UM TODO</w:t>
      </w:r>
    </w:p>
    <w:p w14:paraId="1C06DFA0">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Arial" w:hAnsi="Arial" w:cs="Arial"/>
          <w:sz w:val="22"/>
          <w:szCs w:val="22"/>
        </w:rPr>
      </w:pPr>
      <w:r>
        <w:rPr>
          <w:rFonts w:hint="default" w:ascii="Arial" w:hAnsi="Arial" w:cs="Arial"/>
          <w:sz w:val="22"/>
          <w:szCs w:val="22"/>
        </w:rPr>
        <w:t xml:space="preserve">A solução proposta é a contratação de empresa especializada para </w:t>
      </w:r>
      <w:r>
        <w:rPr>
          <w:rFonts w:hint="default" w:ascii="Arial" w:hAnsi="Arial" w:cs="Arial"/>
          <w:sz w:val="22"/>
          <w:szCs w:val="22"/>
          <w:lang w:val="pt-BR"/>
        </w:rPr>
        <w:t xml:space="preserve">A </w:t>
      </w:r>
      <w:r>
        <w:rPr>
          <w:rFonts w:hint="default" w:ascii="Arial" w:hAnsi="Arial" w:cs="Arial"/>
          <w:sz w:val="22"/>
          <w:szCs w:val="22"/>
        </w:rPr>
        <w:t xml:space="preserve">prestação de serviços de </w:t>
      </w:r>
      <w:r>
        <w:rPr>
          <w:rFonts w:hint="default" w:ascii="Arial" w:hAnsi="Arial" w:cs="Arial"/>
          <w:sz w:val="22"/>
          <w:szCs w:val="22"/>
          <w:lang w:val="pt-BR"/>
        </w:rPr>
        <w:t>torno, fresagem e solda</w:t>
      </w:r>
      <w:r>
        <w:rPr>
          <w:rFonts w:hint="default" w:ascii="Arial" w:hAnsi="Arial" w:cs="Arial"/>
          <w:sz w:val="22"/>
          <w:szCs w:val="22"/>
        </w:rPr>
        <w:t>, conforme as seguintes especificações</w:t>
      </w:r>
      <w:r>
        <w:rPr>
          <w:rFonts w:hint="default" w:ascii="Arial" w:hAnsi="Arial" w:cs="Arial"/>
          <w:sz w:val="22"/>
          <w:szCs w:val="22"/>
          <w:lang w:val="pt-BR"/>
        </w:rPr>
        <w:t xml:space="preserve"> e</w:t>
      </w:r>
      <w:r>
        <w:rPr>
          <w:rFonts w:hint="default" w:ascii="Arial" w:hAnsi="Arial" w:cs="Arial"/>
          <w:sz w:val="22"/>
          <w:szCs w:val="22"/>
        </w:rPr>
        <w:t xml:space="preserve"> condições</w:t>
      </w:r>
      <w:r>
        <w:rPr>
          <w:rFonts w:hint="default" w:ascii="Arial" w:hAnsi="Arial" w:cs="Arial"/>
          <w:sz w:val="22"/>
          <w:szCs w:val="22"/>
          <w:lang w:val="pt-BR"/>
        </w:rPr>
        <w:t xml:space="preserve"> dos itens 1 e 3.</w:t>
      </w:r>
    </w:p>
    <w:p w14:paraId="2928B6C6">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Arial" w:hAnsi="Arial" w:eastAsia="Calibri" w:cs="Arial"/>
          <w:sz w:val="22"/>
          <w:szCs w:val="22"/>
          <w:lang w:val="pt-BR" w:eastAsia="en-US"/>
        </w:rPr>
      </w:pPr>
      <w:r>
        <w:rPr>
          <w:rFonts w:hint="default" w:ascii="Arial" w:hAnsi="Arial" w:eastAsia="Calibri" w:cs="Arial"/>
          <w:sz w:val="22"/>
          <w:szCs w:val="22"/>
          <w:lang w:val="pt-BR" w:eastAsia="en-US"/>
        </w:rPr>
        <w:t>O presente processo deverá estar disponível para aquisição/contratação por um período de até 12 (doze) meses, podendo ser renovado por igual(is) período(s), nos termos da Lei Federal nº 14.133/2021, havendo disponibilidade orçamentária e financeira para tal e se comprovada a continuidade da vantajosidade na referida renovação.</w:t>
      </w:r>
    </w:p>
    <w:p w14:paraId="54768261">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Arial" w:hAnsi="Arial" w:eastAsia="Calibri" w:cs="Arial"/>
          <w:sz w:val="22"/>
          <w:szCs w:val="22"/>
          <w:lang w:val="pt-BR" w:eastAsia="en-US"/>
        </w:rPr>
      </w:pPr>
      <w:r>
        <w:rPr>
          <w:rFonts w:hint="default" w:ascii="Arial" w:hAnsi="Arial" w:eastAsia="Calibri" w:cs="Arial"/>
          <w:sz w:val="22"/>
          <w:szCs w:val="22"/>
          <w:lang w:val="pt-BR" w:eastAsia="en-US"/>
        </w:rPr>
        <w:t>A execução dos serviços será de segundas-feiras às sextas-feiras, no horário compreendido das 07:30h às 11:30h e das 13:00h às 17:00h, e aos sábados, se necessário, das 7:00h às 12:00h e das 13:00h às 18:00h. Caso haja necessidade de outros horários, estes poderão ser requisitados.</w:t>
      </w:r>
    </w:p>
    <w:p w14:paraId="5B5CBFA5">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Arial" w:hAnsi="Arial" w:eastAsia="Calibri" w:cs="Arial"/>
          <w:sz w:val="22"/>
          <w:szCs w:val="22"/>
          <w:lang w:val="pt-BR" w:eastAsia="en-US"/>
        </w:rPr>
      </w:pPr>
    </w:p>
    <w:p w14:paraId="2DA36F8C">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Arial" w:hAnsi="Arial" w:cs="Arial"/>
          <w:b/>
          <w:bCs/>
          <w:sz w:val="22"/>
          <w:szCs w:val="22"/>
        </w:rPr>
      </w:pPr>
      <w:r>
        <w:rPr>
          <w:rFonts w:hint="default" w:ascii="Arial" w:hAnsi="Arial" w:cs="Arial"/>
          <w:b/>
          <w:bCs/>
          <w:sz w:val="22"/>
          <w:szCs w:val="22"/>
        </w:rPr>
        <w:t>8. JUSTIFICATIVA PARA O PARCELAMENTO OU NÃO DA CONTRATAÇÃO</w:t>
      </w:r>
    </w:p>
    <w:p w14:paraId="476EB633">
      <w:pPr>
        <w:pStyle w:val="14"/>
        <w:keepNext w:val="0"/>
        <w:keepLines w:val="0"/>
        <w:pageBreakBefore w:val="0"/>
        <w:widowControl/>
        <w:kinsoku/>
        <w:wordWrap/>
        <w:overflowPunct/>
        <w:topLinePunct w:val="0"/>
        <w:autoSpaceDE/>
        <w:autoSpaceDN/>
        <w:bidi w:val="0"/>
        <w:adjustRightInd/>
        <w:snapToGrid/>
        <w:spacing w:beforeAutospacing="0" w:after="0" w:afterAutospacing="0" w:line="360" w:lineRule="auto"/>
        <w:jc w:val="both"/>
        <w:textAlignment w:val="auto"/>
        <w:rPr>
          <w:rFonts w:hint="default" w:ascii="Arial" w:hAnsi="Arial" w:cs="Arial"/>
          <w:color w:val="000000"/>
          <w:sz w:val="22"/>
          <w:szCs w:val="22"/>
        </w:rPr>
      </w:pPr>
      <w:r>
        <w:rPr>
          <w:rFonts w:hint="default" w:ascii="Arial" w:hAnsi="Arial" w:cs="Arial"/>
          <w:sz w:val="22"/>
          <w:szCs w:val="22"/>
        </w:rPr>
        <w:t xml:space="preserve">Nos termos do art. 47, inciso II, da Lei Federal nº 14.133/2021, as licitações atenderão ao princípio do parcelamento, quando tecnicamente viável e economicamente vantajoso. Na aplicação deste princípio, o § 1º do mesmo art. 47 estabelece que deverão ser considerados a responsabilidade técnica, </w:t>
      </w:r>
      <w:r>
        <w:rPr>
          <w:rFonts w:hint="default" w:ascii="Arial" w:hAnsi="Arial" w:cs="Arial"/>
          <w:color w:val="000000"/>
          <w:sz w:val="22"/>
          <w:szCs w:val="22"/>
        </w:rPr>
        <w:t xml:space="preserve">o custo para a Administração de vários contratos frente às vantagens da redução de custos, com divisão do objeto em itens, </w:t>
      </w:r>
      <w:bookmarkStart w:id="0" w:name="art47§1iii"/>
      <w:bookmarkEnd w:id="0"/>
      <w:r>
        <w:rPr>
          <w:rFonts w:hint="default" w:ascii="Arial" w:hAnsi="Arial" w:cs="Arial"/>
          <w:color w:val="000000"/>
          <w:sz w:val="22"/>
          <w:szCs w:val="22"/>
        </w:rPr>
        <w:t>e o dever de buscar a ampliação da competição e de evitar a concentração de mercado.</w:t>
      </w:r>
    </w:p>
    <w:p w14:paraId="547531E7">
      <w:pPr>
        <w:pStyle w:val="14"/>
        <w:spacing w:beforeAutospacing="0" w:afterAutospacing="0" w:line="360" w:lineRule="auto"/>
        <w:jc w:val="both"/>
        <w:rPr>
          <w:rFonts w:hint="default" w:ascii="Arial" w:hAnsi="Arial" w:cs="Arial"/>
          <w:color w:val="000000"/>
          <w:sz w:val="22"/>
          <w:szCs w:val="22"/>
        </w:rPr>
      </w:pPr>
    </w:p>
    <w:p w14:paraId="340F1568">
      <w:pPr>
        <w:pStyle w:val="14"/>
        <w:spacing w:beforeAutospacing="0" w:afterAutospacing="0" w:line="360" w:lineRule="auto"/>
        <w:jc w:val="both"/>
        <w:rPr>
          <w:rFonts w:hint="default" w:ascii="Arial" w:hAnsi="Arial" w:cs="Arial"/>
          <w:sz w:val="22"/>
          <w:szCs w:val="22"/>
        </w:rPr>
      </w:pPr>
      <w:r>
        <w:rPr>
          <w:rFonts w:hint="default" w:ascii="Arial" w:hAnsi="Arial" w:cs="Arial"/>
          <w:sz w:val="22"/>
          <w:szCs w:val="22"/>
        </w:rPr>
        <w:t>Em vista disto, o princípio do parcelamento não deverá ser aplicado à presente contratação, tendo em vista que eventual divisão do objeto geraria perda de economia de escala e causaria inviabilidade técnica, pois geraria maior trabalho de fiscalização contratual frente à falta de padronização e uniformização.</w:t>
      </w:r>
    </w:p>
    <w:p w14:paraId="1EA39704">
      <w:pPr>
        <w:pStyle w:val="14"/>
        <w:spacing w:beforeAutospacing="0" w:afterAutospacing="0" w:line="360" w:lineRule="auto"/>
        <w:jc w:val="both"/>
        <w:rPr>
          <w:rFonts w:hint="default" w:ascii="Arial" w:hAnsi="Arial" w:cs="Arial"/>
          <w:sz w:val="22"/>
          <w:szCs w:val="22"/>
        </w:rPr>
      </w:pPr>
    </w:p>
    <w:p w14:paraId="34DBC1B2">
      <w:pPr>
        <w:pStyle w:val="14"/>
        <w:keepNext w:val="0"/>
        <w:keepLines w:val="0"/>
        <w:pageBreakBefore w:val="0"/>
        <w:widowControl/>
        <w:kinsoku/>
        <w:wordWrap/>
        <w:overflowPunct/>
        <w:topLinePunct w:val="0"/>
        <w:autoSpaceDE/>
        <w:autoSpaceDN/>
        <w:bidi w:val="0"/>
        <w:adjustRightInd/>
        <w:snapToGrid/>
        <w:spacing w:beforeAutospacing="0" w:after="0" w:afterAutospacing="0" w:line="360" w:lineRule="auto"/>
        <w:jc w:val="both"/>
        <w:textAlignment w:val="auto"/>
        <w:rPr>
          <w:rFonts w:hint="default" w:ascii="Arial" w:hAnsi="Arial" w:cs="Arial"/>
          <w:color w:val="000000"/>
          <w:sz w:val="22"/>
          <w:szCs w:val="22"/>
        </w:rPr>
      </w:pPr>
      <w:r>
        <w:rPr>
          <w:rFonts w:hint="default" w:ascii="Arial" w:hAnsi="Arial" w:cs="Arial"/>
          <w:b/>
          <w:bCs/>
          <w:sz w:val="22"/>
          <w:szCs w:val="22"/>
        </w:rPr>
        <w:t xml:space="preserve">9. RESULTADOS PRETENDIDOS </w:t>
      </w:r>
    </w:p>
    <w:p w14:paraId="61AF906C">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Arial" w:hAnsi="Arial" w:cs="Arial"/>
          <w:color w:val="000000"/>
          <w:sz w:val="22"/>
          <w:szCs w:val="22"/>
        </w:rPr>
      </w:pPr>
      <w:r>
        <w:rPr>
          <w:rFonts w:hint="default" w:ascii="Arial" w:hAnsi="Arial" w:cs="Arial"/>
          <w:sz w:val="22"/>
          <w:szCs w:val="22"/>
        </w:rPr>
        <w:t xml:space="preserve">Pretende-se, com o presente processo licitatório, assegurar </w:t>
      </w:r>
      <w:r>
        <w:rPr>
          <w:rFonts w:hint="default" w:ascii="Arial" w:hAnsi="Arial" w:cs="Arial"/>
          <w:color w:val="000000"/>
          <w:sz w:val="22"/>
          <w:szCs w:val="22"/>
        </w:rPr>
        <w:t>a seleção da proposta apta a gerar a contratação mais vantajosa para o Município.</w:t>
      </w:r>
    </w:p>
    <w:p w14:paraId="7216B613">
      <w:pPr>
        <w:spacing w:line="360" w:lineRule="auto"/>
        <w:jc w:val="both"/>
        <w:rPr>
          <w:rFonts w:hint="default" w:ascii="Arial" w:hAnsi="Arial" w:cs="Arial"/>
          <w:sz w:val="22"/>
          <w:szCs w:val="22"/>
        </w:rPr>
      </w:pPr>
      <w:r>
        <w:rPr>
          <w:rFonts w:hint="default" w:ascii="Arial" w:hAnsi="Arial" w:cs="Arial"/>
          <w:color w:val="000000"/>
          <w:sz w:val="22"/>
          <w:szCs w:val="22"/>
        </w:rPr>
        <w:t>Almeja-se, igualmente, assegurar tratamento isonômico entre os licitantes, bem como a justa competição, bem como evitar contratação com sobrepreço ou com preço manifestamente inexequível e superfaturamento na execução do contrato.</w:t>
      </w:r>
    </w:p>
    <w:p w14:paraId="7BF24BDC">
      <w:pPr>
        <w:spacing w:line="360" w:lineRule="auto"/>
        <w:jc w:val="both"/>
        <w:rPr>
          <w:rFonts w:hint="default" w:ascii="Arial" w:hAnsi="Arial" w:cs="Arial"/>
          <w:sz w:val="22"/>
          <w:szCs w:val="22"/>
        </w:rPr>
      </w:pPr>
      <w:r>
        <w:rPr>
          <w:rFonts w:hint="default" w:ascii="Arial" w:hAnsi="Arial" w:cs="Arial"/>
          <w:sz w:val="22"/>
          <w:szCs w:val="22"/>
        </w:rPr>
        <w:t xml:space="preserve">A contratação decorrente do presente processo licitatório exigirá da contratada o cumprimento das boas práticas de sustentabilidade, contribuindo para a racionalização e otimização do uso dos recursos, bem como para a redução dos impactos ambientais. </w:t>
      </w:r>
    </w:p>
    <w:p w14:paraId="2622433B">
      <w:pPr>
        <w:spacing w:line="360" w:lineRule="auto"/>
        <w:jc w:val="both"/>
        <w:rPr>
          <w:rFonts w:hint="default" w:ascii="Arial" w:hAnsi="Arial" w:cs="Arial"/>
          <w:sz w:val="22"/>
          <w:szCs w:val="22"/>
        </w:rPr>
      </w:pPr>
    </w:p>
    <w:p w14:paraId="07DEEFE6">
      <w:pPr>
        <w:pStyle w:val="14"/>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jc w:val="both"/>
        <w:textAlignment w:val="auto"/>
        <w:rPr>
          <w:rFonts w:hint="default" w:ascii="Arial" w:hAnsi="Arial" w:cs="Arial"/>
          <w:b/>
          <w:bCs/>
          <w:color w:val="000000"/>
          <w:sz w:val="22"/>
          <w:szCs w:val="22"/>
        </w:rPr>
      </w:pPr>
      <w:bookmarkStart w:id="1" w:name="art18§1vi"/>
      <w:bookmarkEnd w:id="1"/>
      <w:bookmarkStart w:id="2" w:name="art18§1ix"/>
      <w:bookmarkEnd w:id="2"/>
      <w:bookmarkStart w:id="3" w:name="art18§1vii"/>
      <w:bookmarkEnd w:id="3"/>
      <w:bookmarkStart w:id="4" w:name="art18§1viii"/>
      <w:bookmarkEnd w:id="4"/>
      <w:bookmarkStart w:id="5" w:name="art18§1ii"/>
      <w:bookmarkEnd w:id="5"/>
      <w:bookmarkStart w:id="6" w:name="art18§1v"/>
      <w:bookmarkEnd w:id="6"/>
      <w:bookmarkStart w:id="7" w:name="art18§1iii"/>
      <w:bookmarkEnd w:id="7"/>
      <w:bookmarkStart w:id="8" w:name="art18§1x"/>
      <w:bookmarkEnd w:id="8"/>
      <w:r>
        <w:rPr>
          <w:rFonts w:hint="default" w:ascii="Arial" w:hAnsi="Arial" w:cs="Arial"/>
          <w:b/>
          <w:bCs/>
          <w:color w:val="000000"/>
          <w:sz w:val="22"/>
          <w:szCs w:val="22"/>
        </w:rPr>
        <w:t>10. PROVIDÊNCIAS PRÉVIAS AO CONTRATO</w:t>
      </w:r>
    </w:p>
    <w:p w14:paraId="585B6953">
      <w:pPr>
        <w:pStyle w:val="14"/>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jc w:val="both"/>
        <w:textAlignment w:val="auto"/>
        <w:rPr>
          <w:rFonts w:hint="default" w:ascii="Arial" w:hAnsi="Arial" w:cs="Arial"/>
          <w:sz w:val="22"/>
          <w:szCs w:val="22"/>
        </w:rPr>
      </w:pPr>
      <w:bookmarkStart w:id="9" w:name="art18§1xi"/>
      <w:bookmarkEnd w:id="9"/>
      <w:r>
        <w:rPr>
          <w:rFonts w:hint="default" w:ascii="Arial" w:hAnsi="Arial" w:cs="Arial"/>
          <w:color w:val="000000"/>
          <w:sz w:val="22"/>
          <w:szCs w:val="22"/>
        </w:rPr>
        <w:t>Para a contratação pretendida não haverá necessidade de providências prévias no âmbito da Administração</w:t>
      </w:r>
      <w:r>
        <w:rPr>
          <w:rFonts w:hint="default" w:ascii="Arial" w:hAnsi="Arial" w:cs="Arial"/>
          <w:color w:val="000000"/>
          <w:sz w:val="22"/>
          <w:szCs w:val="22"/>
          <w:lang w:val="pt-BR"/>
        </w:rPr>
        <w:t>. Embora</w:t>
      </w:r>
      <w:r>
        <w:rPr>
          <w:rFonts w:hint="default" w:ascii="Arial" w:hAnsi="Arial" w:cs="Arial"/>
          <w:sz w:val="22"/>
          <w:szCs w:val="22"/>
        </w:rPr>
        <w:t xml:space="preserve">, para que a pretendida contratação tenha sucesso, é preciso que outras etapas sejam concluídas, quais sejam: </w:t>
      </w:r>
    </w:p>
    <w:p w14:paraId="44DBB750">
      <w:pPr>
        <w:pStyle w:val="14"/>
        <w:spacing w:beforeAutospacing="0" w:afterAutospacing="0" w:line="360" w:lineRule="auto"/>
        <w:jc w:val="both"/>
        <w:rPr>
          <w:rFonts w:hint="default" w:ascii="Arial" w:hAnsi="Arial" w:cs="Arial"/>
          <w:sz w:val="22"/>
          <w:szCs w:val="22"/>
        </w:rPr>
      </w:pPr>
      <w:r>
        <w:rPr>
          <w:rFonts w:hint="default" w:ascii="Arial" w:hAnsi="Arial" w:cs="Arial"/>
          <w:b/>
          <w:bCs/>
          <w:sz w:val="22"/>
          <w:szCs w:val="22"/>
        </w:rPr>
        <w:t>a)</w:t>
      </w:r>
      <w:r>
        <w:rPr>
          <w:rFonts w:hint="default" w:ascii="Arial" w:hAnsi="Arial" w:cs="Arial"/>
          <w:sz w:val="22"/>
          <w:szCs w:val="22"/>
        </w:rPr>
        <w:t xml:space="preserve"> elaboração de minuta do edital; </w:t>
      </w:r>
    </w:p>
    <w:p w14:paraId="40A41CFB">
      <w:pPr>
        <w:pStyle w:val="14"/>
        <w:spacing w:beforeAutospacing="0" w:afterAutospacing="0" w:line="360" w:lineRule="auto"/>
        <w:jc w:val="both"/>
        <w:rPr>
          <w:rFonts w:hint="default" w:ascii="Arial" w:hAnsi="Arial" w:cs="Arial"/>
          <w:sz w:val="22"/>
          <w:szCs w:val="22"/>
        </w:rPr>
      </w:pPr>
      <w:r>
        <w:rPr>
          <w:rFonts w:hint="default" w:ascii="Arial" w:hAnsi="Arial" w:cs="Arial"/>
          <w:b/>
          <w:bCs/>
          <w:sz w:val="22"/>
          <w:szCs w:val="22"/>
        </w:rPr>
        <w:t xml:space="preserve">b) </w:t>
      </w:r>
      <w:r>
        <w:rPr>
          <w:rFonts w:hint="default" w:ascii="Arial" w:hAnsi="Arial" w:cs="Arial"/>
          <w:sz w:val="22"/>
          <w:szCs w:val="22"/>
        </w:rPr>
        <w:t xml:space="preserve">realização de certificação de disponibilidade orçamentária; </w:t>
      </w:r>
    </w:p>
    <w:p w14:paraId="2FD3C46E">
      <w:pPr>
        <w:pStyle w:val="14"/>
        <w:spacing w:beforeAutospacing="0" w:afterAutospacing="0" w:line="360" w:lineRule="auto"/>
        <w:jc w:val="both"/>
        <w:rPr>
          <w:rFonts w:hint="default" w:ascii="Arial" w:hAnsi="Arial" w:cs="Arial"/>
          <w:sz w:val="22"/>
          <w:szCs w:val="22"/>
        </w:rPr>
      </w:pPr>
      <w:r>
        <w:rPr>
          <w:rFonts w:hint="default" w:ascii="Arial" w:hAnsi="Arial" w:cs="Arial"/>
          <w:b/>
          <w:bCs/>
          <w:sz w:val="22"/>
          <w:szCs w:val="22"/>
        </w:rPr>
        <w:t>c)</w:t>
      </w:r>
      <w:r>
        <w:rPr>
          <w:rFonts w:hint="default" w:ascii="Arial" w:hAnsi="Arial" w:cs="Arial"/>
          <w:sz w:val="22"/>
          <w:szCs w:val="22"/>
        </w:rPr>
        <w:t xml:space="preserve"> designação em Portaria de pregoeiro, equipe de apoio, agente de contratação (conforme o caso); </w:t>
      </w:r>
    </w:p>
    <w:p w14:paraId="449F4D81">
      <w:pPr>
        <w:pStyle w:val="14"/>
        <w:spacing w:beforeAutospacing="0" w:afterAutospacing="0" w:line="360" w:lineRule="auto"/>
        <w:jc w:val="both"/>
        <w:rPr>
          <w:rFonts w:hint="default" w:ascii="Arial" w:hAnsi="Arial" w:cs="Arial"/>
          <w:sz w:val="22"/>
          <w:szCs w:val="22"/>
        </w:rPr>
      </w:pPr>
      <w:r>
        <w:rPr>
          <w:rFonts w:hint="default" w:ascii="Arial" w:hAnsi="Arial" w:cs="Arial"/>
          <w:b/>
          <w:bCs/>
          <w:sz w:val="22"/>
          <w:szCs w:val="22"/>
        </w:rPr>
        <w:t>d)</w:t>
      </w:r>
      <w:r>
        <w:rPr>
          <w:rFonts w:hint="default" w:ascii="Arial" w:hAnsi="Arial" w:cs="Arial"/>
          <w:sz w:val="22"/>
          <w:szCs w:val="22"/>
        </w:rPr>
        <w:t xml:space="preserve"> elaboração de minuta do contrato; </w:t>
      </w:r>
    </w:p>
    <w:p w14:paraId="3A958E5F">
      <w:pPr>
        <w:pStyle w:val="14"/>
        <w:spacing w:beforeAutospacing="0" w:afterAutospacing="0" w:line="360" w:lineRule="auto"/>
        <w:jc w:val="both"/>
        <w:rPr>
          <w:rFonts w:hint="default" w:ascii="Arial" w:hAnsi="Arial" w:cs="Arial"/>
          <w:sz w:val="22"/>
          <w:szCs w:val="22"/>
        </w:rPr>
      </w:pPr>
      <w:r>
        <w:rPr>
          <w:rFonts w:hint="default" w:ascii="Arial" w:hAnsi="Arial" w:cs="Arial"/>
          <w:b/>
          <w:bCs/>
          <w:sz w:val="22"/>
          <w:szCs w:val="22"/>
        </w:rPr>
        <w:t>e)</w:t>
      </w:r>
      <w:r>
        <w:rPr>
          <w:rFonts w:hint="default" w:ascii="Arial" w:hAnsi="Arial" w:cs="Arial"/>
          <w:sz w:val="22"/>
          <w:szCs w:val="22"/>
        </w:rPr>
        <w:t xml:space="preserve"> encaminhamento do processo para análise jurídica; </w:t>
      </w:r>
    </w:p>
    <w:p w14:paraId="4D45C5E2">
      <w:pPr>
        <w:pStyle w:val="14"/>
        <w:spacing w:beforeAutospacing="0" w:afterAutospacing="0" w:line="360" w:lineRule="auto"/>
        <w:jc w:val="both"/>
        <w:rPr>
          <w:rFonts w:hint="default" w:ascii="Arial" w:hAnsi="Arial" w:cs="Arial"/>
          <w:sz w:val="22"/>
          <w:szCs w:val="22"/>
        </w:rPr>
      </w:pPr>
      <w:r>
        <w:rPr>
          <w:rFonts w:hint="default" w:ascii="Arial" w:hAnsi="Arial" w:cs="Arial"/>
          <w:b/>
          <w:bCs/>
          <w:sz w:val="22"/>
          <w:szCs w:val="22"/>
        </w:rPr>
        <w:t>f)</w:t>
      </w:r>
      <w:r>
        <w:rPr>
          <w:rFonts w:hint="default" w:ascii="Arial" w:hAnsi="Arial" w:cs="Arial"/>
          <w:sz w:val="22"/>
          <w:szCs w:val="22"/>
        </w:rPr>
        <w:t xml:space="preserve"> análise da manifestação jurídica e atendimento aos apontamentos constantes no parecer, mediante Nota Técnica com os ajustes indicados; </w:t>
      </w:r>
    </w:p>
    <w:p w14:paraId="2E4395DE">
      <w:pPr>
        <w:pStyle w:val="14"/>
        <w:spacing w:beforeAutospacing="0" w:afterAutospacing="0" w:line="360" w:lineRule="auto"/>
        <w:jc w:val="both"/>
        <w:rPr>
          <w:rFonts w:hint="default" w:ascii="Arial" w:hAnsi="Arial" w:cs="Arial"/>
          <w:sz w:val="22"/>
          <w:szCs w:val="22"/>
        </w:rPr>
      </w:pPr>
      <w:r>
        <w:rPr>
          <w:rFonts w:hint="default" w:ascii="Arial" w:hAnsi="Arial" w:cs="Arial"/>
          <w:b/>
          <w:bCs/>
          <w:sz w:val="22"/>
          <w:szCs w:val="22"/>
        </w:rPr>
        <w:t>g)</w:t>
      </w:r>
      <w:r>
        <w:rPr>
          <w:rFonts w:hint="default" w:ascii="Arial" w:hAnsi="Arial" w:cs="Arial"/>
          <w:sz w:val="22"/>
          <w:szCs w:val="22"/>
        </w:rPr>
        <w:t xml:space="preserve"> publicação e divulgação do edital e anexos; </w:t>
      </w:r>
    </w:p>
    <w:p w14:paraId="3104E03F">
      <w:pPr>
        <w:pStyle w:val="14"/>
        <w:spacing w:beforeAutospacing="0" w:afterAutospacing="0" w:line="360" w:lineRule="auto"/>
        <w:jc w:val="both"/>
        <w:rPr>
          <w:rFonts w:hint="default" w:ascii="Arial" w:hAnsi="Arial" w:cs="Arial"/>
          <w:sz w:val="22"/>
          <w:szCs w:val="22"/>
        </w:rPr>
      </w:pPr>
      <w:r>
        <w:rPr>
          <w:rFonts w:hint="default" w:ascii="Arial" w:hAnsi="Arial" w:cs="Arial"/>
          <w:b/>
          <w:bCs/>
          <w:sz w:val="22"/>
          <w:szCs w:val="22"/>
        </w:rPr>
        <w:t>h)</w:t>
      </w:r>
      <w:r>
        <w:rPr>
          <w:rFonts w:hint="default" w:ascii="Arial" w:hAnsi="Arial" w:cs="Arial"/>
          <w:sz w:val="22"/>
          <w:szCs w:val="22"/>
        </w:rPr>
        <w:t xml:space="preserve"> resposta a eventuais pedidos de esclarecimentos e/ou impugnação, caso aplicável; </w:t>
      </w:r>
    </w:p>
    <w:p w14:paraId="761507C9">
      <w:pPr>
        <w:pStyle w:val="14"/>
        <w:spacing w:beforeAutospacing="0" w:afterAutospacing="0" w:line="360" w:lineRule="auto"/>
        <w:jc w:val="both"/>
        <w:rPr>
          <w:rFonts w:hint="default" w:ascii="Arial" w:hAnsi="Arial" w:cs="Arial"/>
          <w:sz w:val="22"/>
          <w:szCs w:val="22"/>
        </w:rPr>
      </w:pPr>
      <w:r>
        <w:rPr>
          <w:rFonts w:hint="default" w:ascii="Arial" w:hAnsi="Arial" w:cs="Arial"/>
          <w:b/>
          <w:bCs/>
          <w:sz w:val="22"/>
          <w:szCs w:val="22"/>
        </w:rPr>
        <w:t>i)</w:t>
      </w:r>
      <w:r>
        <w:rPr>
          <w:rFonts w:hint="default" w:ascii="Arial" w:hAnsi="Arial" w:cs="Arial"/>
          <w:sz w:val="22"/>
          <w:szCs w:val="22"/>
        </w:rPr>
        <w:t xml:space="preserve"> realização do certame, com suas respectivas etapas; </w:t>
      </w:r>
    </w:p>
    <w:p w14:paraId="32781B12">
      <w:pPr>
        <w:pStyle w:val="14"/>
        <w:spacing w:beforeAutospacing="0" w:afterAutospacing="0" w:line="360" w:lineRule="auto"/>
        <w:jc w:val="both"/>
        <w:rPr>
          <w:rFonts w:hint="default" w:ascii="Arial" w:hAnsi="Arial" w:cs="Arial"/>
          <w:sz w:val="22"/>
          <w:szCs w:val="22"/>
        </w:rPr>
      </w:pPr>
      <w:r>
        <w:rPr>
          <w:rFonts w:hint="default" w:ascii="Arial" w:hAnsi="Arial" w:cs="Arial"/>
          <w:b/>
          <w:bCs/>
          <w:sz w:val="22"/>
          <w:szCs w:val="22"/>
        </w:rPr>
        <w:t>j)</w:t>
      </w:r>
      <w:r>
        <w:rPr>
          <w:rFonts w:hint="default" w:ascii="Arial" w:hAnsi="Arial" w:cs="Arial"/>
          <w:sz w:val="22"/>
          <w:szCs w:val="22"/>
        </w:rPr>
        <w:t xml:space="preserve"> realização de empenho; e </w:t>
      </w:r>
    </w:p>
    <w:p w14:paraId="403C6F9D">
      <w:pPr>
        <w:pStyle w:val="14"/>
        <w:spacing w:beforeAutospacing="0" w:afterAutospacing="0" w:line="360" w:lineRule="auto"/>
        <w:jc w:val="both"/>
        <w:rPr>
          <w:rFonts w:hint="default" w:ascii="Arial" w:hAnsi="Arial" w:cs="Arial"/>
          <w:sz w:val="22"/>
          <w:szCs w:val="22"/>
        </w:rPr>
      </w:pPr>
      <w:r>
        <w:rPr>
          <w:rFonts w:hint="default" w:ascii="Arial" w:hAnsi="Arial" w:cs="Arial"/>
          <w:b/>
          <w:bCs/>
          <w:sz w:val="22"/>
          <w:szCs w:val="22"/>
        </w:rPr>
        <w:t>l)</w:t>
      </w:r>
      <w:r>
        <w:rPr>
          <w:rFonts w:hint="default" w:ascii="Arial" w:hAnsi="Arial" w:cs="Arial"/>
          <w:sz w:val="22"/>
          <w:szCs w:val="22"/>
        </w:rPr>
        <w:t xml:space="preserve"> assinatura e publicação do contrato.</w:t>
      </w:r>
    </w:p>
    <w:p w14:paraId="2888BDD5">
      <w:pPr>
        <w:pStyle w:val="14"/>
        <w:spacing w:beforeAutospacing="0" w:afterAutospacing="0" w:line="360" w:lineRule="auto"/>
        <w:jc w:val="both"/>
        <w:rPr>
          <w:rFonts w:hint="default" w:ascii="Arial" w:hAnsi="Arial" w:cs="Arial"/>
          <w:sz w:val="22"/>
          <w:szCs w:val="22"/>
        </w:rPr>
      </w:pPr>
    </w:p>
    <w:p w14:paraId="2AAB6707">
      <w:pPr>
        <w:pStyle w:val="14"/>
        <w:spacing w:beforeAutospacing="0" w:afterAutospacing="0" w:line="360" w:lineRule="auto"/>
        <w:jc w:val="both"/>
        <w:rPr>
          <w:rFonts w:hint="default" w:ascii="Arial" w:hAnsi="Arial" w:cs="Arial"/>
          <w:color w:val="000000"/>
          <w:sz w:val="22"/>
          <w:szCs w:val="22"/>
        </w:rPr>
      </w:pPr>
      <w:r>
        <w:rPr>
          <w:rFonts w:hint="default" w:ascii="Arial" w:hAnsi="Arial" w:cs="Arial"/>
          <w:color w:val="000000"/>
          <w:sz w:val="22"/>
          <w:szCs w:val="22"/>
        </w:rPr>
        <w:t>A Secretaria de</w:t>
      </w:r>
      <w:r>
        <w:rPr>
          <w:rFonts w:hint="default" w:ascii="Arial" w:hAnsi="Arial" w:cs="Arial"/>
          <w:color w:val="000000"/>
          <w:sz w:val="22"/>
          <w:szCs w:val="22"/>
          <w:lang w:val="pt-BR"/>
        </w:rPr>
        <w:t xml:space="preserve"> Obras</w:t>
      </w:r>
      <w:r>
        <w:rPr>
          <w:rFonts w:hint="default" w:ascii="Arial" w:hAnsi="Arial" w:cs="Arial"/>
          <w:color w:val="000000"/>
          <w:sz w:val="22"/>
          <w:szCs w:val="22"/>
        </w:rPr>
        <w:t xml:space="preserve"> indicará servidores para atuarem como gestor e fiscal do contrato.</w:t>
      </w:r>
      <w:r>
        <w:rPr>
          <w:rFonts w:hint="default" w:ascii="Arial" w:hAnsi="Arial" w:cs="Arial"/>
          <w:sz w:val="22"/>
          <w:szCs w:val="22"/>
        </w:rPr>
        <w:t xml:space="preserve">  </w:t>
      </w:r>
    </w:p>
    <w:p w14:paraId="4DB3DA3C">
      <w:pPr>
        <w:pStyle w:val="14"/>
        <w:spacing w:beforeAutospacing="0" w:afterAutospacing="0" w:line="360" w:lineRule="auto"/>
        <w:jc w:val="both"/>
        <w:rPr>
          <w:rFonts w:hint="default" w:ascii="Arial" w:hAnsi="Arial" w:cs="Arial"/>
          <w:b/>
          <w:bCs/>
          <w:color w:val="000000"/>
          <w:sz w:val="22"/>
          <w:szCs w:val="22"/>
        </w:rPr>
      </w:pPr>
    </w:p>
    <w:p w14:paraId="3EC40BAB">
      <w:pPr>
        <w:pStyle w:val="14"/>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jc w:val="both"/>
        <w:textAlignment w:val="auto"/>
        <w:rPr>
          <w:rFonts w:hint="default" w:ascii="Arial" w:hAnsi="Arial" w:cs="Arial"/>
          <w:b/>
          <w:bCs/>
          <w:color w:val="000000"/>
          <w:sz w:val="22"/>
          <w:szCs w:val="22"/>
        </w:rPr>
      </w:pPr>
      <w:r>
        <w:rPr>
          <w:rFonts w:hint="default" w:ascii="Arial" w:hAnsi="Arial" w:cs="Arial"/>
          <w:b/>
          <w:bCs/>
          <w:color w:val="000000"/>
          <w:sz w:val="22"/>
          <w:szCs w:val="22"/>
        </w:rPr>
        <w:t>11. CONTRATAÇÕES CORRELATAS E/OU INTERDEPENDENTES</w:t>
      </w:r>
    </w:p>
    <w:p w14:paraId="04A355E2">
      <w:pPr>
        <w:pStyle w:val="14"/>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jc w:val="both"/>
        <w:textAlignment w:val="auto"/>
        <w:rPr>
          <w:rFonts w:hint="default" w:ascii="Arial" w:hAnsi="Arial" w:cs="Arial"/>
          <w:sz w:val="22"/>
          <w:szCs w:val="22"/>
          <w:lang w:val="pt-BR"/>
        </w:rPr>
      </w:pPr>
      <w:r>
        <w:rPr>
          <w:rFonts w:hint="default" w:ascii="Arial" w:hAnsi="Arial" w:cs="Arial"/>
          <w:sz w:val="22"/>
          <w:szCs w:val="22"/>
        </w:rPr>
        <w:t>Este estudo não identificou a necessidade de realizar contratações acessórias para a perfeita execução do objeto, uma vez que todos os meios necessários para a operacionalização dos serviços podem ser supridos apenas com a contratação ora proposta.</w:t>
      </w:r>
      <w:r>
        <w:rPr>
          <w:rFonts w:hint="default" w:ascii="Arial" w:hAnsi="Arial" w:cs="Arial"/>
          <w:sz w:val="22"/>
          <w:szCs w:val="22"/>
          <w:lang w:val="pt-BR"/>
        </w:rPr>
        <w:t xml:space="preserve"> </w:t>
      </w:r>
      <w:r>
        <w:rPr>
          <w:rFonts w:hint="default" w:ascii="Arial" w:hAnsi="Arial" w:cs="Arial"/>
          <w:sz w:val="22"/>
          <w:szCs w:val="22"/>
        </w:rPr>
        <w:t>Os serviços que se pretende, portanto, são autônomos e prescindem de contratações correlatas ou interdependentes</w:t>
      </w:r>
      <w:r>
        <w:rPr>
          <w:rFonts w:hint="default" w:ascii="Arial" w:hAnsi="Arial" w:cs="Arial"/>
          <w:sz w:val="22"/>
          <w:szCs w:val="22"/>
          <w:lang w:val="pt-BR"/>
        </w:rPr>
        <w:t>.</w:t>
      </w:r>
    </w:p>
    <w:p w14:paraId="490BD378">
      <w:pPr>
        <w:pStyle w:val="14"/>
        <w:spacing w:beforeAutospacing="0" w:afterAutospacing="0" w:line="360" w:lineRule="auto"/>
        <w:jc w:val="both"/>
        <w:rPr>
          <w:rFonts w:hint="default" w:ascii="Arial" w:hAnsi="Arial" w:cs="Arial"/>
          <w:b/>
          <w:bCs/>
          <w:color w:val="000000"/>
          <w:sz w:val="22"/>
          <w:szCs w:val="22"/>
        </w:rPr>
      </w:pPr>
      <w:bookmarkStart w:id="10" w:name="art18§1xii"/>
      <w:bookmarkEnd w:id="10"/>
    </w:p>
    <w:p w14:paraId="4F0AAB44">
      <w:pPr>
        <w:pStyle w:val="14"/>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jc w:val="both"/>
        <w:textAlignment w:val="auto"/>
        <w:rPr>
          <w:rFonts w:hint="default" w:ascii="Arial" w:hAnsi="Arial" w:cs="Arial"/>
          <w:b/>
          <w:bCs/>
          <w:color w:val="000000"/>
          <w:sz w:val="22"/>
          <w:szCs w:val="22"/>
        </w:rPr>
      </w:pPr>
      <w:r>
        <w:rPr>
          <w:rFonts w:hint="default" w:ascii="Arial" w:hAnsi="Arial" w:cs="Arial"/>
          <w:b/>
          <w:bCs/>
          <w:color w:val="000000"/>
          <w:sz w:val="22"/>
          <w:szCs w:val="22"/>
        </w:rPr>
        <w:t xml:space="preserve">12. POSSÍVEIS IMPACTOS AMBIENTAIS </w:t>
      </w:r>
    </w:p>
    <w:p w14:paraId="0E84206A">
      <w:pPr>
        <w:pStyle w:val="14"/>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jc w:val="both"/>
        <w:textAlignment w:val="auto"/>
        <w:rPr>
          <w:rFonts w:hint="default" w:ascii="Arial" w:hAnsi="Arial" w:cs="Arial"/>
          <w:sz w:val="22"/>
          <w:szCs w:val="22"/>
        </w:rPr>
      </w:pPr>
      <w:r>
        <w:rPr>
          <w:rFonts w:hint="default" w:ascii="Arial" w:hAnsi="Arial" w:cs="Arial"/>
          <w:sz w:val="22"/>
          <w:szCs w:val="22"/>
        </w:rPr>
        <w:t>Vislumbram-se impactos ambientais provenientes desta contratação, mencionados na tabela abaixo, juntamente com as medidas de tratamento a serem adotadas pela contratada:</w:t>
      </w:r>
    </w:p>
    <w:tbl>
      <w:tblPr>
        <w:tblStyle w:val="20"/>
        <w:tblW w:w="8887" w:type="dxa"/>
        <w:tblInd w:w="17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56"/>
        <w:gridCol w:w="4531"/>
      </w:tblGrid>
      <w:tr w14:paraId="01958F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 w:hRule="atLeast"/>
        </w:trPr>
        <w:tc>
          <w:tcPr>
            <w:tcW w:w="4356" w:type="dxa"/>
            <w:shd w:val="clear" w:color="auto" w:fill="E7E6E6" w:themeFill="background2"/>
          </w:tcPr>
          <w:p w14:paraId="70BDFDF4">
            <w:pPr>
              <w:pStyle w:val="14"/>
              <w:spacing w:beforeAutospacing="0" w:afterAutospacing="0" w:line="360" w:lineRule="auto"/>
              <w:jc w:val="center"/>
              <w:rPr>
                <w:rFonts w:hint="default" w:ascii="Arial" w:hAnsi="Arial" w:cs="Arial"/>
                <w:b/>
                <w:bCs/>
                <w:color w:val="000000"/>
                <w:sz w:val="21"/>
                <w:szCs w:val="21"/>
              </w:rPr>
            </w:pPr>
            <w:r>
              <w:rPr>
                <w:rFonts w:hint="default" w:ascii="Arial" w:hAnsi="Arial" w:cs="Arial"/>
                <w:b/>
                <w:bCs/>
                <w:color w:val="000000"/>
                <w:sz w:val="21"/>
                <w:szCs w:val="21"/>
              </w:rPr>
              <w:t>IMPACTO AMBIENTAL</w:t>
            </w:r>
          </w:p>
        </w:tc>
        <w:tc>
          <w:tcPr>
            <w:tcW w:w="4531" w:type="dxa"/>
            <w:shd w:val="clear" w:color="auto" w:fill="E7E6E6" w:themeFill="background2"/>
          </w:tcPr>
          <w:p w14:paraId="31A18EE8">
            <w:pPr>
              <w:pStyle w:val="14"/>
              <w:spacing w:beforeAutospacing="0" w:afterAutospacing="0" w:line="360" w:lineRule="auto"/>
              <w:jc w:val="center"/>
              <w:rPr>
                <w:rFonts w:hint="default" w:ascii="Arial" w:hAnsi="Arial" w:cs="Arial"/>
                <w:b/>
                <w:bCs/>
                <w:color w:val="000000"/>
                <w:sz w:val="21"/>
                <w:szCs w:val="21"/>
              </w:rPr>
            </w:pPr>
            <w:r>
              <w:rPr>
                <w:rFonts w:hint="default" w:ascii="Arial" w:hAnsi="Arial" w:cs="Arial"/>
                <w:b/>
                <w:bCs/>
                <w:color w:val="000000"/>
                <w:sz w:val="21"/>
                <w:szCs w:val="21"/>
              </w:rPr>
              <w:t>MEDIDA DE TRATAMENTO</w:t>
            </w:r>
          </w:p>
        </w:tc>
      </w:tr>
      <w:tr w14:paraId="6DA2F2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8" w:hRule="atLeast"/>
        </w:trPr>
        <w:tc>
          <w:tcPr>
            <w:tcW w:w="4356" w:type="dxa"/>
          </w:tcPr>
          <w:p w14:paraId="0C9D7070">
            <w:pPr>
              <w:pStyle w:val="14"/>
              <w:spacing w:beforeAutospacing="0" w:afterAutospacing="0" w:line="240" w:lineRule="auto"/>
              <w:jc w:val="both"/>
              <w:rPr>
                <w:rFonts w:hint="default" w:ascii="Arial" w:hAnsi="Arial" w:cs="Arial"/>
                <w:color w:val="000000"/>
                <w:sz w:val="21"/>
                <w:szCs w:val="21"/>
              </w:rPr>
            </w:pPr>
            <w:r>
              <w:rPr>
                <w:rFonts w:hint="default" w:ascii="Arial" w:hAnsi="Arial" w:cs="Arial"/>
                <w:color w:val="000000"/>
                <w:sz w:val="21"/>
                <w:szCs w:val="21"/>
              </w:rPr>
              <w:t xml:space="preserve">Geração de resíduos sólidos </w:t>
            </w:r>
            <w:r>
              <w:rPr>
                <w:rFonts w:hint="default" w:ascii="Arial" w:hAnsi="Arial" w:cs="Arial"/>
                <w:color w:val="000000"/>
                <w:sz w:val="21"/>
                <w:szCs w:val="21"/>
                <w:lang w:val="pt-BR"/>
              </w:rPr>
              <w:t>metálicos (retalhos, limalhas, cavacos...)</w:t>
            </w:r>
          </w:p>
        </w:tc>
        <w:tc>
          <w:tcPr>
            <w:tcW w:w="4531" w:type="dxa"/>
          </w:tcPr>
          <w:p w14:paraId="4477A59F">
            <w:pPr>
              <w:pStyle w:val="14"/>
              <w:spacing w:beforeAutospacing="0" w:afterAutospacing="0" w:line="240" w:lineRule="auto"/>
              <w:jc w:val="both"/>
              <w:rPr>
                <w:rFonts w:hint="default" w:ascii="Arial" w:hAnsi="Arial" w:cs="Arial"/>
                <w:color w:val="000000"/>
                <w:sz w:val="21"/>
                <w:szCs w:val="21"/>
              </w:rPr>
            </w:pPr>
            <w:r>
              <w:rPr>
                <w:rFonts w:hint="default" w:ascii="Arial" w:hAnsi="Arial" w:cs="Arial"/>
                <w:color w:val="000000"/>
                <w:sz w:val="21"/>
                <w:szCs w:val="21"/>
              </w:rPr>
              <w:t xml:space="preserve">A contratada deverá adotar </w:t>
            </w:r>
            <w:r>
              <w:rPr>
                <w:rFonts w:hint="default" w:ascii="Arial" w:hAnsi="Arial" w:cs="Arial"/>
                <w:color w:val="000000"/>
                <w:sz w:val="21"/>
                <w:szCs w:val="21"/>
                <w:lang w:val="pt-BR"/>
              </w:rPr>
              <w:t>a coleta seletiva e destinação adequada</w:t>
            </w:r>
          </w:p>
        </w:tc>
      </w:tr>
      <w:tr w14:paraId="48A495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356" w:type="dxa"/>
          </w:tcPr>
          <w:p w14:paraId="7A81EC1A">
            <w:pPr>
              <w:pStyle w:val="14"/>
              <w:spacing w:beforeAutospacing="0" w:afterAutospacing="0" w:line="360" w:lineRule="auto"/>
              <w:jc w:val="both"/>
              <w:rPr>
                <w:rFonts w:hint="default" w:ascii="Arial" w:hAnsi="Arial" w:cs="Arial"/>
                <w:color w:val="000000"/>
                <w:sz w:val="21"/>
                <w:szCs w:val="21"/>
                <w:lang w:val="pt-BR"/>
              </w:rPr>
            </w:pPr>
            <w:r>
              <w:rPr>
                <w:rFonts w:hint="default" w:ascii="Arial" w:hAnsi="Arial" w:cs="Arial"/>
                <w:color w:val="000000"/>
                <w:sz w:val="21"/>
                <w:szCs w:val="21"/>
                <w:lang w:val="pt-BR"/>
              </w:rPr>
              <w:t>Geração de ruído em níveis elevados</w:t>
            </w:r>
          </w:p>
        </w:tc>
        <w:tc>
          <w:tcPr>
            <w:tcW w:w="4531" w:type="dxa"/>
          </w:tcPr>
          <w:p w14:paraId="0B0056E1">
            <w:pPr>
              <w:pStyle w:val="14"/>
              <w:spacing w:beforeAutospacing="0" w:afterAutospacing="0"/>
              <w:jc w:val="both"/>
              <w:rPr>
                <w:rFonts w:hint="default" w:ascii="Arial" w:hAnsi="Arial" w:cs="Arial"/>
                <w:color w:val="000000"/>
                <w:sz w:val="21"/>
                <w:szCs w:val="21"/>
                <w:lang w:val="pt-BR"/>
              </w:rPr>
            </w:pPr>
            <w:r>
              <w:rPr>
                <w:rFonts w:hint="default" w:ascii="Arial" w:hAnsi="Arial" w:cs="Arial"/>
                <w:color w:val="000000"/>
                <w:sz w:val="21"/>
                <w:szCs w:val="21"/>
              </w:rPr>
              <w:t xml:space="preserve">A contratada deverá orientar seus empregados quanto </w:t>
            </w:r>
            <w:r>
              <w:rPr>
                <w:rFonts w:hint="default" w:ascii="Arial" w:hAnsi="Arial" w:cs="Arial"/>
                <w:color w:val="000000"/>
                <w:sz w:val="21"/>
                <w:szCs w:val="21"/>
                <w:lang w:val="pt-BR"/>
              </w:rPr>
              <w:t>ao uso de protetores auditivos e providenciar as barreiras acústicas necessárias.</w:t>
            </w:r>
          </w:p>
        </w:tc>
      </w:tr>
      <w:tr w14:paraId="365711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356" w:type="dxa"/>
          </w:tcPr>
          <w:p w14:paraId="2674A95A">
            <w:pPr>
              <w:pStyle w:val="14"/>
              <w:spacing w:beforeAutospacing="0" w:afterAutospacing="0" w:line="360" w:lineRule="auto"/>
              <w:jc w:val="both"/>
              <w:rPr>
                <w:rFonts w:hint="default" w:ascii="Arial" w:hAnsi="Arial" w:cs="Arial"/>
                <w:color w:val="000000"/>
                <w:sz w:val="21"/>
                <w:szCs w:val="21"/>
                <w:lang w:val="pt-BR"/>
              </w:rPr>
            </w:pPr>
            <w:r>
              <w:rPr>
                <w:rFonts w:hint="default" w:ascii="Arial" w:hAnsi="Arial" w:cs="Arial"/>
                <w:color w:val="000000"/>
                <w:sz w:val="21"/>
                <w:szCs w:val="21"/>
                <w:lang w:val="pt-BR"/>
              </w:rPr>
              <w:t>Risco de incêndio devido à presença de faíscas e calor elevado</w:t>
            </w:r>
          </w:p>
        </w:tc>
        <w:tc>
          <w:tcPr>
            <w:tcW w:w="4531" w:type="dxa"/>
          </w:tcPr>
          <w:p w14:paraId="5CB7D706">
            <w:pPr>
              <w:pStyle w:val="14"/>
              <w:spacing w:beforeAutospacing="0" w:afterAutospacing="0" w:line="360" w:lineRule="auto"/>
              <w:jc w:val="both"/>
              <w:rPr>
                <w:rFonts w:hint="default" w:ascii="Arial" w:hAnsi="Arial" w:cs="Arial"/>
                <w:color w:val="000000"/>
                <w:sz w:val="21"/>
                <w:szCs w:val="21"/>
                <w:lang w:val="pt-BR"/>
              </w:rPr>
            </w:pPr>
            <w:r>
              <w:rPr>
                <w:rFonts w:hint="default" w:ascii="Arial" w:hAnsi="Arial" w:eastAsia="SimSun" w:cs="Arial"/>
                <w:sz w:val="21"/>
                <w:szCs w:val="21"/>
              </w:rPr>
              <w:t>A contratada deverá manter a manutenção dos equipamentos em dia, assegurar o uso adequado de extintores de incêndio e zelar pela organização e segurança do ambiente de trabalho.</w:t>
            </w:r>
          </w:p>
        </w:tc>
      </w:tr>
    </w:tbl>
    <w:p w14:paraId="5B1188CC">
      <w:pPr>
        <w:pStyle w:val="14"/>
        <w:spacing w:beforeAutospacing="0" w:afterAutospacing="0" w:line="360" w:lineRule="auto"/>
        <w:jc w:val="both"/>
        <w:rPr>
          <w:rFonts w:hint="default" w:ascii="Arial" w:hAnsi="Arial" w:cs="Arial"/>
          <w:color w:val="000000"/>
          <w:sz w:val="22"/>
          <w:szCs w:val="22"/>
        </w:rPr>
      </w:pPr>
      <w:r>
        <w:rPr>
          <w:rFonts w:hint="default" w:ascii="Arial" w:hAnsi="Arial" w:cs="Arial"/>
          <w:color w:val="000000"/>
          <w:sz w:val="22"/>
          <w:szCs w:val="22"/>
        </w:rPr>
        <w:t>Orientações complementares acerca da sustentabilidade da prestação almejada poderão ser repassadas pela fiscalização competente.</w:t>
      </w:r>
    </w:p>
    <w:p w14:paraId="72590B79">
      <w:pPr>
        <w:pStyle w:val="14"/>
        <w:spacing w:beforeAutospacing="0" w:afterAutospacing="0" w:line="360" w:lineRule="auto"/>
        <w:jc w:val="both"/>
        <w:rPr>
          <w:rFonts w:hint="default" w:ascii="Arial" w:hAnsi="Arial" w:cs="Arial"/>
          <w:color w:val="000000"/>
          <w:sz w:val="22"/>
          <w:szCs w:val="22"/>
        </w:rPr>
      </w:pPr>
    </w:p>
    <w:p w14:paraId="01451866">
      <w:pPr>
        <w:pStyle w:val="14"/>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jc w:val="both"/>
        <w:textAlignment w:val="auto"/>
        <w:rPr>
          <w:rFonts w:hint="default" w:ascii="Arial" w:hAnsi="Arial" w:cs="Arial"/>
          <w:b/>
          <w:bCs/>
          <w:color w:val="000000"/>
          <w:sz w:val="22"/>
          <w:szCs w:val="22"/>
        </w:rPr>
      </w:pPr>
      <w:bookmarkStart w:id="11" w:name="art18§1xiii"/>
      <w:bookmarkEnd w:id="11"/>
      <w:r>
        <w:rPr>
          <w:rFonts w:hint="default" w:ascii="Arial" w:hAnsi="Arial" w:cs="Arial"/>
          <w:b/>
          <w:bCs/>
          <w:color w:val="000000"/>
          <w:sz w:val="22"/>
          <w:szCs w:val="22"/>
        </w:rPr>
        <w:t xml:space="preserve">13. DECLARAÇÃO DE VIABILIDADE </w:t>
      </w:r>
    </w:p>
    <w:p w14:paraId="1C6C7F79">
      <w:pPr>
        <w:pStyle w:val="14"/>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jc w:val="both"/>
        <w:textAlignment w:val="auto"/>
        <w:rPr>
          <w:rFonts w:hint="default" w:ascii="Arial" w:hAnsi="Arial" w:cs="Arial"/>
          <w:b/>
          <w:bCs/>
          <w:color w:val="000000"/>
          <w:sz w:val="22"/>
          <w:szCs w:val="22"/>
        </w:rPr>
      </w:pPr>
      <w:r>
        <w:rPr>
          <w:rFonts w:hint="default" w:ascii="Arial" w:hAnsi="Arial" w:cs="Arial"/>
          <w:sz w:val="22"/>
          <w:szCs w:val="22"/>
        </w:rPr>
        <w:t>Com base na justificativa e nas especificações técnicas constantes neste Estudo Técnico Preliminar e seus anexos, e na existência de planejamento orçamentário para subsidiar esta contratação, declaramos que a contratação é viável, atendendo aos padrões e preços de mercado.</w:t>
      </w:r>
    </w:p>
    <w:p w14:paraId="27F0C800">
      <w:pPr>
        <w:tabs>
          <w:tab w:val="left" w:pos="1134"/>
        </w:tabs>
        <w:spacing w:line="360" w:lineRule="auto"/>
        <w:jc w:val="both"/>
        <w:rPr>
          <w:rFonts w:hint="default" w:ascii="Arial" w:hAnsi="Arial" w:cs="Arial"/>
          <w:sz w:val="22"/>
          <w:szCs w:val="22"/>
        </w:rPr>
      </w:pPr>
    </w:p>
    <w:p w14:paraId="38F5788F">
      <w:pPr>
        <w:tabs>
          <w:tab w:val="left" w:pos="1134"/>
        </w:tabs>
        <w:spacing w:line="360" w:lineRule="auto"/>
        <w:jc w:val="both"/>
        <w:rPr>
          <w:rFonts w:hint="default" w:ascii="Arial" w:hAnsi="Arial" w:cs="Arial"/>
          <w:sz w:val="22"/>
          <w:szCs w:val="22"/>
        </w:rPr>
      </w:pPr>
    </w:p>
    <w:tbl>
      <w:tblPr>
        <w:tblStyle w:val="9"/>
        <w:tblpPr w:leftFromText="180" w:rightFromText="180" w:vertAnchor="text" w:horzAnchor="page" w:tblpX="1750" w:tblpY="861"/>
        <w:tblOverlap w:val="never"/>
        <w:tblW w:w="8771" w:type="dxa"/>
        <w:tblInd w:w="0" w:type="dxa"/>
        <w:tblLayout w:type="fixed"/>
        <w:tblCellMar>
          <w:top w:w="0" w:type="dxa"/>
          <w:left w:w="108" w:type="dxa"/>
          <w:bottom w:w="0" w:type="dxa"/>
          <w:right w:w="108" w:type="dxa"/>
        </w:tblCellMar>
      </w:tblPr>
      <w:tblGrid>
        <w:gridCol w:w="4127"/>
        <w:gridCol w:w="4644"/>
      </w:tblGrid>
      <w:tr w14:paraId="761A1473">
        <w:tblPrEx>
          <w:tblCellMar>
            <w:top w:w="0" w:type="dxa"/>
            <w:left w:w="108" w:type="dxa"/>
            <w:bottom w:w="0" w:type="dxa"/>
            <w:right w:w="108" w:type="dxa"/>
          </w:tblCellMar>
        </w:tblPrEx>
        <w:tc>
          <w:tcPr>
            <w:tcW w:w="4127" w:type="dxa"/>
            <w:tcBorders>
              <w:top w:val="nil"/>
              <w:left w:val="nil"/>
              <w:bottom w:val="nil"/>
              <w:right w:val="nil"/>
            </w:tcBorders>
            <w:noWrap w:val="0"/>
            <w:vAlign w:val="top"/>
          </w:tcPr>
          <w:p w14:paraId="1855E83D">
            <w:pPr>
              <w:widowControl/>
              <w:shd w:val="clear" w:color="auto" w:fill="auto"/>
              <w:spacing w:before="0" w:after="0" w:line="360" w:lineRule="auto"/>
              <w:jc w:val="both"/>
              <w:rPr>
                <w:rFonts w:hint="default" w:ascii="Arial" w:hAnsi="Arial" w:eastAsia="Times New Roman" w:cs="Arial"/>
                <w:color w:val="000000"/>
                <w:sz w:val="18"/>
                <w:szCs w:val="18"/>
                <w:lang w:val="pt-BR" w:eastAsia="zh-CN"/>
              </w:rPr>
            </w:pPr>
            <w:r>
              <w:rPr>
                <w:rFonts w:hint="default" w:ascii="Arial" w:hAnsi="Arial" w:eastAsia="Times New Roman" w:cs="Arial"/>
                <w:color w:val="000000"/>
                <w:sz w:val="18"/>
                <w:szCs w:val="18"/>
                <w:lang w:val="pt-BR" w:eastAsia="zh-CN"/>
              </w:rPr>
              <w:t>Rafaela Allebrandt</w:t>
            </w:r>
          </w:p>
          <w:p w14:paraId="6988734D">
            <w:pPr>
              <w:widowControl/>
              <w:shd w:val="clear" w:color="auto" w:fill="auto"/>
              <w:spacing w:before="0" w:after="0" w:line="360" w:lineRule="auto"/>
              <w:jc w:val="both"/>
              <w:rPr>
                <w:rFonts w:hint="default" w:ascii="Arial" w:hAnsi="Arial" w:cs="Arial"/>
                <w:color w:val="000000"/>
                <w:sz w:val="18"/>
                <w:szCs w:val="18"/>
                <w:lang w:val="en-US" w:eastAsia="pt-BR"/>
              </w:rPr>
            </w:pPr>
            <w:r>
              <w:rPr>
                <w:rFonts w:hint="default" w:ascii="Arial" w:hAnsi="Arial" w:eastAsia="Times New Roman" w:cs="Arial"/>
                <w:color w:val="000000"/>
                <w:sz w:val="18"/>
                <w:szCs w:val="18"/>
                <w:lang w:val="pt-BR" w:eastAsia="pt-BR"/>
              </w:rPr>
              <w:t>Agente Administrativa</w:t>
            </w:r>
            <w:r>
              <w:rPr>
                <w:rFonts w:hint="default" w:ascii="Arial" w:hAnsi="Arial" w:eastAsia="Times New Roman" w:cs="Arial"/>
                <w:color w:val="000000"/>
                <w:sz w:val="18"/>
                <w:szCs w:val="18"/>
                <w:lang w:val="en-US" w:eastAsia="pt-BR"/>
              </w:rPr>
              <w:t xml:space="preserve"> - redatora ETP</w:t>
            </w:r>
          </w:p>
        </w:tc>
        <w:tc>
          <w:tcPr>
            <w:tcW w:w="4644" w:type="dxa"/>
            <w:tcBorders>
              <w:top w:val="nil"/>
              <w:left w:val="nil"/>
              <w:bottom w:val="nil"/>
              <w:right w:val="nil"/>
            </w:tcBorders>
            <w:noWrap w:val="0"/>
            <w:vAlign w:val="top"/>
          </w:tcPr>
          <w:p w14:paraId="77BF65D4">
            <w:pPr>
              <w:widowControl/>
              <w:shd w:val="clear" w:color="auto" w:fill="auto"/>
              <w:spacing w:before="0" w:after="0" w:line="360" w:lineRule="auto"/>
              <w:jc w:val="both"/>
              <w:rPr>
                <w:rFonts w:hint="default" w:ascii="Arial" w:hAnsi="Arial" w:cs="Arial"/>
                <w:color w:val="000000"/>
                <w:sz w:val="18"/>
                <w:szCs w:val="18"/>
              </w:rPr>
            </w:pPr>
            <w:r>
              <w:rPr>
                <w:rFonts w:hint="default" w:ascii="Arial" w:hAnsi="Arial" w:cs="Arial"/>
                <w:color w:val="000000"/>
                <w:sz w:val="18"/>
                <w:szCs w:val="18"/>
              </w:rPr>
              <w:t>Ariberto Magedanz</w:t>
            </w:r>
          </w:p>
          <w:p w14:paraId="52885854">
            <w:pPr>
              <w:spacing w:line="360" w:lineRule="auto"/>
              <w:jc w:val="both"/>
              <w:rPr>
                <w:rFonts w:hint="default" w:ascii="Arial" w:hAnsi="Arial" w:cs="Arial"/>
                <w:color w:val="000000"/>
                <w:sz w:val="18"/>
                <w:szCs w:val="18"/>
                <w:lang w:val="pt-BR" w:eastAsia="pt-BR"/>
              </w:rPr>
            </w:pPr>
            <w:r>
              <w:rPr>
                <w:rFonts w:hint="default" w:ascii="Arial" w:hAnsi="Arial" w:cs="Arial"/>
                <w:color w:val="000000"/>
                <w:sz w:val="18"/>
                <w:szCs w:val="18"/>
              </w:rPr>
              <w:t>Secretári</w:t>
            </w:r>
            <w:r>
              <w:rPr>
                <w:rFonts w:hint="default" w:cs="Arial"/>
                <w:color w:val="000000"/>
                <w:sz w:val="18"/>
                <w:szCs w:val="18"/>
                <w:lang w:val="pt-BR"/>
              </w:rPr>
              <w:t>o</w:t>
            </w:r>
            <w:r>
              <w:rPr>
                <w:rFonts w:hint="default" w:ascii="Arial" w:hAnsi="Arial" w:cs="Arial"/>
                <w:color w:val="000000"/>
                <w:sz w:val="18"/>
                <w:szCs w:val="18"/>
              </w:rPr>
              <w:t xml:space="preserve"> Municipal de Obras, Viação e Transportes</w:t>
            </w:r>
          </w:p>
        </w:tc>
      </w:tr>
      <w:tr w14:paraId="3297F0EB">
        <w:tblPrEx>
          <w:tblCellMar>
            <w:top w:w="0" w:type="dxa"/>
            <w:left w:w="108" w:type="dxa"/>
            <w:bottom w:w="0" w:type="dxa"/>
            <w:right w:w="108" w:type="dxa"/>
          </w:tblCellMar>
        </w:tblPrEx>
        <w:trPr>
          <w:trHeight w:val="976" w:hRule="atLeast"/>
        </w:trPr>
        <w:tc>
          <w:tcPr>
            <w:tcW w:w="4127" w:type="dxa"/>
            <w:tcBorders>
              <w:top w:val="nil"/>
              <w:left w:val="nil"/>
              <w:bottom w:val="nil"/>
              <w:right w:val="nil"/>
            </w:tcBorders>
            <w:noWrap w:val="0"/>
            <w:vAlign w:val="top"/>
          </w:tcPr>
          <w:p w14:paraId="4D23B6A9">
            <w:pPr>
              <w:widowControl/>
              <w:shd w:val="clear" w:color="auto" w:fill="auto"/>
              <w:spacing w:before="0" w:after="0" w:line="360" w:lineRule="auto"/>
              <w:jc w:val="both"/>
              <w:rPr>
                <w:rFonts w:hint="default" w:ascii="Arial" w:hAnsi="Arial" w:eastAsia="Times New Roman" w:cs="Arial"/>
                <w:color w:val="000000"/>
                <w:sz w:val="18"/>
                <w:szCs w:val="18"/>
                <w:lang w:val="pt-BR" w:eastAsia="pt-BR"/>
              </w:rPr>
            </w:pPr>
          </w:p>
          <w:p w14:paraId="48760771">
            <w:pPr>
              <w:widowControl/>
              <w:shd w:val="clear" w:color="auto" w:fill="auto"/>
              <w:spacing w:before="0" w:after="0" w:line="360" w:lineRule="auto"/>
              <w:jc w:val="both"/>
              <w:rPr>
                <w:rFonts w:hint="default" w:ascii="Arial" w:hAnsi="Arial" w:eastAsia="Times New Roman" w:cs="Arial"/>
                <w:color w:val="000000"/>
                <w:sz w:val="18"/>
                <w:szCs w:val="18"/>
                <w:lang w:val="pt-BR" w:eastAsia="pt-BR"/>
              </w:rPr>
            </w:pPr>
          </w:p>
          <w:p w14:paraId="6D2C334D">
            <w:pPr>
              <w:widowControl/>
              <w:shd w:val="clear" w:color="auto" w:fill="auto"/>
              <w:spacing w:before="0" w:after="0" w:line="360" w:lineRule="auto"/>
              <w:jc w:val="both"/>
              <w:rPr>
                <w:rFonts w:hint="default" w:ascii="Arial" w:hAnsi="Arial" w:eastAsia="Times New Roman" w:cs="Arial"/>
                <w:color w:val="000000"/>
                <w:sz w:val="18"/>
                <w:szCs w:val="18"/>
              </w:rPr>
            </w:pPr>
            <w:r>
              <w:rPr>
                <w:rFonts w:hint="default" w:ascii="Arial" w:hAnsi="Arial" w:eastAsia="Times New Roman" w:cs="Arial"/>
                <w:color w:val="000000"/>
                <w:sz w:val="18"/>
                <w:szCs w:val="18"/>
              </w:rPr>
              <w:t xml:space="preserve">Barbara F. Schröer </w:t>
            </w:r>
          </w:p>
          <w:p w14:paraId="3F41F74B">
            <w:pPr>
              <w:widowControl/>
              <w:shd w:val="clear" w:color="auto" w:fill="auto"/>
              <w:spacing w:before="0" w:after="0" w:line="360" w:lineRule="auto"/>
              <w:jc w:val="both"/>
              <w:rPr>
                <w:rFonts w:hint="default" w:ascii="Arial" w:hAnsi="Arial" w:eastAsia="Times New Roman" w:cs="Arial"/>
                <w:color w:val="000000"/>
                <w:sz w:val="18"/>
                <w:szCs w:val="18"/>
                <w:lang w:val="pt-BR" w:eastAsia="pt-BR"/>
              </w:rPr>
            </w:pPr>
            <w:r>
              <w:rPr>
                <w:rFonts w:hint="default" w:ascii="Arial" w:hAnsi="Arial" w:eastAsia="Times New Roman" w:cs="Arial"/>
                <w:color w:val="000000"/>
                <w:sz w:val="18"/>
                <w:szCs w:val="18"/>
              </w:rPr>
              <w:t>Agente Administrativa</w:t>
            </w:r>
          </w:p>
        </w:tc>
        <w:tc>
          <w:tcPr>
            <w:tcW w:w="4644" w:type="dxa"/>
            <w:tcBorders>
              <w:top w:val="nil"/>
              <w:left w:val="nil"/>
              <w:bottom w:val="nil"/>
              <w:right w:val="nil"/>
            </w:tcBorders>
            <w:noWrap w:val="0"/>
            <w:vAlign w:val="top"/>
          </w:tcPr>
          <w:p w14:paraId="7DB10342">
            <w:pPr>
              <w:widowControl/>
              <w:shd w:val="clear" w:color="auto" w:fill="auto"/>
              <w:spacing w:before="0" w:after="0" w:line="360" w:lineRule="auto"/>
              <w:jc w:val="both"/>
              <w:rPr>
                <w:rFonts w:hint="default" w:ascii="Arial" w:hAnsi="Arial" w:eastAsia="Times New Roman" w:cs="Arial"/>
                <w:color w:val="000000"/>
                <w:sz w:val="18"/>
                <w:szCs w:val="18"/>
                <w:lang w:val="pt-BR" w:eastAsia="pt-BR"/>
              </w:rPr>
            </w:pPr>
          </w:p>
          <w:p w14:paraId="057B515F">
            <w:pPr>
              <w:widowControl/>
              <w:shd w:val="clear" w:color="auto" w:fill="auto"/>
              <w:spacing w:before="0" w:after="0" w:line="360" w:lineRule="auto"/>
              <w:jc w:val="both"/>
              <w:rPr>
                <w:rFonts w:hint="default" w:ascii="Arial" w:hAnsi="Arial" w:eastAsia="Times New Roman" w:cs="Arial"/>
                <w:color w:val="000000"/>
                <w:sz w:val="18"/>
                <w:szCs w:val="18"/>
                <w:lang w:val="en-US" w:eastAsia="pt-BR"/>
              </w:rPr>
            </w:pPr>
          </w:p>
        </w:tc>
      </w:tr>
    </w:tbl>
    <w:p w14:paraId="5B680492">
      <w:pPr>
        <w:spacing w:line="276" w:lineRule="auto"/>
        <w:jc w:val="right"/>
        <w:rPr>
          <w:rFonts w:hint="default" w:ascii="Arial" w:hAnsi="Arial" w:cs="Arial"/>
          <w:sz w:val="22"/>
          <w:szCs w:val="28"/>
        </w:rPr>
      </w:pPr>
      <w:r>
        <w:rPr>
          <w:rFonts w:hint="default" w:ascii="Arial" w:hAnsi="Arial" w:cs="Arial"/>
          <w:sz w:val="22"/>
          <w:szCs w:val="28"/>
        </w:rPr>
        <w:t>Teutônia</w:t>
      </w:r>
      <w:r>
        <w:rPr>
          <w:rFonts w:hint="default" w:ascii="Arial" w:hAnsi="Arial" w:cs="Arial"/>
          <w:sz w:val="22"/>
          <w:szCs w:val="28"/>
          <w:lang w:val="pt-BR"/>
        </w:rPr>
        <w:t xml:space="preserve"> 1º </w:t>
      </w:r>
      <w:r>
        <w:rPr>
          <w:rFonts w:hint="default" w:ascii="Arial" w:hAnsi="Arial" w:cs="Arial"/>
          <w:sz w:val="22"/>
          <w:szCs w:val="28"/>
        </w:rPr>
        <w:t xml:space="preserve">de </w:t>
      </w:r>
      <w:r>
        <w:rPr>
          <w:rFonts w:hint="default" w:ascii="Arial" w:hAnsi="Arial" w:cs="Arial"/>
          <w:sz w:val="22"/>
          <w:szCs w:val="28"/>
          <w:lang w:val="pt-BR"/>
        </w:rPr>
        <w:t>julho</w:t>
      </w:r>
      <w:r>
        <w:rPr>
          <w:rFonts w:hint="default" w:ascii="Arial" w:hAnsi="Arial" w:cs="Arial"/>
          <w:sz w:val="22"/>
          <w:szCs w:val="28"/>
        </w:rPr>
        <w:t xml:space="preserve"> de 2025.</w:t>
      </w:r>
    </w:p>
    <w:p w14:paraId="10DB49A5"/>
    <w:sectPr>
      <w:headerReference r:id="rId7" w:type="first"/>
      <w:footerReference r:id="rId10" w:type="first"/>
      <w:headerReference r:id="rId5" w:type="default"/>
      <w:footerReference r:id="rId8" w:type="default"/>
      <w:headerReference r:id="rId6" w:type="even"/>
      <w:footerReference r:id="rId9" w:type="even"/>
      <w:pgSz w:w="11906" w:h="16838"/>
      <w:pgMar w:top="398" w:right="1440" w:bottom="1440" w:left="1560" w:header="170" w:footer="430" w:gutter="0"/>
      <w:pgNumType w:start="1"/>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Georgia">
    <w:panose1 w:val="02040502050405020303"/>
    <w:charset w:val="00"/>
    <w:family w:val="roman"/>
    <w:pitch w:val="default"/>
    <w:sig w:usb0="00000287" w:usb1="00000000" w:usb2="00000000" w:usb3="00000000" w:csb0="2000009F" w:csb1="00000000"/>
  </w:font>
  <w:font w:name="Wingdings">
    <w:panose1 w:val="05000000000000000000"/>
    <w:charset w:val="00"/>
    <w:family w:val="auto"/>
    <w:pitch w:val="default"/>
    <w:sig w:usb0="00000000" w:usb1="00000000" w:usb2="00000000" w:usb3="00000000" w:csb0="80000000" w:csb1="00000000"/>
  </w:font>
  <w:font w:name="Quire Sans Pro Light">
    <w:altName w:val="Liberation Mono"/>
    <w:panose1 w:val="00000000000000000000"/>
    <w:charset w:val="00"/>
    <w:family w:val="swiss"/>
    <w:pitch w:val="default"/>
    <w:sig w:usb0="00000000" w:usb1="00000000" w:usb2="00000000" w:usb3="00000000" w:csb0="00000001" w:csb1="00000000"/>
  </w:font>
  <w:font w:name="Montserrat">
    <w:altName w:val="Times New Roman"/>
    <w:panose1 w:val="00000000000000000000"/>
    <w:charset w:val="00"/>
    <w:family w:val="auto"/>
    <w:pitch w:val="default"/>
    <w:sig w:usb0="00000000" w:usb1="00000000" w:usb2="00000000" w:usb3="00000000" w:csb0="00000197" w:csb1="00000000"/>
  </w:font>
  <w:font w:name="Liberation Mono">
    <w:panose1 w:val="02070409020205020404"/>
    <w:charset w:val="00"/>
    <w:family w:val="auto"/>
    <w:pitch w:val="default"/>
    <w:sig w:usb0="E0000AFF" w:usb1="400078FF" w:usb2="00000001" w:usb3="00000000" w:csb0="600001BF" w:csb1="DFF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68BC1E">
    <w:pPr>
      <w:tabs>
        <w:tab w:val="center" w:pos="4680"/>
        <w:tab w:val="right" w:pos="10050"/>
      </w:tabs>
      <w:spacing w:after="0" w:line="240" w:lineRule="auto"/>
      <w:ind w:left="-992" w:right="-1032"/>
      <w:jc w:val="center"/>
      <w:rPr>
        <w:rFonts w:ascii="Montserrat" w:hAnsi="Montserrat" w:eastAsia="Montserrat" w:cs="Montserrat"/>
        <w:color w:val="1155CC"/>
        <w:sz w:val="20"/>
        <w:szCs w:val="20"/>
      </w:rPr>
    </w:pPr>
    <w:r>
      <w:rPr>
        <w:rFonts w:ascii="Montserrat" w:hAnsi="Montserrat" w:eastAsia="Montserrat" w:cs="Montserrat"/>
        <w:color w:val="1155CC"/>
        <w:sz w:val="20"/>
        <w:szCs w:val="20"/>
      </w:rPr>
      <w:t xml:space="preserve">Av. 1 Oeste, 878, Bairro Centro Administrativo, Teutônia | RS | (51) 3762-7700  </w:t>
    </w:r>
  </w:p>
  <w:p w14:paraId="021B5D99">
    <w:pPr>
      <w:pStyle w:val="16"/>
      <w:jc w:val="center"/>
    </w:pPr>
    <w:r>
      <w:rPr>
        <w:rFonts w:ascii="Montserrat" w:hAnsi="Montserrat" w:eastAsia="Montserrat" w:cs="Montserrat"/>
        <w:color w:val="1155CC"/>
        <w:sz w:val="20"/>
        <w:szCs w:val="20"/>
      </w:rPr>
      <w:t>e-mail: licita@teutonia.rs.gov.br</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FC03CD">
    <w:pPr>
      <w:pStyle w:val="1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CF130A">
    <w:pPr>
      <w:pStyle w:val="1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27"/>
      <w:tblW w:w="9090" w:type="dxa"/>
      <w:jc w:val="center"/>
      <w:tblLayout w:type="fixed"/>
      <w:tblCellMar>
        <w:top w:w="0" w:type="dxa"/>
        <w:left w:w="108" w:type="dxa"/>
        <w:bottom w:w="0" w:type="dxa"/>
        <w:right w:w="108" w:type="dxa"/>
      </w:tblCellMar>
    </w:tblPr>
    <w:tblGrid>
      <w:gridCol w:w="9090"/>
    </w:tblGrid>
    <w:tr w14:paraId="773C57CF">
      <w:tblPrEx>
        <w:tblCellMar>
          <w:top w:w="0" w:type="dxa"/>
          <w:left w:w="108" w:type="dxa"/>
          <w:bottom w:w="0" w:type="dxa"/>
          <w:right w:w="108" w:type="dxa"/>
        </w:tblCellMar>
      </w:tblPrEx>
      <w:trPr>
        <w:trHeight w:val="1277" w:hRule="atLeast"/>
        <w:jc w:val="center"/>
      </w:trPr>
      <w:tc>
        <w:tcPr>
          <w:tcW w:w="9090" w:type="dxa"/>
          <w:tcBorders>
            <w:top w:val="nil"/>
            <w:left w:val="nil"/>
            <w:bottom w:val="nil"/>
            <w:right w:val="nil"/>
          </w:tcBorders>
        </w:tcPr>
        <w:p w14:paraId="63F70FF6">
          <w:pPr>
            <w:pBdr>
              <w:top w:val="none" w:color="auto" w:sz="0" w:space="0"/>
              <w:left w:val="none" w:color="auto" w:sz="0" w:space="0"/>
              <w:bottom w:val="none" w:color="auto" w:sz="0" w:space="0"/>
              <w:right w:val="none" w:color="auto" w:sz="0" w:space="0"/>
              <w:between w:val="none" w:color="auto" w:sz="0" w:space="0"/>
            </w:pBdr>
            <w:tabs>
              <w:tab w:val="center" w:pos="4680"/>
              <w:tab w:val="right" w:pos="9360"/>
            </w:tabs>
            <w:spacing w:after="0" w:line="240" w:lineRule="auto"/>
            <w:ind w:left="-1417"/>
            <w:jc w:val="center"/>
            <w:rPr>
              <w:rFonts w:ascii="Quire Sans Pro Light" w:hAnsi="Quire Sans Pro Light" w:eastAsia="Quire Sans Pro Light" w:cs="Quire Sans Pro Light"/>
              <w:b/>
              <w:color w:val="E283AE"/>
              <w:sz w:val="32"/>
              <w:szCs w:val="32"/>
            </w:rPr>
          </w:pPr>
          <w:r>
            <w:t xml:space="preserve">                          </w:t>
          </w:r>
          <w:r>
            <w:drawing>
              <wp:inline distT="114300" distB="114300" distL="114300" distR="114300">
                <wp:extent cx="3674110" cy="1130300"/>
                <wp:effectExtent l="0" t="0" r="0" b="0"/>
                <wp:docPr id="751185123" name="image1.png"/>
                <wp:cNvGraphicFramePr/>
                <a:graphic xmlns:a="http://schemas.openxmlformats.org/drawingml/2006/main">
                  <a:graphicData uri="http://schemas.openxmlformats.org/drawingml/2006/picture">
                    <pic:pic xmlns:pic="http://schemas.openxmlformats.org/drawingml/2006/picture">
                      <pic:nvPicPr>
                        <pic:cNvPr id="751185123" name="image1.png"/>
                        <pic:cNvPicPr preferRelativeResize="0"/>
                      </pic:nvPicPr>
                      <pic:blipFill>
                        <a:blip r:embed="rId1"/>
                        <a:srcRect r="48699"/>
                        <a:stretch>
                          <a:fillRect/>
                        </a:stretch>
                      </pic:blipFill>
                      <pic:spPr>
                        <a:xfrm>
                          <a:off x="0" y="0"/>
                          <a:ext cx="3762229" cy="1157259"/>
                        </a:xfrm>
                        <a:prstGeom prst="rect">
                          <a:avLst/>
                        </a:prstGeom>
                      </pic:spPr>
                    </pic:pic>
                  </a:graphicData>
                </a:graphic>
              </wp:inline>
            </w:drawing>
          </w:r>
        </w:p>
      </w:tc>
    </w:tr>
  </w:tbl>
  <w:p w14:paraId="7DF66098">
    <w:pPr>
      <w:pBdr>
        <w:top w:val="none" w:color="auto" w:sz="0" w:space="0"/>
        <w:left w:val="none" w:color="auto" w:sz="0" w:space="0"/>
        <w:bottom w:val="none" w:color="auto" w:sz="0" w:space="0"/>
        <w:right w:val="none" w:color="auto" w:sz="0" w:space="0"/>
        <w:between w:val="none" w:color="auto" w:sz="0" w:space="0"/>
      </w:pBdr>
      <w:tabs>
        <w:tab w:val="center" w:pos="4680"/>
        <w:tab w:val="right" w:pos="9360"/>
      </w:tabs>
      <w:spacing w:after="0" w:line="240" w:lineRule="auto"/>
      <w:rPr>
        <w:color w:val="000000"/>
      </w:rPr>
    </w:pPr>
    <w:r>
      <w:drawing>
        <wp:anchor distT="0" distB="0" distL="114300" distR="114300" simplePos="0" relativeHeight="251659264" behindDoc="1" locked="0" layoutInCell="1" allowOverlap="1">
          <wp:simplePos x="0" y="0"/>
          <wp:positionH relativeFrom="margin">
            <wp:align>center</wp:align>
          </wp:positionH>
          <wp:positionV relativeFrom="margin">
            <wp:posOffset>-163830</wp:posOffset>
          </wp:positionV>
          <wp:extent cx="5661025" cy="7921625"/>
          <wp:effectExtent l="0" t="0" r="15875" b="3175"/>
          <wp:wrapNone/>
          <wp:docPr id="1" name="WordPictureWatermark1" descr="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ordPictureWatermark1" descr="image3"/>
                  <pic:cNvPicPr>
                    <a:picLocks noChangeAspect="1"/>
                  </pic:cNvPicPr>
                </pic:nvPicPr>
                <pic:blipFill>
                  <a:blip r:embed="rId2">
                    <a:lum bright="70001" contrast="-70000"/>
                  </a:blip>
                  <a:stretch>
                    <a:fillRect/>
                  </a:stretch>
                </pic:blipFill>
                <pic:spPr>
                  <a:xfrm>
                    <a:off x="0" y="0"/>
                    <a:ext cx="5661025" cy="7921625"/>
                  </a:xfrm>
                  <a:prstGeom prst="rect">
                    <a:avLst/>
                  </a:prstGeom>
                  <a:noFill/>
                  <a:ln>
                    <a:noFill/>
                  </a:ln>
                </pic:spPr>
              </pic:pic>
            </a:graphicData>
          </a:graphic>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1B001C">
    <w:pPr>
      <w:pStyle w:val="15"/>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9B1D76">
    <w:pPr>
      <w:pStyle w:val="1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31BD31"/>
    <w:multiLevelType w:val="singleLevel"/>
    <w:tmpl w:val="9531BD31"/>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1">
    <w:nsid w:val="F868036C"/>
    <w:multiLevelType w:val="singleLevel"/>
    <w:tmpl w:val="F868036C"/>
    <w:lvl w:ilvl="0" w:tentative="0">
      <w:start w:val="1"/>
      <w:numFmt w:val="decimal"/>
      <w:lvlText w:val="%1."/>
      <w:lvlJc w:val="left"/>
      <w:pPr>
        <w:tabs>
          <w:tab w:val="left" w:pos="425"/>
        </w:tabs>
        <w:ind w:left="425" w:leftChars="0" w:hanging="425" w:firstLineChars="0"/>
      </w:pPr>
      <w:rPr>
        <w:rFonts w:hint="default"/>
      </w:rPr>
    </w:lvl>
  </w:abstractNum>
  <w:abstractNum w:abstractNumId="2">
    <w:nsid w:val="FB0D7A49"/>
    <w:multiLevelType w:val="singleLevel"/>
    <w:tmpl w:val="FB0D7A49"/>
    <w:lvl w:ilvl="0" w:tentative="0">
      <w:start w:val="1"/>
      <w:numFmt w:val="lowerLetter"/>
      <w:lvlText w:val="%1)"/>
      <w:lvlJc w:val="left"/>
      <w:pPr>
        <w:tabs>
          <w:tab w:val="left" w:pos="425"/>
        </w:tabs>
        <w:ind w:left="425" w:leftChars="0" w:hanging="425" w:firstLineChars="0"/>
      </w:pPr>
      <w:rPr>
        <w:rFont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720"/>
  <w:hyphenationZone w:val="425"/>
  <w:displayHorizontalDrawingGridEvery w:val="1"/>
  <w:displayVerticalDrawingGridEvery w:val="1"/>
  <w:noPunctuationKerning w:val="1"/>
  <w:characterSpacingControl w:val="doNotCompress"/>
  <w:hdrShapeDefaults>
    <o:shapelayout v:ext="edit">
      <o:idmap v:ext="edit" data="1"/>
    </o:shapelayout>
  </w:hdrShapeDefaults>
  <w:footnotePr>
    <w:footnote w:id="0"/>
    <w:footnote w:id="1"/>
  </w:footnotePr>
  <w:endnotePr>
    <w:endnote w:id="0"/>
    <w:endnote w:id="1"/>
  </w:endnotePr>
  <w:compat>
    <w:doNotExpandShiftReturn/>
    <w:doNotWrapTextWithPunct/>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D05C7"/>
    <w:rsid w:val="000D30D1"/>
    <w:rsid w:val="00297F68"/>
    <w:rsid w:val="00305A3F"/>
    <w:rsid w:val="004D27E2"/>
    <w:rsid w:val="005A7840"/>
    <w:rsid w:val="00710BDD"/>
    <w:rsid w:val="0079516A"/>
    <w:rsid w:val="008A7458"/>
    <w:rsid w:val="008E6A0D"/>
    <w:rsid w:val="009E6F53"/>
    <w:rsid w:val="00A77C75"/>
    <w:rsid w:val="00A85D9E"/>
    <w:rsid w:val="00AD0487"/>
    <w:rsid w:val="00B02493"/>
    <w:rsid w:val="00B039BC"/>
    <w:rsid w:val="00C73FB5"/>
    <w:rsid w:val="00DD05C7"/>
    <w:rsid w:val="00E278AF"/>
    <w:rsid w:val="073D5515"/>
    <w:rsid w:val="129026B3"/>
    <w:rsid w:val="215701A9"/>
    <w:rsid w:val="216F743E"/>
    <w:rsid w:val="36723CEE"/>
    <w:rsid w:val="593A4A04"/>
    <w:rsid w:val="638D554B"/>
    <w:rsid w:val="77511993"/>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qFormat="1" w:uiPriority="99" w:semiHidden="0"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34" w:semiHidden="0" w:name="List Paragraph"/>
  </w:latentStyles>
  <w:style w:type="paragraph" w:default="1" w:styleId="1">
    <w:name w:val="Normal"/>
    <w:qFormat/>
    <w:uiPriority w:val="0"/>
    <w:pPr>
      <w:spacing w:after="160" w:line="259" w:lineRule="auto"/>
    </w:pPr>
    <w:rPr>
      <w:rFonts w:ascii="Calibri" w:hAnsi="Calibri" w:eastAsia="Calibri" w:cs="Calibri"/>
      <w:sz w:val="22"/>
      <w:szCs w:val="22"/>
      <w:lang w:val="pt-BR" w:eastAsia="pt-BR" w:bidi="ar-SA"/>
    </w:rPr>
  </w:style>
  <w:style w:type="paragraph" w:styleId="2">
    <w:name w:val="heading 1"/>
    <w:basedOn w:val="1"/>
    <w:next w:val="1"/>
    <w:qFormat/>
    <w:uiPriority w:val="9"/>
    <w:pPr>
      <w:keepNext/>
      <w:keepLines/>
      <w:spacing w:before="480" w:after="120"/>
      <w:outlineLvl w:val="0"/>
    </w:pPr>
    <w:rPr>
      <w:b/>
      <w:sz w:val="48"/>
      <w:szCs w:val="48"/>
    </w:rPr>
  </w:style>
  <w:style w:type="paragraph" w:styleId="3">
    <w:name w:val="heading 2"/>
    <w:basedOn w:val="1"/>
    <w:next w:val="1"/>
    <w:semiHidden/>
    <w:unhideWhenUsed/>
    <w:qFormat/>
    <w:uiPriority w:val="9"/>
    <w:pPr>
      <w:keepNext/>
      <w:keepLines/>
      <w:spacing w:before="360" w:after="80"/>
      <w:outlineLvl w:val="1"/>
    </w:pPr>
    <w:rPr>
      <w:b/>
      <w:sz w:val="36"/>
      <w:szCs w:val="36"/>
    </w:rPr>
  </w:style>
  <w:style w:type="paragraph" w:styleId="4">
    <w:name w:val="heading 3"/>
    <w:basedOn w:val="1"/>
    <w:next w:val="1"/>
    <w:semiHidden/>
    <w:unhideWhenUsed/>
    <w:qFormat/>
    <w:uiPriority w:val="9"/>
    <w:pPr>
      <w:keepNext/>
      <w:keepLines/>
      <w:spacing w:before="280" w:after="80"/>
      <w:outlineLvl w:val="2"/>
    </w:pPr>
    <w:rPr>
      <w:b/>
      <w:sz w:val="28"/>
      <w:szCs w:val="28"/>
    </w:rPr>
  </w:style>
  <w:style w:type="paragraph" w:styleId="5">
    <w:name w:val="heading 4"/>
    <w:basedOn w:val="1"/>
    <w:next w:val="1"/>
    <w:semiHidden/>
    <w:unhideWhenUsed/>
    <w:qFormat/>
    <w:uiPriority w:val="9"/>
    <w:pPr>
      <w:keepNext/>
      <w:keepLines/>
      <w:spacing w:before="240" w:after="40"/>
      <w:outlineLvl w:val="3"/>
    </w:pPr>
    <w:rPr>
      <w:b/>
      <w:sz w:val="24"/>
      <w:szCs w:val="24"/>
    </w:rPr>
  </w:style>
  <w:style w:type="paragraph" w:styleId="6">
    <w:name w:val="heading 5"/>
    <w:basedOn w:val="1"/>
    <w:next w:val="1"/>
    <w:semiHidden/>
    <w:unhideWhenUsed/>
    <w:qFormat/>
    <w:uiPriority w:val="9"/>
    <w:pPr>
      <w:keepNext/>
      <w:keepLines/>
      <w:spacing w:before="220" w:after="40"/>
      <w:outlineLvl w:val="4"/>
    </w:pPr>
    <w:rPr>
      <w:b/>
    </w:rPr>
  </w:style>
  <w:style w:type="paragraph" w:styleId="7">
    <w:name w:val="heading 6"/>
    <w:basedOn w:val="1"/>
    <w:next w:val="1"/>
    <w:semiHidden/>
    <w:unhideWhenUsed/>
    <w:qFormat/>
    <w:uiPriority w:val="9"/>
    <w:pPr>
      <w:keepNext/>
      <w:keepLines/>
      <w:spacing w:before="200" w:after="40"/>
      <w:outlineLvl w:val="5"/>
    </w:pPr>
    <w:rPr>
      <w:b/>
      <w:sz w:val="20"/>
      <w:szCs w:val="20"/>
    </w:rPr>
  </w:style>
  <w:style w:type="character" w:default="1" w:styleId="8">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character" w:styleId="10">
    <w:name w:val="Strong"/>
    <w:basedOn w:val="8"/>
    <w:qFormat/>
    <w:uiPriority w:val="22"/>
    <w:rPr>
      <w:b/>
      <w:bCs/>
    </w:rPr>
  </w:style>
  <w:style w:type="character" w:styleId="11">
    <w:name w:val="Hyperlink"/>
    <w:basedOn w:val="8"/>
    <w:unhideWhenUsed/>
    <w:qFormat/>
    <w:uiPriority w:val="99"/>
    <w:rPr>
      <w:color w:val="0563C1"/>
      <w:u w:val="single"/>
    </w:rPr>
  </w:style>
  <w:style w:type="paragraph" w:styleId="12">
    <w:name w:val="Body Text"/>
    <w:basedOn w:val="1"/>
    <w:link w:val="29"/>
    <w:qFormat/>
    <w:uiPriority w:val="0"/>
    <w:pPr>
      <w:spacing w:after="120" w:line="240" w:lineRule="auto"/>
    </w:pPr>
    <w:rPr>
      <w:rFonts w:ascii="Arial" w:hAnsi="Arial" w:eastAsia="SimSun" w:cs="Arial"/>
      <w:szCs w:val="20"/>
      <w:lang w:eastAsia="zh-CN"/>
    </w:rPr>
  </w:style>
  <w:style w:type="paragraph" w:styleId="13">
    <w:name w:val="Title"/>
    <w:basedOn w:val="1"/>
    <w:next w:val="1"/>
    <w:qFormat/>
    <w:uiPriority w:val="10"/>
    <w:pPr>
      <w:keepNext/>
      <w:keepLines/>
      <w:spacing w:before="480" w:after="120"/>
    </w:pPr>
    <w:rPr>
      <w:b/>
      <w:sz w:val="72"/>
      <w:szCs w:val="72"/>
    </w:rPr>
  </w:style>
  <w:style w:type="paragraph" w:styleId="14">
    <w:name w:val="Normal (Web)"/>
    <w:basedOn w:val="1"/>
    <w:unhideWhenUsed/>
    <w:qFormat/>
    <w:uiPriority w:val="99"/>
    <w:pPr>
      <w:spacing w:before="100" w:beforeAutospacing="1" w:after="100" w:afterAutospacing="1" w:line="240" w:lineRule="auto"/>
    </w:pPr>
    <w:rPr>
      <w:rFonts w:ascii="Times New Roman" w:hAnsi="Times New Roman" w:eastAsia="SimSun" w:cs="Times New Roman"/>
      <w:sz w:val="24"/>
      <w:szCs w:val="24"/>
    </w:rPr>
  </w:style>
  <w:style w:type="paragraph" w:styleId="15">
    <w:name w:val="header"/>
    <w:basedOn w:val="1"/>
    <w:link w:val="22"/>
    <w:unhideWhenUsed/>
    <w:qFormat/>
    <w:uiPriority w:val="99"/>
    <w:pPr>
      <w:tabs>
        <w:tab w:val="center" w:pos="4680"/>
        <w:tab w:val="right" w:pos="9360"/>
      </w:tabs>
      <w:spacing w:after="0" w:line="240" w:lineRule="auto"/>
    </w:pPr>
  </w:style>
  <w:style w:type="paragraph" w:styleId="16">
    <w:name w:val="footer"/>
    <w:basedOn w:val="1"/>
    <w:link w:val="23"/>
    <w:unhideWhenUsed/>
    <w:qFormat/>
    <w:uiPriority w:val="99"/>
    <w:pPr>
      <w:tabs>
        <w:tab w:val="center" w:pos="4680"/>
        <w:tab w:val="right" w:pos="9360"/>
      </w:tabs>
      <w:spacing w:after="0" w:line="240" w:lineRule="auto"/>
    </w:pPr>
  </w:style>
  <w:style w:type="paragraph" w:styleId="17">
    <w:name w:val="Body Text Indent 3"/>
    <w:basedOn w:val="1"/>
    <w:link w:val="30"/>
    <w:unhideWhenUsed/>
    <w:qFormat/>
    <w:uiPriority w:val="99"/>
    <w:pPr>
      <w:spacing w:after="120" w:line="240" w:lineRule="auto"/>
      <w:ind w:left="283"/>
    </w:pPr>
    <w:rPr>
      <w:rFonts w:ascii="Arial" w:hAnsi="Arial" w:eastAsia="SimSun" w:cs="Arial"/>
      <w:sz w:val="16"/>
      <w:szCs w:val="16"/>
      <w:lang w:eastAsia="zh-CN"/>
    </w:rPr>
  </w:style>
  <w:style w:type="paragraph" w:styleId="18">
    <w:name w:val="Balloon Text"/>
    <w:basedOn w:val="1"/>
    <w:link w:val="28"/>
    <w:semiHidden/>
    <w:unhideWhenUsed/>
    <w:qFormat/>
    <w:uiPriority w:val="99"/>
    <w:pPr>
      <w:spacing w:after="0" w:line="240" w:lineRule="auto"/>
    </w:pPr>
    <w:rPr>
      <w:rFonts w:ascii="Tahoma" w:hAnsi="Tahoma" w:cs="Tahoma"/>
      <w:sz w:val="16"/>
      <w:szCs w:val="16"/>
    </w:rPr>
  </w:style>
  <w:style w:type="paragraph" w:styleId="19">
    <w:name w:val="Subtitle"/>
    <w:basedOn w:val="1"/>
    <w:next w:val="1"/>
    <w:qFormat/>
    <w:uiPriority w:val="11"/>
    <w:pPr>
      <w:keepNext/>
      <w:keepLines/>
      <w:spacing w:before="360" w:after="80"/>
    </w:pPr>
    <w:rPr>
      <w:rFonts w:ascii="Georgia" w:hAnsi="Georgia" w:eastAsia="Georgia" w:cs="Georgia"/>
      <w:i/>
      <w:color w:val="666666"/>
      <w:sz w:val="48"/>
      <w:szCs w:val="48"/>
    </w:rPr>
  </w:style>
  <w:style w:type="table" w:styleId="20">
    <w:name w:val="Table Grid"/>
    <w:basedOn w:val="9"/>
    <w:qFormat/>
    <w:uiPriority w:val="5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customStyle="1" w:styleId="21">
    <w:name w:val="Table Normal"/>
    <w:qFormat/>
    <w:uiPriority w:val="0"/>
    <w:tblPr>
      <w:tblCellMar>
        <w:top w:w="0" w:type="dxa"/>
        <w:left w:w="0" w:type="dxa"/>
        <w:bottom w:w="0" w:type="dxa"/>
        <w:right w:w="0" w:type="dxa"/>
      </w:tblCellMar>
    </w:tblPr>
  </w:style>
  <w:style w:type="character" w:customStyle="1" w:styleId="22">
    <w:name w:val="Cabeçalho Char"/>
    <w:basedOn w:val="8"/>
    <w:link w:val="15"/>
    <w:qFormat/>
    <w:uiPriority w:val="99"/>
  </w:style>
  <w:style w:type="character" w:customStyle="1" w:styleId="23">
    <w:name w:val="Rodapé Char"/>
    <w:basedOn w:val="8"/>
    <w:link w:val="16"/>
    <w:qFormat/>
    <w:uiPriority w:val="99"/>
  </w:style>
  <w:style w:type="paragraph" w:styleId="24">
    <w:name w:val="List Paragraph"/>
    <w:basedOn w:val="1"/>
    <w:qFormat/>
    <w:uiPriority w:val="34"/>
    <w:pPr>
      <w:ind w:left="720"/>
      <w:contextualSpacing/>
    </w:pPr>
  </w:style>
  <w:style w:type="table" w:customStyle="1" w:styleId="25">
    <w:name w:val="Grid Table Light"/>
    <w:basedOn w:val="9"/>
    <w:qFormat/>
    <w:uiPriority w:val="40"/>
    <w:pPr>
      <w:spacing w:after="0" w:line="240" w:lineRule="auto"/>
    </w:pPr>
    <w:tblPr>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
  </w:style>
  <w:style w:type="table" w:customStyle="1" w:styleId="26">
    <w:name w:val="_Style 20"/>
    <w:basedOn w:val="9"/>
    <w:qFormat/>
    <w:uiPriority w:val="0"/>
    <w:tblPr>
      <w:tblCellMar>
        <w:top w:w="0" w:type="dxa"/>
        <w:left w:w="108" w:type="dxa"/>
        <w:bottom w:w="0" w:type="dxa"/>
        <w:right w:w="108" w:type="dxa"/>
      </w:tblCellMar>
    </w:tblPr>
  </w:style>
  <w:style w:type="table" w:customStyle="1" w:styleId="27">
    <w:name w:val="_Style 21"/>
    <w:basedOn w:val="9"/>
    <w:qFormat/>
    <w:uiPriority w:val="0"/>
    <w:tblPr>
      <w:tblCellMar>
        <w:top w:w="0" w:type="dxa"/>
        <w:left w:w="108" w:type="dxa"/>
        <w:bottom w:w="0" w:type="dxa"/>
        <w:right w:w="108" w:type="dxa"/>
      </w:tblCellMar>
    </w:tblPr>
  </w:style>
  <w:style w:type="character" w:customStyle="1" w:styleId="28">
    <w:name w:val="Texto de balão Char"/>
    <w:basedOn w:val="8"/>
    <w:link w:val="18"/>
    <w:semiHidden/>
    <w:qFormat/>
    <w:uiPriority w:val="99"/>
    <w:rPr>
      <w:rFonts w:ascii="Tahoma" w:hAnsi="Tahoma" w:cs="Tahoma"/>
      <w:sz w:val="16"/>
      <w:szCs w:val="16"/>
    </w:rPr>
  </w:style>
  <w:style w:type="character" w:customStyle="1" w:styleId="29">
    <w:name w:val="Corpo de texto Char"/>
    <w:basedOn w:val="8"/>
    <w:link w:val="12"/>
    <w:qFormat/>
    <w:uiPriority w:val="0"/>
    <w:rPr>
      <w:rFonts w:ascii="Arial" w:hAnsi="Arial" w:eastAsia="SimSun" w:cs="Arial"/>
      <w:szCs w:val="20"/>
      <w:lang w:eastAsia="zh-CN"/>
    </w:rPr>
  </w:style>
  <w:style w:type="character" w:customStyle="1" w:styleId="30">
    <w:name w:val="Recuo de corpo de texto 3 Char"/>
    <w:basedOn w:val="8"/>
    <w:link w:val="17"/>
    <w:qFormat/>
    <w:uiPriority w:val="99"/>
    <w:rPr>
      <w:rFonts w:ascii="Arial" w:hAnsi="Arial" w:eastAsia="SimSun" w:cs="Arial"/>
      <w:sz w:val="16"/>
      <w:szCs w:val="16"/>
      <w:lang w:eastAsia="zh-CN"/>
    </w:rPr>
  </w:style>
  <w:style w:type="paragraph" w:customStyle="1" w:styleId="31">
    <w:name w:val="Corpo do texto"/>
    <w:basedOn w:val="1"/>
    <w:qFormat/>
    <w:uiPriority w:val="7"/>
    <w:pPr>
      <w:widowControl w:val="0"/>
      <w:suppressAutoHyphens/>
      <w:autoSpaceDE w:val="0"/>
      <w:spacing w:after="283" w:line="240" w:lineRule="auto"/>
    </w:pPr>
    <w:rPr>
      <w:rFonts w:ascii="Times New Roman" w:hAnsi="Times New Roman" w:eastAsia="Times New Roman" w:cs="Times New Roman"/>
      <w:sz w:val="20"/>
      <w:szCs w:val="24"/>
      <w:lang w:eastAsia="zh-CN"/>
    </w:rPr>
  </w:style>
  <w:style w:type="character" w:customStyle="1" w:styleId="32">
    <w:name w:val="Link da Internet"/>
    <w:unhideWhenUsed/>
    <w:qFormat/>
    <w:uiPriority w:val="99"/>
    <w:rPr>
      <w:color w:val="0563C1"/>
      <w:u w:val="single"/>
    </w:rPr>
  </w:style>
  <w:style w:type="paragraph" w:customStyle="1" w:styleId="33">
    <w:name w:val="Footer1"/>
    <w:basedOn w:val="1"/>
    <w:qFormat/>
    <w:uiPriority w:val="99"/>
    <w:pPr>
      <w:tabs>
        <w:tab w:val="center" w:pos="4419"/>
        <w:tab w:val="right" w:pos="8838"/>
      </w:tabs>
    </w:p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1.xml"/><Relationship Id="rId12" Type="http://schemas.openxmlformats.org/officeDocument/2006/relationships/numbering" Target="numbering.xml"/><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L6/GzycO7uwxfmxvZeQZOFdROzw==">CgMxLjA4AHIhMVJRYlBpLUNvdGRUVWw5LVNNNWVkTlV0d21IZVBTV1pI</go:docsCustomData>
</go:gDocsCustomXmlDataStorage>
</file>

<file path=customXml/itemProps1.xml><?xml version="1.0" encoding="utf-8"?>
<ds:datastoreItem xmlns:ds="http://schemas.openxmlformats.org/officeDocument/2006/customXml" ds:itemID="{11111111-1234-1234-1234-123412341234}">
  <ds:schemaRefs/>
</ds:datastoreItem>
</file>

<file path=docProps/app.xml><?xml version="1.0" encoding="utf-8"?>
<Properties xmlns="http://schemas.openxmlformats.org/officeDocument/2006/extended-properties" xmlns:vt="http://schemas.openxmlformats.org/officeDocument/2006/docPropsVTypes">
  <Template>Normal.dotm</Template>
  <Pages>8</Pages>
  <Words>2793</Words>
  <Characters>15087</Characters>
  <Lines>125</Lines>
  <Paragraphs>35</Paragraphs>
  <TotalTime>10</TotalTime>
  <ScaleCrop>false</ScaleCrop>
  <LinksUpToDate>false</LinksUpToDate>
  <CharactersWithSpaces>17845</CharactersWithSpaces>
  <Application>WPS Office_12.2.0.23149_F1E327BC-269C-435d-A152-05C5408002CA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2023-12-01T13:46:00Z</dcterms:created>
  <dc:creator>nicole leyser alves</dc:creator>
  <cp:lastModifiedBy>rafaela.allebrandt</cp:lastModifiedBy>
  <dcterms:modified xsi:type="dcterms:W3CDTF">2025-11-06T13:46:10Z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1046-12.2.0.23149</vt:lpwstr>
  </property>
  <property fmtid="{D5CDD505-2E9C-101B-9397-08002B2CF9AE}" pid="3" name="ICV">
    <vt:lpwstr>F83A0F1B8D08420DBF7330B37FB0032F_13</vt:lpwstr>
  </property>
</Properties>
</file>