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E6BE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58913FDB">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PROCESSO ADMINISTRATIVO</w:t>
      </w:r>
    </w:p>
    <w:p w14:paraId="524467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Município de </w:t>
      </w:r>
      <w:r>
        <w:rPr>
          <w:rFonts w:hint="default" w:ascii="Arial" w:hAnsi="Arial" w:cs="Arial"/>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Secretaria Municipal de</w:t>
      </w:r>
      <w:r>
        <w:rPr>
          <w:rFonts w:hint="default" w:ascii="Arial" w:hAnsi="Arial" w:cs="Arial"/>
          <w:sz w:val="22"/>
          <w:szCs w:val="22"/>
          <w:lang w:val="pt-BR"/>
        </w:rPr>
        <w:t xml:space="preserve"> Educação</w:t>
      </w:r>
    </w:p>
    <w:p w14:paraId="17CA83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spacing w:val="-2"/>
        </w:rPr>
      </w:pPr>
      <w:r>
        <w:rPr>
          <w:rFonts w:hint="default" w:ascii="Arial" w:hAnsi="Arial" w:cs="Arial"/>
          <w:sz w:val="22"/>
          <w:szCs w:val="22"/>
        </w:rPr>
        <w:t>Objeto da contratação:  Serviços de mecânica em oficina especializada (concessionárias)</w:t>
      </w:r>
    </w:p>
    <w:p w14:paraId="65818CB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spacing w:val="-2"/>
        </w:rPr>
      </w:pPr>
    </w:p>
    <w:p w14:paraId="0DB0531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03B96F3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 objeto da presente licitação é a contratação de empresa especializada para  a prestação de serviços de</w:t>
      </w:r>
      <w:r>
        <w:rPr>
          <w:rFonts w:hint="default" w:ascii="Arial" w:hAnsi="Arial" w:cs="Arial"/>
          <w:sz w:val="22"/>
          <w:szCs w:val="22"/>
          <w:lang w:val="pt-BR"/>
        </w:rPr>
        <w:t xml:space="preserve"> mecânica para a  revisão de garantia dos veículos JUMPER L2H2 CARGO, placas JDI3C11 e JDK4C61.</w:t>
      </w:r>
    </w:p>
    <w:p w14:paraId="4A5A98E8">
      <w:pPr>
        <w:pStyle w:val="11"/>
        <w:keepNext w:val="0"/>
        <w:keepLines w:val="0"/>
        <w:pageBreakBefore w:val="0"/>
        <w:widowControl/>
        <w:kinsoku/>
        <w:wordWrap/>
        <w:overflowPunct/>
        <w:topLinePunct w:val="0"/>
        <w:autoSpaceDE/>
        <w:autoSpaceDN/>
        <w:bidi w:val="0"/>
        <w:adjustRightInd/>
        <w:snapToGrid/>
        <w:spacing w:after="0" w:line="360" w:lineRule="auto"/>
        <w:ind w:right="102"/>
        <w:jc w:val="both"/>
        <w:textAlignment w:val="auto"/>
      </w:pPr>
      <w:r>
        <w:t>A</w:t>
      </w:r>
      <w:r>
        <w:rPr>
          <w:spacing w:val="-1"/>
        </w:rPr>
        <w:t xml:space="preserve"> </w:t>
      </w:r>
      <w:r>
        <w:t>contratação</w:t>
      </w:r>
      <w:r>
        <w:rPr>
          <w:spacing w:val="-1"/>
        </w:rPr>
        <w:t xml:space="preserve"> </w:t>
      </w:r>
      <w:r>
        <w:t>do</w:t>
      </w:r>
      <w:r>
        <w:rPr>
          <w:spacing w:val="-1"/>
        </w:rPr>
        <w:t xml:space="preserve"> </w:t>
      </w:r>
      <w:r>
        <w:t>serviço</w:t>
      </w:r>
      <w:r>
        <w:rPr>
          <w:spacing w:val="-3"/>
        </w:rPr>
        <w:t xml:space="preserve"> </w:t>
      </w:r>
      <w:r>
        <w:t>de</w:t>
      </w:r>
      <w:r>
        <w:rPr>
          <w:spacing w:val="-1"/>
        </w:rPr>
        <w:t xml:space="preserve"> </w:t>
      </w:r>
      <w:r>
        <w:t>revisão</w:t>
      </w:r>
      <w:r>
        <w:rPr>
          <w:spacing w:val="-3"/>
        </w:rPr>
        <w:t xml:space="preserve"> </w:t>
      </w:r>
      <w:r>
        <w:t>periódica</w:t>
      </w:r>
      <w:r>
        <w:rPr>
          <w:spacing w:val="-3"/>
        </w:rPr>
        <w:t xml:space="preserve"> </w:t>
      </w:r>
      <w:r>
        <w:t>do</w:t>
      </w:r>
      <w:r>
        <w:rPr>
          <w:rFonts w:hint="default"/>
          <w:lang w:val="pt-BR"/>
        </w:rPr>
        <w:t>s</w:t>
      </w:r>
      <w:r>
        <w:rPr>
          <w:spacing w:val="-1"/>
        </w:rPr>
        <w:t xml:space="preserve"> </w:t>
      </w:r>
      <w:r>
        <w:t>veículo</w:t>
      </w:r>
      <w:r>
        <w:rPr>
          <w:rFonts w:hint="default"/>
          <w:lang w:val="pt-BR"/>
        </w:rPr>
        <w:t>s</w:t>
      </w:r>
      <w:r>
        <w:rPr>
          <w:spacing w:val="-3"/>
        </w:rPr>
        <w:t xml:space="preserve"> </w:t>
      </w:r>
      <w:r>
        <w:t>em questão</w:t>
      </w:r>
      <w:r>
        <w:rPr>
          <w:spacing w:val="-1"/>
        </w:rPr>
        <w:t xml:space="preserve"> </w:t>
      </w:r>
      <w:r>
        <w:t>mostra-se</w:t>
      </w:r>
      <w:r>
        <w:rPr>
          <w:spacing w:val="-3"/>
        </w:rPr>
        <w:t xml:space="preserve"> </w:t>
      </w:r>
      <w:r>
        <w:t>necessária, uma vez que o</w:t>
      </w:r>
      <w:r>
        <w:rPr>
          <w:rFonts w:hint="default"/>
          <w:lang w:val="pt-BR"/>
        </w:rPr>
        <w:t>s</w:t>
      </w:r>
      <w:r>
        <w:t xml:space="preserve"> mesmo</w:t>
      </w:r>
      <w:r>
        <w:rPr>
          <w:rFonts w:hint="default"/>
          <w:lang w:val="pt-BR"/>
        </w:rPr>
        <w:t>s</w:t>
      </w:r>
      <w:r>
        <w:t xml:space="preserve"> ainda se encontra</w:t>
      </w:r>
      <w:r>
        <w:rPr>
          <w:rFonts w:hint="default"/>
          <w:lang w:val="pt-BR"/>
        </w:rPr>
        <w:t>m</w:t>
      </w:r>
      <w:r>
        <w:t xml:space="preserve"> dentro do período de garantia. Conforme as diretrizes do fabricante, é de responsabilidade da Administração Pública assegurar a realização das</w:t>
      </w:r>
      <w:r>
        <w:rPr>
          <w:spacing w:val="18"/>
        </w:rPr>
        <w:t xml:space="preserve"> </w:t>
      </w:r>
      <w:r>
        <w:t>revisões</w:t>
      </w:r>
      <w:r>
        <w:rPr>
          <w:spacing w:val="18"/>
        </w:rPr>
        <w:t xml:space="preserve"> </w:t>
      </w:r>
      <w:r>
        <w:t>obrigatórias junto à</w:t>
      </w:r>
      <w:r>
        <w:rPr>
          <w:spacing w:val="18"/>
        </w:rPr>
        <w:t xml:space="preserve"> </w:t>
      </w:r>
      <w:r>
        <w:t>concessionária autorizada,</w:t>
      </w:r>
      <w:r>
        <w:rPr>
          <w:spacing w:val="19"/>
        </w:rPr>
        <w:t xml:space="preserve"> </w:t>
      </w:r>
      <w:r>
        <w:t>a fim</w:t>
      </w:r>
      <w:r>
        <w:rPr>
          <w:spacing w:val="17"/>
        </w:rPr>
        <w:t xml:space="preserve"> </w:t>
      </w:r>
      <w:r>
        <w:t>de</w:t>
      </w:r>
      <w:r>
        <w:rPr>
          <w:spacing w:val="18"/>
        </w:rPr>
        <w:t xml:space="preserve"> </w:t>
      </w:r>
      <w:r>
        <w:t>preservar a validade da garantia e manter o bom funcionamento do veículo.</w:t>
      </w:r>
    </w:p>
    <w:p w14:paraId="49752CC1">
      <w:pPr>
        <w:pStyle w:val="11"/>
        <w:keepNext w:val="0"/>
        <w:keepLines w:val="0"/>
        <w:pageBreakBefore w:val="0"/>
        <w:widowControl/>
        <w:kinsoku/>
        <w:wordWrap/>
        <w:overflowPunct/>
        <w:topLinePunct w:val="0"/>
        <w:autoSpaceDE/>
        <w:autoSpaceDN/>
        <w:bidi w:val="0"/>
        <w:adjustRightInd/>
        <w:snapToGrid/>
        <w:spacing w:after="0" w:line="360" w:lineRule="auto"/>
        <w:ind w:right="102"/>
        <w:jc w:val="both"/>
        <w:textAlignment w:val="auto"/>
      </w:pPr>
      <w:r>
        <w:t>Neste contexto, a empr</w:t>
      </w:r>
      <w:r>
        <w:rPr>
          <w:rFonts w:hint="default" w:ascii="Arial" w:hAnsi="Arial" w:eastAsia="Calibri" w:cs="Arial"/>
          <w:sz w:val="22"/>
          <w:szCs w:val="22"/>
          <w:lang w:val="pt-BR" w:eastAsia="pt-BR" w:bidi="ar-SA"/>
        </w:rPr>
        <w:t xml:space="preserve">esa </w:t>
      </w:r>
      <w:r>
        <w:rPr>
          <w:rFonts w:hint="default" w:eastAsia="Calibri" w:cs="Arial"/>
          <w:sz w:val="22"/>
          <w:szCs w:val="22"/>
          <w:lang w:val="en-US" w:eastAsia="pt-BR" w:bidi="ar-SA"/>
        </w:rPr>
        <w:t>P</w:t>
      </w:r>
      <w:r>
        <w:rPr>
          <w:rFonts w:hint="default" w:ascii="Arial" w:hAnsi="Arial" w:eastAsia="Calibri" w:cs="Arial"/>
          <w:sz w:val="22"/>
          <w:szCs w:val="22"/>
          <w:lang w:val="pt-BR" w:eastAsia="pt-BR" w:bidi="ar-SA"/>
        </w:rPr>
        <w:t xml:space="preserve">EGASUS VEICULOS LTDA, nome fantasia CHAMPS ELYSEES </w:t>
      </w:r>
      <w:r>
        <w:rPr>
          <w:rFonts w:hint="default" w:eastAsia="Calibri" w:cs="Arial"/>
          <w:sz w:val="22"/>
          <w:szCs w:val="22"/>
          <w:lang w:val="en-US" w:eastAsia="pt-BR" w:bidi="ar-SA"/>
        </w:rPr>
        <w:t xml:space="preserve">- </w:t>
      </w:r>
      <w:r>
        <w:rPr>
          <w:rFonts w:hint="default" w:ascii="Arial" w:hAnsi="Arial" w:eastAsia="Calibri" w:cs="Arial"/>
          <w:sz w:val="22"/>
          <w:szCs w:val="22"/>
          <w:lang w:val="pt-BR" w:eastAsia="pt-BR" w:bidi="ar-SA"/>
        </w:rPr>
        <w:t>CNPJ 94.989.027/0001-00, con</w:t>
      </w:r>
      <w:r>
        <w:t xml:space="preserve">cessionária autorizada da marca </w:t>
      </w:r>
      <w:r>
        <w:rPr>
          <w:rFonts w:hint="default"/>
          <w:lang w:val="pt-BR"/>
        </w:rPr>
        <w:t>Peugeot do Brasil</w:t>
      </w:r>
      <w:r>
        <w:t xml:space="preserve"> e fornecedora do</w:t>
      </w:r>
      <w:r>
        <w:rPr>
          <w:rFonts w:hint="default"/>
          <w:lang w:val="pt-BR"/>
        </w:rPr>
        <w:t>s</w:t>
      </w:r>
      <w:r>
        <w:t xml:space="preserve"> referido</w:t>
      </w:r>
      <w:r>
        <w:rPr>
          <w:rFonts w:hint="default"/>
          <w:lang w:val="pt-BR"/>
        </w:rPr>
        <w:t>s</w:t>
      </w:r>
      <w:r>
        <w:t xml:space="preserve"> veículo</w:t>
      </w:r>
      <w:r>
        <w:rPr>
          <w:rFonts w:hint="default"/>
          <w:lang w:val="pt-BR"/>
        </w:rPr>
        <w:t xml:space="preserve">s </w:t>
      </w:r>
      <w:r>
        <w:t>ao Município de Teutônia, é a única habilitada a realizar tais serviços conforme os critérios técnicos exigidos pelo fabricante.</w:t>
      </w:r>
    </w:p>
    <w:p w14:paraId="2514E50B">
      <w:pPr>
        <w:pStyle w:val="11"/>
        <w:keepNext w:val="0"/>
        <w:keepLines w:val="0"/>
        <w:pageBreakBefore w:val="0"/>
        <w:widowControl/>
        <w:kinsoku/>
        <w:wordWrap/>
        <w:overflowPunct/>
        <w:topLinePunct w:val="0"/>
        <w:autoSpaceDE/>
        <w:autoSpaceDN/>
        <w:bidi w:val="0"/>
        <w:adjustRightInd/>
        <w:snapToGrid/>
        <w:spacing w:line="360" w:lineRule="auto"/>
        <w:ind w:right="162"/>
        <w:jc w:val="both"/>
        <w:textAlignment w:val="auto"/>
      </w:pPr>
      <w:r>
        <w:t>Assim, justifica-se a contratação direta da referida empresa, a fim de garantir a continuidade da cobertura da garantia contratual, bem como a segurança e eficiência da frota municipal.</w:t>
      </w:r>
    </w:p>
    <w:p w14:paraId="4177475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10DF9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472902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pretendida está prevista no Plano de Contratações Anual do Município de </w:t>
      </w:r>
      <w:r>
        <w:rPr>
          <w:rFonts w:hint="default" w:ascii="Arial" w:hAnsi="Arial" w:cs="Arial"/>
          <w:sz w:val="22"/>
          <w:szCs w:val="22"/>
          <w:lang w:val="pt-BR"/>
        </w:rPr>
        <w:t>Teutônia</w:t>
      </w:r>
      <w:r>
        <w:rPr>
          <w:rFonts w:hint="default" w:ascii="Arial" w:hAnsi="Arial" w:cs="Arial"/>
          <w:sz w:val="22"/>
          <w:szCs w:val="22"/>
        </w:rPr>
        <w:t>, como se vê do item 103 – Serviços e peças para manutenção de veículos daquele documento, estando assim alinhada com o planejamento desta Administração.</w:t>
      </w:r>
    </w:p>
    <w:p w14:paraId="548F823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075A5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3. DESCRIÇÃO DOS REQUISITOS DA CONTRATAÇÃO</w:t>
      </w:r>
    </w:p>
    <w:p w14:paraId="40FCE1B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3.1</w:t>
      </w:r>
      <w:r>
        <w:rPr>
          <w:rFonts w:hint="default" w:ascii="Arial" w:hAnsi="Arial"/>
          <w:b w:val="0"/>
          <w:bCs w:val="0"/>
          <w:sz w:val="22"/>
          <w:szCs w:val="22"/>
          <w:lang w:val="pt-BR"/>
        </w:rPr>
        <w:t xml:space="preserve"> </w:t>
      </w:r>
      <w:r>
        <w:rPr>
          <w:rFonts w:hint="default" w:ascii="Arial" w:hAnsi="Arial"/>
          <w:b w:val="0"/>
          <w:bCs w:val="0"/>
          <w:sz w:val="22"/>
          <w:szCs w:val="22"/>
        </w:rPr>
        <w:t>Os serviços têm natureza de serviços comuns, tendo em vista que seus padrões de desempenho e qualidade podem ser objetivamente definidos pelo edital, por meio de especificações usuais de mercado, nos termos do art. 6º, inciso XIII, da Lei Federal nº 14.133/2021.</w:t>
      </w:r>
    </w:p>
    <w:p w14:paraId="4EBD947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p>
    <w:p w14:paraId="09B51B1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3.2.</w:t>
      </w:r>
      <w:r>
        <w:rPr>
          <w:rFonts w:hint="default" w:ascii="Arial" w:hAnsi="Arial"/>
          <w:b w:val="0"/>
          <w:bCs w:val="0"/>
          <w:sz w:val="22"/>
          <w:szCs w:val="22"/>
          <w:lang w:val="pt-BR"/>
        </w:rPr>
        <w:t xml:space="preserve"> </w:t>
      </w:r>
      <w:r>
        <w:rPr>
          <w:rFonts w:hint="default" w:ascii="Arial" w:hAnsi="Arial"/>
          <w:b w:val="0"/>
          <w:bCs w:val="0"/>
          <w:sz w:val="22"/>
          <w:szCs w:val="22"/>
        </w:rPr>
        <w:t>DA EXECUÇÃO DO OBJETO.</w:t>
      </w:r>
    </w:p>
    <w:p w14:paraId="4BF940E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3.2.1</w:t>
      </w:r>
      <w:r>
        <w:rPr>
          <w:rFonts w:hint="default" w:ascii="Arial" w:hAnsi="Arial"/>
          <w:b w:val="0"/>
          <w:bCs w:val="0"/>
          <w:sz w:val="22"/>
          <w:szCs w:val="22"/>
          <w:lang w:val="pt-BR"/>
        </w:rPr>
        <w:t xml:space="preserve"> </w:t>
      </w:r>
      <w:r>
        <w:rPr>
          <w:rFonts w:hint="default" w:ascii="Arial" w:hAnsi="Arial"/>
          <w:b w:val="0"/>
          <w:bCs w:val="0"/>
          <w:sz w:val="22"/>
          <w:szCs w:val="22"/>
        </w:rPr>
        <w:t>Os serviços deverão ser iniciados no prazo máximo de 02 (dois) dias, a contar da data do recebimento da Ordem de Início dos Serviços e do Empenho;</w:t>
      </w:r>
    </w:p>
    <w:p w14:paraId="58AEFEB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3.2.2</w:t>
      </w:r>
      <w:r>
        <w:rPr>
          <w:rFonts w:hint="default" w:ascii="Arial" w:hAnsi="Arial"/>
          <w:b w:val="0"/>
          <w:bCs w:val="0"/>
          <w:sz w:val="22"/>
          <w:szCs w:val="22"/>
          <w:lang w:val="pt-BR"/>
        </w:rPr>
        <w:t xml:space="preserve"> </w:t>
      </w:r>
      <w:r>
        <w:rPr>
          <w:rFonts w:hint="default" w:ascii="Arial" w:hAnsi="Arial"/>
          <w:b w:val="0"/>
          <w:bCs w:val="0"/>
          <w:sz w:val="22"/>
          <w:szCs w:val="22"/>
        </w:rPr>
        <w:t>O prazo de vigência do contrato será de 30 (trinta) dias;</w:t>
      </w:r>
    </w:p>
    <w:p w14:paraId="6A4AA23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3.2.3</w:t>
      </w:r>
      <w:r>
        <w:rPr>
          <w:rFonts w:hint="default" w:ascii="Arial" w:hAnsi="Arial"/>
          <w:b w:val="0"/>
          <w:bCs w:val="0"/>
          <w:sz w:val="22"/>
          <w:szCs w:val="22"/>
          <w:lang w:val="pt-BR"/>
        </w:rPr>
        <w:t xml:space="preserve"> </w:t>
      </w:r>
      <w:r>
        <w:rPr>
          <w:rFonts w:hint="default" w:ascii="Arial" w:hAnsi="Arial"/>
          <w:b w:val="0"/>
          <w:bCs w:val="0"/>
          <w:sz w:val="22"/>
          <w:szCs w:val="22"/>
        </w:rPr>
        <w:t>O fiscal responsável efetuará a fiscalização dos serviços, a qualquer instante, solicitando à contratada, sempre que julgar conveniente, informações do seu andamento, devendo esta prestar os esclarecimentos necessários, comunicando quaisquer fatos ou anormalidades que, porventura, possam prejudicar o bom andamento ou o resultado final dos serviços;</w:t>
      </w:r>
    </w:p>
    <w:p w14:paraId="732D1D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3.2.4</w:t>
      </w:r>
      <w:r>
        <w:rPr>
          <w:rFonts w:hint="default" w:ascii="Arial" w:hAnsi="Arial"/>
          <w:b w:val="0"/>
          <w:bCs w:val="0"/>
          <w:sz w:val="22"/>
          <w:szCs w:val="22"/>
          <w:lang w:val="pt-BR"/>
        </w:rPr>
        <w:t xml:space="preserve"> </w:t>
      </w:r>
      <w:r>
        <w:rPr>
          <w:rFonts w:hint="default" w:ascii="Arial" w:hAnsi="Arial"/>
          <w:b w:val="0"/>
          <w:bCs w:val="0"/>
          <w:sz w:val="22"/>
          <w:szCs w:val="22"/>
        </w:rPr>
        <w:t>Eventuais danos causados durante a efetuação dos serviços são de inteira responsabilidade da empresa contratada.</w:t>
      </w:r>
    </w:p>
    <w:p w14:paraId="6F5BBE2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p>
    <w:p w14:paraId="11A6389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r>
        <w:rPr>
          <w:rFonts w:hint="default" w:ascii="Arial" w:hAnsi="Arial"/>
          <w:b w:val="0"/>
          <w:bCs w:val="0"/>
          <w:sz w:val="22"/>
          <w:szCs w:val="22"/>
        </w:rPr>
        <w:t>3.3</w:t>
      </w:r>
      <w:r>
        <w:rPr>
          <w:rFonts w:hint="default" w:ascii="Arial" w:hAnsi="Arial"/>
          <w:b w:val="0"/>
          <w:bCs w:val="0"/>
          <w:sz w:val="22"/>
          <w:szCs w:val="22"/>
          <w:lang w:val="pt-BR"/>
        </w:rPr>
        <w:t xml:space="preserve"> DA HABILITAÇÃO</w:t>
      </w:r>
      <w:r>
        <w:rPr>
          <w:rFonts w:hint="default" w:ascii="Arial" w:hAnsi="Arial"/>
          <w:b w:val="0"/>
          <w:bCs w:val="0"/>
          <w:sz w:val="22"/>
          <w:szCs w:val="22"/>
        </w:rPr>
        <w:t xml:space="preserve"> Para 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14:paraId="0B48B48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b w:val="0"/>
          <w:bCs w:val="0"/>
          <w:sz w:val="22"/>
          <w:szCs w:val="22"/>
        </w:rPr>
      </w:pPr>
    </w:p>
    <w:p w14:paraId="62DE5608">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Inscrição no Cadastro Nacional da Pessoa Jurídica (CNPJ);</w:t>
      </w:r>
    </w:p>
    <w:p w14:paraId="0E3D082F">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Contrato Social com todas as alterações ou a última consolidação e/ou equivalente, que comprove a aptidão da empresa para atendimento ora licitados;</w:t>
      </w:r>
    </w:p>
    <w:p w14:paraId="66DC9F38">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38D50E4C">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da Receita Estadual;</w:t>
      </w:r>
    </w:p>
    <w:p w14:paraId="6092431D">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Débito Municipal do domicílio ou sede da empresa licitante;</w:t>
      </w:r>
    </w:p>
    <w:p w14:paraId="662590A4">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Certificado de Regularidade relativa à Seguridade Social e ao FGTS, que demonstre cumprimento dos encargos sociais instituídos por lei;</w:t>
      </w:r>
    </w:p>
    <w:p w14:paraId="4A2ACD00">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Certidão Negativa de Débitos Trabalhistas – CNDT, emitida pela Justiça do Trabalho;</w:t>
      </w:r>
    </w:p>
    <w:p w14:paraId="670768A4">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44776300">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ascii="Arial" w:hAnsi="Arial" w:cs="Arial"/>
          <w:b/>
          <w:bCs/>
          <w:color w:val="000000"/>
          <w:sz w:val="22"/>
          <w:szCs w:val="22"/>
        </w:rPr>
      </w:pPr>
      <w:r>
        <w:rPr>
          <w:rFonts w:hint="default" w:ascii="Arial" w:hAnsi="Arial" w:cs="Arial"/>
          <w:sz w:val="22"/>
          <w:szCs w:val="22"/>
        </w:rPr>
        <w:t>Certidão Negativa de concordata e falência do Cartório Distribuidor da Comarca sede da proponente, emitida a menos de 90 (noventa) dias</w:t>
      </w:r>
      <w:r>
        <w:rPr>
          <w:rFonts w:hint="default" w:ascii="Arial" w:hAnsi="Arial" w:cs="Arial"/>
          <w:sz w:val="22"/>
          <w:szCs w:val="22"/>
          <w:lang w:val="pt-BR"/>
        </w:rPr>
        <w:t>.</w:t>
      </w:r>
    </w:p>
    <w:p w14:paraId="507B7DE2">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25" w:leftChars="0" w:hanging="425" w:firstLineChars="0"/>
        <w:jc w:val="both"/>
        <w:textAlignment w:val="auto"/>
        <w:rPr>
          <w:rFonts w:hint="default"/>
          <w:lang w:eastAsia="en-US"/>
        </w:rPr>
      </w:pPr>
      <w:r>
        <w:rPr>
          <w:color w:val="00000A"/>
          <w:sz w:val="20"/>
        </w:rPr>
        <w:t xml:space="preserve"> </w:t>
      </w:r>
      <w:r>
        <w:rPr>
          <w:rFonts w:hint="default" w:ascii="Arial" w:hAnsi="Arial" w:cs="Arial"/>
          <w:sz w:val="22"/>
          <w:szCs w:val="28"/>
        </w:rPr>
        <w:t>Carta de Concessão ou exclusividade da atividade.</w:t>
      </w:r>
    </w:p>
    <w:p w14:paraId="6F66A10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p>
    <w:p w14:paraId="0EB21F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4. ESTIMATIVA DAS QUANTIDADES</w:t>
      </w:r>
    </w:p>
    <w:p w14:paraId="6A75979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Os quantitativos estimados para a contratação pretendida têm como parâmetro a</w:t>
      </w:r>
      <w:r>
        <w:rPr>
          <w:rFonts w:hint="default" w:ascii="Arial" w:hAnsi="Arial" w:cs="Arial"/>
          <w:sz w:val="22"/>
          <w:szCs w:val="22"/>
          <w:lang w:val="pt-BR"/>
        </w:rPr>
        <w:t xml:space="preserve"> atual demanda da Secretaria requisitante do objeto.</w:t>
      </w:r>
    </w:p>
    <w:p w14:paraId="3ED30EC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4655226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5. ALTERNATIVAS DISPONÍVEIS NO MERCADO</w:t>
      </w:r>
    </w:p>
    <w:p w14:paraId="65C4ED3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rPr>
      </w:pPr>
      <w:r>
        <w:rPr>
          <w:rFonts w:hint="default" w:ascii="Arial" w:hAnsi="Arial" w:eastAsia="Calibri" w:cs="Arial"/>
          <w:sz w:val="22"/>
          <w:szCs w:val="22"/>
        </w:rPr>
        <w:t>Conforme pesquisa de mercado realizada, para solução da necessidade administrativa, objeto do presente Estudo Técnico Preliminar, vislumbra-se possível, sob o aspecto técnico e econômico, a contratação de empresa especializada na prestação do serviço de mecânica</w:t>
      </w:r>
    </w:p>
    <w:p w14:paraId="579DA31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eastAsia="Calibri" w:cs="Arial"/>
          <w:sz w:val="22"/>
          <w:szCs w:val="22"/>
        </w:rPr>
        <w:t>Neste sentido, a empresa a ser contratada para a realização da revisão é a</w:t>
      </w:r>
      <w:r>
        <w:rPr>
          <w:rFonts w:hint="default" w:ascii="Arial" w:hAnsi="Arial" w:eastAsia="Calibri" w:cs="Arial"/>
          <w:sz w:val="22"/>
          <w:szCs w:val="22"/>
          <w:lang w:val="pt-BR"/>
        </w:rPr>
        <w:t xml:space="preserve"> </w:t>
      </w:r>
      <w:r>
        <w:rPr>
          <w:rFonts w:hint="default" w:ascii="Arial" w:hAnsi="Arial" w:eastAsia="Calibri" w:cs="Arial"/>
          <w:sz w:val="22"/>
          <w:szCs w:val="22"/>
          <w:lang w:val="en-US" w:eastAsia="pt-BR"/>
        </w:rPr>
        <w:t>P</w:t>
      </w:r>
      <w:r>
        <w:rPr>
          <w:rFonts w:hint="default" w:ascii="Arial" w:hAnsi="Arial" w:eastAsia="Calibri" w:cs="Arial"/>
          <w:sz w:val="22"/>
          <w:szCs w:val="22"/>
          <w:lang w:val="pt-BR" w:eastAsia="pt-BR"/>
        </w:rPr>
        <w:t>EGASUS VEICULOS LTDA</w:t>
      </w:r>
      <w:r>
        <w:rPr>
          <w:rFonts w:hint="default" w:ascii="Arial" w:hAnsi="Arial" w:eastAsia="Calibri" w:cs="Arial"/>
          <w:sz w:val="22"/>
          <w:szCs w:val="22"/>
        </w:rPr>
        <w:t xml:space="preserve">, pessoa jurídica de direito privado, inscrita no CNPJ sob o nº </w:t>
      </w:r>
      <w:r>
        <w:rPr>
          <w:rFonts w:hint="default" w:ascii="Arial" w:hAnsi="Arial" w:eastAsia="Calibri" w:cs="Arial"/>
          <w:sz w:val="22"/>
          <w:szCs w:val="22"/>
          <w:lang w:val="pt-BR" w:eastAsia="pt-BR" w:bidi="ar-SA"/>
        </w:rPr>
        <w:t>94.989.027/0</w:t>
      </w:r>
      <w:r>
        <w:rPr>
          <w:rFonts w:hint="default" w:ascii="Arial" w:hAnsi="Arial" w:eastAsia="Calibri" w:cs="Arial"/>
          <w:sz w:val="22"/>
          <w:szCs w:val="22"/>
          <w:lang w:val="pt-BR" w:eastAsia="pt-BR"/>
        </w:rPr>
        <w:t>001-00</w:t>
      </w:r>
      <w:r>
        <w:rPr>
          <w:rFonts w:hint="default" w:ascii="Arial" w:hAnsi="Arial" w:eastAsia="Calibri" w:cs="Arial"/>
          <w:sz w:val="22"/>
          <w:szCs w:val="22"/>
        </w:rPr>
        <w:t>, com sede na Rodovia BR-386 – km 34</w:t>
      </w:r>
      <w:r>
        <w:rPr>
          <w:rFonts w:hint="default" w:ascii="Arial" w:hAnsi="Arial" w:eastAsia="Calibri" w:cs="Arial"/>
          <w:sz w:val="22"/>
          <w:szCs w:val="22"/>
          <w:lang w:val="pt-BR"/>
        </w:rPr>
        <w:t>7</w:t>
      </w:r>
      <w:r>
        <w:rPr>
          <w:rFonts w:hint="default" w:ascii="Arial" w:hAnsi="Arial" w:eastAsia="Calibri" w:cs="Arial"/>
          <w:sz w:val="22"/>
          <w:szCs w:val="22"/>
        </w:rPr>
        <w:t xml:space="preserve">, nº </w:t>
      </w:r>
      <w:r>
        <w:rPr>
          <w:rFonts w:hint="default" w:ascii="Arial" w:hAnsi="Arial" w:eastAsia="Calibri" w:cs="Arial"/>
          <w:sz w:val="22"/>
          <w:szCs w:val="22"/>
          <w:lang w:val="pt-BR"/>
        </w:rPr>
        <w:t>580</w:t>
      </w:r>
      <w:r>
        <w:rPr>
          <w:rFonts w:hint="default" w:ascii="Arial" w:hAnsi="Arial" w:eastAsia="Calibri" w:cs="Arial"/>
          <w:sz w:val="22"/>
          <w:szCs w:val="22"/>
        </w:rPr>
        <w:t xml:space="preserve">, </w:t>
      </w:r>
      <w:r>
        <w:rPr>
          <w:rFonts w:hint="default" w:ascii="Arial" w:hAnsi="Arial" w:eastAsia="Calibri" w:cs="Arial"/>
          <w:sz w:val="22"/>
          <w:szCs w:val="22"/>
          <w:lang w:val="pt-BR"/>
        </w:rPr>
        <w:t>Bairro Hidráulica</w:t>
      </w:r>
      <w:r>
        <w:rPr>
          <w:rFonts w:hint="default" w:ascii="Arial" w:hAnsi="Arial" w:eastAsia="Calibri" w:cs="Arial"/>
          <w:sz w:val="22"/>
          <w:szCs w:val="22"/>
        </w:rPr>
        <w:t xml:space="preserve">, Lajeado/RS. A referida empresa é a única autorizada da fabricante </w:t>
      </w:r>
      <w:r>
        <w:rPr>
          <w:rFonts w:hint="default" w:ascii="Arial" w:hAnsi="Arial" w:eastAsia="Calibri" w:cs="Arial"/>
          <w:sz w:val="22"/>
          <w:szCs w:val="22"/>
          <w:lang w:val="pt-BR"/>
        </w:rPr>
        <w:t>Peugeot do Brasil</w:t>
      </w:r>
      <w:r>
        <w:rPr>
          <w:rFonts w:hint="default" w:ascii="Arial" w:hAnsi="Arial" w:eastAsia="Calibri" w:cs="Arial"/>
          <w:sz w:val="22"/>
          <w:szCs w:val="22"/>
        </w:rPr>
        <w:t>, no município de Lajeado para a realização de revisões programadas, configurando-se, portanto, como a alternativa mais viável e econômica, visando à manutenção adequada do veículo e à preservação de sua garantia.</w:t>
      </w:r>
      <w:r>
        <w:rPr>
          <w:rFonts w:hint="default" w:ascii="Arial" w:hAnsi="Arial" w:cs="Arial"/>
          <w:sz w:val="22"/>
          <w:szCs w:val="22"/>
          <w:lang w:val="pt-BR"/>
        </w:rPr>
        <w:t xml:space="preserve"> </w:t>
      </w:r>
    </w:p>
    <w:p w14:paraId="062F4E1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rPr>
      </w:pPr>
      <w:r>
        <w:rPr>
          <w:rFonts w:hint="default" w:ascii="Arial" w:hAnsi="Arial" w:eastAsia="Calibri" w:cs="Arial"/>
          <w:sz w:val="22"/>
          <w:szCs w:val="22"/>
        </w:rPr>
        <w:t xml:space="preserve">Tal forma de contratação, </w:t>
      </w:r>
      <w:r>
        <w:rPr>
          <w:rFonts w:hint="default" w:ascii="Arial" w:hAnsi="Arial" w:eastAsia="Calibri" w:cs="Arial"/>
          <w:sz w:val="22"/>
          <w:szCs w:val="22"/>
          <w:lang w:val="pt-BR"/>
        </w:rPr>
        <w:t xml:space="preserve">com outros veículos da frota municipal já foram realizadas </w:t>
      </w:r>
      <w:r>
        <w:rPr>
          <w:rFonts w:hint="default" w:ascii="Arial" w:hAnsi="Arial" w:eastAsia="Calibri" w:cs="Arial"/>
          <w:sz w:val="22"/>
          <w:szCs w:val="22"/>
        </w:rPr>
        <w:t xml:space="preserve">pela Administração </w:t>
      </w:r>
      <w:r>
        <w:rPr>
          <w:rFonts w:hint="default" w:ascii="Arial" w:hAnsi="Arial" w:eastAsia="Calibri" w:cs="Arial"/>
          <w:sz w:val="22"/>
          <w:szCs w:val="22"/>
          <w:lang w:val="pt-BR"/>
        </w:rPr>
        <w:t>P</w:t>
      </w:r>
      <w:r>
        <w:rPr>
          <w:rFonts w:hint="default" w:ascii="Arial" w:hAnsi="Arial" w:eastAsia="Calibri" w:cs="Arial"/>
          <w:sz w:val="22"/>
          <w:szCs w:val="22"/>
        </w:rPr>
        <w:t>ública</w:t>
      </w:r>
      <w:r>
        <w:rPr>
          <w:rFonts w:hint="default" w:ascii="Arial" w:hAnsi="Arial" w:eastAsia="Calibri" w:cs="Arial"/>
          <w:sz w:val="22"/>
          <w:szCs w:val="22"/>
          <w:lang w:val="pt-BR"/>
        </w:rPr>
        <w:t>.</w:t>
      </w:r>
      <w:r>
        <w:rPr>
          <w:rFonts w:hint="default" w:ascii="Arial" w:hAnsi="Arial" w:eastAsia="Calibri" w:cs="Arial"/>
          <w:sz w:val="22"/>
          <w:szCs w:val="22"/>
        </w:rPr>
        <w:t xml:space="preserve"> A experiência prévia demonstrou a eficiência e a regularidade da prestação do serviço, reforçando a viabilidade e a adequação da presente contratação para atender às necessidades atuais do Município.</w:t>
      </w:r>
    </w:p>
    <w:p w14:paraId="1BF26B7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rPr>
      </w:pPr>
      <w:r>
        <w:rPr>
          <w:rFonts w:hint="default" w:ascii="Arial" w:hAnsi="Arial" w:eastAsia="Calibri" w:cs="Arial"/>
          <w:sz w:val="22"/>
          <w:szCs w:val="22"/>
        </w:rPr>
        <w:t>Tais referências foram obtidas por meio de pesquisa, efetuadas com base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14:paraId="4CB0CB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B4D3E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6. ESTIMATIVA DO VALOR DA CONTRATAÇÃO</w:t>
      </w:r>
    </w:p>
    <w:p w14:paraId="561DBB9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lang w:val="pt-BR"/>
        </w:rPr>
      </w:pPr>
      <w:r>
        <w:rPr>
          <w:rFonts w:hint="default" w:ascii="Arial" w:hAnsi="Arial" w:cs="Arial"/>
          <w:sz w:val="22"/>
          <w:szCs w:val="22"/>
        </w:rPr>
        <w:t xml:space="preserve">Estima-se para a contratação almejada o valor total de </w:t>
      </w:r>
      <w:r>
        <w:rPr>
          <w:rFonts w:hint="default" w:ascii="Arial" w:hAnsi="Arial" w:cs="Arial"/>
          <w:b/>
          <w:bCs/>
          <w:sz w:val="22"/>
          <w:szCs w:val="22"/>
        </w:rPr>
        <w:t>R$</w:t>
      </w:r>
      <w:r>
        <w:rPr>
          <w:rFonts w:hint="default" w:ascii="Arial" w:hAnsi="Arial" w:cs="Arial"/>
          <w:b/>
          <w:bCs/>
          <w:sz w:val="22"/>
          <w:szCs w:val="22"/>
          <w:lang w:val="pt-BR"/>
        </w:rPr>
        <w:t xml:space="preserve"> 5.245,40</w:t>
      </w:r>
      <w:r>
        <w:rPr>
          <w:rFonts w:hint="default" w:ascii="Arial" w:hAnsi="Arial" w:cs="Arial"/>
          <w:sz w:val="22"/>
          <w:szCs w:val="22"/>
          <w:lang w:val="pt-BR"/>
        </w:rPr>
        <w:t xml:space="preserve"> (cinco mil</w:t>
      </w:r>
      <w:r>
        <w:rPr>
          <w:rFonts w:hint="default" w:ascii="Arial" w:hAnsi="Arial" w:eastAsia="Calibri" w:cs="Arial"/>
          <w:sz w:val="22"/>
          <w:szCs w:val="22"/>
          <w:lang w:val="pt-BR"/>
        </w:rPr>
        <w:t xml:space="preserve"> duzentos e quarenta e cinco reais e quarenta centavos). </w:t>
      </w:r>
    </w:p>
    <w:p w14:paraId="450FBD0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lang w:val="pt-BR"/>
        </w:rPr>
      </w:pPr>
    </w:p>
    <w:p w14:paraId="49A68933">
      <w:pPr>
        <w:keepNext w:val="0"/>
        <w:keepLines w:val="0"/>
        <w:pageBreakBefore w:val="0"/>
        <w:widowControl/>
        <w:kinsoku/>
        <w:wordWrap/>
        <w:overflowPunct/>
        <w:topLinePunct w:val="0"/>
        <w:autoSpaceDE/>
        <w:autoSpaceDN/>
        <w:bidi w:val="0"/>
        <w:adjustRightInd/>
        <w:snapToGrid/>
        <w:spacing w:after="0" w:line="360" w:lineRule="auto"/>
        <w:jc w:val="both"/>
        <w:textAlignment w:val="auto"/>
      </w:pPr>
      <w:r>
        <w:rPr>
          <w:rFonts w:hint="default" w:ascii="Arial" w:hAnsi="Arial" w:eastAsia="Calibri" w:cs="Arial"/>
          <w:sz w:val="22"/>
          <w:szCs w:val="22"/>
        </w:rPr>
        <w:t xml:space="preserve">Vislumbra-se que tal valor é compatível com o praticado pelo mercado correspondente, conforme verificado por meio de </w:t>
      </w:r>
      <w:r>
        <w:rPr>
          <w:rFonts w:hint="default" w:ascii="Arial" w:hAnsi="Arial" w:eastAsia="Calibri" w:cs="Arial"/>
          <w:sz w:val="22"/>
          <w:szCs w:val="22"/>
          <w:lang w:val="pt-BR"/>
        </w:rPr>
        <w:t>contratações públicas semelhantes ao objeto ora contratado</w:t>
      </w:r>
      <w:r>
        <w:rPr>
          <w:rFonts w:hint="default" w:ascii="Arial" w:hAnsi="Arial" w:eastAsia="Calibri" w:cs="Arial"/>
          <w:sz w:val="22"/>
          <w:szCs w:val="22"/>
        </w:rPr>
        <w:t>,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14:paraId="27BA6E1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335B4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7. DESCRIÇÃO DA SOLUÇÃO COMO UM TODO</w:t>
      </w:r>
    </w:p>
    <w:p w14:paraId="11F9BA9C">
      <w:pPr>
        <w:pStyle w:val="11"/>
        <w:keepNext w:val="0"/>
        <w:keepLines w:val="0"/>
        <w:pageBreakBefore w:val="0"/>
        <w:widowControl/>
        <w:kinsoku/>
        <w:wordWrap/>
        <w:overflowPunct/>
        <w:topLinePunct w:val="0"/>
        <w:autoSpaceDE/>
        <w:autoSpaceDN/>
        <w:bidi w:val="0"/>
        <w:adjustRightInd/>
        <w:snapToGrid/>
        <w:spacing w:line="360" w:lineRule="auto"/>
        <w:ind w:right="162"/>
        <w:jc w:val="both"/>
        <w:textAlignment w:val="auto"/>
        <w:rPr>
          <w:rFonts w:hint="default" w:ascii="Arial" w:hAnsi="Arial" w:eastAsia="SimSun" w:cs="Arial"/>
          <w:sz w:val="22"/>
          <w:szCs w:val="22"/>
          <w:lang w:val="pt-BR" w:eastAsia="pt-BR" w:bidi="ar-SA"/>
        </w:rPr>
      </w:pPr>
      <w:r>
        <w:rPr>
          <w:rFonts w:hint="default" w:ascii="Arial" w:hAnsi="Arial" w:eastAsia="SimSun" w:cs="Arial"/>
          <w:sz w:val="22"/>
          <w:szCs w:val="22"/>
          <w:lang w:val="pt-BR" w:eastAsia="pt-BR" w:bidi="ar-SA"/>
        </w:rPr>
        <w:t>A solução proposta é a contratação de concessionária especializada para a prestação de serviços de, conforme as seguintes especificações e condições dos requisitos da garantia do veículo, bem como dos itens 1 e 3 do presente documento.</w:t>
      </w:r>
    </w:p>
    <w:p w14:paraId="72A447E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6086FA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8. JUSTIFICATIVA PARA O PARCELAMENTO OU NÃO DA CONTRATAÇÃO</w:t>
      </w:r>
    </w:p>
    <w:p w14:paraId="46EDA740">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178134BE">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17AF6F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3E5AC6BE">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594D02C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lang w:val="pt-BR"/>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r>
        <w:rPr>
          <w:rFonts w:hint="default" w:ascii="Arial" w:hAnsi="Arial" w:cs="Arial"/>
          <w:color w:val="000000"/>
          <w:sz w:val="22"/>
          <w:szCs w:val="22"/>
          <w:lang w:val="pt-BR"/>
        </w:rPr>
        <w:t xml:space="preserve"> </w:t>
      </w:r>
    </w:p>
    <w:p w14:paraId="7AA32E8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lang w:val="pt-BR"/>
        </w:rPr>
      </w:pPr>
    </w:p>
    <w:p w14:paraId="2E1C2BF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92A2799">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 w:name="art18§1ii"/>
      <w:bookmarkEnd w:id="1"/>
      <w:bookmarkStart w:id="2" w:name="art18§1x"/>
      <w:bookmarkEnd w:id="2"/>
      <w:bookmarkStart w:id="3" w:name="art18§1ix"/>
      <w:bookmarkEnd w:id="3"/>
      <w:bookmarkStart w:id="4" w:name="art18§1viii"/>
      <w:bookmarkEnd w:id="4"/>
      <w:bookmarkStart w:id="5" w:name="art18§1vii"/>
      <w:bookmarkEnd w:id="5"/>
      <w:bookmarkStart w:id="6" w:name="art18§1v"/>
      <w:bookmarkEnd w:id="6"/>
      <w:bookmarkStart w:id="7" w:name="art18§1iii"/>
      <w:bookmarkEnd w:id="7"/>
      <w:bookmarkStart w:id="8" w:name="art18§1vi"/>
      <w:bookmarkEnd w:id="8"/>
    </w:p>
    <w:p w14:paraId="76E1CEEE">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p>
    <w:p w14:paraId="5B532B59">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p>
    <w:p w14:paraId="075C193D">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10. PROVIDÊNCIAS PRÉVIAS AO CONTRATO</w:t>
      </w:r>
    </w:p>
    <w:p w14:paraId="75352F1A">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Embora</w:t>
      </w:r>
      <w:r>
        <w:rPr>
          <w:rFonts w:hint="default" w:ascii="Arial" w:hAnsi="Arial" w:cs="Arial"/>
          <w:sz w:val="22"/>
          <w:szCs w:val="22"/>
        </w:rPr>
        <w:t xml:space="preserve">, para que a pretendida contratação tenha sucesso, é preciso que outras etapas sejam concluídas, quais sejam: </w:t>
      </w:r>
    </w:p>
    <w:p w14:paraId="3D15728E">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p>
    <w:p w14:paraId="6D0B88AD">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certificação de disponibilidade orçamentária; </w:t>
      </w:r>
    </w:p>
    <w:p w14:paraId="619E4671">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designação em Portaria de pregoeiro, equipe de apoio, agente de contratação (conforme o caso); </w:t>
      </w:r>
    </w:p>
    <w:p w14:paraId="51D414B3">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encaminhamento do processo para análise jurídica; </w:t>
      </w:r>
    </w:p>
    <w:p w14:paraId="393FCFB7">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análise da manifestação jurídica e atendimento aos apontamentos constantes no parecer, mediante Nota Técnica com os ajustes indicados; </w:t>
      </w:r>
    </w:p>
    <w:p w14:paraId="25ADD633">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publicação e divulgaçã</w:t>
      </w:r>
      <w:r>
        <w:rPr>
          <w:rFonts w:hint="default" w:ascii="Arial" w:hAnsi="Arial" w:cs="Arial"/>
          <w:sz w:val="22"/>
          <w:szCs w:val="22"/>
          <w:lang w:val="pt-BR"/>
        </w:rPr>
        <w:t>o;</w:t>
      </w:r>
    </w:p>
    <w:p w14:paraId="2559D32F">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resposta a eventuais pedidos de esclarecimentos e/ou impugnação, caso aplicável; </w:t>
      </w:r>
    </w:p>
    <w:p w14:paraId="3E532B17">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do certame, com suas respectivas etapas; </w:t>
      </w:r>
    </w:p>
    <w:p w14:paraId="56918BDA">
      <w:pPr>
        <w:pStyle w:val="13"/>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color w:val="000000"/>
          <w:sz w:val="22"/>
          <w:szCs w:val="22"/>
        </w:rPr>
      </w:pPr>
      <w:r>
        <w:rPr>
          <w:rFonts w:hint="default" w:ascii="Arial" w:hAnsi="Arial" w:cs="Arial"/>
          <w:sz w:val="22"/>
          <w:szCs w:val="22"/>
        </w:rPr>
        <w:t>realização de empenho;</w:t>
      </w:r>
    </w:p>
    <w:p w14:paraId="1275F8FD">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color w:val="000000"/>
          <w:sz w:val="22"/>
          <w:szCs w:val="22"/>
        </w:rPr>
        <w:t>A Secretaria de</w:t>
      </w:r>
      <w:r>
        <w:rPr>
          <w:rFonts w:hint="default" w:ascii="Arial" w:hAnsi="Arial" w:cs="Arial"/>
          <w:color w:val="000000"/>
          <w:sz w:val="22"/>
          <w:szCs w:val="22"/>
          <w:lang w:val="pt-BR"/>
        </w:rPr>
        <w:t xml:space="preserve"> Educação </w:t>
      </w:r>
      <w:r>
        <w:rPr>
          <w:rFonts w:hint="default" w:ascii="Arial" w:hAnsi="Arial" w:cs="Arial"/>
          <w:color w:val="000000"/>
          <w:sz w:val="22"/>
          <w:szCs w:val="22"/>
        </w:rPr>
        <w:t>indicará servidores para atuarem como gestor e fiscal do contrato.</w:t>
      </w:r>
    </w:p>
    <w:p w14:paraId="7E2B0E1B">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p>
    <w:p w14:paraId="1114C048">
      <w:pPr>
        <w:pStyle w:val="13"/>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CONTRATAÇÕES CORRELATAS E/OU INTERDEPENDENTES</w:t>
      </w:r>
      <w:bookmarkStart w:id="10" w:name="art18§1xii"/>
      <w:bookmarkEnd w:id="10"/>
    </w:p>
    <w:p w14:paraId="730BB82F">
      <w:pPr>
        <w:pStyle w:val="1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eastAsia="SimSun" w:cs="Arial"/>
          <w:sz w:val="22"/>
          <w:szCs w:val="22"/>
          <w:lang w:val="pt-BR" w:eastAsia="pt-BR" w:bidi="ar-SA"/>
        </w:rPr>
      </w:pPr>
      <w:r>
        <w:rPr>
          <w:rFonts w:hint="default" w:ascii="Arial" w:hAnsi="Arial" w:eastAsia="SimSun" w:cs="Arial"/>
          <w:sz w:val="22"/>
          <w:szCs w:val="22"/>
          <w:lang w:val="pt-BR" w:eastAsia="pt-BR" w:bidi="ar-SA"/>
        </w:rPr>
        <w:t>Este estudo não identificou a necessidade de realizar contratações acessórias para a perfeita execução do objeto, uma vez que todos os meios necessários para a operacionalização dos serviços podem ser supridos apenas com a contratação ora proposta. Os serviços que se pretende, portanto, são autônomos e prescindem de contratações correlatas ou interdependentes.</w:t>
      </w:r>
    </w:p>
    <w:p w14:paraId="2B9535B3">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p>
    <w:p w14:paraId="56A48DE1">
      <w:pPr>
        <w:pStyle w:val="13"/>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POSSÍVEIS IMPACTOS AMBIENTAIS </w:t>
      </w:r>
    </w:p>
    <w:p w14:paraId="147E805C">
      <w:pPr>
        <w:pStyle w:val="1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leftChars="0"/>
        <w:jc w:val="both"/>
        <w:textAlignment w:val="auto"/>
        <w:rPr>
          <w:rFonts w:hint="default" w:ascii="Arial" w:hAnsi="Arial" w:eastAsia="SimSun" w:cs="Arial"/>
          <w:sz w:val="22"/>
          <w:szCs w:val="22"/>
          <w:lang w:val="pt-BR" w:eastAsia="pt-BR" w:bidi="ar-SA"/>
        </w:rPr>
      </w:pPr>
      <w:r>
        <w:rPr>
          <w:rFonts w:hint="default" w:ascii="Arial" w:hAnsi="Arial" w:eastAsia="SimSun" w:cs="Arial"/>
          <w:sz w:val="22"/>
          <w:szCs w:val="22"/>
          <w:lang w:val="pt-BR" w:eastAsia="pt-BR" w:bidi="ar-SA"/>
        </w:rPr>
        <w:t>Não vislumbra-se impactos ambientais provenientes da referida contratação.Orientações complementares acerca da sustentabilidade da prestação almejada poderão ser repassadas pela fiscalização competente.</w:t>
      </w:r>
    </w:p>
    <w:p w14:paraId="1E1324FA">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p>
    <w:p w14:paraId="517D981B">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50FF3F92">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58144150">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right"/>
        <w:textAlignment w:val="auto"/>
        <w:rPr>
          <w:rFonts w:hint="default" w:ascii="Arial" w:hAnsi="Arial" w:eastAsia="SimSun" w:cs="Arial"/>
          <w:sz w:val="22"/>
          <w:szCs w:val="22"/>
          <w:lang w:val="pt-BR" w:eastAsia="pt-BR" w:bidi="ar-SA"/>
        </w:rPr>
      </w:pPr>
      <w:r>
        <w:rPr>
          <w:rFonts w:hint="default" w:ascii="Arial" w:hAnsi="Arial" w:cs="Arial"/>
          <w:sz w:val="22"/>
          <w:szCs w:val="22"/>
          <w:lang w:val="pt-BR"/>
        </w:rPr>
        <w:t xml:space="preserve"> </w:t>
      </w:r>
      <w:r>
        <w:rPr>
          <w:rFonts w:hint="default" w:ascii="Arial" w:hAnsi="Arial" w:eastAsia="SimSun" w:cs="Arial"/>
          <w:sz w:val="22"/>
          <w:szCs w:val="22"/>
          <w:lang w:val="pt-BR" w:eastAsia="pt-BR" w:bidi="ar-SA"/>
        </w:rPr>
        <w:t>Teutônia, 22 de janeiro de 2026.</w:t>
      </w:r>
    </w:p>
    <w:p w14:paraId="1E72D72A">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p w14:paraId="36D20580">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p w14:paraId="79B48037">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0EC71412">
        <w:tblPrEx>
          <w:tblCellMar>
            <w:top w:w="0" w:type="dxa"/>
            <w:left w:w="108" w:type="dxa"/>
            <w:bottom w:w="0" w:type="dxa"/>
            <w:right w:w="108" w:type="dxa"/>
          </w:tblCellMar>
        </w:tblPrEx>
        <w:tc>
          <w:tcPr>
            <w:tcW w:w="4643" w:type="dxa"/>
            <w:tcBorders>
              <w:top w:val="nil"/>
              <w:left w:val="nil"/>
              <w:bottom w:val="nil"/>
              <w:right w:val="nil"/>
            </w:tcBorders>
          </w:tcPr>
          <w:p w14:paraId="35F31BB1">
            <w:pPr>
              <w:widowControl/>
              <w:shd w:val="clear" w:color="auto" w:fill="auto"/>
              <w:spacing w:before="0" w:after="0" w:line="360" w:lineRule="auto"/>
              <w:jc w:val="both"/>
              <w:rPr>
                <w:rFonts w:hint="default" w:ascii="Arial" w:hAnsi="Arial" w:eastAsia="SimSun" w:cs="Arial"/>
                <w:sz w:val="18"/>
                <w:szCs w:val="18"/>
                <w:lang w:val="pt-BR" w:eastAsia="zh-CN" w:bidi="ar-SA"/>
              </w:rPr>
            </w:pPr>
            <w:r>
              <w:rPr>
                <w:rFonts w:hint="default" w:ascii="Arial" w:hAnsi="Arial" w:eastAsia="SimSun" w:cs="Arial"/>
                <w:sz w:val="18"/>
                <w:szCs w:val="18"/>
                <w:lang w:val="pt-BR" w:eastAsia="zh-CN" w:bidi="ar-SA"/>
              </w:rPr>
              <w:t>Rafaela Allebrandt</w:t>
            </w:r>
          </w:p>
          <w:p w14:paraId="509CC007">
            <w:pPr>
              <w:widowControl/>
              <w:shd w:val="clear" w:color="auto" w:fill="auto"/>
              <w:spacing w:before="0" w:after="0" w:line="360" w:lineRule="auto"/>
              <w:jc w:val="both"/>
              <w:rPr>
                <w:rFonts w:hint="default" w:ascii="Arial" w:hAnsi="Arial" w:eastAsia="SimSun" w:cs="Arial"/>
                <w:sz w:val="18"/>
                <w:szCs w:val="18"/>
                <w:lang w:val="en-US" w:eastAsia="pt-BR" w:bidi="ar-SA"/>
              </w:rPr>
            </w:pPr>
            <w:r>
              <w:rPr>
                <w:rFonts w:hint="default" w:ascii="Arial" w:hAnsi="Arial" w:eastAsia="SimSun" w:cs="Arial"/>
                <w:sz w:val="18"/>
                <w:szCs w:val="18"/>
                <w:lang w:val="pt-BR" w:eastAsia="pt-BR" w:bidi="ar-SA"/>
              </w:rPr>
              <w:t>Agente Administrativa</w:t>
            </w:r>
            <w:r>
              <w:rPr>
                <w:rFonts w:hint="default" w:ascii="Arial" w:hAnsi="Arial" w:eastAsia="SimSun" w:cs="Arial"/>
                <w:sz w:val="18"/>
                <w:szCs w:val="18"/>
                <w:lang w:val="en-US" w:eastAsia="pt-BR" w:bidi="ar-SA"/>
              </w:rPr>
              <w:t xml:space="preserve"> - redatora deste ETP</w:t>
            </w:r>
          </w:p>
        </w:tc>
        <w:tc>
          <w:tcPr>
            <w:tcW w:w="4644" w:type="dxa"/>
            <w:tcBorders>
              <w:top w:val="nil"/>
              <w:left w:val="nil"/>
              <w:bottom w:val="nil"/>
              <w:right w:val="nil"/>
            </w:tcBorders>
          </w:tcPr>
          <w:p w14:paraId="6F922DAE">
            <w:pPr>
              <w:widowControl/>
              <w:shd w:val="clear" w:color="auto" w:fill="auto"/>
              <w:spacing w:before="0" w:after="0" w:line="360" w:lineRule="auto"/>
              <w:jc w:val="both"/>
              <w:rPr>
                <w:rFonts w:hint="default" w:ascii="Arial" w:hAnsi="Arial" w:eastAsia="SimSun" w:cs="Arial"/>
                <w:sz w:val="18"/>
                <w:szCs w:val="18"/>
                <w:lang w:val="en-US" w:eastAsia="pt-BR" w:bidi="ar-SA"/>
              </w:rPr>
            </w:pPr>
            <w:r>
              <w:rPr>
                <w:rFonts w:hint="default" w:ascii="Arial" w:hAnsi="Arial" w:eastAsia="SimSun" w:cs="Arial"/>
                <w:sz w:val="18"/>
                <w:szCs w:val="18"/>
                <w:lang w:val="en-US" w:eastAsia="pt-BR" w:bidi="ar-SA"/>
              </w:rPr>
              <w:t>Shana Müller Vogel</w:t>
            </w:r>
            <w:bookmarkStart w:id="12" w:name="_GoBack"/>
            <w:bookmarkEnd w:id="12"/>
          </w:p>
          <w:p w14:paraId="08A1A1FB">
            <w:pPr>
              <w:widowControl/>
              <w:shd w:val="clear" w:color="auto" w:fill="auto"/>
              <w:spacing w:before="0" w:after="0" w:line="360" w:lineRule="auto"/>
              <w:jc w:val="both"/>
              <w:rPr>
                <w:rFonts w:hint="default" w:ascii="Arial" w:hAnsi="Arial" w:eastAsia="SimSun" w:cs="Arial"/>
                <w:sz w:val="18"/>
                <w:szCs w:val="18"/>
                <w:lang w:val="pt-BR" w:eastAsia="pt-BR" w:bidi="ar-SA"/>
              </w:rPr>
            </w:pPr>
            <w:r>
              <w:rPr>
                <w:rFonts w:hint="default" w:ascii="Arial" w:hAnsi="Arial" w:eastAsia="SimSun" w:cs="Arial"/>
                <w:sz w:val="18"/>
                <w:szCs w:val="18"/>
                <w:lang w:val="en-US" w:eastAsia="pt-BR" w:bidi="ar-SA"/>
              </w:rPr>
              <w:t>Subs</w:t>
            </w:r>
            <w:r>
              <w:rPr>
                <w:rFonts w:hint="default" w:ascii="Arial" w:hAnsi="Arial" w:eastAsia="SimSun" w:cs="Arial"/>
                <w:sz w:val="18"/>
                <w:szCs w:val="18"/>
                <w:lang w:val="pt-BR" w:eastAsia="pt-BR" w:bidi="ar-SA"/>
              </w:rPr>
              <w:t>ecretári</w:t>
            </w:r>
            <w:r>
              <w:rPr>
                <w:rFonts w:hint="default" w:ascii="Arial" w:hAnsi="Arial" w:eastAsia="SimSun" w:cs="Arial"/>
                <w:sz w:val="18"/>
                <w:szCs w:val="18"/>
                <w:lang w:val="en-US" w:eastAsia="pt-BR" w:bidi="ar-SA"/>
              </w:rPr>
              <w:t>a</w:t>
            </w:r>
            <w:r>
              <w:rPr>
                <w:rFonts w:hint="default" w:ascii="Arial" w:hAnsi="Arial" w:eastAsia="SimSun" w:cs="Arial"/>
                <w:sz w:val="18"/>
                <w:szCs w:val="18"/>
                <w:lang w:val="pt-BR" w:eastAsia="pt-BR" w:bidi="ar-SA"/>
              </w:rPr>
              <w:t xml:space="preserve"> Municipal de Educação.</w:t>
            </w:r>
          </w:p>
        </w:tc>
      </w:tr>
      <w:tr w14:paraId="34AE71F1">
        <w:tblPrEx>
          <w:tblCellMar>
            <w:top w:w="0" w:type="dxa"/>
            <w:left w:w="108" w:type="dxa"/>
            <w:bottom w:w="0" w:type="dxa"/>
            <w:right w:w="108" w:type="dxa"/>
          </w:tblCellMar>
        </w:tblPrEx>
        <w:tc>
          <w:tcPr>
            <w:tcW w:w="4643" w:type="dxa"/>
            <w:tcBorders>
              <w:top w:val="nil"/>
              <w:left w:val="nil"/>
              <w:bottom w:val="nil"/>
              <w:right w:val="nil"/>
            </w:tcBorders>
          </w:tcPr>
          <w:p w14:paraId="287C5E02">
            <w:pPr>
              <w:widowControl/>
              <w:shd w:val="clear" w:color="auto" w:fill="auto"/>
              <w:spacing w:before="0" w:after="0" w:line="360" w:lineRule="auto"/>
              <w:jc w:val="both"/>
              <w:rPr>
                <w:rFonts w:hint="default" w:ascii="Arial" w:hAnsi="Arial" w:eastAsia="SimSun" w:cs="Arial"/>
                <w:sz w:val="18"/>
                <w:szCs w:val="18"/>
                <w:lang w:val="pt-BR" w:eastAsia="pt-BR" w:bidi="ar-SA"/>
              </w:rPr>
            </w:pPr>
          </w:p>
          <w:p w14:paraId="135E5451">
            <w:pPr>
              <w:widowControl/>
              <w:shd w:val="clear" w:color="auto" w:fill="auto"/>
              <w:spacing w:before="0" w:after="0" w:line="360" w:lineRule="auto"/>
              <w:jc w:val="both"/>
              <w:rPr>
                <w:rFonts w:hint="default" w:ascii="Arial" w:hAnsi="Arial" w:eastAsia="SimSun" w:cs="Arial"/>
                <w:sz w:val="18"/>
                <w:szCs w:val="18"/>
                <w:lang w:val="pt-BR" w:eastAsia="pt-BR" w:bidi="ar-SA"/>
              </w:rPr>
            </w:pPr>
          </w:p>
          <w:p w14:paraId="4A0203E5">
            <w:pPr>
              <w:widowControl/>
              <w:shd w:val="clear" w:color="auto" w:fill="auto"/>
              <w:spacing w:before="0" w:after="0" w:line="360" w:lineRule="auto"/>
              <w:jc w:val="both"/>
              <w:rPr>
                <w:rFonts w:hint="default" w:ascii="Arial" w:hAnsi="Arial" w:eastAsia="SimSun" w:cs="Arial"/>
                <w:sz w:val="18"/>
                <w:szCs w:val="18"/>
                <w:lang w:val="en-US" w:eastAsia="pt-BR" w:bidi="ar-SA"/>
              </w:rPr>
            </w:pPr>
            <w:r>
              <w:rPr>
                <w:rFonts w:hint="default" w:ascii="Arial" w:hAnsi="Arial" w:eastAsia="SimSun" w:cs="Arial"/>
                <w:sz w:val="18"/>
                <w:szCs w:val="18"/>
                <w:lang w:val="en-US" w:eastAsia="pt-BR" w:bidi="ar-SA"/>
              </w:rPr>
              <w:t>Antonio Miotto Flech</w:t>
            </w:r>
          </w:p>
          <w:p w14:paraId="45480AFB">
            <w:pPr>
              <w:widowControl/>
              <w:shd w:val="clear" w:color="auto" w:fill="auto"/>
              <w:spacing w:before="0" w:after="0" w:line="360" w:lineRule="auto"/>
              <w:jc w:val="both"/>
              <w:rPr>
                <w:rFonts w:hint="default" w:ascii="Arial" w:hAnsi="Arial" w:eastAsia="SimSun" w:cs="Arial"/>
                <w:sz w:val="18"/>
                <w:szCs w:val="18"/>
                <w:lang w:val="pt-BR" w:eastAsia="pt-BR" w:bidi="ar-SA"/>
              </w:rPr>
            </w:pPr>
            <w:r>
              <w:rPr>
                <w:rFonts w:hint="default" w:ascii="Arial" w:hAnsi="Arial" w:eastAsia="SimSun" w:cs="Arial"/>
                <w:sz w:val="18"/>
                <w:szCs w:val="18"/>
                <w:lang w:val="pt-BR" w:eastAsia="zh-CN" w:bidi="ar-SA"/>
              </w:rPr>
              <w:t>Agente Administrativo</w:t>
            </w:r>
          </w:p>
        </w:tc>
        <w:tc>
          <w:tcPr>
            <w:tcW w:w="4644" w:type="dxa"/>
            <w:tcBorders>
              <w:top w:val="nil"/>
              <w:left w:val="nil"/>
              <w:bottom w:val="nil"/>
              <w:right w:val="nil"/>
            </w:tcBorders>
          </w:tcPr>
          <w:p w14:paraId="5D18E9C2">
            <w:pPr>
              <w:widowControl/>
              <w:shd w:val="clear" w:color="auto" w:fill="auto"/>
              <w:spacing w:before="0" w:after="0" w:line="360" w:lineRule="auto"/>
              <w:jc w:val="both"/>
              <w:rPr>
                <w:rFonts w:hint="default" w:ascii="Arial" w:hAnsi="Arial" w:eastAsia="SimSun" w:cs="Arial"/>
                <w:sz w:val="18"/>
                <w:szCs w:val="18"/>
                <w:lang w:val="pt-BR" w:eastAsia="pt-BR" w:bidi="ar-SA"/>
              </w:rPr>
            </w:pPr>
          </w:p>
        </w:tc>
      </w:tr>
    </w:tbl>
    <w:p w14:paraId="4A035827">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eastAsia="SimSun" w:cs="Arial"/>
          <w:sz w:val="22"/>
          <w:szCs w:val="22"/>
          <w:lang w:val="pt-BR" w:eastAsia="pt-BR" w:bidi="ar-SA"/>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5"/>
      <w:jc w:val="center"/>
    </w:pPr>
    <w:r>
      <w:rPr>
        <w:rFonts w:ascii="Montserrat" w:hAnsi="Montserrat" w:eastAsia="Montserrat" w:cs="Montserrat"/>
        <w:color w:val="1155CC"/>
        <w:sz w:val="20"/>
        <w:szCs w:val="20"/>
      </w:rPr>
      <w:t xml:space="preserve">e-mail: </w:t>
    </w:r>
    <w:r>
      <w:rPr>
        <w:rFonts w:hint="default" w:ascii="Montserrat" w:hAnsi="Montserrat" w:eastAsia="Montserrat" w:cs="Montserrat"/>
        <w:color w:val="1155CC"/>
        <w:sz w:val="20"/>
        <w:szCs w:val="20"/>
        <w:lang w:val="pt-BR"/>
      </w:rPr>
      <w:t>compras2</w:t>
    </w:r>
    <w:r>
      <w:rPr>
        <w:rFonts w:ascii="Montserrat" w:hAnsi="Montserrat" w:eastAsia="Montserrat" w:cs="Montserrat"/>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CAEA"/>
    <w:multiLevelType w:val="singleLevel"/>
    <w:tmpl w:val="84D2CAE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F4E64B87"/>
    <w:multiLevelType w:val="singleLevel"/>
    <w:tmpl w:val="F4E64B87"/>
    <w:lvl w:ilvl="0" w:tentative="0">
      <w:start w:val="1"/>
      <w:numFmt w:val="lowerLetter"/>
      <w:lvlText w:val="%1)"/>
      <w:lvlJc w:val="left"/>
      <w:pPr>
        <w:tabs>
          <w:tab w:val="left" w:pos="425"/>
        </w:tabs>
        <w:ind w:left="425" w:leftChars="0" w:hanging="425" w:firstLineChars="0"/>
      </w:pPr>
      <w:rPr>
        <w:rFonts w:hint="default"/>
        <w:b w:val="0"/>
        <w:bCs w:val="0"/>
      </w:rPr>
    </w:lvl>
  </w:abstractNum>
  <w:abstractNum w:abstractNumId="2">
    <w:nsid w:val="0BC35BD9"/>
    <w:multiLevelType w:val="singleLevel"/>
    <w:tmpl w:val="0BC35BD9"/>
    <w:lvl w:ilvl="0" w:tentative="0">
      <w:start w:val="1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A7840"/>
    <w:rsid w:val="00710BDD"/>
    <w:rsid w:val="0079516A"/>
    <w:rsid w:val="008A7458"/>
    <w:rsid w:val="008E6A0D"/>
    <w:rsid w:val="009E6F53"/>
    <w:rsid w:val="00A77C75"/>
    <w:rsid w:val="00A85D9E"/>
    <w:rsid w:val="00AD0487"/>
    <w:rsid w:val="00B02493"/>
    <w:rsid w:val="00B039BC"/>
    <w:rsid w:val="00C73FB5"/>
    <w:rsid w:val="00DD05C7"/>
    <w:rsid w:val="00E278AF"/>
    <w:rsid w:val="019348BC"/>
    <w:rsid w:val="073D5515"/>
    <w:rsid w:val="40EA329B"/>
    <w:rsid w:val="40F23EF4"/>
    <w:rsid w:val="456F1615"/>
    <w:rsid w:val="593A793F"/>
    <w:rsid w:val="777433BE"/>
    <w:rsid w:val="7EAC74C9"/>
    <w:rsid w:val="7F3B2CB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563C1"/>
      <w:u w:val="single"/>
    </w:rPr>
  </w:style>
  <w:style w:type="paragraph" w:styleId="11">
    <w:name w:val="Body Text"/>
    <w:basedOn w:val="1"/>
    <w:link w:val="28"/>
    <w:qFormat/>
    <w:uiPriority w:val="0"/>
    <w:pPr>
      <w:spacing w:after="120" w:line="240" w:lineRule="auto"/>
    </w:pPr>
    <w:rPr>
      <w:rFonts w:ascii="Arial" w:hAnsi="Arial" w:eastAsia="SimSun" w:cs="Arial"/>
      <w:szCs w:val="20"/>
      <w:lang w:eastAsia="zh-CN"/>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unhideWhenUsed/>
    <w:qFormat/>
    <w:uiPriority w:val="99"/>
    <w:pPr>
      <w:spacing w:after="120" w:line="240" w:lineRule="auto"/>
      <w:ind w:left="283"/>
    </w:pPr>
    <w:rPr>
      <w:rFonts w:ascii="Arial" w:hAnsi="Arial" w:eastAsia="SimSun" w:cs="Arial"/>
      <w:sz w:val="16"/>
      <w:szCs w:val="16"/>
      <w:lang w:eastAsia="zh-CN"/>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qFormat/>
    <w:uiPriority w:val="34"/>
    <w:pPr>
      <w:ind w:left="720"/>
      <w:contextualSpacing/>
    </w:pPr>
  </w:style>
  <w:style w:type="table" w:customStyle="1" w:styleId="24">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0"/>
    <w:rPr>
      <w:rFonts w:ascii="Arial" w:hAnsi="Arial" w:eastAsia="SimSun" w:cs="Arial"/>
      <w:szCs w:val="20"/>
      <w:lang w:eastAsia="zh-CN"/>
    </w:rPr>
  </w:style>
  <w:style w:type="character" w:customStyle="1" w:styleId="29">
    <w:name w:val="Recuo de corpo de texto 3 Char"/>
    <w:basedOn w:val="8"/>
    <w:link w:val="16"/>
    <w:qFormat/>
    <w:uiPriority w:val="99"/>
    <w:rPr>
      <w:rFonts w:ascii="Arial" w:hAnsi="Arial" w:eastAsia="SimSun" w:cs="Arial"/>
      <w:sz w:val="16"/>
      <w:szCs w:val="16"/>
      <w:lang w:eastAsia="zh-CN"/>
    </w:rPr>
  </w:style>
  <w:style w:type="paragraph" w:customStyle="1" w:styleId="30">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1">
    <w:name w:val="Link da Internet"/>
    <w:unhideWhenUsed/>
    <w:qFormat/>
    <w:uiPriority w:val="99"/>
    <w:rPr>
      <w:color w:val="0563C1"/>
      <w:u w:val="single"/>
    </w:rPr>
  </w:style>
  <w:style w:type="paragraph" w:customStyle="1" w:styleId="32">
    <w:name w:val="Footer1"/>
    <w:basedOn w:val="1"/>
    <w:qFormat/>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1526</Words>
  <Characters>8852</Characters>
  <Lines>125</Lines>
  <Paragraphs>35</Paragraphs>
  <TotalTime>10</TotalTime>
  <ScaleCrop>false</ScaleCrop>
  <LinksUpToDate>false</LinksUpToDate>
  <CharactersWithSpaces>10325</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dcterms:modified xsi:type="dcterms:W3CDTF">2026-01-23T11:14:55Z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1046-12.2.0.23197</vt:lpwstr>
  </property>
  <property fmtid="{D5CDD505-2E9C-101B-9397-08002B2CF9AE}" pid="3" name="ICV">
    <vt:lpwstr>F83A0F1B8D08420DBF7330B37FB0032F_13</vt:lpwstr>
  </property>
</Properties>
</file>