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E6BE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55EBA28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sz w:val="22"/>
          <w:szCs w:val="22"/>
        </w:rPr>
      </w:pPr>
    </w:p>
    <w:p w14:paraId="58913FDB">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PROCESSO ADMINISTRATIVO</w:t>
      </w:r>
    </w:p>
    <w:p w14:paraId="524467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Município de </w:t>
      </w:r>
      <w:r>
        <w:rPr>
          <w:rFonts w:hint="default" w:ascii="Arial" w:hAnsi="Arial" w:cs="Arial"/>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Secretaria Municipal de</w:t>
      </w:r>
      <w:r>
        <w:rPr>
          <w:rFonts w:hint="default" w:ascii="Arial" w:hAnsi="Arial" w:cs="Arial"/>
          <w:sz w:val="22"/>
          <w:szCs w:val="22"/>
          <w:lang w:val="pt-BR"/>
        </w:rPr>
        <w:t xml:space="preserve"> Planejamento, Mobilidade Urbana e Segurança Pública</w:t>
      </w:r>
    </w:p>
    <w:p w14:paraId="1B711DD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Objeto da contratação: contratação </w:t>
      </w:r>
      <w:bookmarkStart w:id="12" w:name="_GoBack"/>
      <w:bookmarkEnd w:id="12"/>
      <w:r>
        <w:rPr>
          <w:rFonts w:hint="default" w:ascii="Arial" w:hAnsi="Arial" w:cs="Arial"/>
          <w:sz w:val="22"/>
          <w:szCs w:val="22"/>
        </w:rPr>
        <w:t xml:space="preserve">de serviços </w:t>
      </w:r>
      <w:r>
        <w:rPr>
          <w:rFonts w:hint="default" w:ascii="Arial" w:hAnsi="Arial" w:cs="Arial"/>
          <w:sz w:val="22"/>
          <w:szCs w:val="22"/>
          <w:lang w:val="pt-BR"/>
        </w:rPr>
        <w:t xml:space="preserve">plotagem </w:t>
      </w:r>
    </w:p>
    <w:p w14:paraId="17CA8318">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0DB05317">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2F95215E">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lang w:val="pt-BR"/>
        </w:rPr>
      </w:pPr>
      <w:r>
        <w:rPr>
          <w:rFonts w:hint="default" w:ascii="Arial" w:hAnsi="Arial" w:cs="Arial"/>
          <w:sz w:val="22"/>
          <w:szCs w:val="22"/>
        </w:rPr>
        <w:t>O objeto da presente licitação é a contratação de empresa especializada para a prestação de serviços d</w:t>
      </w:r>
      <w:r>
        <w:rPr>
          <w:rFonts w:hint="default" w:ascii="Arial" w:hAnsi="Arial" w:cs="Arial"/>
          <w:sz w:val="22"/>
          <w:szCs w:val="22"/>
          <w:lang w:val="pt-BR"/>
        </w:rPr>
        <w:t xml:space="preserve">e </w:t>
      </w:r>
      <w:r>
        <w:rPr>
          <w:rFonts w:hint="default" w:ascii="Arial" w:hAnsi="Arial" w:eastAsia="Calibri" w:cs="Arial"/>
          <w:sz w:val="22"/>
          <w:szCs w:val="22"/>
        </w:rPr>
        <w:t>plotagens de projetos e documentos em folhas de tamanho acima de A3 em preto e branco e colorido, tanto em traços como em chapado, além de digitalização de plantas e documentos.</w:t>
      </w:r>
    </w:p>
    <w:p w14:paraId="21D0929B">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A contratação é necessária em razão de os serviços de plotagem constituírem um processo de impressão especializada que permite reproduzir desenhos, imagens e textos em tamanhos ampliados, com alta resolução e fidelidade aos detalhes originais. Tais características são essenciais para a adequada elaboração, análise e execução de projetos técnicos, especialmente aqueles vinculados às atividades de engenharia.</w:t>
      </w:r>
    </w:p>
    <w:p w14:paraId="66E8B583">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Considerando que o Município demanda, de forma periódica, a impressão de projetos técnicos, conforme o volume e a natureza das obras, serviços e projetos desenvolvidos pelo setor de engenharia, justifica-se a contratação de empresa especializada para a execução dos serviços de plotagem</w:t>
      </w:r>
    </w:p>
    <w:p w14:paraId="750B685D">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Além disso, o município atualmente não dispõe de maquinário próprio compatível com esse tipo de impressão, como equipamentos capazes de realizar plotagens em formato A3 ou superiores, bem como scanner de plantas em A3 ou maiores.</w:t>
      </w:r>
    </w:p>
    <w:p w14:paraId="1D8467CD">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Cabe ainda mencionar que o último processo vigente com o mesmo objeto (PRD 90/2024</w:t>
      </w:r>
      <w:r>
        <w:rPr>
          <w:rFonts w:hint="default" w:ascii="Arial" w:hAnsi="Arial" w:cs="Arial"/>
          <w:sz w:val="22"/>
          <w:szCs w:val="22"/>
          <w:lang w:val="en-US" w:eastAsia="pt-BR" w:bidi="ar-SA"/>
        </w:rPr>
        <w:t>, Contrato 185/2024</w:t>
      </w:r>
      <w:r>
        <w:rPr>
          <w:rFonts w:hint="default" w:ascii="Arial" w:hAnsi="Arial" w:eastAsia="Calibri" w:cs="Arial"/>
          <w:sz w:val="22"/>
          <w:szCs w:val="22"/>
          <w:lang w:val="pt-BR" w:eastAsia="pt-BR" w:bidi="ar-SA"/>
        </w:rPr>
        <w:t>) encerrou-se no dia 03 de dezembro de 2025. Faz-se portanto, necessário o encaminhamento de novo processo para suprir a demanda da secretaria requisitante do objeto.</w:t>
      </w:r>
    </w:p>
    <w:p w14:paraId="405DC8C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yellow"/>
          <w:lang w:val="pt-BR"/>
        </w:rPr>
      </w:pPr>
    </w:p>
    <w:p w14:paraId="710DF9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548F823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pretendida está prevista no Plano de Contratações Anual do Município de </w:t>
      </w:r>
      <w:r>
        <w:rPr>
          <w:rFonts w:hint="default" w:ascii="Arial" w:hAnsi="Arial" w:cs="Arial"/>
          <w:sz w:val="22"/>
          <w:szCs w:val="22"/>
          <w:lang w:val="pt-BR"/>
        </w:rPr>
        <w:t>Teutônia</w:t>
      </w:r>
      <w:r>
        <w:rPr>
          <w:rFonts w:hint="default" w:ascii="Arial" w:hAnsi="Arial" w:cs="Arial"/>
          <w:sz w:val="22"/>
          <w:szCs w:val="22"/>
        </w:rPr>
        <w:t xml:space="preserve">, como se vê do item </w:t>
      </w:r>
      <w:r>
        <w:rPr>
          <w:rFonts w:hint="default" w:ascii="Arial" w:hAnsi="Arial" w:cs="Arial"/>
          <w:sz w:val="22"/>
          <w:szCs w:val="22"/>
          <w:lang w:val="pt-BR"/>
        </w:rPr>
        <w:t xml:space="preserve">58 - </w:t>
      </w:r>
      <w:r>
        <w:rPr>
          <w:rFonts w:hint="default" w:ascii="Arial" w:hAnsi="Arial"/>
          <w:sz w:val="22"/>
          <w:szCs w:val="22"/>
          <w:lang w:val="pt-BR"/>
        </w:rPr>
        <w:t>GRÁFICOS/IMPRESSOS, SERVIÇOS DE IMPRESSÃO</w:t>
      </w:r>
      <w:r>
        <w:rPr>
          <w:rFonts w:hint="default" w:ascii="Arial" w:hAnsi="Arial" w:cs="Arial"/>
          <w:sz w:val="22"/>
          <w:szCs w:val="22"/>
        </w:rPr>
        <w:t xml:space="preserve"> daquele documento, estando assim alinhada com o planejamento desta Administração.</w:t>
      </w:r>
    </w:p>
    <w:p w14:paraId="0075A5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3. DESCRIÇÃO DOS REQUISITOS DA CONTRATAÇÃO</w:t>
      </w:r>
    </w:p>
    <w:p w14:paraId="0DA45B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3.1 </w:t>
      </w:r>
      <w:r>
        <w:rPr>
          <w:rFonts w:hint="default" w:ascii="Arial" w:hAnsi="Arial" w:cs="Arial"/>
          <w:sz w:val="22"/>
          <w:szCs w:val="22"/>
        </w:rPr>
        <w:t xml:space="preserve">Os serviços têm natureza de serviços comuns, tendo em vista que seus </w:t>
      </w:r>
      <w:r>
        <w:rPr>
          <w:rFonts w:hint="default" w:ascii="Arial" w:hAnsi="Arial" w:cs="Arial"/>
          <w:color w:val="000000"/>
          <w:sz w:val="22"/>
          <w:szCs w:val="22"/>
        </w:rPr>
        <w:t xml:space="preserve">padrões de desempenho e qualidade podem ser objetivamente definidos pelo edital, por meio de especificações usuais de mercado, </w:t>
      </w:r>
      <w:r>
        <w:rPr>
          <w:rFonts w:hint="default" w:ascii="Arial" w:hAnsi="Arial" w:cs="Arial"/>
          <w:sz w:val="22"/>
          <w:szCs w:val="22"/>
        </w:rPr>
        <w:t>nos termos do art. 6º, inciso XIII, da Lei Federal nº 14.133/2021.</w:t>
      </w:r>
    </w:p>
    <w:p w14:paraId="30BA3E3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2ED37CF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3.2 ESPECIFICAÇÕES DO SERVIÇO</w:t>
      </w:r>
    </w:p>
    <w:p w14:paraId="5AADF1D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lang w:val="pt-BR"/>
        </w:rPr>
      </w:pPr>
      <w:r>
        <w:rPr>
          <w:rFonts w:hint="default" w:ascii="Arial" w:hAnsi="Arial" w:eastAsia="Calibri" w:cs="Arial"/>
          <w:color w:val="000000"/>
          <w:sz w:val="22"/>
          <w:szCs w:val="22"/>
          <w:lang w:val="pt-BR"/>
        </w:rPr>
        <w:t>3.2.1 Faz parte integrante deste objeto a qualificação profissional, que deve ser capacitada e devidamente habilitada para a execução do objeto, equipamentos, ferramentas, utensílios, e transporte necessários à execução dos serviços, bem como encargos fiscais, sociais, comerciais, seguros de responsabilidade civil que cubram danos pessoais e materiais a terceiros e, ainda, o seguro do pessoal utilizado, contra riscos de acidente de trabalho e o cumprimento de todas as obrigações que a legislação trabalhista e previdenciária impõe ao empregador, sem quaisquer ônus ou solidariedade por parte do CONTRATANTE.</w:t>
      </w:r>
    </w:p>
    <w:p w14:paraId="3981AB6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3.2.2 </w:t>
      </w:r>
      <w:r>
        <w:rPr>
          <w:rFonts w:hint="default" w:ascii="Arial" w:hAnsi="Arial" w:eastAsia="Calibri" w:cs="Arial"/>
          <w:color w:val="000000"/>
          <w:sz w:val="22"/>
          <w:szCs w:val="22"/>
        </w:rPr>
        <w:t>O objeto deverá ser compatível com as normas da ABNT</w:t>
      </w:r>
      <w:r>
        <w:rPr>
          <w:rFonts w:hint="default" w:ascii="Arial" w:hAnsi="Arial" w:eastAsia="Calibri" w:cs="Arial"/>
          <w:color w:val="000000"/>
          <w:sz w:val="22"/>
          <w:szCs w:val="22"/>
          <w:lang w:val="pt-BR"/>
        </w:rPr>
        <w:t xml:space="preserve"> </w:t>
      </w:r>
      <w:r>
        <w:rPr>
          <w:rFonts w:hint="default" w:ascii="Arial" w:hAnsi="Arial" w:eastAsia="Calibri" w:cs="Arial"/>
          <w:color w:val="000000"/>
          <w:sz w:val="22"/>
          <w:szCs w:val="22"/>
        </w:rPr>
        <w:t>(ASSOCIAÇÃO BRASILEIRA DE NORMA TÉCNICAS), quando aplicável.</w:t>
      </w:r>
    </w:p>
    <w:p w14:paraId="2599F8B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p>
    <w:p w14:paraId="1204E58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3.3 </w:t>
      </w:r>
      <w:r>
        <w:rPr>
          <w:rFonts w:hint="default" w:ascii="Arial" w:hAnsi="Arial" w:eastAsia="Calibri" w:cs="Arial"/>
          <w:color w:val="000000"/>
          <w:sz w:val="22"/>
          <w:szCs w:val="22"/>
        </w:rPr>
        <w:t xml:space="preserve">OBRIGAÇÕES DA CONTRATADA: </w:t>
      </w:r>
    </w:p>
    <w:p w14:paraId="78C2E71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3.3.1 </w:t>
      </w:r>
      <w:r>
        <w:rPr>
          <w:rFonts w:hint="default" w:ascii="Arial" w:hAnsi="Arial" w:eastAsia="Calibri" w:cs="Arial"/>
          <w:color w:val="000000"/>
          <w:sz w:val="22"/>
          <w:szCs w:val="22"/>
        </w:rPr>
        <w:t xml:space="preserve">Arcar com todas as despesas e encargos, diretos ou indiretas, concernentes às legislações sociais, trabalhistas, fiscais, comerciais, securitárias e previdenciárias decorrentes do cumprimento das obrigações assumidas, sem qualquer ônus </w:t>
      </w:r>
      <w:r>
        <w:rPr>
          <w:rFonts w:hint="default" w:ascii="Arial" w:hAnsi="Arial" w:eastAsia="Calibri" w:cs="Arial"/>
          <w:color w:val="000000"/>
          <w:sz w:val="22"/>
          <w:szCs w:val="22"/>
          <w:lang w:val="pt-BR"/>
        </w:rPr>
        <w:t>para o Município</w:t>
      </w:r>
      <w:r>
        <w:rPr>
          <w:rFonts w:hint="default" w:ascii="Arial" w:hAnsi="Arial" w:eastAsia="Calibri" w:cs="Arial"/>
          <w:color w:val="000000"/>
          <w:sz w:val="22"/>
          <w:szCs w:val="22"/>
        </w:rPr>
        <w:t>;</w:t>
      </w:r>
    </w:p>
    <w:p w14:paraId="7CB9221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3.3.2 </w:t>
      </w:r>
      <w:r>
        <w:rPr>
          <w:rFonts w:hint="default" w:ascii="Arial" w:hAnsi="Arial" w:eastAsia="Calibri" w:cs="Arial"/>
          <w:color w:val="000000"/>
          <w:sz w:val="22"/>
          <w:szCs w:val="22"/>
        </w:rPr>
        <w:t>Manter a compatibilidade com as obrigações assumidas, durante todo cumprimento do contrato;</w:t>
      </w:r>
    </w:p>
    <w:p w14:paraId="52E3AE7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3.3.3 </w:t>
      </w:r>
      <w:r>
        <w:rPr>
          <w:rFonts w:hint="default" w:ascii="Arial" w:hAnsi="Arial" w:eastAsia="Calibri" w:cs="Arial"/>
          <w:color w:val="000000"/>
          <w:sz w:val="22"/>
          <w:szCs w:val="22"/>
        </w:rPr>
        <w:t xml:space="preserve">Responsabilizar-se pelos danos causados direto e indiretamente à Administração ou a terceiros, decorrentes de sua culpa ou dolo até a entrega do produto, incluindo as entregas feitas por transportadoras; </w:t>
      </w:r>
    </w:p>
    <w:p w14:paraId="4321045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3.3.4 </w:t>
      </w:r>
      <w:r>
        <w:rPr>
          <w:rFonts w:hint="default" w:ascii="Arial" w:hAnsi="Arial" w:eastAsia="Calibri" w:cs="Arial"/>
          <w:color w:val="000000"/>
          <w:sz w:val="22"/>
          <w:szCs w:val="22"/>
        </w:rPr>
        <w:t>Prestar todos os esclarecimentos que forem solicitados pel</w:t>
      </w:r>
      <w:r>
        <w:rPr>
          <w:rFonts w:hint="default" w:ascii="Arial" w:hAnsi="Arial" w:eastAsia="Calibri" w:cs="Arial"/>
          <w:color w:val="000000"/>
          <w:sz w:val="22"/>
          <w:szCs w:val="22"/>
          <w:lang w:val="pt-BR"/>
        </w:rPr>
        <w:t>o município</w:t>
      </w:r>
      <w:r>
        <w:rPr>
          <w:rFonts w:hint="default" w:ascii="Arial" w:hAnsi="Arial" w:eastAsia="Calibri" w:cs="Arial"/>
          <w:color w:val="000000"/>
          <w:sz w:val="22"/>
          <w:szCs w:val="22"/>
        </w:rPr>
        <w:t>, durante a realização desta aquisição;</w:t>
      </w:r>
    </w:p>
    <w:p w14:paraId="4E9F56E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p>
    <w:p w14:paraId="29B9B3E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lang w:val="pt-BR"/>
        </w:rPr>
      </w:pPr>
      <w:r>
        <w:rPr>
          <w:rFonts w:hint="default" w:ascii="Arial" w:hAnsi="Arial" w:eastAsia="Calibri" w:cs="Arial"/>
          <w:color w:val="000000"/>
          <w:sz w:val="22"/>
          <w:szCs w:val="22"/>
          <w:lang w:val="pt-BR"/>
        </w:rPr>
        <w:t xml:space="preserve">3.4  </w:t>
      </w:r>
      <w:r>
        <w:rPr>
          <w:rFonts w:hint="default" w:ascii="Arial" w:hAnsi="Arial" w:eastAsia="Calibri" w:cs="Arial"/>
          <w:color w:val="000000"/>
          <w:sz w:val="22"/>
          <w:szCs w:val="22"/>
        </w:rPr>
        <w:t xml:space="preserve">OBRIGAÇÕES DA CONTRATANTE: </w:t>
      </w:r>
    </w:p>
    <w:p w14:paraId="6C9E6B7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lang w:val="pt-BR"/>
        </w:rPr>
      </w:pPr>
      <w:r>
        <w:rPr>
          <w:rFonts w:hint="default" w:ascii="Arial" w:hAnsi="Arial" w:eastAsia="Calibri" w:cs="Arial"/>
          <w:color w:val="000000"/>
          <w:sz w:val="22"/>
          <w:szCs w:val="22"/>
          <w:lang w:val="pt-BR"/>
        </w:rPr>
        <w:t xml:space="preserve">3.4.1 </w:t>
      </w:r>
      <w:r>
        <w:rPr>
          <w:rFonts w:hint="default" w:ascii="Arial" w:hAnsi="Arial" w:eastAsia="Calibri" w:cs="Arial"/>
          <w:color w:val="000000"/>
          <w:sz w:val="22"/>
          <w:szCs w:val="22"/>
        </w:rPr>
        <w:t>Fornecer, em tempo hábil, todas as informações necessárias à Contratada para o fiel cumprimento das obrigações decorrentes da aquisição objeto</w:t>
      </w:r>
      <w:r>
        <w:rPr>
          <w:rFonts w:hint="default" w:ascii="Arial" w:hAnsi="Arial" w:eastAsia="Calibri" w:cs="Arial"/>
          <w:color w:val="000000"/>
          <w:sz w:val="22"/>
          <w:szCs w:val="22"/>
          <w:lang w:val="pt-BR"/>
        </w:rPr>
        <w:t>.</w:t>
      </w:r>
    </w:p>
    <w:p w14:paraId="4349F4B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3.4.2 </w:t>
      </w:r>
      <w:r>
        <w:rPr>
          <w:rFonts w:hint="default" w:ascii="Arial" w:hAnsi="Arial" w:eastAsia="Calibri" w:cs="Arial"/>
          <w:color w:val="000000"/>
          <w:sz w:val="22"/>
          <w:szCs w:val="22"/>
        </w:rPr>
        <w:t>Receber o objeto dest</w:t>
      </w:r>
      <w:r>
        <w:rPr>
          <w:rFonts w:hint="default" w:ascii="Arial" w:hAnsi="Arial" w:eastAsia="Calibri" w:cs="Arial"/>
          <w:color w:val="000000"/>
          <w:sz w:val="22"/>
          <w:szCs w:val="22"/>
          <w:lang w:val="pt-BR"/>
        </w:rPr>
        <w:t>e termo</w:t>
      </w:r>
      <w:r>
        <w:rPr>
          <w:rFonts w:hint="default" w:ascii="Arial" w:hAnsi="Arial" w:eastAsia="Calibri" w:cs="Arial"/>
          <w:color w:val="000000"/>
          <w:sz w:val="22"/>
          <w:szCs w:val="22"/>
        </w:rPr>
        <w:t xml:space="preserve"> através do Setor responsável por seu acompanhamento e fiscalização</w:t>
      </w:r>
      <w:r>
        <w:rPr>
          <w:rFonts w:hint="default" w:ascii="Arial" w:hAnsi="Arial" w:eastAsia="Calibri" w:cs="Arial"/>
          <w:color w:val="000000"/>
          <w:sz w:val="22"/>
          <w:szCs w:val="22"/>
          <w:lang w:val="pt-BR"/>
        </w:rPr>
        <w:t>.</w:t>
      </w:r>
    </w:p>
    <w:p w14:paraId="595916E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3.4.3 </w:t>
      </w:r>
      <w:r>
        <w:rPr>
          <w:rFonts w:hint="default" w:ascii="Arial" w:hAnsi="Arial" w:eastAsia="Calibri" w:cs="Arial"/>
          <w:color w:val="000000"/>
          <w:sz w:val="22"/>
          <w:szCs w:val="22"/>
        </w:rPr>
        <w:t>Notificar a empresa, por escrito, sobre imperfeições, falhas ou irregularidades constatadas nos itens recebidos para que sejam adotadas as medidas corretivas necessárias;</w:t>
      </w:r>
    </w:p>
    <w:p w14:paraId="6C762C7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3.4.4 </w:t>
      </w:r>
      <w:r>
        <w:rPr>
          <w:rFonts w:hint="default" w:ascii="Arial" w:hAnsi="Arial" w:eastAsia="Calibri" w:cs="Arial"/>
          <w:color w:val="000000"/>
          <w:sz w:val="22"/>
          <w:szCs w:val="22"/>
        </w:rPr>
        <w:t xml:space="preserve">Não permitir o recebimento do objeto em desacordo com o preestabelecido; </w:t>
      </w:r>
    </w:p>
    <w:p w14:paraId="0D6BBEF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3.4.5 </w:t>
      </w:r>
      <w:r>
        <w:rPr>
          <w:rFonts w:hint="default" w:ascii="Arial" w:hAnsi="Arial" w:eastAsia="Calibri" w:cs="Arial"/>
          <w:color w:val="000000"/>
          <w:sz w:val="22"/>
          <w:szCs w:val="22"/>
        </w:rPr>
        <w:t xml:space="preserve">Efetuar o pagamento da (s) Nota (s) Fiscal (ais) /Fatura (s) da CONTRATADA, após a efetiva entrega do objeto e atesto do Fiscal do Contrato e Comissão de Recebimento na Nota Fiscal; </w:t>
      </w:r>
    </w:p>
    <w:p w14:paraId="5946649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color w:val="000000"/>
          <w:sz w:val="22"/>
          <w:szCs w:val="22"/>
        </w:rPr>
      </w:pPr>
      <w:r>
        <w:rPr>
          <w:rFonts w:hint="default" w:ascii="Arial" w:hAnsi="Arial" w:eastAsia="Calibri" w:cs="Arial"/>
          <w:color w:val="000000"/>
          <w:sz w:val="22"/>
          <w:szCs w:val="22"/>
          <w:lang w:val="pt-BR"/>
        </w:rPr>
        <w:t xml:space="preserve">3.4.6 </w:t>
      </w:r>
      <w:r>
        <w:rPr>
          <w:rFonts w:hint="default" w:ascii="Arial" w:hAnsi="Arial" w:eastAsia="Calibri" w:cs="Arial"/>
          <w:color w:val="000000"/>
          <w:sz w:val="22"/>
          <w:szCs w:val="22"/>
        </w:rPr>
        <w:t xml:space="preserve">Manter a compatibilidade com as obrigações assumidas durante toda a execução do contrato; </w:t>
      </w:r>
    </w:p>
    <w:p w14:paraId="3D889B6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52BB39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3.5 DA HABILITAÇÃO </w:t>
      </w:r>
      <w:r>
        <w:rPr>
          <w:rFonts w:hint="default" w:ascii="Arial" w:hAnsi="Arial" w:cs="Arial"/>
          <w:sz w:val="22"/>
          <w:szCs w:val="22"/>
        </w:rPr>
        <w:t>Para 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14:paraId="322CF663">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Inscrição no Cadastro Nacional da Pessoa Jurídica (CNPJ);</w:t>
      </w:r>
    </w:p>
    <w:p w14:paraId="2DEB6643">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Contrato Social com todas as alterações e/ou equivalente que comprove a aptidão da empresa para atendimento do objeto ora licitado;</w:t>
      </w:r>
    </w:p>
    <w:p w14:paraId="6127E8D9">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54A6A5CC">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Certidão Negativa da Receita Estadual;</w:t>
      </w:r>
    </w:p>
    <w:p w14:paraId="004B2C75">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Certidão Negativa Débito Municipal do domicílio ou sede da empresa licitante;</w:t>
      </w:r>
    </w:p>
    <w:p w14:paraId="15211FC9">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Certificado de Regularidade relativa à Seguridade Social e ao FGTS, que demonstre cumprimento dos encargos sociais instituídos por lei;</w:t>
      </w:r>
    </w:p>
    <w:p w14:paraId="2043EFBB">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Certidão Negativa de Débitos Trabalhistas – CNDT, emitida pela Justiça do Trabalho;</w:t>
      </w:r>
    </w:p>
    <w:p w14:paraId="6C0194E3">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ascii="Arial" w:hAnsi="Arial" w:cs="Arial"/>
        </w:rPr>
      </w:pPr>
      <w:r>
        <w:rPr>
          <w:rFonts w:ascii="Arial" w:hAnsi="Arial" w:cs="Arial"/>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449BF803">
      <w:pPr>
        <w:keepNext w:val="0"/>
        <w:keepLines w:val="0"/>
        <w:pageBreakBefore w:val="0"/>
        <w:widowControl/>
        <w:numPr>
          <w:ilvl w:val="0"/>
          <w:numId w:val="1"/>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ascii="Arial" w:hAnsi="Arial" w:cs="Arial"/>
        </w:rPr>
        <w:t>Certidão Negativa de concordata e falência do Cartório Distribuidor da Comarca sede da proponente, emitida a menos de 90 (noventa) dias da data de abertura das Propostas</w:t>
      </w:r>
      <w:r>
        <w:rPr>
          <w:rFonts w:hint="default" w:ascii="Arial" w:hAnsi="Arial" w:cs="Arial"/>
          <w:lang w:val="pt-BR"/>
        </w:rPr>
        <w:t>.</w:t>
      </w:r>
    </w:p>
    <w:p w14:paraId="347A918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EB21F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4. ESTIMATIVA DAS QUANTIDADES</w:t>
      </w:r>
    </w:p>
    <w:p w14:paraId="5FD3ACCB">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rPr>
      </w:pPr>
      <w:r>
        <w:rPr>
          <w:rFonts w:hint="default" w:ascii="Arial" w:hAnsi="Arial" w:cs="Arial"/>
          <w:sz w:val="22"/>
          <w:szCs w:val="22"/>
        </w:rPr>
        <w:t>Os quantitativos estimados para a contratação pretendida têm como parâmetro as últimas contratações com o mesmo objeto, realizadas por esta Administração. Neste sentido, seque memória de cálculo:</w:t>
      </w:r>
    </w:p>
    <w:tbl>
      <w:tblPr>
        <w:tblStyle w:val="19"/>
        <w:tblW w:w="4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972"/>
        <w:gridCol w:w="2972"/>
        <w:gridCol w:w="2974"/>
      </w:tblGrid>
      <w:tr w14:paraId="5B80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1" w:hRule="atLeast"/>
          <w:jc w:val="center"/>
        </w:trPr>
        <w:tc>
          <w:tcPr>
            <w:tcW w:w="1666" w:type="pct"/>
            <w:shd w:val="clear" w:color="auto" w:fill="E7E6E6" w:themeFill="background2"/>
            <w:vAlign w:val="center"/>
          </w:tcPr>
          <w:p w14:paraId="4956C97F">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bCs/>
                <w:sz w:val="20"/>
                <w:szCs w:val="20"/>
                <w:lang w:val="pt-BR" w:eastAsia="pt-BR" w:bidi="ar-SA"/>
              </w:rPr>
            </w:pPr>
            <w:r>
              <w:rPr>
                <w:rFonts w:hint="default" w:ascii="Arial" w:hAnsi="Arial" w:cs="Arial"/>
                <w:b/>
                <w:bCs/>
                <w:sz w:val="20"/>
                <w:szCs w:val="20"/>
                <w:lang w:val="pt-BR"/>
              </w:rPr>
              <w:t>PROCESSO</w:t>
            </w:r>
          </w:p>
        </w:tc>
        <w:tc>
          <w:tcPr>
            <w:tcW w:w="1666" w:type="pct"/>
            <w:shd w:val="clear" w:color="auto" w:fill="E7E6E6" w:themeFill="background2"/>
            <w:vAlign w:val="center"/>
          </w:tcPr>
          <w:p w14:paraId="6C62892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b/>
                <w:bCs/>
                <w:sz w:val="20"/>
                <w:szCs w:val="20"/>
              </w:rPr>
              <w:t>CONSUMO</w:t>
            </w:r>
            <w:r>
              <w:rPr>
                <w:rFonts w:hint="default" w:ascii="Arial" w:hAnsi="Arial" w:cs="Arial"/>
                <w:b/>
                <w:bCs/>
                <w:sz w:val="20"/>
                <w:szCs w:val="20"/>
                <w:lang w:val="pt-BR"/>
              </w:rPr>
              <w:t xml:space="preserve"> </w:t>
            </w:r>
            <w:r>
              <w:rPr>
                <w:rFonts w:hint="default" w:ascii="Arial" w:hAnsi="Arial" w:cs="Arial"/>
                <w:b w:val="0"/>
                <w:bCs w:val="0"/>
                <w:sz w:val="20"/>
                <w:szCs w:val="20"/>
                <w:lang w:val="pt-BR"/>
              </w:rPr>
              <w:t>(Valor)</w:t>
            </w:r>
          </w:p>
        </w:tc>
        <w:tc>
          <w:tcPr>
            <w:tcW w:w="1667" w:type="pct"/>
            <w:shd w:val="clear" w:color="auto" w:fill="E7E6E6" w:themeFill="background2"/>
            <w:vAlign w:val="center"/>
          </w:tcPr>
          <w:p w14:paraId="3CDE29CA">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b/>
                <w:bCs/>
                <w:sz w:val="20"/>
                <w:szCs w:val="20"/>
              </w:rPr>
              <w:t>CONSUMO</w:t>
            </w:r>
            <w:r>
              <w:rPr>
                <w:rFonts w:hint="default" w:ascii="Arial" w:hAnsi="Arial" w:cs="Arial"/>
                <w:b/>
                <w:bCs/>
                <w:sz w:val="20"/>
                <w:szCs w:val="20"/>
                <w:lang w:val="pt-BR"/>
              </w:rPr>
              <w:t xml:space="preserve"> </w:t>
            </w:r>
            <w:r>
              <w:rPr>
                <w:rFonts w:hint="default" w:ascii="Arial" w:hAnsi="Arial" w:cs="Arial"/>
                <w:b w:val="0"/>
                <w:bCs w:val="0"/>
                <w:sz w:val="20"/>
                <w:szCs w:val="20"/>
                <w:lang w:val="pt-BR"/>
              </w:rPr>
              <w:t>(Quantidade)</w:t>
            </w:r>
          </w:p>
        </w:tc>
      </w:tr>
      <w:tr w14:paraId="230C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1" w:hRule="atLeast"/>
          <w:jc w:val="center"/>
        </w:trPr>
        <w:tc>
          <w:tcPr>
            <w:tcW w:w="1666" w:type="pct"/>
            <w:shd w:val="clear"/>
            <w:vAlign w:val="top"/>
          </w:tcPr>
          <w:p w14:paraId="4BE414FB">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PRD 90/2024</w:t>
            </w:r>
          </w:p>
        </w:tc>
        <w:tc>
          <w:tcPr>
            <w:tcW w:w="1666" w:type="pct"/>
            <w:shd w:val="clear"/>
            <w:vAlign w:val="top"/>
          </w:tcPr>
          <w:p w14:paraId="4AD6A69C">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R$ 2.076,00</w:t>
            </w:r>
          </w:p>
        </w:tc>
        <w:tc>
          <w:tcPr>
            <w:tcW w:w="1667" w:type="pct"/>
            <w:shd w:val="clear"/>
            <w:vAlign w:val="top"/>
          </w:tcPr>
          <w:p w14:paraId="58904DA2">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121</w:t>
            </w:r>
          </w:p>
        </w:tc>
      </w:tr>
      <w:tr w14:paraId="44ACD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1" w:hRule="atLeast"/>
          <w:jc w:val="center"/>
        </w:trPr>
        <w:tc>
          <w:tcPr>
            <w:tcW w:w="1666" w:type="pct"/>
            <w:shd w:val="clear"/>
            <w:vAlign w:val="top"/>
          </w:tcPr>
          <w:p w14:paraId="0833131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PRD 27/2022</w:t>
            </w:r>
          </w:p>
        </w:tc>
        <w:tc>
          <w:tcPr>
            <w:tcW w:w="1666" w:type="pct"/>
            <w:shd w:val="clear"/>
            <w:vAlign w:val="top"/>
          </w:tcPr>
          <w:p w14:paraId="26FDA641">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R$ 7.419,86</w:t>
            </w:r>
          </w:p>
        </w:tc>
        <w:tc>
          <w:tcPr>
            <w:tcW w:w="1667" w:type="pct"/>
            <w:shd w:val="clear"/>
            <w:vAlign w:val="top"/>
          </w:tcPr>
          <w:p w14:paraId="0AD54DA2">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629</w:t>
            </w:r>
          </w:p>
        </w:tc>
      </w:tr>
      <w:tr w14:paraId="470D0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31" w:hRule="atLeast"/>
          <w:jc w:val="center"/>
        </w:trPr>
        <w:tc>
          <w:tcPr>
            <w:tcW w:w="1666" w:type="pct"/>
            <w:shd w:val="clear"/>
            <w:vAlign w:val="top"/>
          </w:tcPr>
          <w:p w14:paraId="740BEEE3">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PRD 81/2021</w:t>
            </w:r>
          </w:p>
        </w:tc>
        <w:tc>
          <w:tcPr>
            <w:tcW w:w="1666" w:type="pct"/>
            <w:shd w:val="clear"/>
            <w:vAlign w:val="top"/>
          </w:tcPr>
          <w:p w14:paraId="7CA304B5">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R$ 1.010,88</w:t>
            </w:r>
          </w:p>
        </w:tc>
        <w:tc>
          <w:tcPr>
            <w:tcW w:w="1667" w:type="pct"/>
            <w:shd w:val="clear"/>
            <w:vAlign w:val="top"/>
          </w:tcPr>
          <w:p w14:paraId="4289A88C">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sz w:val="20"/>
                <w:szCs w:val="20"/>
                <w:lang w:val="pt-BR" w:eastAsia="pt-BR" w:bidi="ar-SA"/>
              </w:rPr>
            </w:pPr>
            <w:r>
              <w:rPr>
                <w:rFonts w:hint="default" w:ascii="Arial" w:hAnsi="Arial" w:cs="Arial"/>
                <w:sz w:val="20"/>
                <w:szCs w:val="20"/>
                <w:lang w:val="pt-BR"/>
              </w:rPr>
              <w:t>69</w:t>
            </w:r>
          </w:p>
        </w:tc>
      </w:tr>
      <w:tr w14:paraId="29724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340" w:hRule="atLeast"/>
          <w:jc w:val="center"/>
        </w:trPr>
        <w:tc>
          <w:tcPr>
            <w:tcW w:w="1666" w:type="pct"/>
            <w:shd w:val="clear"/>
            <w:vAlign w:val="top"/>
          </w:tcPr>
          <w:p w14:paraId="6A3FB7F1">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bCs/>
                <w:sz w:val="20"/>
                <w:szCs w:val="20"/>
                <w:lang w:val="pt-BR" w:eastAsia="pt-BR" w:bidi="ar-SA"/>
              </w:rPr>
            </w:pPr>
            <w:r>
              <w:rPr>
                <w:rFonts w:hint="default" w:ascii="Arial" w:hAnsi="Arial" w:cs="Arial"/>
                <w:b/>
                <w:bCs/>
                <w:sz w:val="20"/>
                <w:szCs w:val="20"/>
                <w:lang w:val="pt-BR"/>
              </w:rPr>
              <w:t>A ser encaminhado</w:t>
            </w:r>
          </w:p>
        </w:tc>
        <w:tc>
          <w:tcPr>
            <w:tcW w:w="1666" w:type="pct"/>
            <w:shd w:val="clear"/>
            <w:vAlign w:val="top"/>
          </w:tcPr>
          <w:p w14:paraId="1F47997F">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bCs/>
                <w:sz w:val="20"/>
                <w:szCs w:val="20"/>
                <w:lang w:val="pt-BR" w:eastAsia="pt-BR" w:bidi="ar-SA"/>
              </w:rPr>
            </w:pPr>
            <w:r>
              <w:rPr>
                <w:rFonts w:hint="default" w:ascii="Arial" w:hAnsi="Arial" w:cs="Arial"/>
                <w:b/>
                <w:bCs/>
                <w:sz w:val="20"/>
                <w:szCs w:val="20"/>
                <w:lang w:val="pt-BR"/>
              </w:rPr>
              <w:t>R$ 30.100,00</w:t>
            </w:r>
          </w:p>
        </w:tc>
        <w:tc>
          <w:tcPr>
            <w:tcW w:w="1667" w:type="pct"/>
            <w:shd w:val="clear"/>
            <w:vAlign w:val="top"/>
          </w:tcPr>
          <w:p w14:paraId="6AAA7C02">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default" w:ascii="Arial" w:hAnsi="Arial" w:eastAsia="Calibri" w:cs="Arial"/>
                <w:b/>
                <w:bCs/>
                <w:sz w:val="20"/>
                <w:szCs w:val="20"/>
                <w:lang w:val="pt-BR" w:eastAsia="pt-BR" w:bidi="ar-SA"/>
              </w:rPr>
            </w:pPr>
            <w:r>
              <w:rPr>
                <w:rFonts w:hint="default" w:ascii="Arial" w:hAnsi="Arial" w:cs="Arial"/>
                <w:b/>
                <w:bCs/>
                <w:sz w:val="20"/>
                <w:szCs w:val="20"/>
                <w:lang w:val="pt-BR"/>
              </w:rPr>
              <w:t>920</w:t>
            </w:r>
          </w:p>
        </w:tc>
      </w:tr>
    </w:tbl>
    <w:p w14:paraId="7886443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5CE969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Tal quantitativo justifica-se tendo em vista que foi preciso aumentar a quantidade do item SCANNER DE PLANTA pois o quantitativo estimado no processo anterior (PRD 90/2024) mostrou-se insuficiente para atender as demandas da Secretaria de Planejamento. Dessa forma, ao encaminhar novo processo, a Secretaria aumentou a estimativa de consumo para esse item, aumentando consequentemente o valor geral da contratação. </w:t>
      </w:r>
    </w:p>
    <w:p w14:paraId="4214F84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Ainda, tal quantitativo vida suprir a necessidade do objeto requisitado por todo o período de vigência do contrato, bem como sua possível prorrogação de prazo de vigência, garantindo a continuidade dos serviços públicos.</w:t>
      </w:r>
    </w:p>
    <w:p w14:paraId="09177C2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lang w:val="pt-BR"/>
        </w:rPr>
        <w:t>Conforme a Secretaria demandante houve também um aumento expressivo de projetos em andamento e à necessidade de digitalizar e tramitar um grande volume de processos, pelo fato de todos os projetos de engenharia são via SISTEMA SISLAM, torna-se indispensável ampliar a quantidade de cópias previstas no Processo de Dispensa.</w:t>
      </w:r>
    </w:p>
    <w:p w14:paraId="673C70C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46552266">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sz w:val="22"/>
          <w:szCs w:val="22"/>
        </w:rPr>
      </w:pPr>
      <w:r>
        <w:rPr>
          <w:rFonts w:hint="default" w:ascii="Arial" w:hAnsi="Arial" w:cs="Arial"/>
          <w:b/>
          <w:bCs/>
          <w:sz w:val="22"/>
          <w:szCs w:val="22"/>
        </w:rPr>
        <w:t>5. ALTERNATIVAS DISPONÍVEIS NO MERCADO</w:t>
      </w:r>
    </w:p>
    <w:p w14:paraId="4079FC3D">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Conforme pesquisa de mercado realizada, para solução da necessidade administrativa, objeto do presente Estudo Técnico Preliminar, vislumbra-se possível, sob o aspecto técnico e econômico, a contratação de empresas especializadas em </w:t>
      </w:r>
      <w:r>
        <w:rPr>
          <w:rFonts w:hint="default" w:ascii="Arial" w:hAnsi="Arial" w:cs="Arial"/>
          <w:sz w:val="22"/>
          <w:szCs w:val="22"/>
          <w:lang w:val="pt-BR"/>
        </w:rPr>
        <w:t xml:space="preserve">serviços de plotagem. </w:t>
      </w:r>
    </w:p>
    <w:p w14:paraId="4C970333">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lang w:val="pt-BR"/>
        </w:rPr>
      </w:pPr>
      <w:r>
        <w:rPr>
          <w:rFonts w:hint="default" w:ascii="Arial" w:hAnsi="Arial" w:cs="Arial"/>
          <w:sz w:val="22"/>
          <w:szCs w:val="22"/>
          <w:lang w:val="pt-BR"/>
        </w:rPr>
        <w:t>Dentre as possíveis soluções encontram-se:</w:t>
      </w:r>
    </w:p>
    <w:p w14:paraId="55595F86">
      <w:pPr>
        <w:keepNext w:val="0"/>
        <w:keepLines w:val="0"/>
        <w:pageBreakBefore w:val="0"/>
        <w:widowControl/>
        <w:numPr>
          <w:ilvl w:val="0"/>
          <w:numId w:val="2"/>
        </w:numPr>
        <w:tabs>
          <w:tab w:val="clear" w:pos="425"/>
        </w:tabs>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lang w:val="pt-BR"/>
        </w:rPr>
      </w:pPr>
      <w:r>
        <w:rPr>
          <w:rFonts w:hint="default" w:ascii="Arial" w:hAnsi="Arial" w:cs="Arial"/>
          <w:sz w:val="22"/>
          <w:szCs w:val="22"/>
          <w:lang w:val="pt-BR"/>
        </w:rPr>
        <w:t>Contratação de empresa especializada para prestação dos serviços</w:t>
      </w:r>
    </w:p>
    <w:p w14:paraId="5138A0FB">
      <w:pPr>
        <w:keepNext w:val="0"/>
        <w:keepLines w:val="0"/>
        <w:pageBreakBefore w:val="0"/>
        <w:widowControl/>
        <w:numPr>
          <w:ilvl w:val="0"/>
          <w:numId w:val="2"/>
        </w:numPr>
        <w:tabs>
          <w:tab w:val="clear" w:pos="425"/>
        </w:tabs>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lang w:val="pt-BR"/>
        </w:rPr>
      </w:pPr>
      <w:r>
        <w:rPr>
          <w:rFonts w:hint="default" w:ascii="Arial" w:hAnsi="Arial" w:cs="Arial"/>
          <w:sz w:val="22"/>
          <w:szCs w:val="22"/>
          <w:lang w:val="pt-BR"/>
        </w:rPr>
        <w:t>Aquisição de equipamento e maquinário para a realização das impressões pelo próprio município.</w:t>
      </w:r>
    </w:p>
    <w:p w14:paraId="022EC368">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eastAsia="Calibri" w:cs="Arial"/>
          <w:sz w:val="22"/>
          <w:szCs w:val="22"/>
          <w:lang w:val="en-US" w:eastAsia="pt-BR" w:bidi="ar-SA"/>
        </w:rPr>
      </w:pPr>
      <w:r>
        <w:rPr>
          <w:rFonts w:hint="default" w:ascii="Arial" w:hAnsi="Arial" w:eastAsia="Calibri" w:cs="Arial"/>
          <w:sz w:val="22"/>
          <w:szCs w:val="22"/>
          <w:lang w:val="pt-BR" w:eastAsia="pt-BR" w:bidi="ar-SA"/>
        </w:rPr>
        <w:t>Embora tecnicamente possível, a alternativa 2 demandaria elevado investimento inicial, custos contínuos com manutenção, aquisição de insumos e capacitação de servidores, além do risco de subutilização dos equipamentos, considerando a natureza variável da demanda do Município.</w:t>
      </w:r>
      <w:r>
        <w:rPr>
          <w:rFonts w:hint="default" w:ascii="Arial" w:hAnsi="Arial" w:eastAsia="Calibri" w:cs="Arial"/>
          <w:sz w:val="22"/>
          <w:szCs w:val="22"/>
          <w:lang w:val="en-US" w:eastAsia="pt-BR" w:bidi="ar-SA"/>
        </w:rPr>
        <w:t xml:space="preserve"> </w:t>
      </w:r>
      <w:r>
        <w:rPr>
          <w:rFonts w:hint="default" w:ascii="Arial" w:hAnsi="Arial" w:eastAsia="Calibri" w:cs="Arial"/>
          <w:sz w:val="22"/>
          <w:szCs w:val="22"/>
          <w:lang w:val="pt-BR" w:eastAsia="pt-BR" w:bidi="ar-SA"/>
        </w:rPr>
        <w:t>A aquisição e manutenção desses equipamentos também implicaria em custos elevados, o que tornaria a solução economicamente desvantajosa para a Administração.</w:t>
      </w:r>
    </w:p>
    <w:p w14:paraId="63CFB365">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Diante disso, conclui-se que a contratação de empresa especializada para a prestação dos serviços de plotagem é a solução que melhor atende a necessidade da Secretaria de Planejamento</w:t>
      </w:r>
      <w:r>
        <w:rPr>
          <w:rFonts w:hint="default" w:ascii="Arial" w:hAnsi="Arial" w:eastAsia="Calibri" w:cs="Arial"/>
          <w:sz w:val="22"/>
          <w:szCs w:val="22"/>
          <w:lang w:val="en-US" w:eastAsia="pt-BR" w:bidi="ar-SA"/>
        </w:rPr>
        <w:t xml:space="preserve">. </w:t>
      </w:r>
      <w:r>
        <w:rPr>
          <w:rFonts w:hint="default" w:ascii="Arial" w:hAnsi="Arial" w:eastAsia="Calibri" w:cs="Arial"/>
          <w:sz w:val="22"/>
          <w:szCs w:val="22"/>
          <w:lang w:val="pt-BR" w:eastAsia="pt-BR" w:bidi="ar-SA"/>
        </w:rPr>
        <w:t>Neste sentido, segue indicação de potenciais prestadores de serviços:</w:t>
      </w:r>
    </w:p>
    <w:p w14:paraId="21779096">
      <w:pPr>
        <w:pStyle w:val="13"/>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60" w:lineRule="auto"/>
        <w:ind w:left="420" w:leftChars="0" w:hanging="420" w:firstLineChars="0"/>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LP PRINT IMPRESSOES DIGITAIS LTDA. - ME -CNPJ 26.212.277/0001-71</w:t>
      </w:r>
    </w:p>
    <w:p w14:paraId="586DBF14">
      <w:pPr>
        <w:pStyle w:val="13"/>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60" w:lineRule="auto"/>
        <w:ind w:left="420" w:leftChars="0" w:hanging="420" w:firstLineChars="0"/>
        <w:jc w:val="both"/>
        <w:textAlignment w:val="auto"/>
        <w:rPr>
          <w:rFonts w:hint="default" w:ascii="Arial" w:hAnsi="Arial" w:eastAsia="Calibri" w:cs="Arial"/>
          <w:sz w:val="22"/>
          <w:szCs w:val="22"/>
          <w:lang w:val="pt-BR" w:eastAsia="pt-BR" w:bidi="ar-SA"/>
        </w:rPr>
      </w:pPr>
      <w:r>
        <w:rPr>
          <w:rFonts w:hint="default" w:ascii="Arial" w:hAnsi="Arial" w:eastAsia="Calibri" w:cs="Arial"/>
          <w:sz w:val="22"/>
          <w:szCs w:val="22"/>
          <w:lang w:val="pt-BR" w:eastAsia="pt-BR" w:bidi="ar-SA"/>
        </w:rPr>
        <w:t>KONTATO FOTO LTDA - CNPJ 95.162.798/0002-65</w:t>
      </w:r>
    </w:p>
    <w:p w14:paraId="43EF6C4E">
      <w:pPr>
        <w:pStyle w:val="13"/>
        <w:keepNext w:val="0"/>
        <w:keepLines w:val="0"/>
        <w:pageBreakBefore w:val="0"/>
        <w:widowControl/>
        <w:numPr>
          <w:ilvl w:val="0"/>
          <w:numId w:val="3"/>
        </w:numPr>
        <w:suppressLineNumbers w:val="0"/>
        <w:kinsoku/>
        <w:wordWrap/>
        <w:overflowPunct/>
        <w:topLinePunct w:val="0"/>
        <w:autoSpaceDE/>
        <w:autoSpaceDN/>
        <w:bidi w:val="0"/>
        <w:adjustRightInd/>
        <w:snapToGrid/>
        <w:spacing w:before="0" w:beforeAutospacing="0" w:after="0" w:afterAutospacing="0" w:line="360" w:lineRule="auto"/>
        <w:ind w:left="420" w:leftChars="0" w:hanging="420" w:firstLineChars="0"/>
        <w:jc w:val="both"/>
        <w:textAlignment w:val="auto"/>
        <w:rPr>
          <w:rFonts w:hint="default" w:ascii="Arial" w:hAnsi="Arial" w:eastAsia="Calibri" w:cs="Arial"/>
          <w:sz w:val="22"/>
          <w:szCs w:val="22"/>
          <w:lang w:val="pt-BR" w:eastAsia="pt-BR" w:bidi="ar-SA"/>
        </w:rPr>
      </w:pPr>
      <w:r>
        <w:rPr>
          <w:rFonts w:hint="default" w:ascii="Arial" w:hAnsi="Arial" w:eastAsia="Calibri"/>
          <w:sz w:val="22"/>
          <w:szCs w:val="22"/>
          <w:lang w:val="pt-BR" w:eastAsia="pt-BR"/>
        </w:rPr>
        <w:t>IMPRIVALE SERVICOS DE IMPRESSAO E PERSONALIZADOS LTDA</w:t>
      </w:r>
      <w:r>
        <w:rPr>
          <w:rFonts w:hint="default" w:ascii="Arial" w:hAnsi="Arial" w:eastAsia="Calibri"/>
          <w:sz w:val="22"/>
          <w:szCs w:val="22"/>
          <w:lang w:val="en-US" w:eastAsia="pt-BR"/>
        </w:rPr>
        <w:t xml:space="preserve"> - CNPJ 47.422.285/0001-12</w:t>
      </w:r>
    </w:p>
    <w:p w14:paraId="4A3D2C75">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 xml:space="preserve">Tais referências foram obtidas por meio de pesquisa, efetuadas com base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1FC82933">
      <w:pPr>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0B4D3E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6. ESTIMATIVA DO VALOR DA CONTRATAÇÃO</w:t>
      </w:r>
    </w:p>
    <w:p w14:paraId="08C6BAB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eastAsia="zh-CN"/>
        </w:rPr>
      </w:pPr>
      <w:r>
        <w:rPr>
          <w:rFonts w:hint="default" w:ascii="Arial" w:hAnsi="Arial" w:cs="Arial"/>
          <w:sz w:val="22"/>
          <w:szCs w:val="22"/>
        </w:rPr>
        <w:t>Estima-se para a contratação almejada o valor</w:t>
      </w:r>
      <w:r>
        <w:rPr>
          <w:rFonts w:hint="default" w:ascii="Arial" w:hAnsi="Arial" w:cs="Arial"/>
          <w:sz w:val="22"/>
          <w:szCs w:val="22"/>
          <w:highlight w:val="none"/>
        </w:rPr>
        <w:t xml:space="preserve"> total de </w:t>
      </w:r>
      <w:r>
        <w:rPr>
          <w:rFonts w:hint="default" w:ascii="Arial" w:hAnsi="Arial" w:cs="Arial"/>
          <w:b/>
          <w:bCs/>
          <w:sz w:val="22"/>
          <w:szCs w:val="22"/>
          <w:highlight w:val="none"/>
        </w:rPr>
        <w:t>R$</w:t>
      </w:r>
      <w:r>
        <w:rPr>
          <w:rFonts w:hint="default" w:ascii="Arial" w:hAnsi="Arial" w:cs="Arial"/>
          <w:b/>
          <w:bCs/>
          <w:sz w:val="22"/>
          <w:szCs w:val="22"/>
          <w:highlight w:val="none"/>
          <w:lang w:val="pt-BR"/>
        </w:rPr>
        <w:t xml:space="preserve"> 30.100,00</w:t>
      </w:r>
      <w:r>
        <w:rPr>
          <w:rFonts w:hint="default" w:ascii="Arial" w:hAnsi="Arial" w:cs="Arial"/>
          <w:sz w:val="22"/>
          <w:szCs w:val="22"/>
          <w:highlight w:val="none"/>
          <w:lang w:val="pt-BR"/>
        </w:rPr>
        <w:t xml:space="preserve"> (Trinta mil e cem reais). </w:t>
      </w:r>
      <w:r>
        <w:rPr>
          <w:rFonts w:hint="default" w:ascii="Arial" w:hAnsi="Arial" w:cs="Arial"/>
          <w:sz w:val="22"/>
          <w:szCs w:val="22"/>
          <w:highlight w:val="none"/>
        </w:rPr>
        <w:t xml:space="preserve">Vislumbra-se que tal valor é compatível com o praticado pelo mercado correspondente, </w:t>
      </w:r>
      <w:r>
        <w:rPr>
          <w:rFonts w:hint="default" w:ascii="Arial" w:hAnsi="Arial" w:cs="Arial"/>
          <w:sz w:val="22"/>
          <w:szCs w:val="22"/>
          <w:highlight w:val="none"/>
          <w:lang w:val="pt-BR"/>
        </w:rPr>
        <w:t xml:space="preserve">considerando a pesquisa de preços </w:t>
      </w:r>
      <w:r>
        <w:rPr>
          <w:rFonts w:hint="default" w:ascii="Arial" w:hAnsi="Arial" w:cs="Arial"/>
          <w:sz w:val="22"/>
          <w:szCs w:val="22"/>
          <w:lang w:val="pt-BR"/>
        </w:rPr>
        <w:t xml:space="preserve">realizada pelo setor de compras que utilizou como parâmetro a  pesquisa direta com no mínimo 3 fornecedores e pesquisa em banco de preços, conforme </w:t>
      </w:r>
      <w:r>
        <w:rPr>
          <w:rFonts w:hint="default" w:ascii="Arial" w:hAnsi="Arial" w:cs="Arial"/>
          <w:sz w:val="22"/>
          <w:szCs w:val="22"/>
          <w:lang w:val="pt-BR" w:eastAsia="zh-CN"/>
        </w:rPr>
        <w:t xml:space="preserve">inciso II e IV do §1º do Art. 23. Assegurando a razoabilidade e a economicidade da contratação. </w:t>
      </w:r>
    </w:p>
    <w:p w14:paraId="4E00CB4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O</w:t>
      </w:r>
      <w:r>
        <w:rPr>
          <w:rFonts w:hint="default" w:ascii="Arial" w:hAnsi="Arial" w:cs="Arial"/>
          <w:sz w:val="22"/>
          <w:szCs w:val="22"/>
        </w:rPr>
        <w:t xml:space="preserve">bservando-se o disposto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162B065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335B4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7.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A solução proposta é a contratação de empresa especializada para </w:t>
      </w:r>
      <w:r>
        <w:rPr>
          <w:rFonts w:hint="default" w:ascii="Arial" w:hAnsi="Arial" w:cs="Arial"/>
          <w:sz w:val="22"/>
          <w:szCs w:val="22"/>
          <w:lang w:val="pt-BR"/>
        </w:rPr>
        <w:t xml:space="preserve">a </w:t>
      </w:r>
      <w:r>
        <w:rPr>
          <w:rFonts w:hint="default" w:ascii="Arial" w:hAnsi="Arial" w:cs="Arial"/>
          <w:sz w:val="22"/>
          <w:szCs w:val="22"/>
        </w:rPr>
        <w:t xml:space="preserve">prestação de serviços de </w:t>
      </w:r>
      <w:r>
        <w:rPr>
          <w:rFonts w:hint="default" w:ascii="Arial" w:hAnsi="Arial" w:cs="Arial"/>
          <w:sz w:val="22"/>
          <w:szCs w:val="22"/>
          <w:lang w:val="pt-BR"/>
        </w:rPr>
        <w:t>plotagem</w:t>
      </w:r>
      <w:r>
        <w:rPr>
          <w:rFonts w:hint="default" w:ascii="Arial" w:hAnsi="Arial" w:cs="Arial"/>
          <w:sz w:val="22"/>
          <w:szCs w:val="22"/>
        </w:rPr>
        <w:t>, conforme as especificações</w:t>
      </w:r>
      <w:r>
        <w:rPr>
          <w:rFonts w:hint="default" w:ascii="Arial" w:hAnsi="Arial" w:cs="Arial"/>
          <w:sz w:val="22"/>
          <w:szCs w:val="22"/>
          <w:lang w:val="pt-BR"/>
        </w:rPr>
        <w:t xml:space="preserve"> e</w:t>
      </w:r>
      <w:r>
        <w:rPr>
          <w:rFonts w:hint="default" w:ascii="Arial" w:hAnsi="Arial" w:cs="Arial"/>
          <w:sz w:val="22"/>
          <w:szCs w:val="22"/>
        </w:rPr>
        <w:t xml:space="preserve"> condições</w:t>
      </w:r>
      <w:r>
        <w:rPr>
          <w:rFonts w:hint="default" w:ascii="Arial" w:hAnsi="Arial" w:cs="Arial"/>
          <w:sz w:val="22"/>
          <w:szCs w:val="22"/>
          <w:lang w:val="pt-BR"/>
        </w:rPr>
        <w:t xml:space="preserve"> dos itens 1 e 4.</w:t>
      </w:r>
    </w:p>
    <w:p w14:paraId="0451411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rPr>
      </w:pPr>
      <w:r>
        <w:rPr>
          <w:rFonts w:hint="default" w:ascii="Arial" w:hAnsi="Arial" w:eastAsia="Calibri" w:cs="Arial"/>
          <w:sz w:val="22"/>
          <w:szCs w:val="22"/>
        </w:rPr>
        <w:t>O presente processo deverá estar disponível para contratação por um período de até 12 meses, podendo ser renovado por igual(is) período(s), nos termos da Lei Federal n° 14.133/2021, havendo disponibilidade orçamentária e financeira para tal e se comprovada a continuidade da vantajosidade na referida renovação.</w:t>
      </w:r>
    </w:p>
    <w:p w14:paraId="65F1E5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Calibri" w:cs="Arial"/>
          <w:sz w:val="22"/>
          <w:szCs w:val="22"/>
        </w:rPr>
      </w:pPr>
    </w:p>
    <w:p w14:paraId="6086FA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8. JUSTIFICATIVA PARA O PARCELAMENTO OU NÃO DA CONTRATAÇÃO</w:t>
      </w:r>
    </w:p>
    <w:p w14:paraId="41A58F63">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178134BE">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17AF6F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3E5AC6B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5799CA2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p>
    <w:p w14:paraId="366175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14:paraId="0C0E309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0BB34CE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75C193D">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 w:name="art18§1ii"/>
      <w:bookmarkEnd w:id="1"/>
      <w:bookmarkStart w:id="2" w:name="art18§1iii"/>
      <w:bookmarkEnd w:id="2"/>
      <w:bookmarkStart w:id="3" w:name="art18§1vii"/>
      <w:bookmarkEnd w:id="3"/>
      <w:bookmarkStart w:id="4" w:name="art18§1v"/>
      <w:bookmarkEnd w:id="4"/>
      <w:bookmarkStart w:id="5" w:name="art18§1vi"/>
      <w:bookmarkEnd w:id="5"/>
      <w:bookmarkStart w:id="6" w:name="art18§1ix"/>
      <w:bookmarkEnd w:id="6"/>
      <w:bookmarkStart w:id="7" w:name="art18§1viii"/>
      <w:bookmarkEnd w:id="7"/>
      <w:bookmarkStart w:id="8" w:name="art18§1x"/>
      <w:bookmarkEnd w:id="8"/>
      <w:r>
        <w:rPr>
          <w:rFonts w:hint="default" w:ascii="Arial" w:hAnsi="Arial" w:cs="Arial"/>
          <w:b/>
          <w:bCs/>
          <w:color w:val="000000"/>
          <w:sz w:val="22"/>
          <w:szCs w:val="22"/>
        </w:rPr>
        <w:t>10. PROVIDÊNCIAS PRÉVIAS AO CONTRATO</w:t>
      </w:r>
    </w:p>
    <w:p w14:paraId="75352F1A">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xml:space="preserve"> Embora</w:t>
      </w:r>
      <w:r>
        <w:rPr>
          <w:rFonts w:hint="default" w:ascii="Arial" w:hAnsi="Arial" w:cs="Arial"/>
          <w:sz w:val="22"/>
          <w:szCs w:val="22"/>
        </w:rPr>
        <w:t xml:space="preserve">, para que a pretendida contratação tenha sucesso, é preciso que outras etapas sejam concluídas, quais sejam: </w:t>
      </w:r>
    </w:p>
    <w:p w14:paraId="6D0B88AD">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certificação de disponibilidade orçamentária; </w:t>
      </w:r>
    </w:p>
    <w:p w14:paraId="619E4671">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designação em Portaria de pregoeiro, equipe de apoio, agente de contratação (conforme o caso); </w:t>
      </w:r>
    </w:p>
    <w:p w14:paraId="5376582D">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elaboração de minuta do contrato; </w:t>
      </w:r>
    </w:p>
    <w:p w14:paraId="51D414B3">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encaminhamento do processo para análise jurídica; </w:t>
      </w:r>
    </w:p>
    <w:p w14:paraId="393FCFB7">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análise da manifestação jurídica e atendimento aos apontamentos constantes no parecer, mediante Nota Técnica com os ajustes indicados; </w:t>
      </w:r>
    </w:p>
    <w:p w14:paraId="2559D32F">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resposta a eventuais pedidos de esclarecimentos e/ou impugnação, caso aplicável; </w:t>
      </w:r>
    </w:p>
    <w:p w14:paraId="56128300">
      <w:pPr>
        <w:pStyle w:val="13"/>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425" w:leftChars="0" w:hanging="425" w:firstLineChars="0"/>
        <w:jc w:val="both"/>
        <w:textAlignment w:val="auto"/>
        <w:rPr>
          <w:rFonts w:hint="default" w:ascii="Arial" w:hAnsi="Arial" w:cs="Arial"/>
          <w:color w:val="000000"/>
          <w:sz w:val="22"/>
          <w:szCs w:val="22"/>
        </w:rPr>
      </w:pPr>
      <w:r>
        <w:rPr>
          <w:rFonts w:hint="default" w:ascii="Arial" w:hAnsi="Arial" w:cs="Arial"/>
          <w:sz w:val="22"/>
          <w:szCs w:val="22"/>
        </w:rPr>
        <w:t>realização de empenho;</w:t>
      </w:r>
    </w:p>
    <w:p w14:paraId="630DF3D9">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color w:val="000000"/>
          <w:sz w:val="22"/>
          <w:szCs w:val="22"/>
        </w:rPr>
        <w:t xml:space="preserve">A Secretaria de </w:t>
      </w:r>
      <w:r>
        <w:rPr>
          <w:rFonts w:hint="default" w:ascii="Arial" w:hAnsi="Arial" w:cs="Arial"/>
          <w:color w:val="000000"/>
          <w:sz w:val="22"/>
          <w:szCs w:val="22"/>
          <w:lang w:val="pt-BR"/>
        </w:rPr>
        <w:t>Planejamento</w:t>
      </w:r>
      <w:r>
        <w:rPr>
          <w:rFonts w:hint="default" w:ascii="Arial" w:hAnsi="Arial" w:cs="Arial"/>
          <w:color w:val="000000"/>
          <w:sz w:val="22"/>
          <w:szCs w:val="22"/>
        </w:rPr>
        <w:t xml:space="preserve"> indicará servidores para atuarem como gestor e fiscal do contrato.</w:t>
      </w:r>
    </w:p>
    <w:p w14:paraId="1275F8FD">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p>
    <w:p w14:paraId="05740667">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11. CONTRATAÇÕES CORRELATAS E/OU INTERDEPENDENTES</w:t>
      </w:r>
    </w:p>
    <w:p w14:paraId="252B49D5">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Este estudo não identificou a necessidade de realizar contratações acessórias para a perfeita execução do objeto, uma vez que todos os meios necessários para a operacionalização dos serviços podem ser supridos apenas com a contratação ora proposta.</w:t>
      </w:r>
      <w:r>
        <w:rPr>
          <w:rFonts w:hint="default" w:ascii="Arial" w:hAnsi="Arial" w:cs="Arial"/>
          <w:sz w:val="22"/>
          <w:szCs w:val="22"/>
          <w:lang w:val="pt-BR"/>
        </w:rPr>
        <w:t xml:space="preserve"> </w:t>
      </w:r>
      <w:r>
        <w:rPr>
          <w:rFonts w:hint="default" w:ascii="Arial" w:hAnsi="Arial" w:cs="Arial"/>
          <w:sz w:val="22"/>
          <w:szCs w:val="22"/>
        </w:rPr>
        <w:t xml:space="preserve">Os serviços que se pretende, portanto, são autônomos e prescindem de contratações correlatas ou interdependentes. </w:t>
      </w:r>
    </w:p>
    <w:p w14:paraId="186CDFEC">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0" w:name="art18§1xii"/>
      <w:bookmarkEnd w:id="10"/>
    </w:p>
    <w:p w14:paraId="3C702EA1">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12. POSSÍVEIS IMPACTOS AMBIENTAIS </w:t>
      </w:r>
    </w:p>
    <w:p w14:paraId="3E71DF7F">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lang w:val="pt-BR"/>
        </w:rPr>
        <w:t>Não v</w:t>
      </w:r>
      <w:r>
        <w:rPr>
          <w:rFonts w:hint="default" w:ascii="Arial" w:hAnsi="Arial" w:cs="Arial"/>
          <w:sz w:val="22"/>
          <w:szCs w:val="22"/>
        </w:rPr>
        <w:t>islumbram-se impactos ambientais provenientes desta contratação</w:t>
      </w:r>
      <w:r>
        <w:rPr>
          <w:rFonts w:hint="default" w:ascii="Arial" w:hAnsi="Arial" w:cs="Arial"/>
          <w:sz w:val="22"/>
          <w:szCs w:val="22"/>
          <w:lang w:val="pt-BR"/>
        </w:rPr>
        <w:t xml:space="preserve">. </w:t>
      </w:r>
      <w:r>
        <w:rPr>
          <w:rFonts w:hint="default" w:ascii="Arial" w:hAnsi="Arial" w:cs="Arial"/>
          <w:color w:val="000000"/>
          <w:sz w:val="22"/>
          <w:szCs w:val="22"/>
        </w:rPr>
        <w:t>Orientações complementares acerca da sustentabilidade da prestação almejada poderão ser repassadas pela fiscalização competente.</w:t>
      </w:r>
    </w:p>
    <w:p w14:paraId="519555C4">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color w:val="000000"/>
          <w:sz w:val="22"/>
          <w:szCs w:val="22"/>
        </w:rPr>
      </w:pPr>
    </w:p>
    <w:p w14:paraId="517D981B">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23A27E20">
      <w:pPr>
        <w:pStyle w:val="13"/>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28B7FF36">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cs="Arial"/>
          <w:sz w:val="22"/>
          <w:szCs w:val="22"/>
          <w:lang w:val="pt-BR"/>
        </w:rPr>
      </w:pPr>
      <w:r>
        <w:rPr>
          <w:rFonts w:hint="default" w:ascii="Arial" w:hAnsi="Arial" w:cs="Arial"/>
          <w:sz w:val="22"/>
          <w:szCs w:val="22"/>
          <w:lang w:val="pt-BR"/>
        </w:rPr>
        <w:t>Teutônia, 19 de janeiro de 2026.</w:t>
      </w:r>
    </w:p>
    <w:p w14:paraId="01E548BF">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cs="Arial"/>
          <w:sz w:val="22"/>
          <w:szCs w:val="22"/>
          <w:lang w:val="pt-BR"/>
        </w:rPr>
      </w:pPr>
    </w:p>
    <w:p w14:paraId="432B8A42">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cs="Arial"/>
          <w:sz w:val="22"/>
          <w:szCs w:val="22"/>
          <w:lang w:val="pt-BR"/>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102C1D4F">
        <w:tblPrEx>
          <w:tblCellMar>
            <w:top w:w="0" w:type="dxa"/>
            <w:left w:w="108" w:type="dxa"/>
            <w:bottom w:w="0" w:type="dxa"/>
            <w:right w:w="108" w:type="dxa"/>
          </w:tblCellMar>
        </w:tblPrEx>
        <w:trPr>
          <w:trHeight w:val="946" w:hRule="atLeast"/>
        </w:trPr>
        <w:tc>
          <w:tcPr>
            <w:tcW w:w="4643" w:type="dxa"/>
            <w:tcBorders>
              <w:top w:val="nil"/>
              <w:left w:val="nil"/>
              <w:bottom w:val="nil"/>
              <w:right w:val="nil"/>
            </w:tcBorders>
          </w:tcPr>
          <w:p w14:paraId="49F5E163">
            <w:pPr>
              <w:widowControl/>
              <w:shd w:val="clear" w:color="auto" w:fill="auto"/>
              <w:spacing w:before="0" w:after="0" w:line="360" w:lineRule="auto"/>
              <w:jc w:val="both"/>
              <w:rPr>
                <w:rFonts w:ascii="Arial" w:hAnsi="Arial" w:eastAsia="Times New Roman" w:cs="Arial"/>
                <w:sz w:val="18"/>
                <w:szCs w:val="18"/>
                <w:lang w:val="pt-BR" w:eastAsia="zh-CN" w:bidi="ar-SA"/>
              </w:rPr>
            </w:pPr>
            <w:r>
              <w:rPr>
                <w:rFonts w:ascii="Arial" w:hAnsi="Arial" w:eastAsia="Times New Roman" w:cs="Arial"/>
                <w:sz w:val="18"/>
                <w:szCs w:val="18"/>
                <w:lang w:val="pt-BR" w:eastAsia="zh-CN" w:bidi="ar-SA"/>
              </w:rPr>
              <w:t>Rafaela Allebrandt</w:t>
            </w:r>
          </w:p>
          <w:p w14:paraId="47E22337">
            <w:pPr>
              <w:widowControl/>
              <w:shd w:val="clear" w:color="auto" w:fill="auto"/>
              <w:spacing w:before="0" w:after="0" w:line="360" w:lineRule="auto"/>
              <w:jc w:val="both"/>
              <w:rPr>
                <w:rFonts w:hint="default" w:ascii="Arial" w:hAnsi="Arial" w:eastAsia="Times New Roman" w:cs="Arial"/>
                <w:sz w:val="18"/>
                <w:szCs w:val="18"/>
                <w:lang w:val="en-US" w:eastAsia="pt-BR" w:bidi="ar-SA"/>
              </w:rPr>
            </w:pPr>
            <w:r>
              <w:rPr>
                <w:rFonts w:ascii="Arial" w:hAnsi="Arial" w:eastAsia="Times New Roman" w:cs="Arial"/>
                <w:sz w:val="18"/>
                <w:szCs w:val="18"/>
                <w:lang w:val="pt-BR" w:eastAsia="pt-BR" w:bidi="ar-SA"/>
              </w:rPr>
              <w:t>Agente Administrativ</w:t>
            </w:r>
            <w:r>
              <w:rPr>
                <w:rFonts w:hint="default" w:ascii="Arial" w:hAnsi="Arial" w:eastAsia="Times New Roman" w:cs="Arial"/>
                <w:sz w:val="18"/>
                <w:szCs w:val="18"/>
                <w:lang w:val="pt-BR" w:eastAsia="pt-BR" w:bidi="ar-SA"/>
              </w:rPr>
              <w:t>a</w:t>
            </w:r>
            <w:r>
              <w:rPr>
                <w:rFonts w:hint="default" w:ascii="Arial" w:hAnsi="Arial" w:eastAsia="Times New Roman" w:cs="Arial"/>
                <w:sz w:val="18"/>
                <w:szCs w:val="18"/>
                <w:lang w:val="en-US" w:eastAsia="pt-BR" w:bidi="ar-SA"/>
              </w:rPr>
              <w:t xml:space="preserve"> - redatora do TR</w:t>
            </w:r>
          </w:p>
        </w:tc>
        <w:tc>
          <w:tcPr>
            <w:tcW w:w="4644" w:type="dxa"/>
            <w:tcBorders>
              <w:top w:val="nil"/>
              <w:left w:val="nil"/>
              <w:bottom w:val="nil"/>
              <w:right w:val="nil"/>
            </w:tcBorders>
          </w:tcPr>
          <w:p w14:paraId="0E772EB7">
            <w:pPr>
              <w:widowControl/>
              <w:shd w:val="clear" w:color="auto" w:fill="auto"/>
              <w:spacing w:before="0" w:after="0" w:line="360" w:lineRule="auto"/>
              <w:jc w:val="both"/>
              <w:rPr>
                <w:rFonts w:ascii="Arial" w:hAnsi="Arial" w:eastAsia="Times New Roman" w:cs="Arial"/>
                <w:sz w:val="18"/>
                <w:szCs w:val="18"/>
                <w:lang w:val="pt-BR" w:eastAsia="zh-CN" w:bidi="ar-SA"/>
              </w:rPr>
            </w:pPr>
            <w:r>
              <w:rPr>
                <w:rFonts w:ascii="Arial" w:hAnsi="Arial" w:eastAsia="Times New Roman" w:cs="Arial"/>
                <w:sz w:val="18"/>
                <w:szCs w:val="18"/>
                <w:lang w:val="pt-BR" w:eastAsia="zh-CN" w:bidi="ar-SA"/>
              </w:rPr>
              <w:t>Marco Antônio Franck</w:t>
            </w:r>
          </w:p>
          <w:p w14:paraId="5B49EA9B">
            <w:pPr>
              <w:widowControl/>
              <w:shd w:val="clear" w:color="auto" w:fill="auto"/>
              <w:spacing w:before="0" w:after="0" w:line="360" w:lineRule="auto"/>
              <w:jc w:val="both"/>
              <w:rPr>
                <w:rFonts w:ascii="Arial" w:hAnsi="Arial" w:eastAsia="Times New Roman" w:cs="Arial"/>
                <w:sz w:val="18"/>
                <w:szCs w:val="18"/>
                <w:lang w:val="pt-BR" w:eastAsia="pt-BR" w:bidi="ar-SA"/>
              </w:rPr>
            </w:pPr>
            <w:r>
              <w:rPr>
                <w:rFonts w:ascii="Arial" w:hAnsi="Arial" w:eastAsia="Times New Roman" w:cs="Arial"/>
                <w:sz w:val="18"/>
                <w:szCs w:val="18"/>
                <w:lang w:val="pt-BR" w:eastAsia="zh-CN" w:bidi="ar-SA"/>
              </w:rPr>
              <w:t>S</w:t>
            </w:r>
            <w:r>
              <w:rPr>
                <w:rFonts w:hint="default" w:ascii="Arial" w:hAnsi="Arial" w:eastAsia="Times New Roman" w:cs="Arial"/>
                <w:sz w:val="18"/>
                <w:szCs w:val="18"/>
                <w:lang w:val="pt-BR" w:eastAsia="zh-CN" w:bidi="ar-SA"/>
              </w:rPr>
              <w:t>ubs</w:t>
            </w:r>
            <w:r>
              <w:rPr>
                <w:rFonts w:ascii="Arial" w:hAnsi="Arial" w:eastAsia="Times New Roman" w:cs="Arial"/>
                <w:sz w:val="18"/>
                <w:szCs w:val="18"/>
                <w:lang w:val="pt-BR" w:eastAsia="zh-CN" w:bidi="ar-SA"/>
              </w:rPr>
              <w:t>ecretário Municipal de Planejamento, Mobilidade</w:t>
            </w:r>
            <w:r>
              <w:rPr>
                <w:rFonts w:hint="default" w:ascii="Arial" w:hAnsi="Arial" w:eastAsia="Times New Roman" w:cs="Arial"/>
                <w:sz w:val="18"/>
                <w:szCs w:val="18"/>
                <w:lang w:val="pt-BR" w:eastAsia="zh-CN" w:bidi="ar-SA"/>
              </w:rPr>
              <w:t xml:space="preserve"> </w:t>
            </w:r>
            <w:r>
              <w:rPr>
                <w:rFonts w:ascii="Arial" w:hAnsi="Arial" w:eastAsia="Times New Roman" w:cs="Arial"/>
                <w:sz w:val="18"/>
                <w:szCs w:val="18"/>
                <w:lang w:val="pt-BR" w:eastAsia="zh-CN" w:bidi="ar-SA"/>
              </w:rPr>
              <w:t>e Segurança Pública</w:t>
            </w:r>
          </w:p>
        </w:tc>
      </w:tr>
      <w:tr w14:paraId="17F5BC21">
        <w:tblPrEx>
          <w:tblCellMar>
            <w:top w:w="0" w:type="dxa"/>
            <w:left w:w="108" w:type="dxa"/>
            <w:bottom w:w="0" w:type="dxa"/>
            <w:right w:w="108" w:type="dxa"/>
          </w:tblCellMar>
        </w:tblPrEx>
        <w:tc>
          <w:tcPr>
            <w:tcW w:w="4643" w:type="dxa"/>
            <w:tcBorders>
              <w:top w:val="nil"/>
              <w:left w:val="nil"/>
              <w:bottom w:val="nil"/>
              <w:right w:val="nil"/>
            </w:tcBorders>
          </w:tcPr>
          <w:p w14:paraId="6DDB0228">
            <w:pPr>
              <w:widowControl/>
              <w:shd w:val="clear" w:color="auto" w:fill="auto"/>
              <w:spacing w:before="0" w:after="0" w:line="360" w:lineRule="auto"/>
              <w:jc w:val="both"/>
              <w:rPr>
                <w:rFonts w:ascii="Arial" w:hAnsi="Arial" w:eastAsia="Times New Roman" w:cs="Arial"/>
                <w:sz w:val="18"/>
                <w:szCs w:val="18"/>
                <w:lang w:val="pt-BR" w:eastAsia="pt-BR" w:bidi="ar-SA"/>
              </w:rPr>
            </w:pPr>
          </w:p>
          <w:p w14:paraId="700E3192">
            <w:pPr>
              <w:widowControl/>
              <w:shd w:val="clear" w:color="auto" w:fill="auto"/>
              <w:spacing w:before="0" w:after="0" w:line="360" w:lineRule="auto"/>
              <w:jc w:val="both"/>
              <w:rPr>
                <w:rFonts w:ascii="Arial" w:hAnsi="Arial" w:eastAsia="SimSun" w:cs="Arial"/>
                <w:i w:val="0"/>
                <w:iCs w:val="0"/>
                <w:caps w:val="0"/>
                <w:color w:val="000000"/>
                <w:spacing w:val="0"/>
                <w:sz w:val="18"/>
                <w:szCs w:val="18"/>
                <w:shd w:val="clear" w:fill="FFFFFF"/>
              </w:rPr>
            </w:pPr>
            <w:r>
              <w:rPr>
                <w:rFonts w:ascii="Arial" w:hAnsi="Arial" w:eastAsia="SimSun" w:cs="Arial"/>
                <w:i w:val="0"/>
                <w:iCs w:val="0"/>
                <w:caps w:val="0"/>
                <w:color w:val="000000"/>
                <w:spacing w:val="0"/>
                <w:sz w:val="18"/>
                <w:szCs w:val="18"/>
                <w:shd w:val="clear" w:fill="FFFFFF"/>
              </w:rPr>
              <w:t>Elis Regina Marquetto</w:t>
            </w:r>
          </w:p>
          <w:p w14:paraId="00A4615B">
            <w:pPr>
              <w:widowControl/>
              <w:shd w:val="clear" w:color="auto" w:fill="auto"/>
              <w:spacing w:before="0" w:after="0" w:line="360" w:lineRule="auto"/>
              <w:jc w:val="both"/>
              <w:rPr>
                <w:rFonts w:hint="default" w:ascii="Arial" w:hAnsi="Arial" w:eastAsia="Times New Roman" w:cs="Arial"/>
                <w:sz w:val="18"/>
                <w:szCs w:val="18"/>
                <w:lang w:val="en-US" w:eastAsia="pt-BR" w:bidi="ar-SA"/>
              </w:rPr>
            </w:pPr>
            <w:r>
              <w:rPr>
                <w:rFonts w:ascii="Arial" w:hAnsi="Arial" w:eastAsia="Times New Roman" w:cs="Arial"/>
                <w:sz w:val="18"/>
                <w:szCs w:val="18"/>
                <w:lang w:val="pt-BR" w:eastAsia="pt-BR" w:bidi="ar-SA"/>
              </w:rPr>
              <w:t>Agente Administrativ</w:t>
            </w:r>
            <w:r>
              <w:rPr>
                <w:rFonts w:hint="default" w:ascii="Arial" w:hAnsi="Arial" w:eastAsia="Times New Roman" w:cs="Arial"/>
                <w:sz w:val="18"/>
                <w:szCs w:val="18"/>
                <w:lang w:val="pt-BR" w:eastAsia="pt-BR" w:bidi="ar-SA"/>
              </w:rPr>
              <w:t>a</w:t>
            </w:r>
            <w:r>
              <w:rPr>
                <w:rFonts w:hint="default" w:cs="Arial"/>
                <w:sz w:val="18"/>
                <w:szCs w:val="18"/>
                <w:lang w:val="en-US" w:eastAsia="pt-BR" w:bidi="ar-SA"/>
              </w:rPr>
              <w:t xml:space="preserve"> </w:t>
            </w:r>
          </w:p>
        </w:tc>
        <w:tc>
          <w:tcPr>
            <w:tcW w:w="4644" w:type="dxa"/>
            <w:tcBorders>
              <w:top w:val="nil"/>
              <w:left w:val="nil"/>
              <w:bottom w:val="nil"/>
              <w:right w:val="nil"/>
            </w:tcBorders>
          </w:tcPr>
          <w:p w14:paraId="4E65A506">
            <w:pPr>
              <w:widowControl/>
              <w:shd w:val="clear" w:color="auto" w:fill="auto"/>
              <w:spacing w:before="0" w:after="0" w:line="360" w:lineRule="auto"/>
              <w:jc w:val="both"/>
              <w:rPr>
                <w:rFonts w:ascii="Arial" w:hAnsi="Arial" w:eastAsia="Times New Roman" w:cs="Arial"/>
                <w:sz w:val="18"/>
                <w:szCs w:val="18"/>
                <w:lang w:val="pt-BR" w:eastAsia="pt-BR" w:bidi="ar-SA"/>
              </w:rPr>
            </w:pPr>
          </w:p>
        </w:tc>
      </w:tr>
    </w:tbl>
    <w:p w14:paraId="0B271E1B">
      <w:pPr>
        <w:keepNext w:val="0"/>
        <w:keepLines w:val="0"/>
        <w:pageBreakBefore w:val="0"/>
        <w:widowControl/>
        <w:kinsoku/>
        <w:wordWrap/>
        <w:overflowPunct/>
        <w:topLinePunct w:val="0"/>
        <w:autoSpaceDE/>
        <w:autoSpaceDN/>
        <w:bidi w:val="0"/>
        <w:adjustRightInd/>
        <w:snapToGrid/>
        <w:spacing w:after="0"/>
        <w:jc w:val="right"/>
        <w:textAlignment w:val="auto"/>
        <w:rPr>
          <w:rFonts w:hint="default" w:ascii="Arial" w:hAnsi="Arial" w:cs="Arial"/>
          <w:sz w:val="22"/>
          <w:szCs w:val="22"/>
          <w:lang w:val="pt-BR"/>
        </w:rPr>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Borders>
        <w:top w:val="none" w:sz="0" w:space="0"/>
        <w:left w:val="none" w:sz="0" w:space="0"/>
        <w:bottom w:val="none" w:sz="0" w:space="0"/>
        <w:right w:val="none" w:sz="0" w:space="0"/>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5"/>
      <w:jc w:val="center"/>
    </w:pPr>
    <w:r>
      <w:rPr>
        <w:rFonts w:ascii="Montserrat" w:hAnsi="Montserrat" w:eastAsia="Montserrat" w:cs="Montserrat"/>
        <w:color w:val="1155CC"/>
        <w:sz w:val="20"/>
        <w:szCs w:val="20"/>
      </w:rPr>
      <w:t xml:space="preserve">e-mail: </w:t>
    </w:r>
    <w:r>
      <w:rPr>
        <w:rFonts w:hint="default" w:ascii="Montserrat" w:hAnsi="Montserrat" w:eastAsia="Montserrat" w:cs="Montserrat"/>
        <w:color w:val="1155CC"/>
        <w:sz w:val="20"/>
        <w:szCs w:val="20"/>
        <w:lang w:val="pt-BR"/>
      </w:rPr>
      <w:t>compras2</w:t>
    </w:r>
    <w:r>
      <w:rPr>
        <w:rFonts w:ascii="Montserrat" w:hAnsi="Montserrat" w:eastAsia="Montserrat" w:cs="Montserrat"/>
        <w:color w:val="1155CC"/>
        <w:sz w:val="20"/>
        <w:szCs w:val="20"/>
      </w:rPr>
      <w:t>@teutonia.rs.gov.br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CAEA"/>
    <w:multiLevelType w:val="singleLevel"/>
    <w:tmpl w:val="84D2CAE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E030A8C5"/>
    <w:multiLevelType w:val="singleLevel"/>
    <w:tmpl w:val="E030A8C5"/>
    <w:lvl w:ilvl="0" w:tentative="0">
      <w:start w:val="1"/>
      <w:numFmt w:val="decimal"/>
      <w:lvlText w:val="%1."/>
      <w:lvlJc w:val="left"/>
      <w:pPr>
        <w:tabs>
          <w:tab w:val="left" w:pos="425"/>
        </w:tabs>
        <w:ind w:left="425" w:leftChars="0" w:hanging="425" w:firstLineChars="0"/>
      </w:pPr>
      <w:rPr>
        <w:rFonts w:hint="default"/>
      </w:rPr>
    </w:lvl>
  </w:abstractNum>
  <w:abstractNum w:abstractNumId="2">
    <w:nsid w:val="03F8B9AA"/>
    <w:multiLevelType w:val="singleLevel"/>
    <w:tmpl w:val="03F8B9AA"/>
    <w:lvl w:ilvl="0" w:tentative="0">
      <w:start w:val="1"/>
      <w:numFmt w:val="bullet"/>
      <w:lvlText w:val=""/>
      <w:lvlJc w:val="left"/>
      <w:pPr>
        <w:tabs>
          <w:tab w:val="left" w:pos="420"/>
        </w:tabs>
        <w:ind w:left="420" w:leftChars="0" w:hanging="420" w:firstLineChars="0"/>
      </w:pPr>
      <w:rPr>
        <w:rFonts w:hint="default" w:ascii="Wingdings" w:hAnsi="Wingdings" w:cs="Wingdings"/>
        <w:sz w:val="16"/>
      </w:rPr>
    </w:lvl>
  </w:abstractNum>
  <w:abstractNum w:abstractNumId="3">
    <w:nsid w:val="538F192F"/>
    <w:multiLevelType w:val="singleLevel"/>
    <w:tmpl w:val="538F192F"/>
    <w:lvl w:ilvl="0" w:tentative="0">
      <w:start w:val="1"/>
      <w:numFmt w:val="lowerLetter"/>
      <w:lvlText w:val="%1)"/>
      <w:lvlJc w:val="left"/>
      <w:pPr>
        <w:tabs>
          <w:tab w:val="left" w:pos="425"/>
        </w:tabs>
        <w:ind w:left="425" w:hanging="425"/>
      </w:pPr>
    </w:lvl>
  </w:abstractNum>
  <w:num w:numId="1">
    <w:abstractNumId w:val="3"/>
    <w:lvlOverride w:ilvl="0">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A7840"/>
    <w:rsid w:val="00710BDD"/>
    <w:rsid w:val="0079516A"/>
    <w:rsid w:val="008A7458"/>
    <w:rsid w:val="008E6A0D"/>
    <w:rsid w:val="009E6F53"/>
    <w:rsid w:val="00A77C75"/>
    <w:rsid w:val="00A85D9E"/>
    <w:rsid w:val="00AD0487"/>
    <w:rsid w:val="00B02493"/>
    <w:rsid w:val="00B039BC"/>
    <w:rsid w:val="00C73FB5"/>
    <w:rsid w:val="00DD05C7"/>
    <w:rsid w:val="00E278AF"/>
    <w:rsid w:val="019348BC"/>
    <w:rsid w:val="06F61041"/>
    <w:rsid w:val="073D5515"/>
    <w:rsid w:val="11C33048"/>
    <w:rsid w:val="29D25A8C"/>
    <w:rsid w:val="34B22C5C"/>
    <w:rsid w:val="34E4201B"/>
    <w:rsid w:val="4041282A"/>
    <w:rsid w:val="40D30F22"/>
    <w:rsid w:val="40F23EF4"/>
    <w:rsid w:val="4FDA5352"/>
    <w:rsid w:val="6B0F4CB9"/>
    <w:rsid w:val="74145A61"/>
    <w:rsid w:val="777433BE"/>
    <w:rsid w:val="77DE073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563C1"/>
      <w:u w:val="single"/>
    </w:rPr>
  </w:style>
  <w:style w:type="paragraph" w:styleId="11">
    <w:name w:val="Body Text"/>
    <w:basedOn w:val="1"/>
    <w:link w:val="28"/>
    <w:qFormat/>
    <w:uiPriority w:val="0"/>
    <w:pPr>
      <w:spacing w:after="120" w:line="240" w:lineRule="auto"/>
    </w:pPr>
    <w:rPr>
      <w:rFonts w:ascii="Arial" w:hAnsi="Arial" w:eastAsia="SimSun" w:cs="Arial"/>
      <w:szCs w:val="20"/>
      <w:lang w:eastAsia="zh-CN"/>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unhideWhenUsed/>
    <w:qFormat/>
    <w:uiPriority w:val="99"/>
    <w:pPr>
      <w:spacing w:after="120" w:line="240" w:lineRule="auto"/>
      <w:ind w:left="283"/>
    </w:pPr>
    <w:rPr>
      <w:rFonts w:ascii="Arial" w:hAnsi="Arial" w:eastAsia="SimSun" w:cs="Arial"/>
      <w:sz w:val="16"/>
      <w:szCs w:val="16"/>
      <w:lang w:eastAsia="zh-CN"/>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qFormat/>
    <w:uiPriority w:val="34"/>
    <w:pPr>
      <w:ind w:left="720"/>
      <w:contextualSpacing/>
    </w:pPr>
  </w:style>
  <w:style w:type="table" w:customStyle="1" w:styleId="24">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0"/>
    <w:rPr>
      <w:rFonts w:ascii="Arial" w:hAnsi="Arial" w:eastAsia="SimSun" w:cs="Arial"/>
      <w:szCs w:val="20"/>
      <w:lang w:eastAsia="zh-CN"/>
    </w:rPr>
  </w:style>
  <w:style w:type="character" w:customStyle="1" w:styleId="29">
    <w:name w:val="Recuo de corpo de texto 3 Char"/>
    <w:basedOn w:val="8"/>
    <w:link w:val="16"/>
    <w:qFormat/>
    <w:uiPriority w:val="99"/>
    <w:rPr>
      <w:rFonts w:ascii="Arial" w:hAnsi="Arial" w:eastAsia="SimSun" w:cs="Arial"/>
      <w:sz w:val="16"/>
      <w:szCs w:val="16"/>
      <w:lang w:eastAsia="zh-CN"/>
    </w:rPr>
  </w:style>
  <w:style w:type="paragraph" w:customStyle="1" w:styleId="30">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1">
    <w:name w:val="Link da Internet"/>
    <w:unhideWhenUsed/>
    <w:qFormat/>
    <w:uiPriority w:val="99"/>
    <w:rPr>
      <w:color w:val="0563C1"/>
      <w:u w:val="single"/>
    </w:rPr>
  </w:style>
  <w:style w:type="paragraph" w:customStyle="1" w:styleId="32">
    <w:name w:val="Footer1"/>
    <w:basedOn w:val="1"/>
    <w:qFormat/>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2078</Words>
  <Characters>12226</Characters>
  <Lines>125</Lines>
  <Paragraphs>35</Paragraphs>
  <TotalTime>9</TotalTime>
  <ScaleCrop>false</ScaleCrop>
  <LinksUpToDate>false</LinksUpToDate>
  <CharactersWithSpaces>14222</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dcterms:modified xsi:type="dcterms:W3CDTF">2026-01-19T18:34:52Z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1046-12.2.0.23197</vt:lpwstr>
  </property>
  <property fmtid="{D5CDD505-2E9C-101B-9397-08002B2CF9AE}" pid="3" name="ICV">
    <vt:lpwstr>5BF5E3D2FC614C19A6C3F1057BD4F823_13</vt:lpwstr>
  </property>
</Properties>
</file>