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E6BE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hint="default" w:ascii="Arial" w:hAnsi="Arial" w:cs="Arial"/>
          <w:sz w:val="22"/>
          <w:szCs w:val="22"/>
        </w:rPr>
      </w:pPr>
      <w:r>
        <w:rPr>
          <w:rFonts w:hint="default" w:ascii="Arial" w:hAnsi="Arial" w:cs="Arial"/>
          <w:b/>
          <w:sz w:val="22"/>
          <w:szCs w:val="22"/>
        </w:rPr>
        <w:t>ESTUDO TÉCNICO PRELIMINAR</w:t>
      </w:r>
    </w:p>
    <w:p w14:paraId="55EBA28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hint="default" w:ascii="Arial" w:hAnsi="Arial" w:cs="Arial"/>
          <w:sz w:val="22"/>
          <w:szCs w:val="22"/>
        </w:rPr>
      </w:pPr>
    </w:p>
    <w:p w14:paraId="58913FDB">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PROCESSO ADMINISTRATIVO</w:t>
      </w:r>
    </w:p>
    <w:p w14:paraId="524467B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Município de </w:t>
      </w:r>
      <w:r>
        <w:rPr>
          <w:rFonts w:hint="default" w:ascii="Arial" w:hAnsi="Arial" w:cs="Arial"/>
          <w:sz w:val="22"/>
          <w:szCs w:val="22"/>
          <w:lang w:val="pt-BR"/>
        </w:rPr>
        <w:t>Teutônia</w:t>
      </w:r>
    </w:p>
    <w:p w14:paraId="18AAAA3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Secretaria Municipal de </w:t>
      </w:r>
      <w:r>
        <w:rPr>
          <w:rFonts w:hint="default" w:ascii="Arial" w:hAnsi="Arial" w:cs="Arial"/>
          <w:sz w:val="22"/>
          <w:szCs w:val="22"/>
          <w:lang w:val="pt-BR"/>
        </w:rPr>
        <w:t>Assistência Social e Habitação; Secretaria Municipal de Saúde</w:t>
      </w:r>
    </w:p>
    <w:p w14:paraId="1B711DD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Objeto da contratação: contratação de serviços </w:t>
      </w:r>
      <w:r>
        <w:rPr>
          <w:rFonts w:hint="default" w:ascii="Arial" w:hAnsi="Arial" w:cs="Arial"/>
          <w:sz w:val="22"/>
          <w:szCs w:val="22"/>
          <w:lang w:val="pt-BR"/>
        </w:rPr>
        <w:t>de aulas de música</w:t>
      </w:r>
    </w:p>
    <w:p w14:paraId="17CA83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DB05317">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b/>
          <w:bCs/>
          <w:sz w:val="22"/>
          <w:szCs w:val="22"/>
        </w:rPr>
      </w:pPr>
      <w:r>
        <w:rPr>
          <w:rFonts w:hint="default" w:ascii="Arial" w:hAnsi="Arial" w:cs="Arial"/>
          <w:b/>
          <w:bCs/>
          <w:sz w:val="22"/>
          <w:szCs w:val="22"/>
        </w:rPr>
        <w:t>1. DESCRIÇÃO DA NECESSIDADE</w:t>
      </w:r>
    </w:p>
    <w:p w14:paraId="03B96F30">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O objeto da presente licitação é a contratação de empresa especializada para a prestação de serviços de </w:t>
      </w:r>
      <w:r>
        <w:rPr>
          <w:rFonts w:hint="default" w:ascii="Arial" w:hAnsi="Arial" w:cs="Arial"/>
          <w:sz w:val="22"/>
          <w:szCs w:val="22"/>
          <w:lang w:val="pt-BR"/>
        </w:rPr>
        <w:t>aulas de música em diferentes modalidades.</w:t>
      </w:r>
    </w:p>
    <w:p w14:paraId="79756B6B">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lang w:val="pt-BR"/>
        </w:rPr>
      </w:pPr>
    </w:p>
    <w:p w14:paraId="799128B7">
      <w:pPr>
        <w:keepNext w:val="0"/>
        <w:keepLines w:val="0"/>
        <w:pageBreakBefore w:val="0"/>
        <w:widowControl/>
        <w:kinsoku/>
        <w:wordWrap/>
        <w:overflowPunct/>
        <w:topLinePunct w:val="0"/>
        <w:autoSpaceDE/>
        <w:autoSpaceDN/>
        <w:bidi w:val="0"/>
        <w:adjustRightInd/>
        <w:snapToGrid/>
        <w:spacing w:beforeAutospacing="0" w:after="0" w:afterLines="50" w:afterAutospacing="0" w:line="360" w:lineRule="auto"/>
        <w:jc w:val="both"/>
        <w:textAlignment w:val="auto"/>
        <w:rPr>
          <w:rFonts w:hint="default" w:ascii="Arial" w:hAnsi="Arial" w:cs="Arial"/>
          <w:sz w:val="22"/>
          <w:szCs w:val="22"/>
          <w:lang w:eastAsia="en-US"/>
        </w:rPr>
      </w:pPr>
      <w:r>
        <w:rPr>
          <w:rFonts w:hint="default" w:ascii="Arial" w:hAnsi="Arial" w:cs="Arial"/>
          <w:sz w:val="22"/>
          <w:szCs w:val="22"/>
        </w:rPr>
        <w:t xml:space="preserve">A contratação </w:t>
      </w:r>
      <w:r>
        <w:rPr>
          <w:rFonts w:hint="default" w:ascii="Arial" w:hAnsi="Arial" w:cs="Arial"/>
          <w:sz w:val="22"/>
          <w:szCs w:val="22"/>
          <w:lang w:eastAsia="en-US"/>
        </w:rPr>
        <w:t xml:space="preserve">de profissionais habilitados para ministrar aulas de música (em diferentes modalidades, tais como canto, violão, percussão, teclado, entre outros), </w:t>
      </w:r>
      <w:r>
        <w:rPr>
          <w:rFonts w:hint="default" w:ascii="Arial" w:hAnsi="Arial" w:cs="Arial"/>
          <w:sz w:val="22"/>
          <w:szCs w:val="22"/>
        </w:rPr>
        <w:t>é necessária para</w:t>
      </w:r>
      <w:r>
        <w:rPr>
          <w:rFonts w:hint="default" w:ascii="Arial" w:hAnsi="Arial" w:cs="Arial"/>
          <w:sz w:val="22"/>
          <w:szCs w:val="22"/>
          <w:lang w:val="pt-BR"/>
        </w:rPr>
        <w:t xml:space="preserve"> </w:t>
      </w:r>
      <w:r>
        <w:rPr>
          <w:rFonts w:hint="default" w:ascii="Arial" w:hAnsi="Arial" w:cs="Arial"/>
          <w:sz w:val="22"/>
          <w:szCs w:val="22"/>
          <w:lang w:eastAsia="en-US"/>
        </w:rPr>
        <w:t>atender os grupos e oficinas socioeducativas desenvolvidas nos Centros de Referência de Assistência Social (CRAS) e no Centro de Referência Especializado de Assistência Social (CREAS) deste Município.</w:t>
      </w:r>
    </w:p>
    <w:p w14:paraId="0EEED8C7">
      <w:pPr>
        <w:keepNext w:val="0"/>
        <w:keepLines w:val="0"/>
        <w:pageBreakBefore w:val="0"/>
        <w:widowControl/>
        <w:kinsoku/>
        <w:wordWrap/>
        <w:overflowPunct/>
        <w:topLinePunct w:val="0"/>
        <w:autoSpaceDE/>
        <w:autoSpaceDN/>
        <w:bidi w:val="0"/>
        <w:adjustRightInd/>
        <w:snapToGrid/>
        <w:spacing w:beforeAutospacing="0" w:after="0" w:afterLines="50" w:afterAutospacing="0" w:line="360" w:lineRule="auto"/>
        <w:jc w:val="both"/>
        <w:textAlignment w:val="auto"/>
        <w:rPr>
          <w:rFonts w:hint="default" w:ascii="Arial" w:hAnsi="Arial" w:cs="Arial"/>
          <w:sz w:val="22"/>
          <w:szCs w:val="22"/>
          <w:lang w:eastAsia="en-US"/>
        </w:rPr>
      </w:pPr>
    </w:p>
    <w:p w14:paraId="1CB21D2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Lines="50" w:afterAutospacing="0" w:line="360" w:lineRule="auto"/>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Tal contratação visa fortalecer as ações de convivência e de fortalecimento de vínculos, conforme previsto na Tipificação Nacional dos Serviços Socioassistenciais, assegurando aos participantes o acesso a atividades culturais e educativas que promovam o desenvolvimento pessoal, social e comunitário. A iniciativa encontra respaldo na Lei nº 6.347, de 07 de novembro de 2024, que alterou a Lei Municipal nº 5.948, de 09 de março de 2023, referente à Política Municipal de Atendimento dos Direitos da Criança e do Adolescente.</w:t>
      </w:r>
    </w:p>
    <w:p w14:paraId="2B20212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Lines="50" w:afterAutospacing="0" w:line="360" w:lineRule="auto"/>
        <w:jc w:val="both"/>
        <w:textAlignment w:val="auto"/>
        <w:rPr>
          <w:rFonts w:hint="default" w:ascii="Arial" w:hAnsi="Arial" w:eastAsia="Calibri" w:cs="Arial"/>
          <w:sz w:val="22"/>
          <w:szCs w:val="22"/>
          <w:lang w:val="pt-BR" w:eastAsia="pt-BR" w:bidi="ar-SA"/>
        </w:rPr>
      </w:pPr>
    </w:p>
    <w:p w14:paraId="1EE5894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Lines="50" w:afterAutospacing="0" w:line="360" w:lineRule="auto"/>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Além disso, as oficinas de música também atendem aos grupos do CAPS Melodias da Vida, nos quais tais atividades contribuem diretamente para a manutenção da saúde mental e para o fortalecimento da identidade cultural, especialmente no que se refere à musicalidade. O nome Melodias da Vida surgiu da escuta ativa dos próprios usuários, que associaram o cuidado em saúde mental à harmonia de uma música — metáfora que dialoga com a forte tradição coral do Município de Teutônia.</w:t>
      </w:r>
    </w:p>
    <w:p w14:paraId="710DF90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2. ALINHAMENTO ENTRE A CONTRATAÇÃO E O PLANEJAMENTO</w:t>
      </w:r>
    </w:p>
    <w:p w14:paraId="472902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pretendida está prevista no Plano de Contratações Anual do Município de </w:t>
      </w:r>
      <w:r>
        <w:rPr>
          <w:rFonts w:hint="default" w:ascii="Arial" w:hAnsi="Arial" w:cs="Arial"/>
          <w:sz w:val="22"/>
          <w:szCs w:val="22"/>
          <w:lang w:val="pt-BR"/>
        </w:rPr>
        <w:t>Teutônia</w:t>
      </w:r>
      <w:r>
        <w:rPr>
          <w:rFonts w:hint="default" w:ascii="Arial" w:hAnsi="Arial" w:cs="Arial"/>
          <w:sz w:val="22"/>
          <w:szCs w:val="22"/>
        </w:rPr>
        <w:t>, como se vê do item AULA DE MÚSICA daquele documento, estando assim alinhada com o planejamento desta Administração.</w:t>
      </w:r>
    </w:p>
    <w:p w14:paraId="548F823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p>
    <w:p w14:paraId="0075A59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3. DESCRIÇÃO DOS REQUISITOS DA CONTRATAÇÃO</w:t>
      </w:r>
    </w:p>
    <w:p w14:paraId="0DA45BA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highlight w:val="none"/>
          <w:lang w:val="pt-BR"/>
        </w:rPr>
        <w:t xml:space="preserve">3.1 </w:t>
      </w:r>
      <w:r>
        <w:rPr>
          <w:rFonts w:hint="default" w:ascii="Arial" w:hAnsi="Arial" w:cs="Arial"/>
          <w:sz w:val="22"/>
          <w:szCs w:val="22"/>
          <w:highlight w:val="none"/>
        </w:rPr>
        <w:t>Os serviços têm natureza de</w:t>
      </w:r>
      <w:r>
        <w:rPr>
          <w:rFonts w:hint="default" w:ascii="Arial" w:hAnsi="Arial" w:cs="Arial"/>
          <w:sz w:val="22"/>
          <w:szCs w:val="22"/>
          <w:highlight w:val="none"/>
          <w:lang w:val="pt-BR"/>
        </w:rPr>
        <w:t xml:space="preserve"> </w:t>
      </w:r>
      <w:r>
        <w:rPr>
          <w:rFonts w:hint="default" w:ascii="Arial" w:hAnsi="Arial" w:cs="Arial"/>
          <w:sz w:val="22"/>
          <w:szCs w:val="22"/>
          <w:highlight w:val="none"/>
        </w:rPr>
        <w:t>serviços comuns, tendo em vist</w:t>
      </w:r>
      <w:r>
        <w:rPr>
          <w:rFonts w:hint="default" w:ascii="Arial" w:hAnsi="Arial" w:cs="Arial"/>
          <w:sz w:val="22"/>
          <w:szCs w:val="22"/>
        </w:rPr>
        <w:t xml:space="preserve">a que seus </w:t>
      </w:r>
      <w:r>
        <w:rPr>
          <w:rFonts w:hint="default" w:ascii="Arial" w:hAnsi="Arial" w:cs="Arial"/>
          <w:color w:val="000000"/>
          <w:sz w:val="22"/>
          <w:szCs w:val="22"/>
        </w:rPr>
        <w:t xml:space="preserve">padrões de desempenho e qualidade podem ser objetivamente definidos pelo edital, por meio de especificações usuais de mercado, </w:t>
      </w:r>
      <w:r>
        <w:rPr>
          <w:rFonts w:hint="default" w:ascii="Arial" w:hAnsi="Arial" w:cs="Arial"/>
          <w:sz w:val="22"/>
          <w:szCs w:val="22"/>
        </w:rPr>
        <w:t>nos termos do art. 6º, inciso XIII, da Lei Federal nº 14.133/2021.</w:t>
      </w:r>
    </w:p>
    <w:p w14:paraId="3E7F588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7161D13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3.2 OBRIGAÇÕES DA CONTRATADA</w:t>
      </w:r>
    </w:p>
    <w:p w14:paraId="60D3A295">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bCs/>
          <w:sz w:val="22"/>
          <w:szCs w:val="22"/>
          <w:highlight w:val="none"/>
        </w:rPr>
      </w:pPr>
      <w:r>
        <w:rPr>
          <w:rFonts w:hint="default" w:ascii="Arial" w:hAnsi="Arial" w:cs="Arial"/>
          <w:bCs/>
          <w:sz w:val="22"/>
          <w:szCs w:val="22"/>
          <w:highlight w:val="none"/>
          <w:lang w:val="pt-BR"/>
        </w:rPr>
        <w:t>3.2</w:t>
      </w:r>
      <w:r>
        <w:rPr>
          <w:rFonts w:hint="default" w:ascii="Arial" w:hAnsi="Arial" w:cs="Arial"/>
          <w:bCs/>
          <w:sz w:val="22"/>
          <w:szCs w:val="22"/>
          <w:highlight w:val="none"/>
        </w:rPr>
        <w:t xml:space="preserve">.1. Arcar com todas as despesas e encargos, diretos ou indiretas, concernentes às legislações sociais, trabalhistas, fiscais, comerciais, securitárias e previdenciárias decorrentes do cumprimento das obrigações assumidas, sem qualquer ônus </w:t>
      </w:r>
      <w:r>
        <w:rPr>
          <w:rFonts w:hint="default" w:ascii="Arial" w:hAnsi="Arial" w:cs="Arial"/>
          <w:bCs/>
          <w:sz w:val="22"/>
          <w:szCs w:val="22"/>
          <w:highlight w:val="none"/>
          <w:lang w:val="pt-BR"/>
        </w:rPr>
        <w:t>para o Município</w:t>
      </w:r>
      <w:r>
        <w:rPr>
          <w:rFonts w:hint="default" w:ascii="Arial" w:hAnsi="Arial" w:cs="Arial"/>
          <w:bCs/>
          <w:sz w:val="22"/>
          <w:szCs w:val="22"/>
          <w:highlight w:val="none"/>
        </w:rPr>
        <w:t>;</w:t>
      </w:r>
    </w:p>
    <w:p w14:paraId="7D93247F">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cs="Arial"/>
          <w:bCs/>
          <w:sz w:val="22"/>
          <w:szCs w:val="22"/>
          <w:highlight w:val="none"/>
        </w:rPr>
      </w:pPr>
      <w:r>
        <w:rPr>
          <w:rFonts w:hint="default" w:ascii="Arial" w:hAnsi="Arial" w:cs="Arial"/>
          <w:bCs/>
          <w:sz w:val="22"/>
          <w:szCs w:val="22"/>
          <w:highlight w:val="none"/>
          <w:lang w:val="pt-BR"/>
        </w:rPr>
        <w:t>3.2</w:t>
      </w:r>
      <w:r>
        <w:rPr>
          <w:rFonts w:hint="default" w:ascii="Arial" w:hAnsi="Arial" w:cs="Arial"/>
          <w:bCs/>
          <w:sz w:val="22"/>
          <w:szCs w:val="22"/>
          <w:highlight w:val="none"/>
        </w:rPr>
        <w:t>.2. Manter a compatibilidade com as obrigações assumidas, durante todo comprimento do contrato;</w:t>
      </w:r>
    </w:p>
    <w:p w14:paraId="380B362F">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cs="Arial"/>
          <w:bCs/>
          <w:sz w:val="22"/>
          <w:szCs w:val="22"/>
          <w:highlight w:val="none"/>
          <w:lang w:val="pt-BR"/>
        </w:rPr>
      </w:pPr>
      <w:r>
        <w:rPr>
          <w:rFonts w:hint="default" w:ascii="Arial" w:hAnsi="Arial" w:cs="Arial"/>
          <w:bCs/>
          <w:sz w:val="22"/>
          <w:szCs w:val="22"/>
          <w:highlight w:val="none"/>
          <w:lang w:val="pt-BR"/>
        </w:rPr>
        <w:t>3.2</w:t>
      </w:r>
      <w:r>
        <w:rPr>
          <w:rFonts w:hint="default" w:ascii="Arial" w:hAnsi="Arial" w:cs="Arial"/>
          <w:bCs/>
          <w:sz w:val="22"/>
          <w:szCs w:val="22"/>
          <w:highlight w:val="none"/>
        </w:rPr>
        <w:t xml:space="preserve">.3. Responsabilizar-se pelos danos causados direto e indiretamente à Administração ou a terceiros, decorrentes de sua culpa ou dolo até a </w:t>
      </w:r>
      <w:r>
        <w:rPr>
          <w:rFonts w:hint="default" w:ascii="Arial" w:hAnsi="Arial" w:cs="Arial"/>
          <w:bCs/>
          <w:sz w:val="22"/>
          <w:szCs w:val="22"/>
          <w:highlight w:val="none"/>
          <w:lang w:val="pt-BR"/>
        </w:rPr>
        <w:t>total execução do serviço.</w:t>
      </w:r>
    </w:p>
    <w:p w14:paraId="3716075E">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cs="Arial"/>
          <w:bCs/>
          <w:sz w:val="22"/>
          <w:szCs w:val="22"/>
          <w:highlight w:val="none"/>
          <w:lang w:val="pt-BR"/>
        </w:rPr>
      </w:pPr>
    </w:p>
    <w:p w14:paraId="2D622A2C">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eastAsia="Calibri" w:cs="Arial"/>
          <w:bCs/>
          <w:sz w:val="22"/>
          <w:szCs w:val="22"/>
          <w:highlight w:val="none"/>
          <w:lang w:val="pt-BR"/>
        </w:rPr>
      </w:pPr>
      <w:r>
        <w:rPr>
          <w:rFonts w:hint="default" w:ascii="Arial" w:hAnsi="Arial" w:eastAsia="Calibri" w:cs="Arial"/>
          <w:bCs/>
          <w:sz w:val="22"/>
          <w:szCs w:val="22"/>
          <w:highlight w:val="none"/>
          <w:lang w:val="pt-BR"/>
        </w:rPr>
        <w:t>3.3 ESPECIFICAÇÕES DO SERVIÇO</w:t>
      </w:r>
    </w:p>
    <w:p w14:paraId="1610C419">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eastAsia="Calibri" w:cs="Arial"/>
          <w:bCs/>
          <w:sz w:val="22"/>
          <w:szCs w:val="22"/>
          <w:highlight w:val="none"/>
          <w:lang w:val="pt-BR"/>
        </w:rPr>
      </w:pPr>
      <w:r>
        <w:rPr>
          <w:rFonts w:hint="default" w:ascii="Arial" w:hAnsi="Arial" w:eastAsia="Calibri" w:cs="Arial"/>
          <w:bCs/>
          <w:sz w:val="22"/>
          <w:szCs w:val="22"/>
          <w:highlight w:val="none"/>
          <w:lang w:val="pt-BR"/>
        </w:rPr>
        <w:t>3.3.1 A licitante venc</w:t>
      </w:r>
      <w:r>
        <w:rPr>
          <w:rFonts w:hint="default" w:ascii="Arial" w:hAnsi="Arial" w:cs="Arial"/>
          <w:bCs/>
          <w:sz w:val="22"/>
          <w:szCs w:val="22"/>
          <w:highlight w:val="none"/>
          <w:lang w:val="pt-BR"/>
        </w:rPr>
        <w:t>edora deverá dispor dos recursos didáticos</w:t>
      </w:r>
      <w:r>
        <w:rPr>
          <w:rFonts w:hint="default" w:ascii="Arial" w:hAnsi="Arial" w:cs="Arial"/>
          <w:bCs/>
          <w:sz w:val="22"/>
          <w:szCs w:val="22"/>
          <w:highlight w:val="none"/>
        </w:rPr>
        <w:t xml:space="preserve"> os instrumentos musicais para as aulas.</w:t>
      </w:r>
    </w:p>
    <w:p w14:paraId="4B1475F2">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eastAsia="Calibri" w:cs="Arial"/>
          <w:bCs/>
          <w:sz w:val="22"/>
          <w:szCs w:val="22"/>
          <w:highlight w:val="none"/>
          <w:lang w:val="pt-BR"/>
        </w:rPr>
      </w:pPr>
      <w:r>
        <w:rPr>
          <w:rFonts w:hint="default" w:ascii="Arial" w:hAnsi="Arial" w:eastAsia="Calibri" w:cs="Arial"/>
          <w:bCs/>
          <w:sz w:val="22"/>
          <w:szCs w:val="22"/>
          <w:highlight w:val="none"/>
          <w:lang w:val="pt-BR"/>
        </w:rPr>
        <w:t xml:space="preserve">3.3.2 Os equipamentos a serem utilizados, bem como, a sala, som, televisão, lousa, mesas e cadeiras para execução das aulas ficarão a cargo da Contratante. </w:t>
      </w:r>
    </w:p>
    <w:p w14:paraId="09A7F7AB">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eastAsia="Calibri" w:cs="Arial"/>
          <w:bCs/>
          <w:sz w:val="22"/>
          <w:szCs w:val="22"/>
          <w:highlight w:val="none"/>
          <w:lang w:val="pt-BR"/>
        </w:rPr>
      </w:pPr>
      <w:r>
        <w:rPr>
          <w:rFonts w:hint="default" w:ascii="Arial" w:hAnsi="Arial" w:eastAsia="Calibri" w:cs="Arial"/>
          <w:bCs/>
          <w:sz w:val="22"/>
          <w:szCs w:val="22"/>
          <w:highlight w:val="none"/>
          <w:lang w:val="pt-BR"/>
        </w:rPr>
        <w:t>3.3.3 O custo do valor hora/aula deverá ser apurado incluindo o valor da organização/método e desenvolvimento didático pedagógico, somados com os custos do profissional e encargos trabalhistas.</w:t>
      </w:r>
    </w:p>
    <w:p w14:paraId="21FE846C">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eastAsia="Calibri" w:cs="Arial"/>
          <w:bCs/>
          <w:sz w:val="22"/>
          <w:szCs w:val="22"/>
          <w:highlight w:val="none"/>
          <w:lang w:val="pt-BR"/>
        </w:rPr>
      </w:pPr>
      <w:r>
        <w:rPr>
          <w:rFonts w:hint="default" w:ascii="Arial" w:hAnsi="Arial" w:eastAsia="Calibri" w:cs="Arial"/>
          <w:bCs/>
          <w:sz w:val="22"/>
          <w:szCs w:val="22"/>
          <w:highlight w:val="none"/>
          <w:lang w:val="pt-BR"/>
        </w:rPr>
        <w:t>3.3.4 A licitante vencedora deverá realizar os serviços conforme orientação e fiscalização do Centro de Referência de Assistência Social, obedecidas às disposições, horários e dias da semana estabelecidos pel</w:t>
      </w:r>
      <w:r>
        <w:rPr>
          <w:rFonts w:hint="default" w:ascii="Arial" w:hAnsi="Arial" w:cs="Arial"/>
          <w:bCs/>
          <w:sz w:val="22"/>
          <w:szCs w:val="22"/>
          <w:highlight w:val="none"/>
          <w:lang w:val="pt-BR"/>
        </w:rPr>
        <w:t>as secretarias demandantes.</w:t>
      </w:r>
    </w:p>
    <w:p w14:paraId="20AB0A9B">
      <w:pPr>
        <w:keepNext w:val="0"/>
        <w:keepLines w:val="0"/>
        <w:pageBreakBefore w:val="0"/>
        <w:widowControl/>
        <w:numPr>
          <w:ilvl w:val="0"/>
          <w:numId w:val="0"/>
        </w:numPr>
        <w:shd w:val="clear"/>
        <w:tabs>
          <w:tab w:val="left" w:pos="67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eastAsia="Calibri" w:cs="Arial"/>
          <w:bCs/>
          <w:sz w:val="22"/>
          <w:szCs w:val="22"/>
          <w:highlight w:val="none"/>
          <w:lang w:val="pt-BR"/>
        </w:rPr>
      </w:pPr>
      <w:r>
        <w:rPr>
          <w:rFonts w:hint="default" w:ascii="Arial" w:hAnsi="Arial" w:eastAsia="Calibri" w:cs="Arial"/>
          <w:bCs/>
          <w:sz w:val="22"/>
          <w:szCs w:val="22"/>
          <w:highlight w:val="none"/>
          <w:lang w:val="pt-BR"/>
        </w:rPr>
        <w:t>3.3.5 A Contratada responsabilizar-se-á, nos termos da legislação em vigor, pelos atos praticados por seus funcionários durante a execução dos serviços, objeto desta licitação. A Prefeitura Municipal de Teutônia poderá, a seu exclusivo critério, exigir a retirada ou substituição de qualquer trabalhador considerado inconveniente na execução dos serviços, objeto desta licitação.</w:t>
      </w:r>
    </w:p>
    <w:p w14:paraId="4495855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3EC3FE3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3.4 DA HABILITAÇÃO </w:t>
      </w:r>
      <w:r>
        <w:rPr>
          <w:rFonts w:hint="default" w:ascii="Arial" w:hAnsi="Arial" w:cs="Arial"/>
          <w:sz w:val="22"/>
          <w:szCs w:val="22"/>
        </w:rPr>
        <w:t xml:space="preserve">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14:paraId="32979B3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62DE5608">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Inscrição no Cadastro Nacional da Pessoa Jurídica (CNPJ);</w:t>
      </w:r>
    </w:p>
    <w:p w14:paraId="0E3D082F">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Contrato Social com todas as alterações ou a última consolidação e/ou equivalente, que comprove a aptidão da empresa para atendimento ora licitados;</w:t>
      </w:r>
    </w:p>
    <w:p w14:paraId="66DC9F38">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38D50E4C">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da Receita Estadual;</w:t>
      </w:r>
    </w:p>
    <w:p w14:paraId="6092431D">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Débito Municipal do domicílio ou sede da empresa licitante;</w:t>
      </w:r>
    </w:p>
    <w:p w14:paraId="662590A4">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Certificado de Regularidade relativa à Seguridade Social e ao FGTS, que demonstre cumprimento dos encargos sociais instituídos por lei;</w:t>
      </w:r>
    </w:p>
    <w:p w14:paraId="4A2ACD00">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de Débitos Trabalhistas – CNDT, emitida pela Justiça do Trabalho;</w:t>
      </w:r>
    </w:p>
    <w:p w14:paraId="670768A4">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0E80F771">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eastAsia="Calibri" w:cs="Arial"/>
          <w:sz w:val="22"/>
          <w:szCs w:val="22"/>
          <w:lang w:val="pt-BR"/>
        </w:rPr>
      </w:pPr>
      <w:r>
        <w:rPr>
          <w:rFonts w:hint="default" w:ascii="Arial" w:hAnsi="Arial" w:eastAsia="Calibri" w:cs="Arial"/>
          <w:sz w:val="22"/>
          <w:szCs w:val="22"/>
        </w:rPr>
        <w:t>Certidão Negativa de concordata e falência do Cartório Distribuidor da Comarca sede da proponente, emitida a menos de 90 (noventa) dias da data de abertura das Propostas a este edital;</w:t>
      </w:r>
    </w:p>
    <w:p w14:paraId="3E31C78A">
      <w:pPr>
        <w:keepNext w:val="0"/>
        <w:keepLines w:val="0"/>
        <w:pageBreakBefore w:val="0"/>
        <w:widowControl/>
        <w:numPr>
          <w:ilvl w:val="0"/>
          <w:numId w:val="0"/>
        </w:numPr>
        <w:tabs>
          <w:tab w:val="left" w:pos="425"/>
        </w:tabs>
        <w:kinsoku/>
        <w:wordWrap/>
        <w:overflowPunct/>
        <w:topLinePunct w:val="0"/>
        <w:autoSpaceDE/>
        <w:autoSpaceDN/>
        <w:bidi w:val="0"/>
        <w:adjustRightInd/>
        <w:snapToGrid/>
        <w:spacing w:after="0" w:afterLines="50" w:line="360" w:lineRule="auto"/>
        <w:jc w:val="both"/>
        <w:textAlignment w:val="auto"/>
        <w:rPr>
          <w:rFonts w:hint="default" w:ascii="Arial" w:hAnsi="Arial" w:eastAsia="Calibri" w:cs="Arial"/>
          <w:sz w:val="22"/>
          <w:szCs w:val="22"/>
          <w:highlight w:val="none"/>
          <w:lang w:val="pt-BR"/>
        </w:rPr>
      </w:pPr>
      <w:r>
        <w:rPr>
          <w:rFonts w:hint="default" w:ascii="Arial" w:hAnsi="Arial" w:cs="Arial"/>
          <w:sz w:val="22"/>
          <w:szCs w:val="22"/>
          <w:highlight w:val="none"/>
          <w:lang w:val="pt-BR"/>
        </w:rPr>
        <w:t xml:space="preserve">3.4.1 </w:t>
      </w:r>
      <w:r>
        <w:rPr>
          <w:rFonts w:hint="default" w:ascii="Arial" w:hAnsi="Arial" w:eastAsia="Calibri" w:cs="Arial"/>
          <w:sz w:val="22"/>
          <w:szCs w:val="22"/>
          <w:highlight w:val="none"/>
          <w:lang w:val="pt-BR"/>
        </w:rPr>
        <w:t>DA QUALIFICAÇÃO TÉCNICA</w:t>
      </w:r>
    </w:p>
    <w:p w14:paraId="7EDAC82B">
      <w:pPr>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afterLines="50" w:line="360" w:lineRule="auto"/>
        <w:ind w:left="425" w:leftChars="0" w:hanging="425" w:firstLineChars="0"/>
        <w:jc w:val="both"/>
        <w:textAlignment w:val="auto"/>
        <w:rPr>
          <w:sz w:val="22"/>
          <w:szCs w:val="22"/>
          <w:highlight w:val="none"/>
        </w:rPr>
      </w:pPr>
      <w:r>
        <w:rPr>
          <w:rFonts w:hint="default" w:ascii="Arial" w:hAnsi="Arial" w:eastAsia="Calibri" w:cs="Arial"/>
          <w:sz w:val="22"/>
          <w:szCs w:val="22"/>
          <w:highlight w:val="none"/>
          <w:lang w:val="pt-BR"/>
        </w:rPr>
        <w:t xml:space="preserve">Comprovação do profissional a ministrar as oficinas em Curso Nível Normal do Magistério e Carteira de Identificação junto a Ordem dos Músicos do Brasil; </w:t>
      </w:r>
    </w:p>
    <w:p w14:paraId="331A79B1">
      <w:pPr>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Comprovante de que a empresa possui</w:t>
      </w:r>
      <w:r>
        <w:rPr>
          <w:rFonts w:hint="default" w:ascii="Arial" w:hAnsi="Arial" w:cs="Arial"/>
          <w:sz w:val="22"/>
          <w:szCs w:val="22"/>
          <w:highlight w:val="none"/>
          <w:lang w:val="pt-BR"/>
        </w:rPr>
        <w:t xml:space="preserve"> </w:t>
      </w:r>
      <w:r>
        <w:rPr>
          <w:rFonts w:hint="default" w:ascii="Arial" w:hAnsi="Arial" w:cs="Arial"/>
          <w:sz w:val="22"/>
          <w:szCs w:val="22"/>
          <w:highlight w:val="none"/>
        </w:rPr>
        <w:t>em seu quadro profissional</w:t>
      </w:r>
      <w:r>
        <w:rPr>
          <w:rFonts w:hint="default" w:ascii="Arial" w:hAnsi="Arial" w:cs="Arial"/>
          <w:sz w:val="22"/>
          <w:szCs w:val="22"/>
          <w:highlight w:val="none"/>
          <w:lang w:val="pt-BR"/>
        </w:rPr>
        <w:t>(is)</w:t>
      </w:r>
      <w:r>
        <w:rPr>
          <w:rFonts w:hint="default" w:ascii="Arial" w:hAnsi="Arial" w:cs="Arial"/>
          <w:sz w:val="22"/>
          <w:szCs w:val="22"/>
          <w:highlight w:val="none"/>
        </w:rPr>
        <w:t xml:space="preserve"> detentor</w:t>
      </w:r>
      <w:r>
        <w:rPr>
          <w:rFonts w:hint="default" w:ascii="Arial" w:hAnsi="Arial" w:cs="Arial"/>
          <w:sz w:val="22"/>
          <w:szCs w:val="22"/>
          <w:highlight w:val="none"/>
          <w:lang w:val="pt-BR"/>
        </w:rPr>
        <w:t>(es)</w:t>
      </w:r>
      <w:r>
        <w:rPr>
          <w:rFonts w:hint="default" w:ascii="Arial" w:hAnsi="Arial" w:cs="Arial"/>
          <w:sz w:val="22"/>
          <w:szCs w:val="22"/>
          <w:highlight w:val="none"/>
        </w:rPr>
        <w:t xml:space="preserve"> de capacidade técnica para execução dos serviços</w:t>
      </w:r>
      <w:r>
        <w:rPr>
          <w:rFonts w:hint="default" w:ascii="Arial" w:hAnsi="Arial" w:cs="Arial"/>
          <w:sz w:val="22"/>
          <w:szCs w:val="22"/>
          <w:highlight w:val="none"/>
          <w:lang w:val="pt-BR"/>
        </w:rPr>
        <w:t xml:space="preserve">, </w:t>
      </w:r>
      <w:r>
        <w:rPr>
          <w:rFonts w:hint="default" w:ascii="Arial" w:hAnsi="Arial" w:cs="Arial"/>
          <w:sz w:val="22"/>
          <w:szCs w:val="22"/>
          <w:highlight w:val="none"/>
        </w:rPr>
        <w:t>podendo o vínculo do profissional ser comprovado mediante apresentação de:</w:t>
      </w:r>
    </w:p>
    <w:p w14:paraId="72A89076">
      <w:pPr>
        <w:numPr>
          <w:ilvl w:val="0"/>
          <w:numId w:val="3"/>
        </w:numPr>
        <w:spacing w:line="360" w:lineRule="auto"/>
        <w:jc w:val="both"/>
        <w:rPr>
          <w:rFonts w:hint="default" w:ascii="Arial" w:hAnsi="Arial" w:cs="Arial"/>
          <w:sz w:val="22"/>
          <w:szCs w:val="22"/>
          <w:highlight w:val="none"/>
        </w:rPr>
      </w:pPr>
      <w:r>
        <w:rPr>
          <w:rFonts w:hint="default" w:ascii="Arial" w:hAnsi="Arial" w:eastAsia="SimSun" w:cs="Arial"/>
          <w:sz w:val="22"/>
          <w:szCs w:val="22"/>
          <w:highlight w:val="none"/>
        </w:rPr>
        <w:t xml:space="preserve">           No caso de vínculo empregatício, mediante a apresentação da carteira profissional (CTPS) ou ficha de registros de empregados (FRE), esta com o visto do órgão competente;</w:t>
      </w:r>
    </w:p>
    <w:p w14:paraId="6C4AB729">
      <w:pPr>
        <w:numPr>
          <w:ilvl w:val="0"/>
          <w:numId w:val="3"/>
        </w:numPr>
        <w:spacing w:line="360" w:lineRule="auto"/>
        <w:jc w:val="both"/>
        <w:rPr>
          <w:rFonts w:hint="default" w:ascii="Arial" w:hAnsi="Arial" w:cs="Arial"/>
          <w:sz w:val="22"/>
          <w:szCs w:val="22"/>
          <w:highlight w:val="none"/>
        </w:rPr>
      </w:pPr>
      <w:r>
        <w:rPr>
          <w:rFonts w:hint="default" w:ascii="Arial" w:hAnsi="Arial" w:cs="Arial"/>
          <w:sz w:val="22"/>
          <w:szCs w:val="22"/>
          <w:highlight w:val="none"/>
        </w:rPr>
        <w:t>No caso de vínculo societário, através de cópia do ato constitutivo, contrato social ou estatuto, devidamente registrado no órgão competente;</w:t>
      </w:r>
    </w:p>
    <w:p w14:paraId="6786587C">
      <w:pPr>
        <w:numPr>
          <w:ilvl w:val="0"/>
          <w:numId w:val="3"/>
        </w:numPr>
        <w:spacing w:line="360" w:lineRule="auto"/>
        <w:jc w:val="both"/>
        <w:rPr>
          <w:rFonts w:hint="default" w:ascii="Arial" w:hAnsi="Arial" w:cs="Arial"/>
          <w:sz w:val="22"/>
          <w:szCs w:val="22"/>
          <w:highlight w:val="none"/>
        </w:rPr>
      </w:pPr>
      <w:r>
        <w:rPr>
          <w:rFonts w:hint="default" w:ascii="Arial" w:hAnsi="Arial" w:cs="Arial"/>
          <w:sz w:val="22"/>
          <w:szCs w:val="22"/>
          <w:highlight w:val="none"/>
        </w:rPr>
        <w:t>Se contratado, cópia autenticada do contrato firmado com a licitante, assinado pelo representante legal da empresa e com firma reconhecida em cartório.</w:t>
      </w:r>
    </w:p>
    <w:p w14:paraId="2FDC45AF">
      <w:pPr>
        <w:keepNext w:val="0"/>
        <w:keepLines w:val="0"/>
        <w:pageBreakBefore w:val="0"/>
        <w:widowControl/>
        <w:numPr>
          <w:ilvl w:val="0"/>
          <w:numId w:val="0"/>
        </w:numPr>
        <w:shd w:val="clear"/>
        <w:tabs>
          <w:tab w:val="left" w:pos="675"/>
          <w:tab w:val="left" w:pos="85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3.4.1 </w:t>
      </w:r>
      <w:r>
        <w:rPr>
          <w:rFonts w:hint="default" w:ascii="Arial" w:hAnsi="Arial" w:cs="Arial"/>
          <w:color w:val="000000"/>
          <w:sz w:val="22"/>
          <w:szCs w:val="22"/>
          <w:highlight w:val="none"/>
        </w:rPr>
        <w:t>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02 anos.</w:t>
      </w:r>
    </w:p>
    <w:p w14:paraId="5B2EFC26">
      <w:pPr>
        <w:keepNext w:val="0"/>
        <w:keepLines w:val="0"/>
        <w:pageBreakBefore w:val="0"/>
        <w:widowControl/>
        <w:numPr>
          <w:ilvl w:val="0"/>
          <w:numId w:val="0"/>
        </w:numPr>
        <w:shd w:val="clear"/>
        <w:tabs>
          <w:tab w:val="left" w:pos="675"/>
          <w:tab w:val="left" w:pos="855"/>
        </w:tabs>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cs="Arial"/>
          <w:color w:val="000000"/>
          <w:sz w:val="22"/>
          <w:szCs w:val="22"/>
          <w:highlight w:val="none"/>
          <w:shd w:val="clear" w:fill="FFFFFF"/>
        </w:rPr>
      </w:pPr>
      <w:r>
        <w:rPr>
          <w:rFonts w:hint="default" w:ascii="Arial" w:hAnsi="Arial" w:cs="Arial"/>
          <w:color w:val="000000"/>
          <w:sz w:val="22"/>
          <w:szCs w:val="22"/>
          <w:highlight w:val="none"/>
          <w:shd w:val="clear" w:fill="FFFFFF"/>
          <w:lang w:val="pt-BR"/>
        </w:rPr>
        <w:t xml:space="preserve">3.4.2 </w:t>
      </w:r>
      <w:r>
        <w:rPr>
          <w:rFonts w:hint="default" w:ascii="Arial" w:hAnsi="Arial" w:cs="Arial"/>
          <w:color w:val="000000"/>
          <w:sz w:val="22"/>
          <w:szCs w:val="22"/>
          <w:highlight w:val="none"/>
          <w:shd w:val="clear" w:fill="FFFFFF"/>
        </w:rPr>
        <w:t>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14:paraId="6986C29F">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rPr>
      </w:pPr>
      <w:r>
        <w:rPr>
          <w:rFonts w:hint="default" w:ascii="Arial" w:hAnsi="Arial" w:cs="Arial"/>
          <w:color w:val="000000"/>
          <w:sz w:val="22"/>
          <w:szCs w:val="22"/>
          <w:highlight w:val="none"/>
          <w:shd w:val="clear" w:fill="FFFFFF"/>
          <w:lang w:val="pt-BR"/>
        </w:rPr>
        <w:t xml:space="preserve">3.4.3 </w:t>
      </w:r>
      <w:r>
        <w:rPr>
          <w:rFonts w:hint="default" w:ascii="Arial" w:hAnsi="Arial" w:cs="Arial"/>
          <w:color w:val="000000"/>
          <w:sz w:val="22"/>
          <w:szCs w:val="22"/>
          <w:highlight w:val="none"/>
          <w:shd w:val="clear" w:fill="FFFFFF"/>
        </w:rPr>
        <w:t xml:space="preserve">Poderá a Administração Municipal promover processo administrativo de rescisão unilateral do Registro, </w:t>
      </w:r>
      <w:r>
        <w:rPr>
          <w:rFonts w:hint="default" w:ascii="Arial" w:hAnsi="Arial" w:cs="Arial"/>
          <w:b w:val="0"/>
          <w:bCs w:val="0"/>
          <w:color w:val="000000"/>
          <w:sz w:val="22"/>
          <w:szCs w:val="22"/>
          <w:highlight w:val="none"/>
          <w:shd w:val="clear" w:fill="FFFFFF"/>
        </w:rPr>
        <w:t>conforme Decreto Municipal n° 3.250/2023</w:t>
      </w:r>
      <w:r>
        <w:rPr>
          <w:rFonts w:hint="default" w:ascii="Arial" w:hAnsi="Arial" w:cs="Arial"/>
          <w:b w:val="0"/>
          <w:bCs w:val="0"/>
          <w:color w:val="000000"/>
          <w:sz w:val="22"/>
          <w:szCs w:val="22"/>
          <w:highlight w:val="none"/>
          <w:shd w:val="clear" w:fill="FFFFFF"/>
          <w:lang w:val="pt-BR"/>
        </w:rPr>
        <w:t>.</w:t>
      </w:r>
    </w:p>
    <w:p w14:paraId="3147D81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EB21F7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4. ESTIMATIVA DAS QUANTIDADES</w:t>
      </w:r>
    </w:p>
    <w:p w14:paraId="1215709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Os quantitativos estimados para a contratação pretendida têm como parâmetro as últimas contratações com o mesmo objeto, realizadas por esta Administração. Neste sentido, seque memória de cálculo:</w:t>
      </w:r>
    </w:p>
    <w:p w14:paraId="2067251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tbl>
      <w:tblPr>
        <w:tblStyle w:val="21"/>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9"/>
        <w:gridCol w:w="3796"/>
        <w:gridCol w:w="2307"/>
      </w:tblGrid>
      <w:tr w14:paraId="4669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9" w:type="dxa"/>
            <w:shd w:val="clear" w:color="auto" w:fill="E7E6E6" w:themeFill="background2"/>
            <w:vAlign w:val="center"/>
          </w:tcPr>
          <w:p w14:paraId="76B59B40">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b/>
                <w:bCs/>
                <w:sz w:val="22"/>
                <w:szCs w:val="22"/>
              </w:rPr>
            </w:pPr>
            <w:r>
              <w:rPr>
                <w:rFonts w:hint="default" w:ascii="Arial" w:hAnsi="Arial" w:cs="Arial"/>
                <w:b/>
                <w:bCs/>
                <w:sz w:val="22"/>
                <w:szCs w:val="22"/>
              </w:rPr>
              <w:t>PROCESSO Nº</w:t>
            </w:r>
          </w:p>
        </w:tc>
        <w:tc>
          <w:tcPr>
            <w:tcW w:w="3796" w:type="dxa"/>
            <w:shd w:val="clear" w:color="auto" w:fill="E7E6E6" w:themeFill="background2"/>
            <w:vAlign w:val="center"/>
          </w:tcPr>
          <w:p w14:paraId="53CC7C86">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sz w:val="22"/>
                <w:szCs w:val="22"/>
                <w:lang w:val="pt-BR"/>
              </w:rPr>
            </w:pPr>
            <w:r>
              <w:rPr>
                <w:rFonts w:hint="default" w:ascii="Arial" w:hAnsi="Arial" w:cs="Arial"/>
                <w:b/>
                <w:bCs/>
                <w:sz w:val="22"/>
                <w:szCs w:val="22"/>
                <w:lang w:val="pt-BR"/>
              </w:rPr>
              <w:t>MÉDIA DE CONSUMO ANUAL</w:t>
            </w:r>
          </w:p>
        </w:tc>
        <w:tc>
          <w:tcPr>
            <w:tcW w:w="2307" w:type="dxa"/>
            <w:shd w:val="clear" w:color="auto" w:fill="E7E6E6" w:themeFill="background2"/>
            <w:vAlign w:val="center"/>
          </w:tcPr>
          <w:p w14:paraId="6EE70838">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sz w:val="22"/>
                <w:szCs w:val="22"/>
                <w:lang w:val="pt-BR"/>
              </w:rPr>
            </w:pPr>
            <w:r>
              <w:rPr>
                <w:rFonts w:hint="default" w:ascii="Arial" w:hAnsi="Arial" w:cs="Arial"/>
                <w:b/>
                <w:bCs/>
                <w:sz w:val="22"/>
                <w:szCs w:val="22"/>
                <w:lang w:val="pt-BR"/>
              </w:rPr>
              <w:t>ESTIMATIVA</w:t>
            </w:r>
          </w:p>
        </w:tc>
      </w:tr>
      <w:tr w14:paraId="7A2D8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9" w:type="dxa"/>
            <w:vAlign w:val="center"/>
          </w:tcPr>
          <w:p w14:paraId="5D122B9D">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sz w:val="22"/>
                <w:szCs w:val="22"/>
                <w:lang w:val="pt-BR"/>
              </w:rPr>
            </w:pPr>
            <w:r>
              <w:rPr>
                <w:rFonts w:hint="default" w:ascii="Arial" w:hAnsi="Arial" w:cs="Arial"/>
                <w:sz w:val="22"/>
                <w:szCs w:val="22"/>
                <w:lang w:val="pt-BR"/>
              </w:rPr>
              <w:t>PRE 80/2023</w:t>
            </w:r>
          </w:p>
        </w:tc>
        <w:tc>
          <w:tcPr>
            <w:tcW w:w="3796" w:type="dxa"/>
            <w:vAlign w:val="center"/>
          </w:tcPr>
          <w:p w14:paraId="354CBB0E">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sz w:val="22"/>
                <w:szCs w:val="22"/>
                <w:lang w:val="pt-BR"/>
              </w:rPr>
            </w:pPr>
            <w:r>
              <w:rPr>
                <w:rFonts w:hint="default" w:ascii="Arial" w:hAnsi="Arial" w:cs="Arial"/>
                <w:sz w:val="22"/>
                <w:szCs w:val="22"/>
                <w:lang w:val="pt-BR"/>
              </w:rPr>
              <w:t>780 horas</w:t>
            </w:r>
          </w:p>
        </w:tc>
        <w:tc>
          <w:tcPr>
            <w:tcW w:w="2307" w:type="dxa"/>
            <w:vAlign w:val="center"/>
          </w:tcPr>
          <w:p w14:paraId="74FAA3D9">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sz w:val="22"/>
                <w:szCs w:val="22"/>
                <w:lang w:val="pt-BR"/>
              </w:rPr>
            </w:pPr>
            <w:r>
              <w:rPr>
                <w:rFonts w:hint="default" w:ascii="Arial" w:hAnsi="Arial" w:cs="Arial"/>
                <w:sz w:val="22"/>
                <w:szCs w:val="22"/>
                <w:highlight w:val="none"/>
                <w:lang w:val="pt-BR"/>
              </w:rPr>
              <w:t xml:space="preserve">1040 h </w:t>
            </w:r>
          </w:p>
        </w:tc>
      </w:tr>
    </w:tbl>
    <w:p w14:paraId="0BBB0B8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292A4D8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O quantitativo estimado mostra-se suficiente para atender às atuais demandas do município pelo período de um ano, com o acréscimo do quantitativo da Secretaria de Saúde, que não participava do processo anterior e passou a integrar essa necessidade após a abertura do CAPS. Assim, o quantitativo proposto visa suprir a demanda durante toda a vigência do termo de credenciamento, inclusive em eventual prorrogação.</w:t>
      </w:r>
    </w:p>
    <w:p w14:paraId="1E8EC10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4655226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5. ALTERNATIVAS DISPONÍVEIS NO MERCADO</w:t>
      </w:r>
    </w:p>
    <w:p w14:paraId="3D10EF0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Conforme pesquisa de mercado realizada, para solução da necessidade administrativa, objeto do presente Estudo Técnico Preliminar, vislumbra-se possível, sob o aspecto técnico e econômico, a contratação</w:t>
      </w:r>
      <w:r>
        <w:rPr>
          <w:rFonts w:hint="default" w:ascii="Arial" w:hAnsi="Arial"/>
          <w:sz w:val="22"/>
          <w:szCs w:val="22"/>
        </w:rPr>
        <w:t xml:space="preserve"> de empresas especializadas</w:t>
      </w:r>
      <w:r>
        <w:rPr>
          <w:rFonts w:hint="default" w:ascii="Arial" w:hAnsi="Arial"/>
          <w:sz w:val="22"/>
          <w:szCs w:val="22"/>
          <w:lang w:val="pt-BR"/>
        </w:rPr>
        <w:t xml:space="preserve"> para o fornecimento de aulas de música. </w:t>
      </w:r>
      <w:r>
        <w:rPr>
          <w:rFonts w:hint="default" w:ascii="Arial" w:hAnsi="Arial"/>
          <w:sz w:val="22"/>
          <w:szCs w:val="22"/>
        </w:rPr>
        <w:t>Das possíveis soluções existentes no mercado, existem algumas possibilidades, dentre as quais estão:</w:t>
      </w:r>
    </w:p>
    <w:p w14:paraId="17DAD5A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yellow"/>
          <w:lang w:val="pt-BR"/>
        </w:rPr>
      </w:pPr>
    </w:p>
    <w:p w14:paraId="35D26CAF">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sz w:val="22"/>
          <w:szCs w:val="22"/>
        </w:rPr>
      </w:pPr>
      <w:r>
        <w:rPr>
          <w:rFonts w:hint="default" w:ascii="Arial" w:hAnsi="Arial"/>
          <w:sz w:val="22"/>
          <w:szCs w:val="22"/>
        </w:rPr>
        <w:t>Utilização de profissionais do quadro de funcionários da prefeitura.</w:t>
      </w:r>
    </w:p>
    <w:p w14:paraId="26C0E753">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sz w:val="22"/>
          <w:szCs w:val="22"/>
          <w:lang w:val="pt-BR"/>
        </w:rPr>
      </w:pPr>
      <w:r>
        <w:rPr>
          <w:rFonts w:hint="default" w:ascii="Arial" w:hAnsi="Arial"/>
          <w:sz w:val="22"/>
          <w:szCs w:val="22"/>
        </w:rPr>
        <w:t xml:space="preserve">Contratar profissionais especializados para ministrar as oficinas de aulas diversas. </w:t>
      </w:r>
    </w:p>
    <w:p w14:paraId="43EE85C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Arial" w:hAnsi="Arial"/>
          <w:sz w:val="22"/>
          <w:szCs w:val="22"/>
        </w:rPr>
      </w:pPr>
    </w:p>
    <w:p w14:paraId="7FC67DC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sz w:val="22"/>
          <w:szCs w:val="22"/>
        </w:rPr>
      </w:pPr>
      <w:r>
        <w:rPr>
          <w:rFonts w:hint="default" w:ascii="Arial" w:hAnsi="Arial"/>
          <w:sz w:val="22"/>
          <w:szCs w:val="22"/>
        </w:rPr>
        <w:t>Considerando as duas alternativas apresentadas, a opção que melhor atende à necessidade é a Alternativa 2, uma vez que as Secretarias solicitantes não dispõem de profissionais especializados para ministrar as aulas. Dessa forma, a contratação de uma empresa especializada torna-se imprescindível para atender à demanda.</w:t>
      </w:r>
    </w:p>
    <w:p w14:paraId="3ABB93D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4A3D2C7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Tais referências foram obtidas por meio de pesquisa, efetuadas com base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4CB0CB8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B4D3ED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6. ESTIMATIVA DO VALOR DA CONTRATAÇÃO</w:t>
      </w:r>
    </w:p>
    <w:p w14:paraId="666D0AF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lang w:val="pt-BR"/>
        </w:rPr>
      </w:pPr>
      <w:r>
        <w:rPr>
          <w:rFonts w:hint="default" w:ascii="Arial" w:hAnsi="Arial" w:cs="Arial"/>
          <w:sz w:val="22"/>
          <w:szCs w:val="22"/>
        </w:rPr>
        <w:t>Estima-se para a co</w:t>
      </w:r>
      <w:r>
        <w:rPr>
          <w:rFonts w:hint="default" w:ascii="Arial" w:hAnsi="Arial" w:cs="Arial"/>
          <w:sz w:val="22"/>
          <w:szCs w:val="22"/>
          <w:highlight w:val="none"/>
        </w:rPr>
        <w:t>ntratação almejada o valor</w:t>
      </w:r>
      <w:r>
        <w:rPr>
          <w:rFonts w:hint="default" w:ascii="Arial" w:hAnsi="Arial" w:cs="Arial"/>
          <w:sz w:val="22"/>
          <w:szCs w:val="22"/>
          <w:highlight w:val="none"/>
          <w:lang w:val="pt-BR"/>
        </w:rPr>
        <w:t xml:space="preserve"> anual</w:t>
      </w:r>
      <w:bookmarkStart w:id="12" w:name="_GoBack"/>
      <w:bookmarkEnd w:id="12"/>
      <w:r>
        <w:rPr>
          <w:rFonts w:hint="default" w:ascii="Arial" w:hAnsi="Arial" w:cs="Arial"/>
          <w:sz w:val="22"/>
          <w:szCs w:val="22"/>
          <w:highlight w:val="none"/>
        </w:rPr>
        <w:t xml:space="preserve"> de </w:t>
      </w:r>
      <w:r>
        <w:rPr>
          <w:rFonts w:hint="default" w:ascii="Arial" w:hAnsi="Arial"/>
          <w:b/>
          <w:bCs/>
          <w:sz w:val="22"/>
          <w:szCs w:val="22"/>
          <w:highlight w:val="none"/>
        </w:rPr>
        <w:t>R$ 85.280,00</w:t>
      </w:r>
      <w:r>
        <w:rPr>
          <w:rFonts w:hint="default" w:ascii="Arial" w:hAnsi="Arial"/>
          <w:sz w:val="22"/>
          <w:szCs w:val="22"/>
          <w:highlight w:val="none"/>
          <w:lang w:val="pt-BR"/>
        </w:rPr>
        <w:t xml:space="preserve"> (oitenta e cinco mil duzentos e oitenta reais).</w:t>
      </w:r>
    </w:p>
    <w:p w14:paraId="26B86E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F9442B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Vislumbra-se que tal valor é compatível com o praticado pelo mercado correspondente,</w:t>
      </w:r>
      <w:r>
        <w:rPr>
          <w:rFonts w:hint="default" w:ascii="Arial" w:hAnsi="Arial" w:cs="Arial"/>
          <w:sz w:val="22"/>
          <w:szCs w:val="22"/>
          <w:lang w:val="pt-BR"/>
        </w:rPr>
        <w:t xml:space="preserve"> </w:t>
      </w:r>
      <w:r>
        <w:rPr>
          <w:rFonts w:hint="default" w:ascii="Arial" w:hAnsi="Arial" w:cs="Arial"/>
          <w:sz w:val="22"/>
          <w:szCs w:val="22"/>
          <w:lang w:val="pt-BR" w:eastAsia="pt-BR"/>
        </w:rPr>
        <w:t>conforme pesquisa de mercado</w:t>
      </w:r>
      <w:r>
        <w:rPr>
          <w:rFonts w:hint="default" w:ascii="Arial" w:hAnsi="Arial" w:cs="Arial"/>
          <w:sz w:val="22"/>
          <w:szCs w:val="22"/>
          <w:lang w:val="en-US" w:eastAsia="pt-BR"/>
        </w:rPr>
        <w:t xml:space="preserve"> realizada pelo setor de compras do município, efetuada com base</w:t>
      </w:r>
      <w:r>
        <w:rPr>
          <w:rFonts w:hint="default" w:ascii="Arial" w:hAnsi="Arial" w:cs="Arial"/>
          <w:sz w:val="22"/>
          <w:szCs w:val="22"/>
          <w:lang w:val="pt-BR" w:eastAsia="pt-BR"/>
        </w:rPr>
        <w:t xml:space="preserve"> pelos parâmetros </w:t>
      </w:r>
      <w:r>
        <w:rPr>
          <w:rFonts w:hint="default" w:ascii="Arial" w:hAnsi="Arial" w:cs="Arial"/>
          <w:sz w:val="22"/>
          <w:szCs w:val="22"/>
          <w:lang w:val="en-US" w:eastAsia="pt-BR"/>
        </w:rPr>
        <w:t xml:space="preserve">estabelecidos </w:t>
      </w:r>
      <w:r>
        <w:rPr>
          <w:rFonts w:hint="default" w:ascii="Arial" w:hAnsi="Arial" w:cs="Arial"/>
          <w:sz w:val="22"/>
          <w:szCs w:val="22"/>
          <w:lang w:val="pt-BR" w:eastAsia="pt-BR"/>
        </w:rPr>
        <w:t>no Art. 23 da Lei Federal n.º 14.</w:t>
      </w:r>
      <w:r>
        <w:rPr>
          <w:rFonts w:hint="default" w:ascii="Arial" w:hAnsi="Arial" w:eastAsia="Calibri" w:cs="Arial"/>
          <w:kern w:val="0"/>
          <w:sz w:val="22"/>
          <w:szCs w:val="22"/>
          <w:lang w:val="pt-BR" w:eastAsia="pt-BR" w:bidi="ar-SA"/>
        </w:rPr>
        <w:t>133/2021</w:t>
      </w:r>
      <w:r>
        <w:rPr>
          <w:rFonts w:hint="default" w:ascii="Arial" w:hAnsi="Arial" w:cs="Arial"/>
          <w:kern w:val="0"/>
          <w:sz w:val="22"/>
          <w:szCs w:val="22"/>
          <w:lang w:val="en-US" w:eastAsia="pt-BR" w:bidi="ar-SA"/>
        </w:rPr>
        <w:t>, através de contratações similares realizadas pela Administração Pública.</w:t>
      </w:r>
    </w:p>
    <w:p w14:paraId="111D9D6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78B7EB2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O</w:t>
      </w:r>
      <w:r>
        <w:rPr>
          <w:rFonts w:hint="default" w:ascii="Arial" w:hAnsi="Arial" w:cs="Arial"/>
          <w:sz w:val="22"/>
          <w:szCs w:val="22"/>
        </w:rPr>
        <w:t xml:space="preserve">bservando-se o disposto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072D311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yellow"/>
        </w:rPr>
      </w:pPr>
    </w:p>
    <w:p w14:paraId="3335B47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7. DESCRIÇÃO DA SOLUÇÃO COMO UM TODO</w:t>
      </w:r>
    </w:p>
    <w:p w14:paraId="025CCDD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lang w:val="pt-BR"/>
        </w:rPr>
      </w:pPr>
      <w:r>
        <w:rPr>
          <w:rFonts w:hint="default" w:ascii="Arial" w:hAnsi="Arial" w:cs="Arial"/>
          <w:sz w:val="22"/>
          <w:szCs w:val="22"/>
          <w:highlight w:val="none"/>
        </w:rPr>
        <w:t xml:space="preserve">A solução proposta é a contratação de empresa especializada para </w:t>
      </w:r>
      <w:r>
        <w:rPr>
          <w:rFonts w:hint="default" w:ascii="Arial" w:hAnsi="Arial" w:cs="Arial"/>
          <w:sz w:val="22"/>
          <w:szCs w:val="22"/>
          <w:highlight w:val="none"/>
          <w:lang w:val="pt-BR"/>
        </w:rPr>
        <w:t xml:space="preserve">a </w:t>
      </w:r>
      <w:r>
        <w:rPr>
          <w:rFonts w:hint="default" w:ascii="Arial" w:hAnsi="Arial" w:cs="Arial"/>
          <w:sz w:val="22"/>
          <w:szCs w:val="22"/>
          <w:highlight w:val="none"/>
        </w:rPr>
        <w:t xml:space="preserve">prestação de serviços de </w:t>
      </w:r>
      <w:r>
        <w:rPr>
          <w:rFonts w:hint="default" w:ascii="Arial" w:hAnsi="Arial" w:cs="Arial"/>
          <w:sz w:val="22"/>
          <w:szCs w:val="22"/>
          <w:highlight w:val="none"/>
          <w:lang w:val="pt-BR"/>
        </w:rPr>
        <w:t>aulas de música</w:t>
      </w:r>
      <w:r>
        <w:rPr>
          <w:rFonts w:hint="default" w:ascii="Arial" w:hAnsi="Arial" w:cs="Arial"/>
          <w:sz w:val="22"/>
          <w:szCs w:val="22"/>
          <w:highlight w:val="none"/>
        </w:rPr>
        <w:t>, conforme as especificações</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 condições</w:t>
      </w:r>
      <w:r>
        <w:rPr>
          <w:rFonts w:hint="default" w:ascii="Arial" w:hAnsi="Arial" w:cs="Arial"/>
          <w:sz w:val="22"/>
          <w:szCs w:val="22"/>
          <w:highlight w:val="none"/>
          <w:lang w:val="pt-BR"/>
        </w:rPr>
        <w:t xml:space="preserve"> dos itens 1 e 3.</w:t>
      </w:r>
    </w:p>
    <w:p w14:paraId="07CF691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6086FA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8. JUSTIFICATIVA PARA O PARCELAMENTO OU NÃO DA CONTRATAÇÃO</w:t>
      </w:r>
    </w:p>
    <w:p w14:paraId="46EDA740">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hint="default" w:ascii="Arial" w:hAnsi="Arial" w:cs="Arial"/>
          <w:color w:val="000000"/>
          <w:sz w:val="22"/>
          <w:szCs w:val="22"/>
        </w:rPr>
        <w:t xml:space="preserve">o custo para a Administração de vários contratos frente às vantagens da redução de custos, com divisão do objeto em itens, </w:t>
      </w:r>
      <w:bookmarkStart w:id="0" w:name="art47§1iii"/>
      <w:bookmarkEnd w:id="0"/>
      <w:r>
        <w:rPr>
          <w:rFonts w:hint="default" w:ascii="Arial" w:hAnsi="Arial" w:cs="Arial"/>
          <w:color w:val="000000"/>
          <w:sz w:val="22"/>
          <w:szCs w:val="22"/>
        </w:rPr>
        <w:t>e o dever de buscar a ampliação da competição e de evitar a concentração de mercado.</w:t>
      </w:r>
    </w:p>
    <w:p w14:paraId="41A58F63">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p>
    <w:p w14:paraId="217AF6FE">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00864314">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3E5AC6BE">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b/>
          <w:bCs/>
          <w:sz w:val="22"/>
          <w:szCs w:val="22"/>
        </w:rPr>
        <w:t xml:space="preserve">9. RESULTADOS PRETENDIDOS </w:t>
      </w:r>
    </w:p>
    <w:p w14:paraId="5799CA2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Pretende-se, com o presente processo licitatório, assegurar </w:t>
      </w:r>
      <w:r>
        <w:rPr>
          <w:rFonts w:hint="default" w:ascii="Arial" w:hAnsi="Arial" w:cs="Arial"/>
          <w:color w:val="000000"/>
          <w:sz w:val="22"/>
          <w:szCs w:val="22"/>
        </w:rPr>
        <w:t>a seleção da proposta apta a gerar a contratação mais vantajosa para o Município.</w:t>
      </w:r>
    </w:p>
    <w:p w14:paraId="079A169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p>
    <w:p w14:paraId="4A51EB4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color w:val="000000"/>
          <w:sz w:val="22"/>
          <w:szCs w:val="22"/>
        </w:rPr>
        <w:t>Almeja-se, igualmente, assegurar tratamento isonômico entre os licitantes, bem como a justa competição, bem como evitar contratação com sobrepreço ou com preço manifestamente inexequível e superfaturamento na execução do contrato.</w:t>
      </w:r>
    </w:p>
    <w:p w14:paraId="3661756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2E1C2BF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0C0E309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75C193D">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 w:name="art18§1viii"/>
      <w:bookmarkEnd w:id="1"/>
      <w:bookmarkStart w:id="2" w:name="art18§1v"/>
      <w:bookmarkEnd w:id="2"/>
      <w:bookmarkStart w:id="3" w:name="art18§1ix"/>
      <w:bookmarkEnd w:id="3"/>
      <w:bookmarkStart w:id="4" w:name="art18§1iii"/>
      <w:bookmarkEnd w:id="4"/>
      <w:bookmarkStart w:id="5" w:name="art18§1x"/>
      <w:bookmarkEnd w:id="5"/>
      <w:bookmarkStart w:id="6" w:name="art18§1ii"/>
      <w:bookmarkEnd w:id="6"/>
      <w:bookmarkStart w:id="7" w:name="art18§1vi"/>
      <w:bookmarkEnd w:id="7"/>
      <w:bookmarkStart w:id="8" w:name="art18§1vii"/>
      <w:bookmarkEnd w:id="8"/>
      <w:r>
        <w:rPr>
          <w:rFonts w:hint="default" w:ascii="Arial" w:hAnsi="Arial" w:cs="Arial"/>
          <w:b/>
          <w:bCs/>
          <w:color w:val="000000"/>
          <w:sz w:val="22"/>
          <w:szCs w:val="22"/>
        </w:rPr>
        <w:t>10. PROVIDÊNCIAS PRÉVIAS AO CONTRATO</w:t>
      </w:r>
    </w:p>
    <w:p w14:paraId="205F1C06">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lang w:val="pt-BR"/>
        </w:rPr>
      </w:pPr>
      <w:bookmarkStart w:id="9" w:name="art18§1xi"/>
      <w:bookmarkEnd w:id="9"/>
      <w:r>
        <w:rPr>
          <w:rFonts w:hint="default" w:ascii="Arial" w:hAnsi="Arial" w:cs="Arial"/>
          <w:color w:val="000000"/>
          <w:sz w:val="22"/>
          <w:szCs w:val="22"/>
        </w:rPr>
        <w:t>Para a contratação pretendida não haverá necessidade de providências prévias no âmbito da Administração</w:t>
      </w:r>
      <w:r>
        <w:rPr>
          <w:rFonts w:hint="default" w:ascii="Arial" w:hAnsi="Arial" w:cs="Arial"/>
          <w:color w:val="000000"/>
          <w:sz w:val="22"/>
          <w:szCs w:val="22"/>
          <w:lang w:val="pt-BR"/>
        </w:rPr>
        <w:t>. Embora</w:t>
      </w:r>
      <w:r>
        <w:rPr>
          <w:rFonts w:hint="default" w:ascii="Arial" w:hAnsi="Arial" w:cs="Arial"/>
          <w:sz w:val="22"/>
          <w:szCs w:val="22"/>
        </w:rPr>
        <w:t xml:space="preserve">, para que a pretendida contratação tenha sucesso, é preciso que outras etapas sejam concluídas, quais sejam: </w:t>
      </w:r>
    </w:p>
    <w:p w14:paraId="75352F1A">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elaboração de minuta do edital; </w:t>
      </w:r>
    </w:p>
    <w:p w14:paraId="6D0B88AD">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de certificação de disponibilidade orçamentária; </w:t>
      </w:r>
    </w:p>
    <w:p w14:paraId="619E4671">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designação em Portaria de pregoeiro, equipe de apoio, agente de contratação (conforme o caso); </w:t>
      </w:r>
    </w:p>
    <w:p w14:paraId="5376582D">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elaboração de minuta do </w:t>
      </w:r>
      <w:r>
        <w:rPr>
          <w:rFonts w:hint="default" w:ascii="Arial" w:hAnsi="Arial" w:cs="Arial"/>
          <w:sz w:val="22"/>
          <w:szCs w:val="22"/>
          <w:lang w:val="pt-BR"/>
        </w:rPr>
        <w:t>termo de credenciamento;</w:t>
      </w:r>
    </w:p>
    <w:p w14:paraId="51D414B3">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encaminhamento do processo para análise jurídica; </w:t>
      </w:r>
    </w:p>
    <w:p w14:paraId="393FCFB7">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análise da manifestação jurídica e atendimento aos apontamentos constantes no parecer, mediante Nota Técnica com os ajustes indicados; </w:t>
      </w:r>
    </w:p>
    <w:p w14:paraId="25ADD633">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publicação e divulgação do edital e anexos; </w:t>
      </w:r>
    </w:p>
    <w:p w14:paraId="2559D32F">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resposta a eventuais pedidos de esclarecimentos e/ou impugnação, caso aplicável; </w:t>
      </w:r>
    </w:p>
    <w:p w14:paraId="0F6CDAFE">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de empenho; e </w:t>
      </w:r>
    </w:p>
    <w:p w14:paraId="5CA3ACA6">
      <w:pPr>
        <w:pStyle w:val="15"/>
        <w:keepNext w:val="0"/>
        <w:keepLines w:val="0"/>
        <w:pageBreakBefore w:val="0"/>
        <w:widowControl/>
        <w:numPr>
          <w:ilvl w:val="0"/>
          <w:numId w:val="5"/>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color w:val="000000"/>
          <w:sz w:val="22"/>
          <w:szCs w:val="22"/>
        </w:rPr>
      </w:pPr>
      <w:r>
        <w:rPr>
          <w:rFonts w:hint="default" w:ascii="Arial" w:hAnsi="Arial" w:cs="Arial"/>
          <w:sz w:val="22"/>
          <w:szCs w:val="22"/>
        </w:rPr>
        <w:t xml:space="preserve">assinatura e publicação do </w:t>
      </w:r>
      <w:r>
        <w:rPr>
          <w:rFonts w:hint="default" w:ascii="Arial" w:hAnsi="Arial" w:cs="Arial"/>
          <w:sz w:val="22"/>
          <w:szCs w:val="22"/>
          <w:lang w:val="pt-BR"/>
        </w:rPr>
        <w:t>termo de credenciamento.</w:t>
      </w:r>
    </w:p>
    <w:p w14:paraId="630DF3D9">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color w:val="000000"/>
          <w:sz w:val="22"/>
          <w:szCs w:val="22"/>
        </w:rPr>
        <w:t>A Secretaria de</w:t>
      </w:r>
      <w:r>
        <w:rPr>
          <w:rFonts w:hint="default" w:ascii="Arial" w:hAnsi="Arial" w:cs="Arial"/>
          <w:color w:val="000000"/>
          <w:sz w:val="22"/>
          <w:szCs w:val="22"/>
          <w:lang w:val="pt-BR"/>
        </w:rPr>
        <w:t xml:space="preserve"> Assistência Social </w:t>
      </w:r>
      <w:r>
        <w:rPr>
          <w:rFonts w:hint="default" w:ascii="Arial" w:hAnsi="Arial" w:cs="Arial"/>
          <w:color w:val="000000"/>
          <w:sz w:val="22"/>
          <w:szCs w:val="22"/>
        </w:rPr>
        <w:t>indicará servidores para atuarem como gestor e fiscal do contrato.</w:t>
      </w:r>
    </w:p>
    <w:p w14:paraId="1275F8FD">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p>
    <w:p w14:paraId="05740667">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11. CONTRATAÇÕES CORRELATAS E/OU INTERDEPENDENTES</w:t>
      </w:r>
    </w:p>
    <w:p w14:paraId="252B49D5">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Este estudo não identificou a necessidade de realizar contratações acessórias para a perfeita execução do objeto, uma vez que todos os meios necessários para a operacionalização dos serviços podem ser supridos apenas com a contratação ora proposta.</w:t>
      </w:r>
      <w:r>
        <w:rPr>
          <w:rFonts w:hint="default" w:ascii="Arial" w:hAnsi="Arial" w:cs="Arial"/>
          <w:sz w:val="22"/>
          <w:szCs w:val="22"/>
          <w:lang w:val="pt-BR"/>
        </w:rPr>
        <w:t xml:space="preserve"> </w:t>
      </w:r>
      <w:r>
        <w:rPr>
          <w:rFonts w:hint="default" w:ascii="Arial" w:hAnsi="Arial" w:cs="Arial"/>
          <w:sz w:val="22"/>
          <w:szCs w:val="22"/>
        </w:rPr>
        <w:t>Os serviços que se pretende, portanto, são autônomos e prescindem de contratações correlatas ou interdependentes.</w:t>
      </w:r>
    </w:p>
    <w:p w14:paraId="186CDFEC">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0" w:name="art18§1xii"/>
      <w:bookmarkEnd w:id="10"/>
    </w:p>
    <w:p w14:paraId="3C702EA1">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 xml:space="preserve">12. POSSÍVEIS IMPACTOS AMBIENTAIS </w:t>
      </w:r>
    </w:p>
    <w:p w14:paraId="3E71DF7F">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lang w:val="pt-BR"/>
        </w:rPr>
        <w:t>Não v</w:t>
      </w:r>
      <w:r>
        <w:rPr>
          <w:rFonts w:hint="default" w:ascii="Arial" w:hAnsi="Arial" w:cs="Arial"/>
          <w:sz w:val="22"/>
          <w:szCs w:val="22"/>
        </w:rPr>
        <w:t>islumbram-se impactos ambientais provenientes desta contratação</w:t>
      </w:r>
      <w:r>
        <w:rPr>
          <w:rFonts w:hint="default" w:ascii="Arial" w:hAnsi="Arial" w:cs="Arial"/>
          <w:sz w:val="22"/>
          <w:szCs w:val="22"/>
          <w:lang w:val="pt-BR"/>
        </w:rPr>
        <w:t xml:space="preserve">. </w:t>
      </w:r>
      <w:r>
        <w:rPr>
          <w:rFonts w:hint="default" w:ascii="Arial" w:hAnsi="Arial" w:cs="Arial"/>
          <w:color w:val="000000"/>
          <w:sz w:val="22"/>
          <w:szCs w:val="22"/>
        </w:rPr>
        <w:t>Orientações complementares acerca da sustentabilidade da prestação almejada poderão ser repassadas pela fiscalização competente.</w:t>
      </w:r>
    </w:p>
    <w:p w14:paraId="519555C4">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p>
    <w:p w14:paraId="517D981B">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1" w:name="art18§1xiii"/>
      <w:bookmarkEnd w:id="11"/>
      <w:r>
        <w:rPr>
          <w:rFonts w:hint="default" w:ascii="Arial" w:hAnsi="Arial" w:cs="Arial"/>
          <w:b/>
          <w:bCs/>
          <w:color w:val="000000"/>
          <w:sz w:val="22"/>
          <w:szCs w:val="22"/>
        </w:rPr>
        <w:t xml:space="preserve">13. DECLARAÇÃO DE VIABILIDADE </w:t>
      </w:r>
    </w:p>
    <w:p w14:paraId="50FF3F92">
      <w:pPr>
        <w:pStyle w:val="15"/>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23A27E20">
      <w:pPr>
        <w:keepNext w:val="0"/>
        <w:keepLines w:val="0"/>
        <w:pageBreakBefore w:val="0"/>
        <w:widowControl/>
        <w:tabs>
          <w:tab w:val="left" w:pos="1134"/>
        </w:tabs>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58144150">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r>
        <w:rPr>
          <w:rFonts w:hint="default" w:ascii="Arial" w:hAnsi="Arial" w:eastAsia="SimSun" w:cs="Arial"/>
          <w:sz w:val="22"/>
          <w:szCs w:val="22"/>
          <w:lang w:val="pt-BR" w:eastAsia="pt-BR" w:bidi="ar-SA"/>
        </w:rPr>
        <w:t>Teutônia, 1º de dezembro de 2025.</w:t>
      </w:r>
    </w:p>
    <w:p w14:paraId="7DCB24C8">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p>
    <w:p w14:paraId="1C84DB02">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p>
    <w:p w14:paraId="4A6C3B0F">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55842F3C">
        <w:tblPrEx>
          <w:tblCellMar>
            <w:top w:w="0" w:type="dxa"/>
            <w:left w:w="108" w:type="dxa"/>
            <w:bottom w:w="0" w:type="dxa"/>
            <w:right w:w="108" w:type="dxa"/>
          </w:tblCellMar>
        </w:tblPrEx>
        <w:tc>
          <w:tcPr>
            <w:tcW w:w="4643" w:type="dxa"/>
            <w:tcBorders>
              <w:top w:val="nil"/>
              <w:left w:val="nil"/>
              <w:bottom w:val="nil"/>
              <w:right w:val="nil"/>
            </w:tcBorders>
          </w:tcPr>
          <w:p w14:paraId="5BAF7FBA">
            <w:pPr>
              <w:widowControl/>
              <w:shd w:val="clear" w:color="auto" w:fill="auto"/>
              <w:spacing w:before="0" w:after="0" w:line="360" w:lineRule="auto"/>
              <w:jc w:val="both"/>
              <w:rPr>
                <w:rFonts w:hint="default" w:ascii="Arial" w:hAnsi="Arial" w:eastAsia="Times New Roman" w:cs="Arial"/>
                <w:kern w:val="0"/>
                <w:sz w:val="18"/>
                <w:szCs w:val="18"/>
                <w:lang w:val="pt-BR" w:eastAsia="zh-CN"/>
              </w:rPr>
            </w:pPr>
            <w:r>
              <w:rPr>
                <w:rFonts w:hint="default" w:ascii="Arial" w:hAnsi="Arial" w:eastAsia="Times New Roman" w:cs="Arial"/>
                <w:kern w:val="0"/>
                <w:sz w:val="18"/>
                <w:szCs w:val="18"/>
                <w:lang w:val="pt-BR" w:eastAsia="zh-CN"/>
              </w:rPr>
              <w:t>Rafaela Allebrandt</w:t>
            </w:r>
          </w:p>
          <w:p w14:paraId="11EEB9A1">
            <w:pPr>
              <w:widowControl/>
              <w:shd w:val="clear" w:color="auto" w:fill="auto"/>
              <w:spacing w:before="0" w:after="0" w:line="360" w:lineRule="auto"/>
              <w:jc w:val="both"/>
              <w:rPr>
                <w:rFonts w:hint="default" w:ascii="Arial" w:hAnsi="Arial" w:eastAsia="Times New Roman" w:cs="Arial"/>
                <w:kern w:val="0"/>
                <w:sz w:val="18"/>
                <w:szCs w:val="18"/>
                <w:lang w:val="pt-BR" w:eastAsia="zh-CN"/>
              </w:rPr>
            </w:pPr>
            <w:r>
              <w:rPr>
                <w:rFonts w:hint="default" w:ascii="Arial" w:hAnsi="Arial" w:eastAsia="Times New Roman" w:cs="Arial"/>
                <w:kern w:val="0"/>
                <w:sz w:val="18"/>
                <w:szCs w:val="18"/>
                <w:lang w:val="pt-BR" w:eastAsia="zh-CN"/>
              </w:rPr>
              <w:t>Agente Administrativa</w:t>
            </w:r>
            <w:r>
              <w:rPr>
                <w:rFonts w:hint="default" w:ascii="Arial" w:hAnsi="Arial" w:cs="Arial"/>
                <w:kern w:val="0"/>
                <w:sz w:val="18"/>
                <w:szCs w:val="18"/>
                <w:lang w:val="pt-BR" w:eastAsia="zh-CN"/>
              </w:rPr>
              <w:t xml:space="preserve"> - redatora TR</w:t>
            </w:r>
          </w:p>
        </w:tc>
        <w:tc>
          <w:tcPr>
            <w:tcW w:w="4644" w:type="dxa"/>
            <w:tcBorders>
              <w:top w:val="nil"/>
              <w:left w:val="nil"/>
              <w:bottom w:val="nil"/>
              <w:right w:val="nil"/>
            </w:tcBorders>
          </w:tcPr>
          <w:p w14:paraId="3F8251EA">
            <w:pPr>
              <w:widowControl/>
              <w:shd w:val="clear" w:color="auto" w:fill="auto"/>
              <w:spacing w:before="0" w:after="0" w:line="360" w:lineRule="auto"/>
              <w:jc w:val="both"/>
              <w:rPr>
                <w:rFonts w:hint="default" w:ascii="Arial" w:hAnsi="Arial" w:eastAsia="Times New Roman" w:cs="Arial"/>
                <w:kern w:val="0"/>
                <w:sz w:val="18"/>
                <w:szCs w:val="18"/>
                <w:lang w:val="pt-BR" w:eastAsia="en-US"/>
              </w:rPr>
            </w:pPr>
            <w:r>
              <w:rPr>
                <w:rFonts w:hint="default" w:ascii="Arial" w:hAnsi="Arial" w:eastAsia="Times New Roman" w:cs="Arial"/>
                <w:kern w:val="0"/>
                <w:sz w:val="18"/>
                <w:szCs w:val="18"/>
                <w:lang w:val="pt-BR" w:eastAsia="en-US"/>
              </w:rPr>
              <w:t>Claudia Cristina Röhrig</w:t>
            </w:r>
          </w:p>
          <w:p w14:paraId="4D245D41">
            <w:pPr>
              <w:widowControl/>
              <w:shd w:val="clear" w:color="auto" w:fill="auto"/>
              <w:spacing w:before="0" w:after="0" w:line="360" w:lineRule="auto"/>
              <w:jc w:val="both"/>
              <w:rPr>
                <w:rFonts w:hint="default" w:ascii="Arial" w:hAnsi="Arial" w:eastAsia="Times New Roman" w:cs="Arial"/>
                <w:kern w:val="0"/>
                <w:sz w:val="18"/>
                <w:szCs w:val="18"/>
                <w:lang w:val="pt-BR" w:eastAsia="zh-CN"/>
              </w:rPr>
            </w:pPr>
            <w:r>
              <w:rPr>
                <w:rFonts w:hint="default" w:ascii="Arial" w:hAnsi="Arial" w:eastAsia="Times New Roman" w:cs="Arial"/>
                <w:kern w:val="0"/>
                <w:sz w:val="18"/>
                <w:szCs w:val="18"/>
                <w:lang w:val="pt-BR" w:eastAsia="en-US"/>
              </w:rPr>
              <w:t>Subsecretária Municipal de Assistência Social e Habitação</w:t>
            </w:r>
          </w:p>
        </w:tc>
      </w:tr>
      <w:tr w14:paraId="16775549">
        <w:tblPrEx>
          <w:tblCellMar>
            <w:top w:w="0" w:type="dxa"/>
            <w:left w:w="108" w:type="dxa"/>
            <w:bottom w:w="0" w:type="dxa"/>
            <w:right w:w="108" w:type="dxa"/>
          </w:tblCellMar>
        </w:tblPrEx>
        <w:tc>
          <w:tcPr>
            <w:tcW w:w="4643" w:type="dxa"/>
            <w:tcBorders>
              <w:top w:val="nil"/>
              <w:left w:val="nil"/>
              <w:bottom w:val="nil"/>
              <w:right w:val="nil"/>
            </w:tcBorders>
          </w:tcPr>
          <w:p w14:paraId="171A17F3">
            <w:pPr>
              <w:widowControl/>
              <w:shd w:val="clear" w:color="auto" w:fill="auto"/>
              <w:spacing w:before="0" w:after="0" w:line="360" w:lineRule="auto"/>
              <w:jc w:val="both"/>
              <w:rPr>
                <w:rFonts w:hint="default" w:ascii="Arial" w:hAnsi="Arial" w:cs="Arial"/>
                <w:kern w:val="0"/>
                <w:sz w:val="18"/>
                <w:szCs w:val="18"/>
                <w:lang w:val="pt-BR" w:eastAsia="zh-CN"/>
              </w:rPr>
            </w:pPr>
          </w:p>
          <w:p w14:paraId="6A4F4ECB">
            <w:pPr>
              <w:widowControl/>
              <w:shd w:val="clear" w:color="auto" w:fill="auto"/>
              <w:spacing w:before="0" w:after="0" w:line="360" w:lineRule="auto"/>
              <w:jc w:val="both"/>
              <w:rPr>
                <w:rFonts w:hint="default" w:ascii="Arial" w:hAnsi="Arial" w:cs="Arial"/>
                <w:kern w:val="0"/>
                <w:sz w:val="18"/>
                <w:szCs w:val="18"/>
                <w:lang w:val="pt-BR" w:eastAsia="zh-CN"/>
              </w:rPr>
            </w:pPr>
          </w:p>
          <w:p w14:paraId="47486040">
            <w:pPr>
              <w:widowControl/>
              <w:shd w:val="clear" w:color="auto" w:fill="auto"/>
              <w:spacing w:before="0" w:after="0" w:line="360" w:lineRule="auto"/>
              <w:jc w:val="both"/>
              <w:rPr>
                <w:rFonts w:hint="default" w:ascii="Arial" w:hAnsi="Arial" w:cs="Arial"/>
                <w:kern w:val="0"/>
                <w:sz w:val="18"/>
                <w:szCs w:val="18"/>
                <w:lang w:val="pt-BR" w:eastAsia="zh-CN"/>
              </w:rPr>
            </w:pPr>
            <w:r>
              <w:rPr>
                <w:rFonts w:hint="default" w:ascii="Arial" w:hAnsi="Arial" w:cs="Arial"/>
                <w:kern w:val="0"/>
                <w:sz w:val="18"/>
                <w:szCs w:val="18"/>
                <w:lang w:val="pt-BR" w:eastAsia="zh-CN"/>
              </w:rPr>
              <w:t>Cleudori Paniz</w:t>
            </w:r>
          </w:p>
          <w:p w14:paraId="235F9860">
            <w:pPr>
              <w:widowControl/>
              <w:shd w:val="clear" w:color="auto" w:fill="auto"/>
              <w:spacing w:before="0" w:after="0" w:line="360" w:lineRule="auto"/>
              <w:jc w:val="both"/>
              <w:rPr>
                <w:rFonts w:hint="default" w:ascii="Arial" w:hAnsi="Arial" w:cs="Arial"/>
                <w:kern w:val="0"/>
                <w:sz w:val="18"/>
                <w:szCs w:val="18"/>
                <w:lang w:val="pt-BR" w:eastAsia="zh-CN"/>
              </w:rPr>
            </w:pPr>
            <w:r>
              <w:rPr>
                <w:rFonts w:hint="default" w:ascii="Arial" w:hAnsi="Arial" w:cs="Arial"/>
                <w:kern w:val="0"/>
                <w:sz w:val="18"/>
                <w:szCs w:val="18"/>
                <w:lang w:val="pt-BR" w:eastAsia="zh-CN"/>
              </w:rPr>
              <w:t>Secretário Municipal de Assistência Social e Habitação</w:t>
            </w:r>
          </w:p>
        </w:tc>
        <w:tc>
          <w:tcPr>
            <w:tcW w:w="4644" w:type="dxa"/>
            <w:tcBorders>
              <w:top w:val="nil"/>
              <w:left w:val="nil"/>
              <w:bottom w:val="nil"/>
              <w:right w:val="nil"/>
            </w:tcBorders>
          </w:tcPr>
          <w:p w14:paraId="34B488BE">
            <w:pPr>
              <w:widowControl/>
              <w:shd w:val="clear" w:color="auto" w:fill="auto"/>
              <w:spacing w:before="0" w:after="0" w:line="360" w:lineRule="auto"/>
              <w:jc w:val="both"/>
              <w:rPr>
                <w:rFonts w:hint="default" w:ascii="Arial" w:hAnsi="Arial" w:cs="Arial"/>
                <w:kern w:val="0"/>
                <w:sz w:val="18"/>
                <w:szCs w:val="18"/>
                <w:lang w:val="pt-BR"/>
              </w:rPr>
            </w:pPr>
          </w:p>
          <w:p w14:paraId="7147F619">
            <w:pPr>
              <w:widowControl/>
              <w:shd w:val="clear" w:color="auto" w:fill="auto"/>
              <w:spacing w:before="0" w:after="0" w:line="360" w:lineRule="auto"/>
              <w:jc w:val="both"/>
              <w:rPr>
                <w:rFonts w:hint="default" w:ascii="Arial" w:hAnsi="Arial" w:cs="Arial"/>
                <w:kern w:val="0"/>
                <w:sz w:val="18"/>
                <w:szCs w:val="18"/>
                <w:lang w:val="pt-BR"/>
              </w:rPr>
            </w:pPr>
          </w:p>
          <w:p w14:paraId="475FDBB3">
            <w:pPr>
              <w:widowControl/>
              <w:shd w:val="clear" w:color="auto" w:fill="auto"/>
              <w:spacing w:before="0" w:after="0" w:line="360" w:lineRule="auto"/>
              <w:jc w:val="both"/>
              <w:rPr>
                <w:rFonts w:hint="default" w:ascii="Arial" w:hAnsi="Arial" w:cs="Arial"/>
                <w:kern w:val="0"/>
                <w:sz w:val="18"/>
                <w:szCs w:val="18"/>
                <w:lang w:val="pt-BR"/>
              </w:rPr>
            </w:pPr>
            <w:r>
              <w:rPr>
                <w:rFonts w:hint="default" w:ascii="Arial" w:hAnsi="Arial" w:cs="Arial"/>
                <w:kern w:val="0"/>
                <w:sz w:val="18"/>
                <w:szCs w:val="18"/>
                <w:lang w:val="pt-BR"/>
              </w:rPr>
              <w:t>Enrique Alves de Carvalho</w:t>
            </w:r>
          </w:p>
          <w:p w14:paraId="48F05080">
            <w:pPr>
              <w:widowControl/>
              <w:shd w:val="clear" w:color="auto" w:fill="auto"/>
              <w:spacing w:before="0" w:after="0" w:line="360" w:lineRule="auto"/>
              <w:jc w:val="both"/>
              <w:rPr>
                <w:rFonts w:hint="default" w:ascii="Arial" w:hAnsi="Arial" w:cs="Arial"/>
                <w:kern w:val="0"/>
                <w:sz w:val="18"/>
                <w:szCs w:val="18"/>
                <w:lang w:val="pt-BR"/>
              </w:rPr>
            </w:pPr>
            <w:r>
              <w:rPr>
                <w:rFonts w:hint="default" w:ascii="Arial" w:hAnsi="Arial" w:cs="Arial"/>
                <w:kern w:val="0"/>
                <w:sz w:val="18"/>
                <w:szCs w:val="18"/>
                <w:lang w:val="pt-BR"/>
              </w:rPr>
              <w:t>Agente Administrativo</w:t>
            </w:r>
          </w:p>
        </w:tc>
      </w:tr>
    </w:tbl>
    <w:p w14:paraId="6F315B8A">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Arial" w:hAnsi="Arial" w:eastAsia="SimSun" w:cs="Arial"/>
          <w:sz w:val="22"/>
          <w:szCs w:val="22"/>
          <w:lang w:val="pt-BR" w:eastAsia="pt-BR" w:bidi="ar-SA"/>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8BC1E">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021B5D99">
    <w:pPr>
      <w:pStyle w:val="17"/>
      <w:jc w:val="center"/>
    </w:pPr>
    <w:r>
      <w:rPr>
        <w:rFonts w:ascii="Montserrat" w:hAnsi="Montserrat" w:eastAsia="Montserrat" w:cs="Montserrat"/>
        <w:color w:val="1155CC"/>
        <w:sz w:val="20"/>
        <w:szCs w:val="20"/>
      </w:rPr>
      <w:t xml:space="preserve">e-mail: </w:t>
    </w:r>
    <w:r>
      <w:rPr>
        <w:rFonts w:hint="default" w:ascii="Montserrat" w:hAnsi="Montserrat" w:eastAsia="Montserrat" w:cs="Montserrat"/>
        <w:color w:val="1155CC"/>
        <w:sz w:val="20"/>
        <w:szCs w:val="20"/>
        <w:lang w:val="pt-BR"/>
      </w:rPr>
      <w:t>compras2</w:t>
    </w:r>
    <w:r>
      <w:rPr>
        <w:rFonts w:ascii="Montserrat" w:hAnsi="Montserrat" w:eastAsia="Montserrat" w:cs="Montserrat"/>
        <w:color w:val="1155CC"/>
        <w:sz w:val="20"/>
        <w:szCs w:val="20"/>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C03CD">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130A">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8"/>
      <w:tblW w:w="9090" w:type="dxa"/>
      <w:jc w:val="center"/>
      <w:tblLayout w:type="fixed"/>
      <w:tblCellMar>
        <w:top w:w="0" w:type="dxa"/>
        <w:left w:w="108" w:type="dxa"/>
        <w:bottom w:w="0" w:type="dxa"/>
        <w:right w:w="108" w:type="dxa"/>
      </w:tblCellMar>
    </w:tblPr>
    <w:tblGrid>
      <w:gridCol w:w="9090"/>
    </w:tblGrid>
    <w:tr w14:paraId="773C57C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63F70FF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DF66098">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001C">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1D76">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CAEA"/>
    <w:multiLevelType w:val="singleLevel"/>
    <w:tmpl w:val="84D2CAEA"/>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D8BB7BD9"/>
    <w:multiLevelType w:val="singleLevel"/>
    <w:tmpl w:val="D8BB7BD9"/>
    <w:lvl w:ilvl="0" w:tentative="0">
      <w:start w:val="1"/>
      <w:numFmt w:val="lowerLetter"/>
      <w:lvlText w:val="%1)"/>
      <w:lvlJc w:val="left"/>
      <w:pPr>
        <w:tabs>
          <w:tab w:val="left" w:pos="425"/>
        </w:tabs>
        <w:ind w:left="425" w:leftChars="0" w:hanging="425" w:firstLineChars="0"/>
      </w:pPr>
      <w:rPr>
        <w:rFonts w:hint="default" w:ascii="Arial" w:hAnsi="Arial" w:cs="Arial"/>
        <w:sz w:val="22"/>
        <w:szCs w:val="22"/>
      </w:rPr>
    </w:lvl>
  </w:abstractNum>
  <w:abstractNum w:abstractNumId="2">
    <w:nsid w:val="F4E64B87"/>
    <w:multiLevelType w:val="singleLevel"/>
    <w:tmpl w:val="F4E64B87"/>
    <w:lvl w:ilvl="0" w:tentative="0">
      <w:start w:val="1"/>
      <w:numFmt w:val="lowerLetter"/>
      <w:lvlText w:val="%1)"/>
      <w:lvlJc w:val="left"/>
      <w:pPr>
        <w:tabs>
          <w:tab w:val="left" w:pos="425"/>
        </w:tabs>
        <w:ind w:left="425" w:leftChars="0" w:hanging="425" w:firstLineChars="0"/>
      </w:pPr>
      <w:rPr>
        <w:rFonts w:hint="default"/>
      </w:rPr>
    </w:lvl>
  </w:abstractNum>
  <w:abstractNum w:abstractNumId="3">
    <w:nsid w:val="4AEB4FD4"/>
    <w:multiLevelType w:val="multilevel"/>
    <w:tmpl w:val="4AEB4FD4"/>
    <w:lvl w:ilvl="0" w:tentative="0">
      <w:start w:val="1"/>
      <w:numFmt w:val="upperRoman"/>
      <w:lvlText w:val="%1."/>
      <w:lvlJc w:val="left"/>
      <w:pPr>
        <w:tabs>
          <w:tab w:val="left" w:pos="1265"/>
        </w:tabs>
        <w:ind w:left="1265"/>
      </w:pPr>
      <w:rPr>
        <w:rFonts w:hint="default" w:ascii="Arial" w:hAnsi="Arial" w:cs="Arial"/>
        <w:sz w:val="24"/>
        <w:szCs w:val="24"/>
      </w:rPr>
    </w:lvl>
    <w:lvl w:ilvl="1" w:tentative="0">
      <w:start w:val="1"/>
      <w:numFmt w:val="lowerLetter"/>
      <w:lvlText w:val="%2."/>
      <w:lvlJc w:val="left"/>
      <w:pPr>
        <w:tabs>
          <w:tab w:val="left" w:pos="1265"/>
        </w:tabs>
        <w:ind w:left="1265" w:hanging="425"/>
      </w:pPr>
      <w:rPr>
        <w:rFonts w:hint="default"/>
      </w:rPr>
    </w:lvl>
    <w:lvl w:ilvl="2" w:tentative="0">
      <w:start w:val="1"/>
      <w:numFmt w:val="lowerRoman"/>
      <w:lvlText w:val="%3."/>
      <w:lvlJc w:val="left"/>
      <w:pPr>
        <w:tabs>
          <w:tab w:val="left" w:pos="1265"/>
        </w:tabs>
        <w:ind w:left="1265" w:hanging="425"/>
      </w:pPr>
      <w:rPr>
        <w:rFonts w:hint="default"/>
      </w:rPr>
    </w:lvl>
    <w:lvl w:ilvl="3" w:tentative="0">
      <w:start w:val="1"/>
      <w:numFmt w:val="decimal"/>
      <w:lvlText w:val="%4."/>
      <w:lvlJc w:val="left"/>
      <w:pPr>
        <w:tabs>
          <w:tab w:val="left" w:pos="1265"/>
        </w:tabs>
        <w:ind w:left="1265" w:hanging="425"/>
      </w:pPr>
      <w:rPr>
        <w:rFonts w:hint="default"/>
      </w:rPr>
    </w:lvl>
    <w:lvl w:ilvl="4" w:tentative="0">
      <w:start w:val="1"/>
      <w:numFmt w:val="lowerLetter"/>
      <w:lvlText w:val="%5."/>
      <w:lvlJc w:val="left"/>
      <w:pPr>
        <w:tabs>
          <w:tab w:val="left" w:pos="1265"/>
        </w:tabs>
        <w:ind w:left="1265" w:hanging="425"/>
      </w:pPr>
      <w:rPr>
        <w:rFonts w:hint="default"/>
      </w:rPr>
    </w:lvl>
    <w:lvl w:ilvl="5" w:tentative="0">
      <w:start w:val="1"/>
      <w:numFmt w:val="lowerRoman"/>
      <w:lvlText w:val="%6."/>
      <w:lvlJc w:val="left"/>
      <w:pPr>
        <w:tabs>
          <w:tab w:val="left" w:pos="1265"/>
        </w:tabs>
        <w:ind w:left="1265" w:hanging="425"/>
      </w:pPr>
      <w:rPr>
        <w:rFonts w:hint="default"/>
      </w:rPr>
    </w:lvl>
    <w:lvl w:ilvl="6" w:tentative="0">
      <w:start w:val="1"/>
      <w:numFmt w:val="decimal"/>
      <w:lvlText w:val="%7."/>
      <w:lvlJc w:val="left"/>
      <w:pPr>
        <w:tabs>
          <w:tab w:val="left" w:pos="1265"/>
        </w:tabs>
        <w:ind w:left="1265" w:hanging="425"/>
      </w:pPr>
      <w:rPr>
        <w:rFonts w:hint="default"/>
      </w:rPr>
    </w:lvl>
    <w:lvl w:ilvl="7" w:tentative="0">
      <w:start w:val="1"/>
      <w:numFmt w:val="lowerLetter"/>
      <w:lvlText w:val="%8."/>
      <w:lvlJc w:val="left"/>
      <w:pPr>
        <w:tabs>
          <w:tab w:val="left" w:pos="1265"/>
        </w:tabs>
        <w:ind w:left="1265" w:hanging="425"/>
      </w:pPr>
      <w:rPr>
        <w:rFonts w:hint="default"/>
      </w:rPr>
    </w:lvl>
    <w:lvl w:ilvl="8" w:tentative="0">
      <w:start w:val="1"/>
      <w:numFmt w:val="lowerRoman"/>
      <w:lvlText w:val="%9."/>
      <w:lvlJc w:val="left"/>
      <w:pPr>
        <w:tabs>
          <w:tab w:val="left" w:pos="1265"/>
        </w:tabs>
        <w:ind w:left="1265" w:hanging="425"/>
      </w:pPr>
      <w:rPr>
        <w:rFonts w:hint="default"/>
      </w:rPr>
    </w:lvl>
  </w:abstractNum>
  <w:abstractNum w:abstractNumId="4">
    <w:nsid w:val="7CB5F4EA"/>
    <w:multiLevelType w:val="singleLevel"/>
    <w:tmpl w:val="7CB5F4EA"/>
    <w:lvl w:ilvl="0" w:tentative="0">
      <w:start w:val="1"/>
      <w:numFmt w:val="decimal"/>
      <w:lvlText w:val="%1."/>
      <w:lvlJc w:val="left"/>
      <w:pPr>
        <w:tabs>
          <w:tab w:val="left" w:pos="425"/>
        </w:tabs>
        <w:ind w:left="425" w:leftChars="0" w:hanging="425" w:firstLineChars="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C7"/>
    <w:rsid w:val="000D30D1"/>
    <w:rsid w:val="00297F68"/>
    <w:rsid w:val="00305A3F"/>
    <w:rsid w:val="004D27E2"/>
    <w:rsid w:val="0059588B"/>
    <w:rsid w:val="005A7840"/>
    <w:rsid w:val="00710BDD"/>
    <w:rsid w:val="0079516A"/>
    <w:rsid w:val="008A7458"/>
    <w:rsid w:val="008E6A0D"/>
    <w:rsid w:val="009E6F53"/>
    <w:rsid w:val="00A77C75"/>
    <w:rsid w:val="00A85D9E"/>
    <w:rsid w:val="00AD0487"/>
    <w:rsid w:val="00B02493"/>
    <w:rsid w:val="00B039BC"/>
    <w:rsid w:val="00C73FB5"/>
    <w:rsid w:val="00DD05C7"/>
    <w:rsid w:val="00E278AF"/>
    <w:rsid w:val="019348BC"/>
    <w:rsid w:val="073D5515"/>
    <w:rsid w:val="09CF5AD6"/>
    <w:rsid w:val="40F23EF4"/>
    <w:rsid w:val="5C7A5DCE"/>
    <w:rsid w:val="62B004D2"/>
    <w:rsid w:val="6661582A"/>
    <w:rsid w:val="777433B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basedOn w:val="8"/>
    <w:qFormat/>
    <w:uiPriority w:val="22"/>
    <w:rPr>
      <w:b/>
      <w:bCs/>
    </w:rPr>
  </w:style>
  <w:style w:type="character" w:styleId="11">
    <w:name w:val="Emphasis"/>
    <w:basedOn w:val="8"/>
    <w:qFormat/>
    <w:uiPriority w:val="20"/>
    <w:rPr>
      <w:i/>
      <w:iCs/>
    </w:rPr>
  </w:style>
  <w:style w:type="character" w:styleId="12">
    <w:name w:val="Hyperlink"/>
    <w:basedOn w:val="8"/>
    <w:unhideWhenUsed/>
    <w:qFormat/>
    <w:uiPriority w:val="99"/>
    <w:rPr>
      <w:color w:val="0563C1"/>
      <w:u w:val="single"/>
    </w:rPr>
  </w:style>
  <w:style w:type="paragraph" w:styleId="13">
    <w:name w:val="Body Text"/>
    <w:basedOn w:val="1"/>
    <w:link w:val="30"/>
    <w:qFormat/>
    <w:uiPriority w:val="0"/>
    <w:pPr>
      <w:spacing w:after="120" w:line="240" w:lineRule="auto"/>
    </w:pPr>
    <w:rPr>
      <w:rFonts w:ascii="Arial" w:hAnsi="Arial" w:eastAsia="SimSun" w:cs="Arial"/>
      <w:szCs w:val="20"/>
      <w:lang w:eastAsia="zh-CN"/>
    </w:rPr>
  </w:style>
  <w:style w:type="paragraph" w:styleId="14">
    <w:name w:val="Title"/>
    <w:basedOn w:val="1"/>
    <w:next w:val="1"/>
    <w:qFormat/>
    <w:uiPriority w:val="10"/>
    <w:pPr>
      <w:keepNext/>
      <w:keepLines/>
      <w:spacing w:before="480" w:after="120"/>
    </w:pPr>
    <w:rPr>
      <w:b/>
      <w:sz w:val="72"/>
      <w:szCs w:val="72"/>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eastAsia="SimSun" w:cs="Times New Roman"/>
      <w:sz w:val="24"/>
      <w:szCs w:val="24"/>
    </w:rPr>
  </w:style>
  <w:style w:type="paragraph" w:styleId="16">
    <w:name w:val="header"/>
    <w:basedOn w:val="1"/>
    <w:link w:val="23"/>
    <w:unhideWhenUsed/>
    <w:qFormat/>
    <w:uiPriority w:val="99"/>
    <w:pPr>
      <w:tabs>
        <w:tab w:val="center" w:pos="4680"/>
        <w:tab w:val="right" w:pos="9360"/>
      </w:tabs>
      <w:spacing w:after="0" w:line="240" w:lineRule="auto"/>
    </w:pPr>
  </w:style>
  <w:style w:type="paragraph" w:styleId="17">
    <w:name w:val="footer"/>
    <w:basedOn w:val="1"/>
    <w:link w:val="24"/>
    <w:unhideWhenUsed/>
    <w:qFormat/>
    <w:uiPriority w:val="99"/>
    <w:pPr>
      <w:tabs>
        <w:tab w:val="center" w:pos="4680"/>
        <w:tab w:val="right" w:pos="9360"/>
      </w:tabs>
      <w:spacing w:after="0" w:line="240" w:lineRule="auto"/>
    </w:pPr>
  </w:style>
  <w:style w:type="paragraph" w:styleId="18">
    <w:name w:val="Body Text Indent 3"/>
    <w:basedOn w:val="1"/>
    <w:link w:val="31"/>
    <w:unhideWhenUsed/>
    <w:qFormat/>
    <w:uiPriority w:val="99"/>
    <w:pPr>
      <w:spacing w:after="120" w:line="240" w:lineRule="auto"/>
      <w:ind w:left="283"/>
    </w:pPr>
    <w:rPr>
      <w:rFonts w:ascii="Arial" w:hAnsi="Arial" w:eastAsia="SimSun" w:cs="Arial"/>
      <w:sz w:val="16"/>
      <w:szCs w:val="16"/>
      <w:lang w:eastAsia="zh-CN"/>
    </w:rPr>
  </w:style>
  <w:style w:type="paragraph" w:styleId="19">
    <w:name w:val="Balloon Text"/>
    <w:basedOn w:val="1"/>
    <w:link w:val="29"/>
    <w:semiHidden/>
    <w:unhideWhenUsed/>
    <w:qFormat/>
    <w:uiPriority w:val="99"/>
    <w:pPr>
      <w:spacing w:after="0" w:line="240" w:lineRule="auto"/>
    </w:pPr>
    <w:rPr>
      <w:rFonts w:ascii="Tahoma" w:hAnsi="Tahoma" w:cs="Tahoma"/>
      <w:sz w:val="16"/>
      <w:szCs w:val="16"/>
    </w:rPr>
  </w:style>
  <w:style w:type="paragraph" w:styleId="20">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21">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2">
    <w:name w:val="Table Normal"/>
    <w:qFormat/>
    <w:uiPriority w:val="0"/>
    <w:tblPr>
      <w:tblCellMar>
        <w:top w:w="0" w:type="dxa"/>
        <w:left w:w="0" w:type="dxa"/>
        <w:bottom w:w="0" w:type="dxa"/>
        <w:right w:w="0" w:type="dxa"/>
      </w:tblCellMar>
    </w:tblPr>
  </w:style>
  <w:style w:type="character" w:customStyle="1" w:styleId="23">
    <w:name w:val="Cabeçalho Char"/>
    <w:basedOn w:val="8"/>
    <w:link w:val="16"/>
    <w:qFormat/>
    <w:uiPriority w:val="99"/>
  </w:style>
  <w:style w:type="character" w:customStyle="1" w:styleId="24">
    <w:name w:val="Rodapé Char"/>
    <w:basedOn w:val="8"/>
    <w:link w:val="17"/>
    <w:qFormat/>
    <w:uiPriority w:val="99"/>
  </w:style>
  <w:style w:type="paragraph" w:styleId="25">
    <w:name w:val="List Paragraph"/>
    <w:basedOn w:val="1"/>
    <w:qFormat/>
    <w:uiPriority w:val="34"/>
    <w:pPr>
      <w:ind w:left="720"/>
      <w:contextualSpacing/>
    </w:pPr>
  </w:style>
  <w:style w:type="table" w:customStyle="1" w:styleId="26">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7">
    <w:name w:val="_Style 20"/>
    <w:basedOn w:val="9"/>
    <w:qFormat/>
    <w:uiPriority w:val="0"/>
    <w:tblPr>
      <w:tblCellMar>
        <w:top w:w="0" w:type="dxa"/>
        <w:left w:w="108" w:type="dxa"/>
        <w:bottom w:w="0" w:type="dxa"/>
        <w:right w:w="108" w:type="dxa"/>
      </w:tblCellMar>
    </w:tblPr>
  </w:style>
  <w:style w:type="table" w:customStyle="1" w:styleId="28">
    <w:name w:val="_Style 21"/>
    <w:basedOn w:val="9"/>
    <w:qFormat/>
    <w:uiPriority w:val="0"/>
    <w:tblPr>
      <w:tblCellMar>
        <w:top w:w="0" w:type="dxa"/>
        <w:left w:w="108" w:type="dxa"/>
        <w:bottom w:w="0" w:type="dxa"/>
        <w:right w:w="108" w:type="dxa"/>
      </w:tblCellMar>
    </w:tblPr>
  </w:style>
  <w:style w:type="character" w:customStyle="1" w:styleId="29">
    <w:name w:val="Texto de balão Char"/>
    <w:basedOn w:val="8"/>
    <w:link w:val="19"/>
    <w:semiHidden/>
    <w:qFormat/>
    <w:uiPriority w:val="99"/>
    <w:rPr>
      <w:rFonts w:ascii="Tahoma" w:hAnsi="Tahoma" w:cs="Tahoma"/>
      <w:sz w:val="16"/>
      <w:szCs w:val="16"/>
    </w:rPr>
  </w:style>
  <w:style w:type="character" w:customStyle="1" w:styleId="30">
    <w:name w:val="Corpo de texto Char"/>
    <w:basedOn w:val="8"/>
    <w:link w:val="13"/>
    <w:qFormat/>
    <w:uiPriority w:val="0"/>
    <w:rPr>
      <w:rFonts w:ascii="Arial" w:hAnsi="Arial" w:eastAsia="SimSun" w:cs="Arial"/>
      <w:szCs w:val="20"/>
      <w:lang w:eastAsia="zh-CN"/>
    </w:rPr>
  </w:style>
  <w:style w:type="character" w:customStyle="1" w:styleId="31">
    <w:name w:val="Recuo de corpo de texto 3 Char"/>
    <w:basedOn w:val="8"/>
    <w:link w:val="18"/>
    <w:qFormat/>
    <w:uiPriority w:val="99"/>
    <w:rPr>
      <w:rFonts w:ascii="Arial" w:hAnsi="Arial" w:eastAsia="SimSun" w:cs="Arial"/>
      <w:sz w:val="16"/>
      <w:szCs w:val="16"/>
      <w:lang w:eastAsia="zh-CN"/>
    </w:rPr>
  </w:style>
  <w:style w:type="paragraph" w:customStyle="1" w:styleId="32">
    <w:name w:val="Corpo do texto"/>
    <w:basedOn w:val="1"/>
    <w:qFormat/>
    <w:uiPriority w:val="7"/>
    <w:pPr>
      <w:widowControl w:val="0"/>
      <w:suppressAutoHyphens/>
      <w:autoSpaceDE w:val="0"/>
      <w:spacing w:after="283" w:line="240" w:lineRule="auto"/>
    </w:pPr>
    <w:rPr>
      <w:rFonts w:ascii="Times New Roman" w:hAnsi="Times New Roman" w:eastAsia="Times New Roman" w:cs="Times New Roman"/>
      <w:sz w:val="20"/>
      <w:szCs w:val="24"/>
      <w:lang w:eastAsia="zh-CN"/>
    </w:rPr>
  </w:style>
  <w:style w:type="character" w:customStyle="1" w:styleId="33">
    <w:name w:val="Link da Internet"/>
    <w:unhideWhenUsed/>
    <w:qFormat/>
    <w:uiPriority w:val="99"/>
    <w:rPr>
      <w:color w:val="0563C1"/>
      <w:u w:val="single"/>
    </w:rPr>
  </w:style>
  <w:style w:type="paragraph" w:customStyle="1" w:styleId="34">
    <w:name w:val="Footer1"/>
    <w:basedOn w:val="1"/>
    <w:qFormat/>
    <w:uiPriority w:val="99"/>
    <w:pPr>
      <w:tabs>
        <w:tab w:val="center" w:pos="4419"/>
        <w:tab w:val="right" w:pos="8838"/>
      </w:tabs>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8</Pages>
  <Words>2793</Words>
  <Characters>15087</Characters>
  <Lines>125</Lines>
  <Paragraphs>35</Paragraphs>
  <TotalTime>42</TotalTime>
  <ScaleCrop>false</ScaleCrop>
  <LinksUpToDate>false</LinksUpToDate>
  <CharactersWithSpaces>17845</CharactersWithSpaces>
  <Application>WPS Office_12.2.0.23158_F1E327BC-269C-435d-A152-05C5408002CA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2023-12-01T13:46:00Z</dcterms:created>
  <dc:creator>nicole leyser alves</dc:creator>
  <cp:lastModifiedBy>rafaela.allebrandt</cp:lastModifiedBy>
  <dcterms:modified xsi:type="dcterms:W3CDTF">2025-12-02T19:44:59Z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1046-12.2.0.23158</vt:lpwstr>
  </property>
  <property fmtid="{D5CDD505-2E9C-101B-9397-08002B2CF9AE}" pid="3" name="ICV">
    <vt:lpwstr>F83A0F1B8D08420DBF7330B37FB0032F_13</vt:lpwstr>
  </property>
</Properties>
</file>