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6C0EF">
      <w:pPr>
        <w:tabs>
          <w:tab w:val="left" w:pos="8360"/>
        </w:tabs>
        <w:autoSpaceDE w:val="0"/>
        <w:spacing w:after="0" w:line="240" w:lineRule="auto"/>
        <w:ind w:right="-53" w:rightChars="-24"/>
        <w:jc w:val="center"/>
        <w:rPr>
          <w:rFonts w:ascii="Times New Roman" w:hAnsi="Times New Roman" w:eastAsia="Arial-BoldMT"/>
          <w:b/>
          <w:bCs/>
        </w:rPr>
      </w:pPr>
      <w:r>
        <w:rPr>
          <w:rFonts w:ascii="Times New Roman" w:hAnsi="Times New Roman" w:eastAsia="Arial-BoldMT" w:cs="Times New Roman"/>
          <w:b/>
          <w:bCs/>
        </w:rPr>
        <w:t>Minuta Ata de Registro de Preços</w:t>
      </w:r>
    </w:p>
    <w:p w14:paraId="7B0B9526">
      <w:pPr>
        <w:tabs>
          <w:tab w:val="left" w:pos="8360"/>
        </w:tabs>
        <w:autoSpaceDE w:val="0"/>
        <w:spacing w:after="0" w:line="240" w:lineRule="auto"/>
        <w:ind w:right="-53" w:rightChars="-24"/>
        <w:jc w:val="center"/>
        <w:rPr>
          <w:rFonts w:ascii="Times New Roman" w:hAnsi="Times New Roman" w:eastAsia="Arial-BoldMT"/>
          <w:b/>
          <w:bCs/>
        </w:rPr>
      </w:pPr>
      <w:r>
        <w:rPr>
          <w:rFonts w:ascii="Times New Roman" w:hAnsi="Times New Roman" w:eastAsia="Arial-BoldMT" w:cs="Times New Roman"/>
          <w:b/>
          <w:bCs/>
        </w:rPr>
        <w:t>Nº xxx-01/202</w:t>
      </w:r>
      <w:r>
        <w:rPr>
          <w:rFonts w:hint="default" w:ascii="Times New Roman" w:hAnsi="Times New Roman" w:eastAsia="Arial-BoldMT" w:cs="Times New Roman"/>
          <w:b/>
          <w:bCs/>
          <w:lang w:val="pt-BR"/>
        </w:rPr>
        <w:t>6</w:t>
      </w:r>
      <w:r>
        <w:rPr>
          <w:rFonts w:ascii="Times New Roman" w:hAnsi="Times New Roman" w:eastAsia="Arial-BoldMT" w:cs="Times New Roman"/>
          <w:b/>
          <w:bCs/>
        </w:rPr>
        <w:t>.</w:t>
      </w:r>
    </w:p>
    <w:p w14:paraId="322BF5E3">
      <w:pPr>
        <w:tabs>
          <w:tab w:val="left" w:pos="8360"/>
        </w:tabs>
        <w:ind w:right="-53" w:rightChars="-24"/>
        <w:rPr>
          <w:rFonts w:ascii="Times New Roman" w:hAnsi="Times New Roman" w:eastAsia="Arial-BoldMT"/>
          <w:b/>
          <w:bCs/>
        </w:rPr>
      </w:pPr>
      <w:r>
        <w:rPr>
          <w:rFonts w:ascii="Times New Roman" w:hAnsi="Times New Roman" w:cs="Times New Roman"/>
          <w:b/>
        </w:rPr>
        <w:tab/>
      </w:r>
    </w:p>
    <w:p w14:paraId="6E0DDCCA">
      <w:pPr>
        <w:tabs>
          <w:tab w:val="left" w:pos="8360"/>
        </w:tabs>
        <w:autoSpaceDE w:val="0"/>
        <w:spacing w:after="0" w:line="240" w:lineRule="auto"/>
        <w:ind w:right="-53" w:rightChars="-24"/>
        <w:rPr>
          <w:rFonts w:hint="default" w:ascii="Times New Roman" w:hAnsi="Times New Roman" w:eastAsia="Arial-BoldMT"/>
          <w:b/>
          <w:bCs/>
          <w:lang w:val="pt-BR"/>
        </w:rPr>
      </w:pPr>
      <w:r>
        <w:rPr>
          <w:rFonts w:ascii="Times New Roman" w:hAnsi="Times New Roman" w:eastAsia="Arial-BoldMT" w:cs="Times New Roman"/>
          <w:b/>
          <w:bCs/>
        </w:rPr>
        <w:t>PREGÃO ELETRÔNICO Nº 0</w:t>
      </w:r>
      <w:r>
        <w:rPr>
          <w:rFonts w:hint="default" w:ascii="Times New Roman" w:hAnsi="Times New Roman" w:eastAsia="Arial-BoldMT" w:cs="Times New Roman"/>
          <w:b/>
          <w:bCs/>
          <w:lang w:val="pt-BR"/>
        </w:rPr>
        <w:t>02</w:t>
      </w:r>
      <w:r>
        <w:rPr>
          <w:rFonts w:ascii="Times New Roman" w:hAnsi="Times New Roman" w:eastAsia="Arial-BoldMT" w:cs="Times New Roman"/>
          <w:b/>
          <w:bCs/>
        </w:rPr>
        <w:t>/202</w:t>
      </w:r>
      <w:r>
        <w:rPr>
          <w:rFonts w:hint="default" w:ascii="Times New Roman" w:hAnsi="Times New Roman" w:eastAsia="Arial-BoldMT" w:cs="Times New Roman"/>
          <w:b/>
          <w:bCs/>
          <w:lang w:val="pt-BR"/>
        </w:rPr>
        <w:t>6</w:t>
      </w:r>
    </w:p>
    <w:p w14:paraId="153E6418">
      <w:pPr>
        <w:tabs>
          <w:tab w:val="left" w:pos="8360"/>
        </w:tabs>
        <w:autoSpaceDE w:val="0"/>
        <w:spacing w:after="0" w:line="240" w:lineRule="auto"/>
        <w:ind w:right="-53" w:rightChars="-24"/>
        <w:rPr>
          <w:rFonts w:hint="default" w:ascii="Times New Roman" w:hAnsi="Times New Roman" w:eastAsia="Arial-BoldMT"/>
          <w:b/>
          <w:bCs/>
          <w:lang w:val="pt-BR"/>
        </w:rPr>
      </w:pPr>
      <w:r>
        <w:rPr>
          <w:rFonts w:ascii="Times New Roman" w:hAnsi="Times New Roman" w:eastAsia="Arial-BoldMT" w:cs="Times New Roman"/>
          <w:b/>
          <w:bCs/>
        </w:rPr>
        <w:t>NÚMERO CONTROLE: 0</w:t>
      </w:r>
      <w:r>
        <w:rPr>
          <w:rFonts w:hint="default" w:ascii="Times New Roman" w:hAnsi="Times New Roman" w:eastAsia="Arial-BoldMT" w:cs="Times New Roman"/>
          <w:b/>
          <w:bCs/>
          <w:lang w:val="pt-BR"/>
        </w:rPr>
        <w:t>0</w:t>
      </w:r>
      <w:r>
        <w:rPr>
          <w:rFonts w:hint="default" w:ascii="Times New Roman" w:hAnsi="Times New Roman" w:eastAsia="Arial-BoldMT"/>
          <w:b/>
          <w:bCs/>
          <w:lang w:val="pt-BR"/>
        </w:rPr>
        <w:t>2/2026</w:t>
      </w:r>
    </w:p>
    <w:p w14:paraId="3E61C7A2">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VALIDADE: 12 (DOZE) MESES</w:t>
      </w:r>
    </w:p>
    <w:p w14:paraId="471B9793">
      <w:pPr>
        <w:pStyle w:val="10"/>
        <w:tabs>
          <w:tab w:val="left" w:leader="dot" w:pos="7610"/>
          <w:tab w:val="left" w:pos="8360"/>
          <w:tab w:val="left" w:pos="8800"/>
        </w:tabs>
        <w:spacing w:line="240" w:lineRule="auto"/>
        <w:ind w:right="-53" w:rightChars="-24"/>
        <w:rPr>
          <w:rFonts w:ascii="Times New Roman" w:hAnsi="Times New Roman" w:cs="Times New Roman"/>
        </w:rPr>
      </w:pPr>
    </w:p>
    <w:p w14:paraId="700492B5">
      <w:pPr>
        <w:pStyle w:val="10"/>
        <w:tabs>
          <w:tab w:val="left" w:leader="dot" w:pos="7610"/>
          <w:tab w:val="left" w:pos="8360"/>
          <w:tab w:val="left" w:pos="8800"/>
        </w:tabs>
        <w:spacing w:line="240" w:lineRule="auto"/>
        <w:ind w:right="-53" w:rightChars="-24" w:firstLine="1210" w:firstLineChars="550"/>
        <w:rPr>
          <w:rFonts w:ascii="Times New Roman" w:hAnsi="Times New Roman" w:cs="Times New Roman"/>
          <w:sz w:val="22"/>
          <w:szCs w:val="22"/>
        </w:rPr>
      </w:pPr>
      <w:r>
        <w:rPr>
          <w:rFonts w:ascii="Times New Roman" w:hAnsi="Times New Roman" w:cs="Times New Roman"/>
          <w:sz w:val="22"/>
          <w:szCs w:val="22"/>
        </w:rPr>
        <w:t xml:space="preserve">Aos ……. dias do mês de ……. do ano de dois mil e vinte e </w:t>
      </w:r>
      <w:r>
        <w:rPr>
          <w:rFonts w:hint="default" w:ascii="Times New Roman" w:hAnsi="Times New Roman" w:cs="Times New Roman"/>
          <w:sz w:val="22"/>
          <w:szCs w:val="22"/>
          <w:lang w:val="pt-BR"/>
        </w:rPr>
        <w:t>seis</w:t>
      </w:r>
      <w:r>
        <w:rPr>
          <w:rFonts w:ascii="Times New Roman" w:hAnsi="Times New Roman" w:cs="Times New Roman"/>
          <w:sz w:val="22"/>
          <w:szCs w:val="22"/>
        </w:rPr>
        <w:t xml:space="preserve">, o </w:t>
      </w:r>
      <w:r>
        <w:rPr>
          <w:rFonts w:ascii="Times New Roman" w:hAnsi="Times New Roman" w:cs="Times New Roman"/>
          <w:b/>
          <w:sz w:val="22"/>
          <w:szCs w:val="22"/>
        </w:rPr>
        <w:t>MUNICÍPIO DE</w:t>
      </w:r>
      <w:r>
        <w:rPr>
          <w:rFonts w:ascii="Times New Roman" w:hAnsi="Times New Roman" w:cs="Times New Roman"/>
          <w:b/>
          <w:spacing w:val="40"/>
          <w:sz w:val="22"/>
          <w:szCs w:val="22"/>
        </w:rPr>
        <w:t xml:space="preserve"> </w:t>
      </w:r>
      <w:r>
        <w:rPr>
          <w:rFonts w:ascii="Times New Roman" w:hAnsi="Times New Roman" w:cs="Times New Roman"/>
          <w:b/>
          <w:sz w:val="22"/>
          <w:szCs w:val="22"/>
          <w:lang w:val="pt-BR"/>
        </w:rPr>
        <w:t>TEUTÔNIA</w:t>
      </w:r>
      <w:r>
        <w:rPr>
          <w:rFonts w:ascii="Times New Roman" w:hAnsi="Times New Roman" w:cs="Times New Roman"/>
          <w:b/>
          <w:sz w:val="22"/>
          <w:szCs w:val="22"/>
        </w:rPr>
        <w:t>/RS</w:t>
      </w:r>
      <w:r>
        <w:rPr>
          <w:rFonts w:ascii="Times New Roman" w:hAnsi="Times New Roman" w:cs="Times New Roman"/>
          <w:sz w:val="22"/>
          <w:szCs w:val="22"/>
        </w:rPr>
        <w:t xml:space="preserve">, pessoa jurídica de direito público, inscrito no CNPJ sob nº </w:t>
      </w:r>
      <w:r>
        <w:rPr>
          <w:rFonts w:ascii="Times New Roman" w:hAnsi="Times New Roman" w:cs="Times New Roman"/>
          <w:sz w:val="22"/>
          <w:szCs w:val="22"/>
          <w:lang w:val="pt-BR"/>
        </w:rPr>
        <w:t xml:space="preserve">88.661.400/0001-99, </w:t>
      </w:r>
      <w:r>
        <w:rPr>
          <w:rFonts w:ascii="Times New Roman" w:hAnsi="Times New Roman" w:eastAsia="ArialMT" w:cs="Times New Roman"/>
          <w:sz w:val="22"/>
          <w:szCs w:val="22"/>
        </w:rPr>
        <w:t xml:space="preserve">sita na </w:t>
      </w:r>
      <w:r>
        <w:rPr>
          <w:rFonts w:ascii="Times New Roman" w:hAnsi="Times New Roman" w:cs="Times New Roman"/>
          <w:sz w:val="22"/>
          <w:szCs w:val="22"/>
          <w:shd w:val="clear" w:color="auto" w:fill="FFFFFF"/>
        </w:rPr>
        <w:t>Avenida 1 Oeste, 878, Bairro Centro Administrativo</w:t>
      </w:r>
      <w:r>
        <w:rPr>
          <w:rFonts w:ascii="Times New Roman" w:hAnsi="Times New Roman" w:eastAsia="ArialMT" w:cs="Times New Roman"/>
          <w:sz w:val="22"/>
          <w:szCs w:val="22"/>
        </w:rPr>
        <w:t>, Teutônia/RS</w:t>
      </w:r>
      <w:r>
        <w:rPr>
          <w:rFonts w:ascii="Times New Roman" w:hAnsi="Times New Roman" w:cs="Times New Roman"/>
          <w:sz w:val="22"/>
          <w:szCs w:val="22"/>
        </w:rPr>
        <w:t xml:space="preserve">, neste ato representado pelo Prefeito Municipal, Sr. </w:t>
      </w:r>
      <w:r>
        <w:rPr>
          <w:rFonts w:ascii="Times New Roman" w:hAnsi="Times New Roman" w:cs="Times New Roman"/>
          <w:sz w:val="22"/>
          <w:szCs w:val="22"/>
          <w:lang w:val="pt-BR"/>
        </w:rPr>
        <w:t>Renato Airton Altmann</w:t>
      </w:r>
      <w:r>
        <w:rPr>
          <w:rFonts w:ascii="Times New Roman" w:hAnsi="Times New Roman" w:cs="Times New Roman"/>
          <w:sz w:val="22"/>
          <w:szCs w:val="22"/>
        </w:rPr>
        <w:t xml:space="preserve">, brasileiro, </w:t>
      </w:r>
      <w:r>
        <w:rPr>
          <w:rFonts w:ascii="Times New Roman" w:hAnsi="Times New Roman" w:cs="Times New Roman"/>
          <w:sz w:val="22"/>
          <w:szCs w:val="22"/>
          <w:lang w:val="pt-BR"/>
        </w:rPr>
        <w:t xml:space="preserve">inscrito no </w:t>
      </w:r>
      <w:r>
        <w:rPr>
          <w:rFonts w:ascii="Times New Roman" w:hAnsi="Times New Roman" w:cs="Times New Roman"/>
          <w:sz w:val="22"/>
          <w:szCs w:val="22"/>
        </w:rPr>
        <w:t>CPF</w:t>
      </w:r>
      <w:r>
        <w:rPr>
          <w:rFonts w:ascii="Times New Roman" w:hAnsi="Times New Roman" w:cs="Times New Roman"/>
          <w:sz w:val="22"/>
          <w:szCs w:val="22"/>
          <w:lang w:val="pt-BR"/>
        </w:rPr>
        <w:t xml:space="preserve"> sob o</w:t>
      </w:r>
      <w:r>
        <w:rPr>
          <w:rFonts w:ascii="Times New Roman" w:hAnsi="Times New Roman" w:cs="Times New Roman"/>
          <w:sz w:val="22"/>
          <w:szCs w:val="22"/>
        </w:rPr>
        <w:t xml:space="preserve"> nº  381.251.610-15, residente e domiciliado em </w:t>
      </w:r>
      <w:r>
        <w:rPr>
          <w:rFonts w:ascii="Times New Roman" w:hAnsi="Times New Roman" w:cs="Times New Roman"/>
          <w:sz w:val="22"/>
          <w:szCs w:val="22"/>
          <w:lang w:val="pt-BR"/>
        </w:rPr>
        <w:t>Teutônia</w:t>
      </w:r>
      <w:r>
        <w:rPr>
          <w:rFonts w:ascii="Times New Roman" w:hAnsi="Times New Roman" w:cs="Times New Roman"/>
          <w:sz w:val="22"/>
          <w:szCs w:val="22"/>
        </w:rPr>
        <w:t xml:space="preserve">/RS, doravante denominado </w:t>
      </w:r>
      <w:r>
        <w:rPr>
          <w:rFonts w:ascii="Times New Roman" w:hAnsi="Times New Roman" w:cs="Times New Roman"/>
          <w:b/>
          <w:sz w:val="22"/>
          <w:szCs w:val="22"/>
        </w:rPr>
        <w:t>MUNICÍPIO</w:t>
      </w:r>
      <w:r>
        <w:rPr>
          <w:rFonts w:ascii="Times New Roman" w:hAnsi="Times New Roman" w:cs="Times New Roman"/>
          <w:sz w:val="22"/>
          <w:szCs w:val="22"/>
        </w:rPr>
        <w:t>, resolve</w:t>
      </w:r>
      <w:r>
        <w:rPr>
          <w:rFonts w:ascii="Times New Roman" w:hAnsi="Times New Roman" w:cs="Times New Roman"/>
          <w:spacing w:val="7"/>
          <w:sz w:val="22"/>
          <w:szCs w:val="22"/>
        </w:rPr>
        <w:t xml:space="preserve"> </w:t>
      </w:r>
      <w:r>
        <w:rPr>
          <w:rFonts w:ascii="Times New Roman" w:hAnsi="Times New Roman" w:cs="Times New Roman"/>
          <w:sz w:val="22"/>
          <w:szCs w:val="22"/>
        </w:rPr>
        <w:t>REGISTRAR</w:t>
      </w:r>
      <w:r>
        <w:rPr>
          <w:rFonts w:ascii="Times New Roman" w:hAnsi="Times New Roman" w:cs="Times New Roman"/>
          <w:spacing w:val="9"/>
          <w:sz w:val="22"/>
          <w:szCs w:val="22"/>
        </w:rPr>
        <w:t xml:space="preserve"> </w:t>
      </w:r>
      <w:r>
        <w:rPr>
          <w:rFonts w:ascii="Times New Roman" w:hAnsi="Times New Roman" w:cs="Times New Roman"/>
          <w:sz w:val="22"/>
          <w:szCs w:val="22"/>
        </w:rPr>
        <w:t>o</w:t>
      </w:r>
      <w:r>
        <w:rPr>
          <w:rFonts w:ascii="Times New Roman" w:hAnsi="Times New Roman" w:cs="Times New Roman"/>
          <w:spacing w:val="9"/>
          <w:sz w:val="22"/>
          <w:szCs w:val="22"/>
        </w:rPr>
        <w:t xml:space="preserve"> </w:t>
      </w:r>
      <w:r>
        <w:rPr>
          <w:rFonts w:ascii="Times New Roman" w:hAnsi="Times New Roman" w:cs="Times New Roman"/>
          <w:sz w:val="22"/>
          <w:szCs w:val="22"/>
        </w:rPr>
        <w:t>preço</w:t>
      </w:r>
      <w:r>
        <w:rPr>
          <w:rFonts w:ascii="Times New Roman" w:hAnsi="Times New Roman" w:cs="Times New Roman"/>
          <w:spacing w:val="9"/>
          <w:sz w:val="22"/>
          <w:szCs w:val="22"/>
        </w:rPr>
        <w:t xml:space="preserve"> </w:t>
      </w:r>
      <w:r>
        <w:rPr>
          <w:rFonts w:ascii="Times New Roman" w:hAnsi="Times New Roman" w:cs="Times New Roman"/>
          <w:sz w:val="22"/>
          <w:szCs w:val="22"/>
        </w:rPr>
        <w:t>oferecido</w:t>
      </w:r>
      <w:r>
        <w:rPr>
          <w:rFonts w:ascii="Times New Roman" w:hAnsi="Times New Roman" w:cs="Times New Roman"/>
          <w:spacing w:val="9"/>
          <w:sz w:val="22"/>
          <w:szCs w:val="22"/>
        </w:rPr>
        <w:t xml:space="preserve"> </w:t>
      </w:r>
      <w:r>
        <w:rPr>
          <w:rFonts w:ascii="Times New Roman" w:hAnsi="Times New Roman" w:cs="Times New Roman"/>
          <w:sz w:val="22"/>
          <w:szCs w:val="22"/>
        </w:rPr>
        <w:t>pela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empresa</w:t>
      </w:r>
      <w:r>
        <w:rPr>
          <w:rFonts w:ascii="Times New Roman" w:hAnsi="Times New Roman" w:cs="Times New Roman"/>
          <w:spacing w:val="-2"/>
          <w:sz w:val="22"/>
          <w:szCs w:val="22"/>
          <w:lang w:val="pt-BR"/>
        </w:rPr>
        <w:t xml:space="preserve"> XX</w:t>
      </w:r>
      <w:r>
        <w:rPr>
          <w:rFonts w:ascii="Times New Roman" w:hAnsi="Times New Roman" w:cs="Times New Roman"/>
          <w:sz w:val="22"/>
          <w:szCs w:val="22"/>
        </w:rPr>
        <w:t>,</w:t>
      </w:r>
      <w:r>
        <w:rPr>
          <w:rFonts w:ascii="Times New Roman" w:hAnsi="Times New Roman" w:cs="Times New Roman"/>
          <w:spacing w:val="8"/>
          <w:sz w:val="22"/>
          <w:szCs w:val="22"/>
        </w:rPr>
        <w:t xml:space="preserve"> </w:t>
      </w:r>
      <w:r>
        <w:rPr>
          <w:rFonts w:ascii="Times New Roman" w:hAnsi="Times New Roman" w:cs="Times New Roman"/>
          <w:sz w:val="22"/>
          <w:szCs w:val="22"/>
        </w:rPr>
        <w:t>inscrita</w:t>
      </w:r>
      <w:r>
        <w:rPr>
          <w:rFonts w:ascii="Times New Roman" w:hAnsi="Times New Roman" w:cs="Times New Roman"/>
          <w:spacing w:val="11"/>
          <w:sz w:val="22"/>
          <w:szCs w:val="22"/>
        </w:rPr>
        <w:t xml:space="preserve"> </w:t>
      </w:r>
      <w:r>
        <w:rPr>
          <w:rFonts w:ascii="Times New Roman" w:hAnsi="Times New Roman" w:cs="Times New Roman"/>
          <w:sz w:val="22"/>
          <w:szCs w:val="22"/>
        </w:rPr>
        <w:t>no</w:t>
      </w:r>
      <w:r>
        <w:rPr>
          <w:rFonts w:ascii="Times New Roman" w:hAnsi="Times New Roman" w:cs="Times New Roman"/>
          <w:spacing w:val="-3"/>
          <w:sz w:val="22"/>
          <w:szCs w:val="22"/>
        </w:rPr>
        <w:t xml:space="preserve"> </w:t>
      </w:r>
      <w:r>
        <w:rPr>
          <w:rFonts w:ascii="Times New Roman" w:hAnsi="Times New Roman" w:cs="Times New Roman"/>
          <w:sz w:val="22"/>
          <w:szCs w:val="22"/>
        </w:rPr>
        <w:t>CNPJ</w:t>
      </w:r>
      <w:r>
        <w:rPr>
          <w:rFonts w:ascii="Times New Roman" w:hAnsi="Times New Roman" w:cs="Times New Roman"/>
          <w:spacing w:val="-3"/>
          <w:sz w:val="22"/>
          <w:szCs w:val="22"/>
        </w:rPr>
        <w:t xml:space="preserve"> </w:t>
      </w:r>
      <w:r>
        <w:rPr>
          <w:rFonts w:ascii="Times New Roman" w:hAnsi="Times New Roman" w:cs="Times New Roman"/>
          <w:spacing w:val="-5"/>
          <w:sz w:val="22"/>
          <w:szCs w:val="22"/>
        </w:rPr>
        <w:t>sob</w:t>
      </w:r>
      <w:r>
        <w:rPr>
          <w:rFonts w:ascii="Times New Roman" w:hAnsi="Times New Roman" w:cs="Times New Roman"/>
          <w:spacing w:val="-5"/>
          <w:sz w:val="22"/>
          <w:szCs w:val="22"/>
          <w:lang w:val="pt-BR"/>
        </w:rPr>
        <w:t xml:space="preserve"> </w:t>
      </w:r>
      <w:r>
        <w:rPr>
          <w:rFonts w:ascii="Times New Roman" w:hAnsi="Times New Roman" w:cs="Times New Roman"/>
          <w:sz w:val="22"/>
          <w:szCs w:val="22"/>
        </w:rPr>
        <w:t xml:space="preserve">nº …………...…., com sede na Rua ..., doravante denominada </w:t>
      </w:r>
      <w:r>
        <w:rPr>
          <w:rFonts w:ascii="Times New Roman" w:hAnsi="Times New Roman" w:cs="Times New Roman"/>
          <w:b/>
          <w:sz w:val="22"/>
          <w:szCs w:val="22"/>
        </w:rPr>
        <w:t>DETENTORA</w:t>
      </w:r>
      <w:r>
        <w:rPr>
          <w:rFonts w:ascii="Times New Roman" w:hAnsi="Times New Roman" w:cs="Times New Roman"/>
          <w:sz w:val="22"/>
          <w:szCs w:val="22"/>
        </w:rPr>
        <w:t>, neste ato representada por seu(a) responsável legal, Sr(a). ….., inscrito no CPF sob o nº …., residente e domiciliado(a) na ….., em face da proposta classificada em primeiro lugar no Pregão na Forma Eletrônica nº 0</w:t>
      </w:r>
      <w:r>
        <w:rPr>
          <w:rFonts w:hint="default" w:ascii="Times New Roman" w:hAnsi="Times New Roman" w:cs="Times New Roman"/>
          <w:sz w:val="22"/>
          <w:szCs w:val="22"/>
          <w:lang w:val="pt-BR"/>
        </w:rPr>
        <w:t>02/2026</w:t>
      </w:r>
      <w:r>
        <w:rPr>
          <w:rFonts w:ascii="Times New Roman" w:hAnsi="Times New Roman" w:cs="Times New Roman"/>
          <w:sz w:val="22"/>
          <w:szCs w:val="22"/>
        </w:rPr>
        <w:t>, elaborado com fulcro na Lei Federal 14.133/2021,</w:t>
      </w:r>
      <w:r>
        <w:rPr>
          <w:rFonts w:ascii="Times New Roman" w:hAnsi="Times New Roman" w:cs="Times New Roman"/>
          <w:spacing w:val="-4"/>
          <w:sz w:val="22"/>
          <w:szCs w:val="22"/>
        </w:rPr>
        <w:t xml:space="preserve"> </w:t>
      </w:r>
      <w:r>
        <w:rPr>
          <w:rFonts w:ascii="Times New Roman" w:hAnsi="Times New Roman" w:cs="Times New Roman"/>
          <w:sz w:val="22"/>
          <w:szCs w:val="22"/>
        </w:rPr>
        <w:t>no</w:t>
      </w:r>
      <w:r>
        <w:rPr>
          <w:rFonts w:ascii="Times New Roman" w:hAnsi="Times New Roman" w:cs="Times New Roman"/>
          <w:spacing w:val="-4"/>
          <w:sz w:val="22"/>
          <w:szCs w:val="22"/>
        </w:rPr>
        <w:t xml:space="preserve"> </w:t>
      </w:r>
      <w:r>
        <w:rPr>
          <w:rFonts w:ascii="Times New Roman" w:hAnsi="Times New Roman" w:cs="Times New Roman"/>
          <w:sz w:val="22"/>
          <w:szCs w:val="22"/>
        </w:rPr>
        <w:t>Decreto</w:t>
      </w:r>
      <w:r>
        <w:rPr>
          <w:rFonts w:ascii="Times New Roman" w:hAnsi="Times New Roman" w:cs="Times New Roman"/>
          <w:spacing w:val="-4"/>
          <w:sz w:val="22"/>
          <w:szCs w:val="22"/>
        </w:rPr>
        <w:t xml:space="preserve"> </w:t>
      </w:r>
      <w:r>
        <w:rPr>
          <w:rFonts w:ascii="Times New Roman" w:hAnsi="Times New Roman" w:cs="Times New Roman"/>
          <w:sz w:val="22"/>
          <w:szCs w:val="22"/>
        </w:rPr>
        <w:t>Municipal</w:t>
      </w:r>
      <w:r>
        <w:rPr>
          <w:rFonts w:ascii="Times New Roman" w:hAnsi="Times New Roman" w:cs="Times New Roman"/>
          <w:spacing w:val="-4"/>
          <w:sz w:val="22"/>
          <w:szCs w:val="22"/>
        </w:rPr>
        <w:t xml:space="preserve"> </w:t>
      </w:r>
      <w:r>
        <w:rPr>
          <w:rFonts w:ascii="Times New Roman" w:hAnsi="Times New Roman" w:cs="Times New Roman"/>
          <w:sz w:val="22"/>
          <w:szCs w:val="22"/>
        </w:rPr>
        <w:t xml:space="preserve">n° </w:t>
      </w:r>
      <w:r>
        <w:rPr>
          <w:rFonts w:ascii="Times New Roman" w:hAnsi="Times New Roman" w:cs="Times New Roman"/>
          <w:sz w:val="22"/>
          <w:szCs w:val="22"/>
          <w:lang w:val="pt-BR"/>
        </w:rPr>
        <w:t>3.250</w:t>
      </w:r>
      <w:r>
        <w:rPr>
          <w:rFonts w:ascii="Times New Roman" w:hAnsi="Times New Roman" w:cs="Times New Roman"/>
          <w:sz w:val="22"/>
          <w:szCs w:val="22"/>
        </w:rPr>
        <w:t>/2023</w:t>
      </w:r>
      <w:r>
        <w:rPr>
          <w:rFonts w:hint="default" w:ascii="Times New Roman" w:hAnsi="Times New Roman" w:cs="Times New Roman"/>
          <w:sz w:val="22"/>
          <w:szCs w:val="22"/>
          <w:lang w:val="pt-BR"/>
        </w:rPr>
        <w:t xml:space="preserve">, </w:t>
      </w:r>
      <w:r>
        <w:rPr>
          <w:rFonts w:ascii="Times New Roman" w:hAnsi="Times New Roman" w:eastAsia="Arial Unicode MS" w:cs="Times New Roman"/>
          <w:snapToGrid w:val="0"/>
          <w:sz w:val="22"/>
          <w:szCs w:val="22"/>
          <w:lang w:eastAsia="pt-BR"/>
        </w:rPr>
        <w:t xml:space="preserve">Protocolo nº </w:t>
      </w:r>
      <w:r>
        <w:rPr>
          <w:rFonts w:ascii="Times New Roman" w:hAnsi="Times New Roman" w:eastAsia="Arial Unicode MS" w:cs="Times New Roman"/>
          <w:snapToGrid w:val="0"/>
          <w:sz w:val="22"/>
          <w:szCs w:val="22"/>
          <w:lang w:val="en-US" w:eastAsia="pt-BR"/>
        </w:rPr>
        <w:t>2025/</w:t>
      </w:r>
      <w:r>
        <w:rPr>
          <w:rFonts w:hint="default" w:ascii="Times New Roman" w:hAnsi="Times New Roman" w:eastAsia="Arial Unicode MS" w:cs="Times New Roman"/>
          <w:snapToGrid w:val="0"/>
          <w:sz w:val="22"/>
          <w:szCs w:val="22"/>
          <w:lang w:val="en-US" w:eastAsia="pt-BR"/>
        </w:rPr>
        <w:t xml:space="preserve">6182 </w:t>
      </w:r>
      <w:r>
        <w:rPr>
          <w:rFonts w:ascii="Times New Roman" w:hAnsi="Times New Roman" w:cs="Times New Roman"/>
          <w:sz w:val="22"/>
          <w:szCs w:val="22"/>
        </w:rPr>
        <w:t>e demais normas</w:t>
      </w:r>
      <w:r>
        <w:rPr>
          <w:rFonts w:ascii="Times New Roman" w:hAnsi="Times New Roman" w:cs="Times New Roman"/>
          <w:spacing w:val="-3"/>
          <w:sz w:val="22"/>
          <w:szCs w:val="22"/>
        </w:rPr>
        <w:t xml:space="preserve"> </w:t>
      </w:r>
      <w:r>
        <w:rPr>
          <w:rFonts w:ascii="Times New Roman" w:hAnsi="Times New Roman" w:cs="Times New Roman"/>
          <w:sz w:val="22"/>
          <w:szCs w:val="22"/>
        </w:rPr>
        <w:t>aplicáveis,</w:t>
      </w:r>
      <w:r>
        <w:rPr>
          <w:rFonts w:ascii="Times New Roman" w:hAnsi="Times New Roman" w:cs="Times New Roman"/>
          <w:spacing w:val="-3"/>
          <w:sz w:val="22"/>
          <w:szCs w:val="22"/>
        </w:rPr>
        <w:t xml:space="preserve"> </w:t>
      </w:r>
      <w:r>
        <w:rPr>
          <w:rFonts w:ascii="Times New Roman" w:hAnsi="Times New Roman" w:cs="Times New Roman"/>
          <w:sz w:val="22"/>
          <w:szCs w:val="22"/>
        </w:rPr>
        <w:t>para</w:t>
      </w:r>
      <w:r>
        <w:rPr>
          <w:rFonts w:ascii="Times New Roman" w:hAnsi="Times New Roman" w:cs="Times New Roman"/>
          <w:spacing w:val="-3"/>
          <w:sz w:val="22"/>
          <w:szCs w:val="22"/>
        </w:rPr>
        <w:t xml:space="preserve"> </w:t>
      </w:r>
      <w:r>
        <w:rPr>
          <w:rFonts w:ascii="Times New Roman" w:hAnsi="Times New Roman" w:cs="Times New Roman"/>
          <w:sz w:val="22"/>
          <w:szCs w:val="22"/>
        </w:rPr>
        <w:t>a</w:t>
      </w:r>
      <w:r>
        <w:rPr>
          <w:rFonts w:ascii="Times New Roman" w:hAnsi="Times New Roman" w:cs="Times New Roman"/>
          <w:spacing w:val="-3"/>
          <w:sz w:val="22"/>
          <w:szCs w:val="22"/>
        </w:rPr>
        <w:t xml:space="preserve"> </w:t>
      </w:r>
      <w:r>
        <w:rPr>
          <w:rFonts w:ascii="Times New Roman" w:hAnsi="Times New Roman" w:cs="Times New Roman"/>
          <w:sz w:val="22"/>
          <w:szCs w:val="22"/>
        </w:rPr>
        <w:t>eventual</w:t>
      </w:r>
      <w:r>
        <w:rPr>
          <w:rFonts w:ascii="Times New Roman" w:hAnsi="Times New Roman" w:cs="Times New Roman"/>
          <w:spacing w:val="-3"/>
          <w:sz w:val="22"/>
          <w:szCs w:val="22"/>
        </w:rPr>
        <w:t xml:space="preserve"> </w:t>
      </w:r>
      <w:r>
        <w:rPr>
          <w:rFonts w:ascii="Times New Roman" w:hAnsi="Times New Roman" w:cs="Times New Roman"/>
          <w:sz w:val="22"/>
          <w:szCs w:val="22"/>
        </w:rPr>
        <w:t>aquisição,</w:t>
      </w:r>
      <w:r>
        <w:rPr>
          <w:rFonts w:ascii="Times New Roman" w:hAnsi="Times New Roman" w:cs="Times New Roman"/>
          <w:spacing w:val="-3"/>
          <w:sz w:val="22"/>
          <w:szCs w:val="22"/>
        </w:rPr>
        <w:t xml:space="preserve"> </w:t>
      </w:r>
      <w:r>
        <w:rPr>
          <w:rFonts w:ascii="Times New Roman" w:hAnsi="Times New Roman" w:cs="Times New Roman"/>
          <w:sz w:val="22"/>
          <w:szCs w:val="22"/>
        </w:rPr>
        <w:t>nas</w:t>
      </w:r>
      <w:r>
        <w:rPr>
          <w:rFonts w:ascii="Times New Roman" w:hAnsi="Times New Roman" w:cs="Times New Roman"/>
          <w:spacing w:val="-3"/>
          <w:sz w:val="22"/>
          <w:szCs w:val="22"/>
        </w:rPr>
        <w:t xml:space="preserve"> </w:t>
      </w:r>
      <w:r>
        <w:rPr>
          <w:rFonts w:ascii="Times New Roman" w:hAnsi="Times New Roman" w:cs="Times New Roman"/>
          <w:sz w:val="22"/>
          <w:szCs w:val="22"/>
        </w:rPr>
        <w:t>condições</w:t>
      </w:r>
      <w:r>
        <w:rPr>
          <w:rFonts w:ascii="Times New Roman" w:hAnsi="Times New Roman" w:cs="Times New Roman"/>
          <w:spacing w:val="-3"/>
          <w:sz w:val="22"/>
          <w:szCs w:val="22"/>
        </w:rPr>
        <w:t xml:space="preserve"> </w:t>
      </w:r>
      <w:r>
        <w:rPr>
          <w:rFonts w:ascii="Times New Roman" w:hAnsi="Times New Roman" w:cs="Times New Roman"/>
          <w:sz w:val="22"/>
          <w:szCs w:val="22"/>
        </w:rPr>
        <w:t>estabelecidas neste instrumento, dos objetos abaixo discriminados.</w:t>
      </w:r>
    </w:p>
    <w:p w14:paraId="07EB2600">
      <w:pPr>
        <w:pStyle w:val="10"/>
        <w:tabs>
          <w:tab w:val="left" w:pos="8360"/>
        </w:tabs>
        <w:spacing w:before="253" w:line="240" w:lineRule="auto"/>
        <w:ind w:right="-53" w:rightChars="-24"/>
        <w:rPr>
          <w:rFonts w:ascii="Times New Roman" w:hAnsi="Times New Roman" w:cs="Times New Roman"/>
          <w:color w:val="000000"/>
          <w:sz w:val="22"/>
          <w:szCs w:val="22"/>
          <w:lang w:val="pt-BR"/>
        </w:rPr>
      </w:pPr>
      <w:r>
        <w:rPr>
          <w:rFonts w:ascii="Times New Roman" w:hAnsi="Times New Roman" w:cs="Times New Roman"/>
          <w:b/>
          <w:sz w:val="22"/>
          <w:szCs w:val="22"/>
        </w:rPr>
        <w:t>CLÁUSULA</w:t>
      </w:r>
      <w:r>
        <w:rPr>
          <w:rFonts w:ascii="Times New Roman" w:hAnsi="Times New Roman" w:cs="Times New Roman"/>
          <w:b/>
          <w:spacing w:val="40"/>
          <w:sz w:val="22"/>
          <w:szCs w:val="22"/>
        </w:rPr>
        <w:t xml:space="preserve"> </w:t>
      </w:r>
      <w:r>
        <w:rPr>
          <w:rFonts w:ascii="Times New Roman" w:hAnsi="Times New Roman" w:cs="Times New Roman"/>
          <w:b/>
          <w:sz w:val="22"/>
          <w:szCs w:val="22"/>
        </w:rPr>
        <w:t>PRIMEIRA</w:t>
      </w:r>
      <w:r>
        <w:rPr>
          <w:rFonts w:ascii="Times New Roman" w:hAnsi="Times New Roman" w:cs="Times New Roman"/>
          <w:b/>
          <w:spacing w:val="40"/>
          <w:sz w:val="22"/>
          <w:szCs w:val="22"/>
        </w:rPr>
        <w:t xml:space="preserve"> </w:t>
      </w:r>
      <w:r>
        <w:rPr>
          <w:rFonts w:ascii="Times New Roman" w:hAnsi="Times New Roman" w:cs="Times New Roman"/>
          <w:sz w:val="22"/>
          <w:szCs w:val="22"/>
        </w:rPr>
        <w:t>–</w:t>
      </w:r>
      <w:r>
        <w:rPr>
          <w:rFonts w:ascii="Times New Roman" w:hAnsi="Times New Roman" w:cs="Times New Roman"/>
          <w:spacing w:val="40"/>
          <w:sz w:val="22"/>
          <w:szCs w:val="22"/>
        </w:rPr>
        <w:t xml:space="preserve"> </w:t>
      </w:r>
      <w:r>
        <w:rPr>
          <w:rFonts w:ascii="Times New Roman" w:hAnsi="Times New Roman" w:eastAsia="ArialMT" w:cs="Times New Roman"/>
          <w:sz w:val="22"/>
          <w:szCs w:val="22"/>
        </w:rPr>
        <w:t>A presente Ata tem por objeto o Registro de Preços</w:t>
      </w:r>
      <w:r>
        <w:rPr>
          <w:rFonts w:ascii="Times New Roman" w:hAnsi="Times New Roman" w:eastAsia="ArialMT" w:cs="Times New Roman"/>
          <w:sz w:val="22"/>
          <w:szCs w:val="22"/>
          <w:lang w:val="pt-BR"/>
        </w:rPr>
        <w:t xml:space="preserve"> </w:t>
      </w:r>
      <w:r>
        <w:rPr>
          <w:rFonts w:ascii="Times New Roman" w:hAnsi="Times New Roman" w:cs="Times New Roman"/>
          <w:sz w:val="22"/>
          <w:szCs w:val="22"/>
          <w:lang w:val="pt-BR"/>
        </w:rPr>
        <w:t xml:space="preserve">visando a </w:t>
      </w:r>
      <w:r>
        <w:rPr>
          <w:rFonts w:hint="default" w:ascii="Times New Roman" w:hAnsi="Times New Roman" w:cs="Times New Roman"/>
          <w:sz w:val="22"/>
          <w:szCs w:val="22"/>
          <w:lang w:val="pt-BR"/>
        </w:rPr>
        <w:t>a</w:t>
      </w:r>
      <w:r>
        <w:rPr>
          <w:rFonts w:hint="default" w:ascii="Times New Roman" w:hAnsi="Times New Roman" w:eastAsia="SimSun" w:cs="Times New Roman"/>
          <w:sz w:val="22"/>
          <w:szCs w:val="22"/>
        </w:rPr>
        <w:t>quisição de fraldas descartáveis infantis, juvenis e geriátricas, destinadas à distribuição gratuita</w:t>
      </w:r>
      <w:r>
        <w:rPr>
          <w:rFonts w:hint="default" w:ascii="Times New Roman" w:hAnsi="Times New Roman" w:eastAsia="SimSun" w:cs="Times New Roman"/>
          <w:sz w:val="22"/>
          <w:szCs w:val="22"/>
          <w:lang w:val="pt-BR"/>
        </w:rPr>
        <w:t>, de acordo com a Lei Municipal Nº 6.016 de 29 de junho de 2023,</w:t>
      </w:r>
      <w:r>
        <w:rPr>
          <w:rFonts w:ascii="Times New Roman" w:hAnsi="Times New Roman" w:cs="Times New Roman"/>
          <w:color w:val="000000"/>
          <w:sz w:val="22"/>
          <w:szCs w:val="22"/>
          <w:lang w:val="pt-BR"/>
        </w:rPr>
        <w:t xml:space="preserve"> </w:t>
      </w:r>
      <w:r>
        <w:rPr>
          <w:rFonts w:ascii="Times New Roman" w:hAnsi="Times New Roman" w:cs="Times New Roman"/>
          <w:sz w:val="22"/>
          <w:szCs w:val="22"/>
        </w:rPr>
        <w:t xml:space="preserve">conforme as disposições estabelecidas no Pregão na Forma Eletrônica </w:t>
      </w:r>
      <w:r>
        <w:rPr>
          <w:rFonts w:ascii="Times New Roman" w:hAnsi="Times New Roman" w:cs="Times New Roman"/>
          <w:sz w:val="22"/>
          <w:szCs w:val="22"/>
          <w:lang w:val="pt-BR"/>
        </w:rPr>
        <w:t>n</w:t>
      </w:r>
      <w:r>
        <w:rPr>
          <w:rFonts w:ascii="Times New Roman" w:hAnsi="Times New Roman" w:cs="Times New Roman"/>
          <w:sz w:val="22"/>
          <w:szCs w:val="22"/>
        </w:rPr>
        <w:t>º 0</w:t>
      </w:r>
      <w:r>
        <w:rPr>
          <w:rFonts w:hint="default" w:ascii="Times New Roman" w:hAnsi="Times New Roman" w:cs="Times New Roman"/>
          <w:sz w:val="22"/>
          <w:szCs w:val="22"/>
          <w:lang w:val="pt-BR"/>
        </w:rPr>
        <w:t>02/2026</w:t>
      </w:r>
      <w:r>
        <w:rPr>
          <w:rFonts w:ascii="Times New Roman" w:hAnsi="Times New Roman" w:cs="Times New Roman"/>
          <w:sz w:val="22"/>
          <w:szCs w:val="22"/>
          <w:lang w:val="pt-BR"/>
        </w:rPr>
        <w:t xml:space="preserve"> </w:t>
      </w:r>
      <w:r>
        <w:rPr>
          <w:rFonts w:ascii="Times New Roman" w:hAnsi="Times New Roman" w:cs="Times New Roman"/>
          <w:sz w:val="22"/>
          <w:szCs w:val="22"/>
        </w:rPr>
        <w:t>e a proposta da DETENTORA, independentemente de transcrição para este instrumento</w:t>
      </w:r>
      <w:r>
        <w:rPr>
          <w:rFonts w:ascii="Times New Roman" w:hAnsi="Times New Roman" w:cs="Times New Roman"/>
          <w:sz w:val="22"/>
          <w:szCs w:val="22"/>
          <w:lang w:val="pt-BR"/>
        </w:rPr>
        <w:t xml:space="preserve">, </w:t>
      </w:r>
      <w:r>
        <w:rPr>
          <w:rFonts w:ascii="Times New Roman" w:hAnsi="Times New Roman" w:cs="Times New Roman"/>
          <w:sz w:val="22"/>
          <w:szCs w:val="22"/>
        </w:rPr>
        <w:t>de acordo com o que segue:</w:t>
      </w:r>
    </w:p>
    <w:tbl>
      <w:tblPr>
        <w:tblStyle w:val="9"/>
        <w:tblpPr w:leftFromText="180" w:rightFromText="180" w:vertAnchor="text" w:horzAnchor="page" w:tblpX="1637" w:tblpY="18"/>
        <w:tblOverlap w:val="never"/>
        <w:tblW w:w="8970" w:type="dxa"/>
        <w:tblInd w:w="0" w:type="dxa"/>
        <w:tblLayout w:type="fixed"/>
        <w:tblCellMar>
          <w:top w:w="55" w:type="dxa"/>
          <w:left w:w="55" w:type="dxa"/>
          <w:bottom w:w="55" w:type="dxa"/>
          <w:right w:w="55" w:type="dxa"/>
        </w:tblCellMar>
      </w:tblPr>
      <w:tblGrid>
        <w:gridCol w:w="643"/>
        <w:gridCol w:w="632"/>
        <w:gridCol w:w="660"/>
        <w:gridCol w:w="4875"/>
        <w:gridCol w:w="1020"/>
        <w:gridCol w:w="1140"/>
      </w:tblGrid>
      <w:tr w14:paraId="58EC2DEB">
        <w:tblPrEx>
          <w:tblCellMar>
            <w:top w:w="55" w:type="dxa"/>
            <w:left w:w="55" w:type="dxa"/>
            <w:bottom w:w="55" w:type="dxa"/>
            <w:right w:w="55" w:type="dxa"/>
          </w:tblCellMar>
        </w:tblPrEx>
        <w:trPr>
          <w:trHeight w:val="286" w:hRule="atLeast"/>
          <w:tblHeader/>
        </w:trPr>
        <w:tc>
          <w:tcPr>
            <w:tcW w:w="643" w:type="dxa"/>
            <w:tcBorders>
              <w:top w:val="single" w:color="000000" w:sz="4" w:space="0"/>
              <w:left w:val="single" w:color="000000" w:sz="4" w:space="0"/>
              <w:bottom w:val="single" w:color="auto" w:sz="4" w:space="0"/>
              <w:right w:val="single" w:color="000000" w:sz="4" w:space="0"/>
            </w:tcBorders>
          </w:tcPr>
          <w:p w14:paraId="74DBFF98">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Item</w:t>
            </w:r>
          </w:p>
        </w:tc>
        <w:tc>
          <w:tcPr>
            <w:tcW w:w="632" w:type="dxa"/>
            <w:tcBorders>
              <w:top w:val="single" w:color="000000" w:sz="4" w:space="0"/>
              <w:left w:val="single" w:color="000000" w:sz="4" w:space="0"/>
              <w:bottom w:val="single" w:color="auto" w:sz="4" w:space="0"/>
              <w:right w:val="single" w:color="000000" w:sz="4" w:space="0"/>
            </w:tcBorders>
          </w:tcPr>
          <w:p w14:paraId="238E3BB3">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Qtde.</w:t>
            </w:r>
          </w:p>
        </w:tc>
        <w:tc>
          <w:tcPr>
            <w:tcW w:w="660" w:type="dxa"/>
            <w:tcBorders>
              <w:top w:val="single" w:color="000000" w:sz="4" w:space="0"/>
              <w:left w:val="single" w:color="000000" w:sz="4" w:space="0"/>
              <w:bottom w:val="single" w:color="auto" w:sz="4" w:space="0"/>
              <w:right w:val="single" w:color="000000" w:sz="4" w:space="0"/>
            </w:tcBorders>
          </w:tcPr>
          <w:p w14:paraId="379CF0FA">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Un</w:t>
            </w:r>
          </w:p>
        </w:tc>
        <w:tc>
          <w:tcPr>
            <w:tcW w:w="4875" w:type="dxa"/>
            <w:tcBorders>
              <w:top w:val="single" w:color="000000" w:sz="4" w:space="0"/>
              <w:left w:val="single" w:color="000000" w:sz="4" w:space="0"/>
              <w:bottom w:val="single" w:color="auto" w:sz="4" w:space="0"/>
              <w:right w:val="single" w:color="000000" w:sz="4" w:space="0"/>
            </w:tcBorders>
          </w:tcPr>
          <w:p w14:paraId="38FAD703">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Especificação/Marca</w:t>
            </w:r>
          </w:p>
        </w:tc>
        <w:tc>
          <w:tcPr>
            <w:tcW w:w="1020" w:type="dxa"/>
            <w:tcBorders>
              <w:top w:val="single" w:color="000000" w:sz="4" w:space="0"/>
              <w:left w:val="single" w:color="000000" w:sz="4" w:space="0"/>
              <w:bottom w:val="single" w:color="auto" w:sz="4" w:space="0"/>
              <w:right w:val="single" w:color="000000" w:sz="4" w:space="0"/>
            </w:tcBorders>
          </w:tcPr>
          <w:p w14:paraId="59B0B9F2">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Valor Un (R$)</w:t>
            </w:r>
          </w:p>
        </w:tc>
        <w:tc>
          <w:tcPr>
            <w:tcW w:w="1140" w:type="dxa"/>
            <w:tcBorders>
              <w:top w:val="single" w:color="000000" w:sz="4" w:space="0"/>
              <w:left w:val="single" w:color="000000" w:sz="4" w:space="0"/>
              <w:bottom w:val="single" w:color="auto" w:sz="4" w:space="0"/>
              <w:right w:val="single" w:color="000000" w:sz="4" w:space="0"/>
            </w:tcBorders>
          </w:tcPr>
          <w:p w14:paraId="17D977A5">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Valor Total (R$)</w:t>
            </w:r>
          </w:p>
        </w:tc>
      </w:tr>
      <w:tr w14:paraId="3A84489A">
        <w:tblPrEx>
          <w:tblCellMar>
            <w:top w:w="55" w:type="dxa"/>
            <w:left w:w="55" w:type="dxa"/>
            <w:bottom w:w="55" w:type="dxa"/>
            <w:right w:w="55" w:type="dxa"/>
          </w:tblCellMar>
        </w:tblPrEx>
        <w:trPr>
          <w:trHeight w:val="3582" w:hRule="atLeast"/>
        </w:trPr>
        <w:tc>
          <w:tcPr>
            <w:tcW w:w="643" w:type="dxa"/>
            <w:tcBorders>
              <w:top w:val="single" w:color="auto" w:sz="4" w:space="0"/>
              <w:left w:val="single" w:color="auto" w:sz="4" w:space="0"/>
              <w:bottom w:val="nil"/>
              <w:right w:val="single" w:color="000000" w:sz="4" w:space="0"/>
            </w:tcBorders>
            <w:vAlign w:val="center"/>
          </w:tcPr>
          <w:p w14:paraId="1D735575">
            <w:pPr>
              <w:pStyle w:val="29"/>
              <w:keepNext w:val="0"/>
              <w:keepLines w:val="0"/>
              <w:pageBreakBefore w:val="0"/>
              <w:kinsoku/>
              <w:wordWrap/>
              <w:overflowPunct/>
              <w:topLinePunct w:val="0"/>
              <w:autoSpaceDE/>
              <w:autoSpaceDN/>
              <w:bidi w:val="0"/>
              <w:adjustRightInd/>
              <w:spacing w:before="0" w:after="0" w:line="240" w:lineRule="auto"/>
              <w:textAlignment w:val="auto"/>
              <w:rPr>
                <w:rFonts w:ascii="Times New Roman" w:hAnsi="Times New Roman" w:cs="Times New Roman"/>
                <w:sz w:val="22"/>
                <w:szCs w:val="22"/>
              </w:rPr>
            </w:pPr>
            <w:r>
              <w:rPr>
                <w:rFonts w:ascii="Times New Roman" w:hAnsi="Times New Roman" w:cs="Times New Roman"/>
                <w:b w:val="0"/>
                <w:i w:val="0"/>
                <w:sz w:val="22"/>
                <w:szCs w:val="22"/>
              </w:rPr>
              <w:t>1</w:t>
            </w:r>
          </w:p>
        </w:tc>
        <w:tc>
          <w:tcPr>
            <w:tcW w:w="632" w:type="dxa"/>
            <w:tcBorders>
              <w:top w:val="single" w:color="auto" w:sz="4" w:space="0"/>
              <w:left w:val="single" w:color="000000" w:sz="4" w:space="0"/>
              <w:bottom w:val="nil"/>
              <w:right w:val="single" w:color="000000" w:sz="4" w:space="0"/>
            </w:tcBorders>
            <w:vAlign w:val="center"/>
          </w:tcPr>
          <w:p w14:paraId="2B3B066E">
            <w:pPr>
              <w:keepNext w:val="0"/>
              <w:keepLines w:val="0"/>
              <w:pageBreakBefore w:val="0"/>
              <w:kinsoku/>
              <w:wordWrap/>
              <w:overflowPunct/>
              <w:topLinePunct w:val="0"/>
              <w:autoSpaceDE/>
              <w:autoSpaceDN/>
              <w:bidi w:val="0"/>
              <w:adjustRightInd/>
              <w:spacing w:after="0" w:line="240" w:lineRule="auto"/>
              <w:jc w:val="center"/>
              <w:textAlignment w:val="auto"/>
              <w:rPr>
                <w:rFonts w:hint="default" w:ascii="Times New Roman" w:hAnsi="Times New Roman"/>
                <w:sz w:val="22"/>
                <w:szCs w:val="22"/>
                <w:lang w:val="pt-BR"/>
              </w:rPr>
            </w:pPr>
            <w:r>
              <w:rPr>
                <w:rFonts w:hint="default" w:ascii="Times New Roman" w:hAnsi="Times New Roman" w:cs="Times New Roman"/>
                <w:sz w:val="22"/>
                <w:szCs w:val="22"/>
                <w:lang w:val="pt-BR"/>
              </w:rPr>
              <w:t>5.000</w:t>
            </w:r>
          </w:p>
        </w:tc>
        <w:tc>
          <w:tcPr>
            <w:tcW w:w="660" w:type="dxa"/>
            <w:tcBorders>
              <w:top w:val="single" w:color="auto" w:sz="4" w:space="0"/>
              <w:left w:val="single" w:color="000000" w:sz="4" w:space="0"/>
              <w:bottom w:val="nil"/>
              <w:right w:val="single" w:color="000000" w:sz="4" w:space="0"/>
            </w:tcBorders>
            <w:vAlign w:val="center"/>
          </w:tcPr>
          <w:p w14:paraId="09A01C37">
            <w:pPr>
              <w:keepNext w:val="0"/>
              <w:keepLines w:val="0"/>
              <w:pageBreakBefore w:val="0"/>
              <w:kinsoku/>
              <w:wordWrap/>
              <w:overflowPunct/>
              <w:topLinePunct w:val="0"/>
              <w:autoSpaceDE/>
              <w:autoSpaceDN/>
              <w:bidi w:val="0"/>
              <w:adjustRightInd/>
              <w:spacing w:after="0" w:line="240" w:lineRule="auto"/>
              <w:jc w:val="center"/>
              <w:textAlignment w:val="auto"/>
              <w:rPr>
                <w:rFonts w:hint="default" w:ascii="Times New Roman" w:hAnsi="Times New Roman"/>
                <w:sz w:val="22"/>
                <w:szCs w:val="22"/>
                <w:lang w:val="pt-BR"/>
              </w:rPr>
            </w:pPr>
            <w:r>
              <w:rPr>
                <w:rFonts w:hint="default" w:ascii="Times New Roman" w:hAnsi="Times New Roman"/>
                <w:sz w:val="22"/>
                <w:szCs w:val="22"/>
                <w:lang w:val="pt-BR"/>
              </w:rPr>
              <w:t>PC</w:t>
            </w:r>
          </w:p>
        </w:tc>
        <w:tc>
          <w:tcPr>
            <w:tcW w:w="4875" w:type="dxa"/>
            <w:tcBorders>
              <w:top w:val="single" w:color="auto" w:sz="4" w:space="0"/>
              <w:left w:val="single" w:color="000000" w:sz="4" w:space="0"/>
              <w:bottom w:val="nil"/>
              <w:right w:val="single" w:color="000000" w:sz="4" w:space="0"/>
            </w:tcBorders>
            <w:shd w:val="clear" w:color="auto" w:fill="auto"/>
            <w:vAlign w:val="top"/>
          </w:tcPr>
          <w:p w14:paraId="2C730657">
            <w:pPr>
              <w:keepNext w:val="0"/>
              <w:keepLines w:val="0"/>
              <w:pageBreakBefore w:val="0"/>
              <w:kinsoku/>
              <w:wordWrap/>
              <w:overflowPunct/>
              <w:topLinePunct w:val="0"/>
              <w:autoSpaceDE/>
              <w:autoSpaceDN/>
              <w:bidi w:val="0"/>
              <w:adjustRightInd/>
              <w:spacing w:before="0" w:after="0" w:line="24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cs="Times New Roman"/>
                <w:sz w:val="22"/>
                <w:szCs w:val="22"/>
              </w:rPr>
              <w:t xml:space="preserve">FRALDA DESCARTÁVEL GERIÁTRICA TAMANHO G Fralda descartável geriátrica, confeccionada em material impermeável virgem, com barreiras laterais que contenham o vazamento, com manta de absorção e boa quantidade interna de gel, possibilitando uma maior retenção de líquidos. Deverá apresentar elásticos laterais e fitas adesivas reposicionáveis, que permitem a abertura da fita sem comprometer a fralda. Proteção mínima 6 horas. Tamanho G, para pessoas com peso variando de 70 a 90 quilos e com cintura de 110 a 150 cm de circunferência. Pacote com 30 (trinta) unidades. Validade mínima de 1 ano a contar da data de entrega. </w:t>
            </w:r>
          </w:p>
        </w:tc>
        <w:tc>
          <w:tcPr>
            <w:tcW w:w="1020" w:type="dxa"/>
            <w:tcBorders>
              <w:top w:val="single" w:color="auto" w:sz="4" w:space="0"/>
              <w:left w:val="single" w:color="000000" w:sz="4" w:space="0"/>
              <w:bottom w:val="nil"/>
              <w:right w:val="single" w:color="000000" w:sz="4" w:space="0"/>
            </w:tcBorders>
            <w:vAlign w:val="center"/>
          </w:tcPr>
          <w:p w14:paraId="68599D7D">
            <w:pPr>
              <w:pStyle w:val="29"/>
              <w:keepNext w:val="0"/>
              <w:keepLines w:val="0"/>
              <w:pageBreakBefore w:val="0"/>
              <w:kinsoku/>
              <w:wordWrap/>
              <w:overflowPunct/>
              <w:topLinePunct w:val="0"/>
              <w:autoSpaceDE/>
              <w:autoSpaceDN/>
              <w:bidi w:val="0"/>
              <w:adjustRightInd/>
              <w:snapToGrid w:val="0"/>
              <w:spacing w:before="0" w:after="0" w:line="240" w:lineRule="auto"/>
              <w:textAlignment w:val="auto"/>
              <w:rPr>
                <w:rFonts w:ascii="Times New Roman" w:hAnsi="Times New Roman" w:cs="Times New Roman"/>
                <w:sz w:val="22"/>
                <w:szCs w:val="22"/>
              </w:rPr>
            </w:pPr>
            <w:r>
              <w:rPr>
                <w:rFonts w:ascii="Times New Roman" w:hAnsi="Times New Roman" w:cs="Times New Roman"/>
                <w:b w:val="0"/>
                <w:i w:val="0"/>
                <w:sz w:val="22"/>
                <w:szCs w:val="22"/>
              </w:rPr>
              <w:t>***</w:t>
            </w:r>
          </w:p>
        </w:tc>
        <w:tc>
          <w:tcPr>
            <w:tcW w:w="1140" w:type="dxa"/>
            <w:tcBorders>
              <w:top w:val="single" w:color="auto" w:sz="4" w:space="0"/>
              <w:left w:val="single" w:color="000000" w:sz="4" w:space="0"/>
              <w:bottom w:val="nil"/>
              <w:right w:val="single" w:color="auto" w:sz="4" w:space="0"/>
            </w:tcBorders>
            <w:vAlign w:val="center"/>
          </w:tcPr>
          <w:p w14:paraId="66D12716">
            <w:pPr>
              <w:pStyle w:val="29"/>
              <w:keepNext w:val="0"/>
              <w:keepLines w:val="0"/>
              <w:pageBreakBefore w:val="0"/>
              <w:kinsoku/>
              <w:wordWrap/>
              <w:overflowPunct/>
              <w:topLinePunct w:val="0"/>
              <w:autoSpaceDE/>
              <w:autoSpaceDN/>
              <w:bidi w:val="0"/>
              <w:adjustRightInd/>
              <w:snapToGrid w:val="0"/>
              <w:spacing w:before="0" w:after="0" w:line="240" w:lineRule="auto"/>
              <w:textAlignment w:val="auto"/>
              <w:rPr>
                <w:rFonts w:ascii="Times New Roman" w:hAnsi="Times New Roman" w:cs="Times New Roman"/>
                <w:sz w:val="22"/>
                <w:szCs w:val="22"/>
              </w:rPr>
            </w:pPr>
            <w:r>
              <w:rPr>
                <w:rFonts w:ascii="Times New Roman" w:hAnsi="Times New Roman" w:cs="Times New Roman"/>
                <w:b w:val="0"/>
                <w:i w:val="0"/>
                <w:sz w:val="22"/>
                <w:szCs w:val="22"/>
              </w:rPr>
              <w:t>***</w:t>
            </w:r>
          </w:p>
        </w:tc>
      </w:tr>
      <w:tr w14:paraId="577A57A9">
        <w:tblPrEx>
          <w:tblCellMar>
            <w:top w:w="55" w:type="dxa"/>
            <w:left w:w="55" w:type="dxa"/>
            <w:bottom w:w="55" w:type="dxa"/>
            <w:right w:w="55" w:type="dxa"/>
          </w:tblCellMar>
        </w:tblPrEx>
        <w:trPr>
          <w:trHeight w:val="740" w:hRule="atLeast"/>
        </w:trPr>
        <w:tc>
          <w:tcPr>
            <w:tcW w:w="643" w:type="dxa"/>
            <w:tcBorders>
              <w:top w:val="nil"/>
              <w:left w:val="single" w:color="auto" w:sz="4" w:space="0"/>
              <w:bottom w:val="nil"/>
              <w:right w:val="single" w:color="000000" w:sz="4" w:space="0"/>
            </w:tcBorders>
            <w:vAlign w:val="center"/>
          </w:tcPr>
          <w:p w14:paraId="56D0F57A">
            <w:pPr>
              <w:pStyle w:val="29"/>
              <w:keepNext w:val="0"/>
              <w:keepLines w:val="0"/>
              <w:pageBreakBefore w:val="0"/>
              <w:kinsoku/>
              <w:wordWrap/>
              <w:overflowPunct/>
              <w:topLinePunct w:val="0"/>
              <w:autoSpaceDE/>
              <w:autoSpaceDN/>
              <w:bidi w:val="0"/>
              <w:adjustRightInd/>
              <w:spacing w:before="0" w:after="0" w:line="240" w:lineRule="auto"/>
              <w:textAlignment w:val="auto"/>
              <w:rPr>
                <w:rFonts w:ascii="Times New Roman" w:hAnsi="Times New Roman" w:cs="Times New Roman"/>
                <w:sz w:val="22"/>
                <w:szCs w:val="22"/>
              </w:rPr>
            </w:pPr>
            <w:r>
              <w:rPr>
                <w:rFonts w:ascii="Times New Roman" w:hAnsi="Times New Roman" w:cs="Times New Roman"/>
                <w:b w:val="0"/>
                <w:i w:val="0"/>
                <w:sz w:val="22"/>
                <w:szCs w:val="22"/>
              </w:rPr>
              <w:t>2</w:t>
            </w:r>
          </w:p>
        </w:tc>
        <w:tc>
          <w:tcPr>
            <w:tcW w:w="632" w:type="dxa"/>
            <w:tcBorders>
              <w:top w:val="nil"/>
              <w:left w:val="single" w:color="000000" w:sz="4" w:space="0"/>
              <w:bottom w:val="nil"/>
              <w:right w:val="single" w:color="000000" w:sz="4" w:space="0"/>
            </w:tcBorders>
            <w:vAlign w:val="center"/>
          </w:tcPr>
          <w:p w14:paraId="32BD11F4">
            <w:pPr>
              <w:keepNext w:val="0"/>
              <w:keepLines w:val="0"/>
              <w:pageBreakBefore w:val="0"/>
              <w:kinsoku/>
              <w:wordWrap/>
              <w:overflowPunct/>
              <w:topLinePunct w:val="0"/>
              <w:autoSpaceDE/>
              <w:autoSpaceDN/>
              <w:bidi w:val="0"/>
              <w:adjustRightInd/>
              <w:spacing w:after="0" w:line="240" w:lineRule="auto"/>
              <w:jc w:val="center"/>
              <w:textAlignment w:val="auto"/>
              <w:rPr>
                <w:rFonts w:ascii="Times New Roman" w:hAnsi="Times New Roman"/>
                <w:sz w:val="22"/>
                <w:szCs w:val="22"/>
              </w:rPr>
            </w:pPr>
            <w:r>
              <w:rPr>
                <w:rFonts w:ascii="Times New Roman" w:hAnsi="Times New Roman" w:cs="Times New Roman"/>
                <w:sz w:val="22"/>
                <w:szCs w:val="22"/>
              </w:rPr>
              <w:t>1.</w:t>
            </w:r>
            <w:r>
              <w:rPr>
                <w:rFonts w:hint="default" w:ascii="Times New Roman" w:hAnsi="Times New Roman" w:cs="Times New Roman"/>
                <w:sz w:val="22"/>
                <w:szCs w:val="22"/>
                <w:lang w:val="pt-BR"/>
              </w:rPr>
              <w:t>5</w:t>
            </w:r>
            <w:r>
              <w:rPr>
                <w:rFonts w:ascii="Times New Roman" w:hAnsi="Times New Roman" w:cs="Times New Roman"/>
                <w:sz w:val="22"/>
                <w:szCs w:val="22"/>
              </w:rPr>
              <w:t>00</w:t>
            </w:r>
          </w:p>
        </w:tc>
        <w:tc>
          <w:tcPr>
            <w:tcW w:w="660" w:type="dxa"/>
            <w:tcBorders>
              <w:top w:val="nil"/>
              <w:left w:val="single" w:color="000000" w:sz="4" w:space="0"/>
              <w:bottom w:val="nil"/>
              <w:right w:val="single" w:color="000000" w:sz="4" w:space="0"/>
            </w:tcBorders>
            <w:vAlign w:val="center"/>
          </w:tcPr>
          <w:p w14:paraId="23D8B4F4">
            <w:pPr>
              <w:keepNext w:val="0"/>
              <w:keepLines w:val="0"/>
              <w:pageBreakBefore w:val="0"/>
              <w:kinsoku/>
              <w:wordWrap/>
              <w:overflowPunct/>
              <w:topLinePunct w:val="0"/>
              <w:autoSpaceDE/>
              <w:autoSpaceDN/>
              <w:bidi w:val="0"/>
              <w:adjustRightInd/>
              <w:spacing w:after="0" w:line="240" w:lineRule="auto"/>
              <w:jc w:val="center"/>
              <w:textAlignment w:val="auto"/>
              <w:rPr>
                <w:rFonts w:hint="default" w:ascii="Times New Roman" w:hAnsi="Times New Roman"/>
                <w:sz w:val="22"/>
                <w:szCs w:val="22"/>
                <w:lang w:val="pt-BR"/>
              </w:rPr>
            </w:pPr>
            <w:r>
              <w:rPr>
                <w:rFonts w:hint="default" w:ascii="Times New Roman" w:hAnsi="Times New Roman" w:cs="Times New Roman"/>
                <w:sz w:val="22"/>
                <w:szCs w:val="22"/>
                <w:lang w:val="pt-BR"/>
              </w:rPr>
              <w:t>PC</w:t>
            </w:r>
          </w:p>
        </w:tc>
        <w:tc>
          <w:tcPr>
            <w:tcW w:w="4875" w:type="dxa"/>
            <w:tcBorders>
              <w:top w:val="nil"/>
              <w:left w:val="single" w:color="000000" w:sz="4" w:space="0"/>
              <w:bottom w:val="nil"/>
              <w:right w:val="single" w:color="000000" w:sz="4" w:space="0"/>
            </w:tcBorders>
            <w:shd w:val="clear" w:color="auto" w:fill="auto"/>
            <w:vAlign w:val="top"/>
          </w:tcPr>
          <w:p w14:paraId="38885171">
            <w:pPr>
              <w:keepNext w:val="0"/>
              <w:keepLines w:val="0"/>
              <w:pageBreakBefore w:val="0"/>
              <w:kinsoku/>
              <w:wordWrap/>
              <w:overflowPunct/>
              <w:topLinePunct w:val="0"/>
              <w:autoSpaceDE/>
              <w:autoSpaceDN/>
              <w:bidi w:val="0"/>
              <w:adjustRightInd/>
              <w:spacing w:before="0" w:after="0" w:line="24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cs="Times New Roman"/>
                <w:sz w:val="22"/>
                <w:szCs w:val="22"/>
              </w:rPr>
              <w:t xml:space="preserve">FRALDA DESCARTÁVEL GERIÁTRICA TAMANHO M Fralda descartável geriátrica, confeccionada em material impermeável virgem, com barreiras laterais que contenham o vazamento, com manta de absorção e boa quantidade interna de gel, possibilitando uma maior retenção de líquidos. Deverá apresentar elásticos laterais e fitas adesivas reposicionáveis, que permitem a abertura da fita sem comprometer a fralda. Proteção mínima 6 horas. Tamanho M, para pessoas com peso variando de 40 a 70 quilos e com cintura de 80 a 110 cm de circunferência. Pacote com 30 (trinta) unidades. Validade mínima de 1 ano a contar da data de entrega. </w:t>
            </w:r>
          </w:p>
        </w:tc>
        <w:tc>
          <w:tcPr>
            <w:tcW w:w="1020" w:type="dxa"/>
            <w:tcBorders>
              <w:top w:val="nil"/>
              <w:left w:val="single" w:color="000000" w:sz="4" w:space="0"/>
              <w:bottom w:val="nil"/>
              <w:right w:val="single" w:color="000000" w:sz="4" w:space="0"/>
            </w:tcBorders>
            <w:vAlign w:val="center"/>
          </w:tcPr>
          <w:p w14:paraId="2721BA86">
            <w:pPr>
              <w:pStyle w:val="29"/>
              <w:keepNext w:val="0"/>
              <w:keepLines w:val="0"/>
              <w:pageBreakBefore w:val="0"/>
              <w:kinsoku/>
              <w:wordWrap/>
              <w:overflowPunct/>
              <w:topLinePunct w:val="0"/>
              <w:autoSpaceDE/>
              <w:autoSpaceDN/>
              <w:bidi w:val="0"/>
              <w:adjustRightInd/>
              <w:snapToGrid w:val="0"/>
              <w:spacing w:before="0" w:after="0" w:line="240" w:lineRule="auto"/>
              <w:textAlignment w:val="auto"/>
              <w:rPr>
                <w:rFonts w:ascii="Times New Roman" w:hAnsi="Times New Roman" w:cs="Times New Roman"/>
                <w:b w:val="0"/>
                <w:i w:val="0"/>
                <w:sz w:val="22"/>
                <w:szCs w:val="22"/>
              </w:rPr>
            </w:pPr>
            <w:r>
              <w:rPr>
                <w:rFonts w:ascii="Times New Roman" w:hAnsi="Times New Roman" w:cs="Times New Roman"/>
                <w:b w:val="0"/>
                <w:i w:val="0"/>
                <w:sz w:val="22"/>
                <w:szCs w:val="22"/>
              </w:rPr>
              <w:t>***</w:t>
            </w:r>
          </w:p>
        </w:tc>
        <w:tc>
          <w:tcPr>
            <w:tcW w:w="1140" w:type="dxa"/>
            <w:tcBorders>
              <w:top w:val="nil"/>
              <w:left w:val="single" w:color="000000" w:sz="4" w:space="0"/>
              <w:bottom w:val="nil"/>
              <w:right w:val="single" w:color="auto" w:sz="4" w:space="0"/>
            </w:tcBorders>
            <w:vAlign w:val="center"/>
          </w:tcPr>
          <w:p w14:paraId="4D509C6F">
            <w:pPr>
              <w:pStyle w:val="29"/>
              <w:keepNext w:val="0"/>
              <w:keepLines w:val="0"/>
              <w:pageBreakBefore w:val="0"/>
              <w:kinsoku/>
              <w:wordWrap/>
              <w:overflowPunct/>
              <w:topLinePunct w:val="0"/>
              <w:autoSpaceDE/>
              <w:autoSpaceDN/>
              <w:bidi w:val="0"/>
              <w:adjustRightInd/>
              <w:snapToGrid w:val="0"/>
              <w:spacing w:before="0" w:after="0" w:line="240" w:lineRule="auto"/>
              <w:textAlignment w:val="auto"/>
              <w:rPr>
                <w:rFonts w:ascii="Times New Roman" w:hAnsi="Times New Roman" w:cs="Times New Roman"/>
                <w:b w:val="0"/>
                <w:i w:val="0"/>
                <w:sz w:val="22"/>
                <w:szCs w:val="22"/>
              </w:rPr>
            </w:pPr>
            <w:r>
              <w:rPr>
                <w:rFonts w:ascii="Times New Roman" w:hAnsi="Times New Roman" w:cs="Times New Roman"/>
                <w:b w:val="0"/>
                <w:i w:val="0"/>
                <w:sz w:val="22"/>
                <w:szCs w:val="22"/>
              </w:rPr>
              <w:t>***</w:t>
            </w:r>
          </w:p>
        </w:tc>
      </w:tr>
      <w:tr w14:paraId="7BDE04B2">
        <w:tblPrEx>
          <w:tblCellMar>
            <w:top w:w="55" w:type="dxa"/>
            <w:left w:w="55" w:type="dxa"/>
            <w:bottom w:w="55" w:type="dxa"/>
            <w:right w:w="55" w:type="dxa"/>
          </w:tblCellMar>
        </w:tblPrEx>
        <w:tc>
          <w:tcPr>
            <w:tcW w:w="643" w:type="dxa"/>
            <w:tcBorders>
              <w:top w:val="nil"/>
              <w:left w:val="single" w:color="auto" w:sz="4" w:space="0"/>
              <w:bottom w:val="nil"/>
              <w:right w:val="single" w:color="000000" w:sz="4" w:space="0"/>
            </w:tcBorders>
            <w:vAlign w:val="center"/>
          </w:tcPr>
          <w:p w14:paraId="64AE743E">
            <w:pPr>
              <w:pStyle w:val="29"/>
              <w:keepNext w:val="0"/>
              <w:keepLines w:val="0"/>
              <w:pageBreakBefore w:val="0"/>
              <w:kinsoku/>
              <w:wordWrap/>
              <w:overflowPunct/>
              <w:topLinePunct w:val="0"/>
              <w:autoSpaceDE/>
              <w:autoSpaceDN/>
              <w:bidi w:val="0"/>
              <w:adjustRightInd/>
              <w:spacing w:before="0" w:after="0" w:line="240" w:lineRule="auto"/>
              <w:textAlignment w:val="auto"/>
              <w:rPr>
                <w:rFonts w:ascii="Times New Roman" w:hAnsi="Times New Roman" w:cs="Times New Roman"/>
                <w:b w:val="0"/>
                <w:i w:val="0"/>
                <w:sz w:val="22"/>
                <w:szCs w:val="22"/>
              </w:rPr>
            </w:pPr>
            <w:r>
              <w:rPr>
                <w:rFonts w:ascii="Times New Roman" w:hAnsi="Times New Roman" w:cs="Times New Roman"/>
                <w:b w:val="0"/>
                <w:i w:val="0"/>
                <w:sz w:val="22"/>
                <w:szCs w:val="22"/>
              </w:rPr>
              <w:t>3</w:t>
            </w:r>
          </w:p>
        </w:tc>
        <w:tc>
          <w:tcPr>
            <w:tcW w:w="632" w:type="dxa"/>
            <w:tcBorders>
              <w:top w:val="nil"/>
              <w:left w:val="single" w:color="000000" w:sz="4" w:space="0"/>
              <w:bottom w:val="nil"/>
              <w:right w:val="single" w:color="000000" w:sz="4" w:space="0"/>
            </w:tcBorders>
            <w:vAlign w:val="center"/>
          </w:tcPr>
          <w:p w14:paraId="1DA3E863">
            <w:pPr>
              <w:keepNext w:val="0"/>
              <w:keepLines w:val="0"/>
              <w:pageBreakBefore w:val="0"/>
              <w:kinsoku/>
              <w:wordWrap/>
              <w:overflowPunct/>
              <w:topLinePunct w:val="0"/>
              <w:autoSpaceDE/>
              <w:autoSpaceDN/>
              <w:bidi w:val="0"/>
              <w:adjustRightInd/>
              <w:spacing w:after="0" w:line="240" w:lineRule="auto"/>
              <w:jc w:val="center"/>
              <w:textAlignment w:val="auto"/>
              <w:rPr>
                <w:rFonts w:hint="default" w:ascii="Times New Roman" w:hAnsi="Times New Roman"/>
                <w:sz w:val="22"/>
                <w:szCs w:val="22"/>
                <w:lang w:val="pt-BR"/>
              </w:rPr>
            </w:pPr>
            <w:r>
              <w:rPr>
                <w:rFonts w:hint="default" w:ascii="Times New Roman" w:hAnsi="Times New Roman" w:cs="Times New Roman"/>
                <w:sz w:val="22"/>
                <w:szCs w:val="22"/>
                <w:lang w:val="pt-BR"/>
              </w:rPr>
              <w:t>300</w:t>
            </w:r>
          </w:p>
        </w:tc>
        <w:tc>
          <w:tcPr>
            <w:tcW w:w="660" w:type="dxa"/>
            <w:tcBorders>
              <w:top w:val="nil"/>
              <w:left w:val="single" w:color="000000" w:sz="4" w:space="0"/>
              <w:bottom w:val="nil"/>
              <w:right w:val="single" w:color="000000" w:sz="4" w:space="0"/>
            </w:tcBorders>
            <w:vAlign w:val="center"/>
          </w:tcPr>
          <w:p w14:paraId="1ED7A776">
            <w:pPr>
              <w:keepNext w:val="0"/>
              <w:keepLines w:val="0"/>
              <w:pageBreakBefore w:val="0"/>
              <w:kinsoku/>
              <w:wordWrap/>
              <w:overflowPunct/>
              <w:topLinePunct w:val="0"/>
              <w:autoSpaceDE/>
              <w:autoSpaceDN/>
              <w:bidi w:val="0"/>
              <w:adjustRightInd/>
              <w:spacing w:after="0" w:line="240" w:lineRule="auto"/>
              <w:jc w:val="center"/>
              <w:textAlignment w:val="auto"/>
              <w:rPr>
                <w:rFonts w:hint="default" w:ascii="Times New Roman" w:hAnsi="Times New Roman"/>
                <w:sz w:val="22"/>
                <w:szCs w:val="22"/>
                <w:lang w:val="pt-BR"/>
              </w:rPr>
            </w:pPr>
            <w:r>
              <w:rPr>
                <w:rFonts w:hint="default" w:ascii="Times New Roman" w:hAnsi="Times New Roman" w:cs="Times New Roman"/>
                <w:sz w:val="22"/>
                <w:szCs w:val="22"/>
                <w:lang w:val="pt-BR"/>
              </w:rPr>
              <w:t>PC</w:t>
            </w:r>
          </w:p>
        </w:tc>
        <w:tc>
          <w:tcPr>
            <w:tcW w:w="4875" w:type="dxa"/>
            <w:tcBorders>
              <w:top w:val="nil"/>
              <w:left w:val="single" w:color="000000" w:sz="4" w:space="0"/>
              <w:bottom w:val="nil"/>
              <w:right w:val="single" w:color="000000" w:sz="4" w:space="0"/>
            </w:tcBorders>
            <w:shd w:val="clear" w:color="auto" w:fill="auto"/>
            <w:vAlign w:val="top"/>
          </w:tcPr>
          <w:p w14:paraId="3C07D38D">
            <w:pPr>
              <w:keepNext w:val="0"/>
              <w:keepLines w:val="0"/>
              <w:pageBreakBefore w:val="0"/>
              <w:kinsoku/>
              <w:wordWrap/>
              <w:overflowPunct/>
              <w:topLinePunct w:val="0"/>
              <w:autoSpaceDE/>
              <w:autoSpaceDN/>
              <w:bidi w:val="0"/>
              <w:adjustRightInd/>
              <w:spacing w:before="0" w:after="0" w:line="24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cs="Times New Roman"/>
                <w:sz w:val="22"/>
                <w:szCs w:val="22"/>
              </w:rPr>
              <w:t>FRALDA DESCARTÁVEL GERIÁTRICA TAMANHO P Fralda descartável geriátrica, confeccionada em material impermeável virgem, com barreiras laterais que contenham o vazamento, com manta de absorção e boa quantidade interna de gel, pos</w:t>
            </w:r>
            <w:bookmarkStart w:id="6" w:name="_GoBack"/>
            <w:bookmarkEnd w:id="6"/>
            <w:r>
              <w:rPr>
                <w:rFonts w:hint="default" w:ascii="Times New Roman" w:hAnsi="Times New Roman" w:cs="Times New Roman"/>
                <w:sz w:val="22"/>
                <w:szCs w:val="22"/>
              </w:rPr>
              <w:t xml:space="preserve">sibilitando uma maior retenção de líquidos. Deverá apresentar elásticos laterais e fitas adesivas reposicionáveis, que permitem a abertura da fita sem comprometer a fralda. Proteção mínima 6 horas. Tamanho P, para pessoas com peso variando de 20 a 45 quilos e com cintura de 50 a 80 cm de circunferência. Pacote com 30 (trinta) unidades. Validade mínima de 1 ano a contar da data de entrega. </w:t>
            </w:r>
          </w:p>
        </w:tc>
        <w:tc>
          <w:tcPr>
            <w:tcW w:w="1020" w:type="dxa"/>
            <w:tcBorders>
              <w:top w:val="nil"/>
              <w:left w:val="single" w:color="000000" w:sz="4" w:space="0"/>
              <w:bottom w:val="nil"/>
              <w:right w:val="single" w:color="000000" w:sz="4" w:space="0"/>
            </w:tcBorders>
            <w:vAlign w:val="center"/>
          </w:tcPr>
          <w:p w14:paraId="3BE43841">
            <w:pPr>
              <w:pStyle w:val="29"/>
              <w:keepNext w:val="0"/>
              <w:keepLines w:val="0"/>
              <w:pageBreakBefore w:val="0"/>
              <w:kinsoku/>
              <w:wordWrap/>
              <w:overflowPunct/>
              <w:topLinePunct w:val="0"/>
              <w:autoSpaceDE/>
              <w:autoSpaceDN/>
              <w:bidi w:val="0"/>
              <w:adjustRightInd/>
              <w:snapToGrid w:val="0"/>
              <w:spacing w:before="0" w:after="0" w:line="240" w:lineRule="auto"/>
              <w:textAlignment w:val="auto"/>
              <w:rPr>
                <w:rFonts w:ascii="Times New Roman" w:hAnsi="Times New Roman" w:cs="Times New Roman"/>
                <w:b w:val="0"/>
                <w:i w:val="0"/>
                <w:sz w:val="22"/>
                <w:szCs w:val="22"/>
              </w:rPr>
            </w:pPr>
            <w:r>
              <w:rPr>
                <w:rFonts w:ascii="Times New Roman" w:hAnsi="Times New Roman" w:cs="Times New Roman"/>
                <w:b w:val="0"/>
                <w:i w:val="0"/>
                <w:sz w:val="22"/>
                <w:szCs w:val="22"/>
              </w:rPr>
              <w:t>***</w:t>
            </w:r>
          </w:p>
        </w:tc>
        <w:tc>
          <w:tcPr>
            <w:tcW w:w="1140" w:type="dxa"/>
            <w:tcBorders>
              <w:top w:val="nil"/>
              <w:left w:val="single" w:color="000000" w:sz="4" w:space="0"/>
              <w:bottom w:val="nil"/>
              <w:right w:val="single" w:color="auto" w:sz="4" w:space="0"/>
            </w:tcBorders>
            <w:vAlign w:val="center"/>
          </w:tcPr>
          <w:p w14:paraId="63C26A07">
            <w:pPr>
              <w:pStyle w:val="29"/>
              <w:keepNext w:val="0"/>
              <w:keepLines w:val="0"/>
              <w:pageBreakBefore w:val="0"/>
              <w:kinsoku/>
              <w:wordWrap/>
              <w:overflowPunct/>
              <w:topLinePunct w:val="0"/>
              <w:autoSpaceDE/>
              <w:autoSpaceDN/>
              <w:bidi w:val="0"/>
              <w:adjustRightInd/>
              <w:snapToGrid w:val="0"/>
              <w:spacing w:before="0" w:after="0" w:line="240" w:lineRule="auto"/>
              <w:textAlignment w:val="auto"/>
              <w:rPr>
                <w:rFonts w:ascii="Times New Roman" w:hAnsi="Times New Roman" w:cs="Times New Roman"/>
                <w:b w:val="0"/>
                <w:i w:val="0"/>
                <w:sz w:val="22"/>
                <w:szCs w:val="22"/>
              </w:rPr>
            </w:pPr>
            <w:r>
              <w:rPr>
                <w:rFonts w:ascii="Times New Roman" w:hAnsi="Times New Roman" w:cs="Times New Roman"/>
                <w:b w:val="0"/>
                <w:i w:val="0"/>
                <w:sz w:val="22"/>
                <w:szCs w:val="22"/>
              </w:rPr>
              <w:t>***</w:t>
            </w:r>
          </w:p>
        </w:tc>
      </w:tr>
      <w:tr w14:paraId="74CFC28A">
        <w:tblPrEx>
          <w:tblCellMar>
            <w:top w:w="55" w:type="dxa"/>
            <w:left w:w="55" w:type="dxa"/>
            <w:bottom w:w="55" w:type="dxa"/>
            <w:right w:w="55" w:type="dxa"/>
          </w:tblCellMar>
        </w:tblPrEx>
        <w:tc>
          <w:tcPr>
            <w:tcW w:w="643" w:type="dxa"/>
            <w:tcBorders>
              <w:top w:val="nil"/>
              <w:left w:val="single" w:color="auto" w:sz="4" w:space="0"/>
              <w:bottom w:val="single" w:color="auto" w:sz="4" w:space="0"/>
              <w:right w:val="single" w:color="000000" w:sz="4" w:space="0"/>
            </w:tcBorders>
            <w:vAlign w:val="center"/>
          </w:tcPr>
          <w:p w14:paraId="4CB197DD">
            <w:pPr>
              <w:pStyle w:val="29"/>
              <w:spacing w:before="0" w:after="0" w:line="240" w:lineRule="auto"/>
              <w:jc w:val="center"/>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c>
          <w:tcPr>
            <w:tcW w:w="632" w:type="dxa"/>
            <w:tcBorders>
              <w:top w:val="nil"/>
              <w:left w:val="single" w:color="000000" w:sz="4" w:space="0"/>
              <w:bottom w:val="single" w:color="auto" w:sz="4" w:space="0"/>
              <w:right w:val="single" w:color="000000" w:sz="4" w:space="0"/>
            </w:tcBorders>
            <w:vAlign w:val="center"/>
          </w:tcPr>
          <w:p w14:paraId="0E37595E">
            <w:pPr>
              <w:pStyle w:val="29"/>
              <w:spacing w:before="0" w:after="0" w:line="240" w:lineRule="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c>
          <w:tcPr>
            <w:tcW w:w="660" w:type="dxa"/>
            <w:tcBorders>
              <w:top w:val="nil"/>
              <w:left w:val="single" w:color="000000" w:sz="4" w:space="0"/>
              <w:bottom w:val="single" w:color="auto" w:sz="4" w:space="0"/>
              <w:right w:val="single" w:color="000000" w:sz="4" w:space="0"/>
            </w:tcBorders>
            <w:vAlign w:val="center"/>
          </w:tcPr>
          <w:p w14:paraId="2DA0F319">
            <w:pPr>
              <w:pStyle w:val="29"/>
              <w:spacing w:before="0" w:after="0" w:line="240" w:lineRule="auto"/>
              <w:rPr>
                <w:rFonts w:hint="default" w:ascii="Times New Roman" w:hAnsi="Times New Roman" w:cs="Times New Roman"/>
                <w:b w:val="0"/>
                <w:bCs/>
                <w:i w:val="0"/>
                <w:iCs/>
                <w:sz w:val="22"/>
                <w:szCs w:val="22"/>
                <w:lang w:val="pt-BR"/>
              </w:rPr>
            </w:pPr>
            <w:r>
              <w:rPr>
                <w:rFonts w:hint="default" w:ascii="Times New Roman" w:hAnsi="Times New Roman" w:cs="Times New Roman"/>
                <w:b w:val="0"/>
                <w:bCs/>
                <w:i w:val="0"/>
                <w:iCs/>
                <w:sz w:val="22"/>
                <w:szCs w:val="22"/>
                <w:lang w:val="pt-BR"/>
              </w:rPr>
              <w:t>..</w:t>
            </w:r>
          </w:p>
        </w:tc>
        <w:tc>
          <w:tcPr>
            <w:tcW w:w="4875" w:type="dxa"/>
            <w:tcBorders>
              <w:top w:val="nil"/>
              <w:left w:val="single" w:color="000000" w:sz="4" w:space="0"/>
              <w:bottom w:val="single" w:color="auto" w:sz="4" w:space="0"/>
              <w:right w:val="single" w:color="000000" w:sz="4" w:space="0"/>
            </w:tcBorders>
            <w:shd w:val="clear" w:color="auto" w:fill="auto"/>
            <w:vAlign w:val="center"/>
          </w:tcPr>
          <w:p w14:paraId="08A6BDE2">
            <w:pPr>
              <w:spacing w:after="0" w:line="240" w:lineRule="auto"/>
              <w:rPr>
                <w:rFonts w:hint="default" w:ascii="Times New Roman" w:hAnsi="Times New Roman"/>
                <w:sz w:val="22"/>
                <w:szCs w:val="22"/>
                <w:lang w:val="pt-BR"/>
              </w:rPr>
            </w:pPr>
            <w:r>
              <w:rPr>
                <w:rFonts w:hint="default" w:ascii="Times New Roman" w:hAnsi="Times New Roman"/>
                <w:sz w:val="22"/>
                <w:szCs w:val="22"/>
                <w:lang w:val="pt-BR"/>
              </w:rPr>
              <w:t>...</w:t>
            </w:r>
          </w:p>
        </w:tc>
        <w:tc>
          <w:tcPr>
            <w:tcW w:w="1020" w:type="dxa"/>
            <w:tcBorders>
              <w:top w:val="nil"/>
              <w:left w:val="single" w:color="000000" w:sz="4" w:space="0"/>
              <w:bottom w:val="single" w:color="auto" w:sz="4" w:space="0"/>
              <w:right w:val="single" w:color="000000" w:sz="4" w:space="0"/>
            </w:tcBorders>
            <w:vAlign w:val="center"/>
          </w:tcPr>
          <w:p w14:paraId="5EBC7742">
            <w:pPr>
              <w:pStyle w:val="29"/>
              <w:snapToGrid w:val="0"/>
              <w:spacing w:before="0" w:after="0" w:line="240" w:lineRule="auto"/>
              <w:rPr>
                <w:rFonts w:ascii="Times New Roman" w:hAnsi="Times New Roman" w:cs="Times New Roman"/>
                <w:b w:val="0"/>
                <w:i w:val="0"/>
                <w:sz w:val="22"/>
                <w:szCs w:val="22"/>
              </w:rPr>
            </w:pPr>
          </w:p>
        </w:tc>
        <w:tc>
          <w:tcPr>
            <w:tcW w:w="1140" w:type="dxa"/>
            <w:tcBorders>
              <w:top w:val="nil"/>
              <w:left w:val="single" w:color="000000" w:sz="4" w:space="0"/>
              <w:bottom w:val="single" w:color="auto" w:sz="4" w:space="0"/>
              <w:right w:val="single" w:color="auto" w:sz="4" w:space="0"/>
            </w:tcBorders>
            <w:vAlign w:val="center"/>
          </w:tcPr>
          <w:p w14:paraId="44BE88B1">
            <w:pPr>
              <w:pStyle w:val="29"/>
              <w:snapToGrid w:val="0"/>
              <w:spacing w:before="0" w:after="0" w:line="240" w:lineRule="auto"/>
              <w:rPr>
                <w:rFonts w:ascii="Times New Roman" w:hAnsi="Times New Roman" w:cs="Times New Roman"/>
                <w:b w:val="0"/>
                <w:i w:val="0"/>
                <w:sz w:val="22"/>
                <w:szCs w:val="22"/>
              </w:rPr>
            </w:pPr>
          </w:p>
        </w:tc>
      </w:tr>
    </w:tbl>
    <w:p w14:paraId="0D5767E5">
      <w:pPr>
        <w:suppressAutoHyphens/>
        <w:spacing w:after="0" w:line="240" w:lineRule="auto"/>
        <w:ind w:right="398" w:rightChars="181"/>
        <w:rPr>
          <w:rFonts w:ascii="Times New Roman" w:hAnsi="Times New Roman"/>
        </w:rPr>
      </w:pPr>
    </w:p>
    <w:p w14:paraId="34810C91">
      <w:pPr>
        <w:tabs>
          <w:tab w:val="left" w:pos="2835"/>
        </w:tabs>
        <w:autoSpaceDE w:val="0"/>
        <w:spacing w:after="0" w:line="240" w:lineRule="auto"/>
        <w:jc w:val="both"/>
        <w:rPr>
          <w:rFonts w:ascii="Times New Roman" w:hAnsi="Times New Roman"/>
        </w:rPr>
      </w:pPr>
      <w:r>
        <w:rPr>
          <w:rFonts w:ascii="Times New Roman" w:hAnsi="Times New Roman" w:cs="Times New Roman"/>
        </w:rPr>
        <w:t>§ 1º A entrega dos materiais/produtos é de responsabilidade da Detentora da Ata, devendo ser entregues ao Poder Público de forma adequada. As despesas extras com encargos, fretes ou demais gastos incidentes já deverão estar inclusas nos preços dos produtos.</w:t>
      </w:r>
    </w:p>
    <w:p w14:paraId="469F6A4A">
      <w:pPr>
        <w:pStyle w:val="12"/>
        <w:spacing w:before="0" w:after="0" w:line="240" w:lineRule="auto"/>
        <w:rPr>
          <w:rFonts w:ascii="Times New Roman" w:hAnsi="Times New Roman"/>
        </w:rPr>
      </w:pPr>
      <w:r>
        <w:rPr>
          <w:rFonts w:ascii="Times New Roman" w:hAnsi="Times New Roman"/>
        </w:rPr>
        <w:t>§ 2º Os materiais devem, preferencialmente, serem acondicionados em embalagem individual adequada, com o menor volume possível, que utilize materiais duráveis e recicláveis, de forma a garantir a máxima proteção durante transporte e armazenamento.</w:t>
      </w:r>
    </w:p>
    <w:p w14:paraId="0A44EBF6">
      <w:pPr>
        <w:pStyle w:val="22"/>
        <w:keepNext w:val="0"/>
        <w:keepLines w:val="0"/>
        <w:pageBreakBefore w:val="0"/>
        <w:widowControl/>
        <w:kinsoku/>
        <w:wordWrap/>
        <w:overflowPunct/>
        <w:topLinePunct w:val="0"/>
        <w:autoSpaceDE/>
        <w:autoSpaceDN/>
        <w:bidi w:val="0"/>
        <w:adjustRightInd/>
        <w:snapToGrid/>
        <w:spacing w:after="0" w:line="240" w:lineRule="auto"/>
        <w:ind w:left="0" w:leftChars="0" w:right="6" w:firstLine="0" w:firstLineChars="0"/>
        <w:jc w:val="both"/>
        <w:textAlignment w:val="auto"/>
        <w:rPr>
          <w:rFonts w:hint="default" w:ascii="Times New Roman" w:hAnsi="Times New Roman" w:cs="Times New Roman"/>
          <w:sz w:val="22"/>
          <w:szCs w:val="22"/>
          <w:lang w:val="pt-BR"/>
        </w:rPr>
      </w:pPr>
      <w:r>
        <w:rPr>
          <w:rFonts w:hint="default" w:ascii="Times New Roman" w:hAnsi="Times New Roman" w:cs="Times New Roman"/>
          <w:b w:val="0"/>
          <w:bCs w:val="0"/>
          <w:sz w:val="22"/>
          <w:szCs w:val="22"/>
          <w:lang w:val="pt-BR"/>
        </w:rPr>
        <w:t xml:space="preserve">§ 3º </w:t>
      </w:r>
      <w:r>
        <w:rPr>
          <w:rFonts w:hint="default" w:ascii="Times New Roman" w:hAnsi="Times New Roman" w:cs="Times New Roman"/>
          <w:sz w:val="22"/>
          <w:szCs w:val="22"/>
          <w:lang w:val="pt-BR"/>
        </w:rPr>
        <w:t>Os produtos e materiais ofertados deverão estar em conformidade com os regulamentos técnicos pertinentes em vigor expedidos pela ANVISA, de forma a assegurar aspectos relativos à saúde, à segurança, ao meio ambiente ou à proteção do consumidor.</w:t>
      </w:r>
    </w:p>
    <w:p w14:paraId="546C2D7C">
      <w:pPr>
        <w:spacing w:after="0" w:line="240" w:lineRule="auto"/>
        <w:jc w:val="both"/>
        <w:rPr>
          <w:rFonts w:ascii="Times New Roman" w:hAnsi="Times New Roman"/>
        </w:rPr>
      </w:pPr>
      <w:r>
        <w:rPr>
          <w:rFonts w:ascii="Times New Roman" w:hAnsi="Times New Roman" w:cs="Times New Roman"/>
        </w:rPr>
        <w:t xml:space="preserve">§ </w:t>
      </w:r>
      <w:r>
        <w:rPr>
          <w:rFonts w:hint="default" w:ascii="Times New Roman" w:hAnsi="Times New Roman" w:cs="Times New Roman"/>
          <w:lang w:val="pt-BR"/>
        </w:rPr>
        <w:t>4</w:t>
      </w:r>
      <w:r>
        <w:rPr>
          <w:rFonts w:ascii="Times New Roman" w:hAnsi="Times New Roman" w:cs="Times New Roman"/>
        </w:rPr>
        <w:t>º As quantidades são máximas, podendo, no entanto a Administração não fazer uso da totalidade.</w:t>
      </w:r>
    </w:p>
    <w:p w14:paraId="599FC2C4">
      <w:pPr>
        <w:spacing w:after="0" w:line="240" w:lineRule="auto"/>
        <w:jc w:val="both"/>
        <w:rPr>
          <w:rFonts w:ascii="Times New Roman" w:hAnsi="Times New Roman"/>
        </w:rPr>
      </w:pPr>
      <w:r>
        <w:rPr>
          <w:rFonts w:ascii="Times New Roman" w:hAnsi="Times New Roman" w:cs="Times New Roman"/>
        </w:rPr>
        <w:t xml:space="preserve">§ </w:t>
      </w:r>
      <w:r>
        <w:rPr>
          <w:rFonts w:hint="default" w:ascii="Times New Roman" w:hAnsi="Times New Roman" w:cs="Times New Roman"/>
          <w:lang w:val="pt-BR"/>
        </w:rPr>
        <w:t>5</w:t>
      </w:r>
      <w:r>
        <w:rPr>
          <w:rFonts w:ascii="Times New Roman" w:hAnsi="Times New Roman" w:cs="Times New Roman"/>
        </w:rPr>
        <w:t xml:space="preserve">º A Detentora da Ata ficará responsável pela substituição de toda e qualquer mercadoria que estiver fora dos padrões solicitados ou que seja considerada imprópria para o uso, no prazo máximo de </w:t>
      </w:r>
      <w:r>
        <w:rPr>
          <w:rFonts w:hint="default" w:ascii="Times New Roman" w:hAnsi="Times New Roman" w:cs="Times New Roman"/>
          <w:lang w:val="pt-BR"/>
        </w:rPr>
        <w:t xml:space="preserve">72 </w:t>
      </w:r>
      <w:r>
        <w:rPr>
          <w:rFonts w:ascii="Times New Roman" w:hAnsi="Times New Roman" w:cs="Times New Roman"/>
        </w:rPr>
        <w:t>(</w:t>
      </w:r>
      <w:r>
        <w:rPr>
          <w:rFonts w:hint="default" w:ascii="Times New Roman" w:hAnsi="Times New Roman" w:cs="Times New Roman"/>
          <w:lang w:val="pt-BR"/>
        </w:rPr>
        <w:t>setenta e duas</w:t>
      </w:r>
      <w:r>
        <w:rPr>
          <w:rFonts w:ascii="Times New Roman" w:hAnsi="Times New Roman" w:cs="Times New Roman"/>
        </w:rPr>
        <w:t xml:space="preserve">) </w:t>
      </w:r>
      <w:r>
        <w:rPr>
          <w:rFonts w:hint="default" w:ascii="Times New Roman" w:hAnsi="Times New Roman" w:cs="Times New Roman"/>
          <w:lang w:val="pt-BR"/>
        </w:rPr>
        <w:t>horas</w:t>
      </w:r>
      <w:r>
        <w:rPr>
          <w:rFonts w:ascii="Times New Roman" w:hAnsi="Times New Roman" w:cs="Times New Roman"/>
        </w:rPr>
        <w:t>, ficando ainda sujeita as demais penalidades legais.</w:t>
      </w:r>
    </w:p>
    <w:p w14:paraId="47692649">
      <w:pPr>
        <w:pStyle w:val="15"/>
        <w:tabs>
          <w:tab w:val="left" w:pos="720"/>
          <w:tab w:val="clear" w:pos="2268"/>
        </w:tabs>
        <w:spacing w:line="240" w:lineRule="auto"/>
        <w:ind w:firstLine="0"/>
        <w:rPr>
          <w:rFonts w:ascii="Times New Roman" w:hAnsi="Times New Roman"/>
          <w:color w:val="auto"/>
          <w:sz w:val="22"/>
          <w:szCs w:val="22"/>
        </w:rPr>
      </w:pPr>
      <w:r>
        <w:rPr>
          <w:rFonts w:ascii="Times New Roman" w:hAnsi="Times New Roman"/>
          <w:b/>
          <w:bCs/>
          <w:sz w:val="22"/>
          <w:szCs w:val="22"/>
        </w:rPr>
        <w:t>CLÁUSULA SEGUNDA</w:t>
      </w:r>
      <w:r>
        <w:rPr>
          <w:rFonts w:ascii="Times New Roman" w:hAnsi="Times New Roman"/>
          <w:sz w:val="22"/>
          <w:szCs w:val="22"/>
        </w:rPr>
        <w:t xml:space="preserve"> – O acompanhamento e fiscalização desta Ata de Registro de Preços ficará a cargo da servi</w:t>
      </w:r>
      <w:r>
        <w:rPr>
          <w:rFonts w:ascii="Times New Roman" w:hAnsi="Times New Roman"/>
          <w:color w:val="auto"/>
          <w:sz w:val="22"/>
          <w:szCs w:val="22"/>
        </w:rPr>
        <w:t>dora</w:t>
      </w:r>
      <w:r>
        <w:rPr>
          <w:rFonts w:hint="default" w:ascii="Times New Roman" w:hAnsi="Times New Roman"/>
          <w:color w:val="auto"/>
          <w:sz w:val="22"/>
          <w:szCs w:val="22"/>
          <w:lang w:val="pt-BR"/>
        </w:rPr>
        <w:t xml:space="preserve"> </w:t>
      </w:r>
      <w:r>
        <w:rPr>
          <w:rFonts w:hint="default" w:ascii="Times New Roman" w:hAnsi="Times New Roman"/>
          <w:b/>
          <w:bCs/>
          <w:color w:val="auto"/>
          <w:sz w:val="22"/>
          <w:szCs w:val="22"/>
          <w:lang w:val="pt-BR"/>
        </w:rPr>
        <w:t>Caroline Grohe Schimer Brandão</w:t>
      </w:r>
      <w:r>
        <w:rPr>
          <w:rFonts w:ascii="Times New Roman" w:hAnsi="Times New Roman"/>
          <w:color w:val="auto"/>
          <w:sz w:val="22"/>
          <w:szCs w:val="22"/>
        </w:rPr>
        <w:t>, a</w:t>
      </w:r>
      <w:r>
        <w:rPr>
          <w:rFonts w:hint="default" w:ascii="Times New Roman" w:hAnsi="Times New Roman"/>
          <w:color w:val="auto"/>
          <w:sz w:val="22"/>
          <w:szCs w:val="22"/>
          <w:lang w:val="pt-BR"/>
        </w:rPr>
        <w:t xml:space="preserve"> </w:t>
      </w:r>
      <w:r>
        <w:rPr>
          <w:rFonts w:ascii="Times New Roman" w:hAnsi="Times New Roman"/>
          <w:color w:val="auto"/>
          <w:sz w:val="22"/>
          <w:szCs w:val="22"/>
        </w:rPr>
        <w:t>qua</w:t>
      </w:r>
      <w:r>
        <w:rPr>
          <w:rFonts w:hint="default" w:ascii="Times New Roman" w:hAnsi="Times New Roman"/>
          <w:color w:val="auto"/>
          <w:sz w:val="22"/>
          <w:szCs w:val="22"/>
          <w:lang w:val="pt-BR"/>
        </w:rPr>
        <w:t>l</w:t>
      </w:r>
      <w:r>
        <w:rPr>
          <w:rFonts w:ascii="Times New Roman" w:hAnsi="Times New Roman"/>
          <w:color w:val="auto"/>
          <w:sz w:val="22"/>
          <w:szCs w:val="22"/>
        </w:rPr>
        <w:t xml:space="preserve"> poder</w:t>
      </w:r>
      <w:r>
        <w:rPr>
          <w:rFonts w:hint="default" w:ascii="Times New Roman" w:hAnsi="Times New Roman"/>
          <w:color w:val="auto"/>
          <w:sz w:val="22"/>
          <w:szCs w:val="22"/>
          <w:lang w:val="pt-BR"/>
        </w:rPr>
        <w:t>á</w:t>
      </w:r>
      <w:r>
        <w:rPr>
          <w:rFonts w:ascii="Times New Roman" w:hAnsi="Times New Roman"/>
          <w:color w:val="auto"/>
          <w:sz w:val="22"/>
          <w:szCs w:val="22"/>
        </w:rPr>
        <w:t xml:space="preserve"> ser contatada pelo telefone 3762-7700, ramal </w:t>
      </w:r>
      <w:r>
        <w:rPr>
          <w:rFonts w:hint="default" w:ascii="Times New Roman" w:hAnsi="Times New Roman"/>
          <w:color w:val="auto"/>
          <w:sz w:val="22"/>
          <w:szCs w:val="22"/>
          <w:lang w:val="pt-BR"/>
        </w:rPr>
        <w:t>6</w:t>
      </w:r>
      <w:r>
        <w:rPr>
          <w:rFonts w:ascii="Times New Roman" w:hAnsi="Times New Roman"/>
          <w:color w:val="auto"/>
          <w:sz w:val="22"/>
          <w:szCs w:val="22"/>
        </w:rPr>
        <w:t>163 e ainda pelo(a) Secretário(a) Municipal de Saúde, que atuará como gestor(a). Estes anotarão em livro próprio todas as ocorrências relacionadas com a sua execução, determinando o que for necess</w:t>
      </w:r>
      <w:r>
        <w:rPr>
          <w:rFonts w:ascii="Times New Roman" w:hAnsi="Times New Roman"/>
          <w:sz w:val="22"/>
          <w:szCs w:val="22"/>
        </w:rPr>
        <w:t>ário à regularização das faltas ou defeitos observados, tendo amplos poderes para recusar e/ou sustar os serviços que não tenham sido executados de acordo com as normas pertinentes, sendo que:</w:t>
      </w:r>
    </w:p>
    <w:p w14:paraId="4C6C2E8F">
      <w:pPr>
        <w:pStyle w:val="15"/>
        <w:numPr>
          <w:ilvl w:val="0"/>
          <w:numId w:val="1"/>
        </w:numPr>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as decisões e providências que ultrapassem a sua competência serão solicitadas a seus superiores, em tempo hábil para adoção das medidas convenientes.</w:t>
      </w:r>
    </w:p>
    <w:p w14:paraId="2ADDCDE4">
      <w:pPr>
        <w:pStyle w:val="15"/>
        <w:keepNext w:val="0"/>
        <w:keepLines w:val="0"/>
        <w:pageBreakBefore w:val="0"/>
        <w:widowControl w:val="0"/>
        <w:numPr>
          <w:ilvl w:val="0"/>
          <w:numId w:val="1"/>
        </w:numPr>
        <w:tabs>
          <w:tab w:val="left" w:pos="720"/>
        </w:tabs>
        <w:kinsoku/>
        <w:wordWrap/>
        <w:overflowPunct/>
        <w:topLinePunct w:val="0"/>
        <w:autoSpaceDE w:val="0"/>
        <w:autoSpaceDN w:val="0"/>
        <w:bidi w:val="0"/>
        <w:adjustRightInd/>
        <w:snapToGrid/>
        <w:spacing w:before="0" w:after="0" w:afterLines="50" w:line="240" w:lineRule="auto"/>
        <w:ind w:firstLine="0"/>
        <w:textAlignment w:val="auto"/>
        <w:rPr>
          <w:rFonts w:ascii="Times New Roman" w:hAnsi="Times New Roman"/>
          <w:sz w:val="22"/>
          <w:szCs w:val="22"/>
        </w:rPr>
      </w:pPr>
      <w:r>
        <w:rPr>
          <w:rFonts w:ascii="Times New Roman" w:hAnsi="Times New Roman"/>
          <w:sz w:val="22"/>
          <w:szCs w:val="22"/>
        </w:rPr>
        <w:t>a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14:paraId="56E9A87D">
      <w:pPr>
        <w:tabs>
          <w:tab w:val="left" w:pos="9460"/>
        </w:tabs>
        <w:spacing w:after="0" w:line="240" w:lineRule="auto"/>
        <w:jc w:val="both"/>
        <w:rPr>
          <w:rFonts w:ascii="Times New Roman" w:hAnsi="Times New Roman"/>
        </w:rPr>
      </w:pPr>
      <w:r>
        <w:rPr>
          <w:rFonts w:ascii="Times New Roman" w:hAnsi="Times New Roman" w:cs="Times New Roman"/>
          <w:sz w:val="22"/>
          <w:szCs w:val="22"/>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w:t>
      </w:r>
      <w:r>
        <w:rPr>
          <w:rFonts w:ascii="Times New Roman" w:hAnsi="Times New Roman" w:cs="Times New Roman"/>
        </w:rPr>
        <w:t>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4317348D">
      <w:pPr>
        <w:tabs>
          <w:tab w:val="left" w:pos="9460"/>
        </w:tabs>
        <w:spacing w:after="0" w:line="240" w:lineRule="auto"/>
        <w:jc w:val="both"/>
        <w:rPr>
          <w:rFonts w:ascii="Times New Roman" w:hAnsi="Times New Roman"/>
        </w:rPr>
      </w:pPr>
      <w:r>
        <w:rPr>
          <w:rFonts w:ascii="Times New Roman" w:hAnsi="Times New Roman" w:cs="Times New Roman"/>
        </w:rPr>
        <w:t>§ 2° O conjunto de atividades de gestão e fiscalização, são exercidas de acordo com as seguintes disposições:</w:t>
      </w:r>
    </w:p>
    <w:p w14:paraId="01E3E9E7">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1CECECB7">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14:paraId="5B222423">
      <w:pPr>
        <w:tabs>
          <w:tab w:val="left" w:pos="9460"/>
        </w:tabs>
        <w:spacing w:after="0" w:line="240" w:lineRule="auto"/>
        <w:jc w:val="both"/>
        <w:rPr>
          <w:rFonts w:ascii="Times New Roman" w:hAnsi="Times New Roman"/>
        </w:rPr>
      </w:pPr>
      <w:r>
        <w:rPr>
          <w:rFonts w:ascii="Times New Roman" w:hAnsi="Times New Roman" w:cs="Times New Roman"/>
        </w:rPr>
        <w:t>§ 3° É direito da Fiscalização rejeitar quaisquer serviços quando entender que a sua execução está fora dos padrões técnicos e de qualidade definidos nesta Ata de Registro de Preços, no Edital de Pregão Eletrônico n° 0</w:t>
      </w:r>
      <w:r>
        <w:rPr>
          <w:rFonts w:hint="default" w:ascii="Times New Roman" w:hAnsi="Times New Roman" w:cs="Times New Roman"/>
          <w:lang w:val="pt-BR"/>
        </w:rPr>
        <w:t>02/2026</w:t>
      </w:r>
      <w:r>
        <w:rPr>
          <w:rFonts w:ascii="Times New Roman" w:hAnsi="Times New Roman" w:cs="Times New Roman"/>
        </w:rPr>
        <w:t>, no Termo de Referência e/ou na proposta da DETENTORA, devendo esta reparar, corrigir ou substituir os serviços e peças rejeitados pela fiscalização.</w:t>
      </w:r>
    </w:p>
    <w:p w14:paraId="14956D98">
      <w:pPr>
        <w:tabs>
          <w:tab w:val="left" w:pos="9460"/>
        </w:tabs>
        <w:spacing w:after="0" w:line="240" w:lineRule="auto"/>
        <w:jc w:val="both"/>
        <w:rPr>
          <w:rFonts w:ascii="Times New Roman" w:hAnsi="Times New Roman"/>
        </w:rPr>
      </w:pPr>
      <w:r>
        <w:rPr>
          <w:rFonts w:ascii="Times New Roman" w:hAnsi="Times New Roman" w:cs="Times New Roman"/>
        </w:rPr>
        <w:t>§ 4° Quaisquer exigências da FISCALIZAÇÃO, inerente ao objeto deste instrumento, deverão ser prontamente atendidas pela DETENTORA, sem ônus para o MUNICÍPIO.</w:t>
      </w:r>
    </w:p>
    <w:p w14:paraId="62FAE0A6">
      <w:pPr>
        <w:tabs>
          <w:tab w:val="left" w:pos="9460"/>
        </w:tabs>
        <w:spacing w:after="0" w:line="240" w:lineRule="auto"/>
        <w:jc w:val="both"/>
        <w:rPr>
          <w:rFonts w:ascii="Times New Roman" w:hAnsi="Times New Roman"/>
        </w:rPr>
      </w:pPr>
      <w:r>
        <w:rPr>
          <w:rFonts w:ascii="Times New Roman" w:hAnsi="Times New Roman" w:cs="Times New Roman"/>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14:paraId="1F2BA31D">
      <w:pPr>
        <w:tabs>
          <w:tab w:val="left" w:pos="9460"/>
        </w:tabs>
        <w:spacing w:after="0" w:line="240" w:lineRule="auto"/>
        <w:jc w:val="both"/>
        <w:rPr>
          <w:rFonts w:ascii="Times New Roman" w:hAnsi="Times New Roman"/>
        </w:rPr>
      </w:pPr>
      <w:r>
        <w:rPr>
          <w:rFonts w:ascii="Times New Roman" w:hAnsi="Times New Roman" w:cs="Times New Roman"/>
        </w:rPr>
        <w:t>§ 6° A DETENTORA será responsável pelos danos causados diretamente ao MUNICÍPIO ou a terceiros em razão da execução desta Ata de Registro de Preço, e a fiscalização ou o acompanhamento pelo MUNICÍPIO não excluirá nem reduzirá essa responsabilidade.</w:t>
      </w:r>
    </w:p>
    <w:p w14:paraId="30446277">
      <w:pPr>
        <w:pStyle w:val="10"/>
        <w:tabs>
          <w:tab w:val="left" w:pos="9460"/>
        </w:tabs>
        <w:spacing w:beforeLines="100" w:after="0" w:line="240" w:lineRule="auto"/>
        <w:rPr>
          <w:rFonts w:ascii="Times New Roman" w:hAnsi="Times New Roman" w:cs="Times New Roman"/>
        </w:rPr>
      </w:pPr>
      <w:r>
        <w:rPr>
          <w:rFonts w:ascii="Times New Roman" w:hAnsi="Times New Roman" w:cs="Times New Roman"/>
          <w:b/>
        </w:rPr>
        <w:t xml:space="preserve">CLÁUSULA TERCEIRA – </w:t>
      </w:r>
      <w:r>
        <w:rPr>
          <w:rFonts w:ascii="Times New Roman" w:hAnsi="Times New Roman" w:cs="Times New Roman"/>
        </w:rPr>
        <w:t xml:space="preserve">O prazo de vigência da Ata de Registro de Preços será de 12 (doze) meses, a contar de sua assinatura, prorrogável, na forma do art. 84, da Lei n° 14.133/2021, e artigo </w:t>
      </w:r>
      <w:r>
        <w:rPr>
          <w:rFonts w:ascii="Times New Roman" w:hAnsi="Times New Roman" w:cs="Times New Roman"/>
          <w:lang w:val="pt-BR"/>
        </w:rPr>
        <w:t>136</w:t>
      </w:r>
      <w:r>
        <w:rPr>
          <w:rFonts w:ascii="Times New Roman" w:hAnsi="Times New Roman" w:cs="Times New Roman"/>
        </w:rPr>
        <w:t>, do Decreto Municipal n° 3.2</w:t>
      </w:r>
      <w:r>
        <w:rPr>
          <w:rFonts w:ascii="Times New Roman" w:hAnsi="Times New Roman" w:cs="Times New Roman"/>
          <w:lang w:val="pt-BR"/>
        </w:rPr>
        <w:t>50</w:t>
      </w:r>
      <w:r>
        <w:rPr>
          <w:rFonts w:ascii="Times New Roman" w:hAnsi="Times New Roman" w:cs="Times New Roman"/>
        </w:rPr>
        <w:t>/2023, por igual período.</w:t>
      </w:r>
    </w:p>
    <w:p w14:paraId="0F764D5C">
      <w:pPr>
        <w:pStyle w:val="10"/>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1º Durante o prazo de validade desta Ata de Registro de Preços, o MUNICÍPIO não será obrigado a firmar as contratações que dela poderão advir, facultando-se a realização de</w:t>
      </w:r>
      <w:r>
        <w:rPr>
          <w:rFonts w:ascii="Times New Roman" w:hAnsi="Times New Roman" w:cs="Times New Roman"/>
          <w:spacing w:val="-3"/>
        </w:rPr>
        <w:t xml:space="preserve"> </w:t>
      </w:r>
      <w:r>
        <w:rPr>
          <w:rFonts w:ascii="Times New Roman" w:hAnsi="Times New Roman" w:cs="Times New Roman"/>
        </w:rPr>
        <w:t>licitação específica para a contratação pretendida, sendo assegurado ao beneficiário do registro preferência na execução, em igualdade de condições.</w:t>
      </w:r>
    </w:p>
    <w:p w14:paraId="23AD70BA">
      <w:pPr>
        <w:pStyle w:val="10"/>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2º A Administração não emitirá qualquer solicitação de aquisição sem a prévia existência do respectivo crédito orçamentário.</w:t>
      </w:r>
    </w:p>
    <w:p w14:paraId="1CD28E2E">
      <w:pPr>
        <w:pStyle w:val="10"/>
        <w:tabs>
          <w:tab w:val="left" w:pos="9460"/>
        </w:tabs>
        <w:spacing w:before="0" w:after="0" w:line="240" w:lineRule="auto"/>
        <w:rPr>
          <w:rFonts w:ascii="Times New Roman" w:hAnsi="Times New Roman" w:cs="Times New Roman"/>
        </w:rPr>
      </w:pPr>
    </w:p>
    <w:p w14:paraId="451A8DBD">
      <w:pPr>
        <w:pStyle w:val="10"/>
        <w:spacing w:before="0" w:after="0" w:line="240" w:lineRule="auto"/>
        <w:rPr>
          <w:rFonts w:ascii="Times New Roman" w:hAnsi="Times New Roman" w:cs="Times New Roman"/>
        </w:rPr>
      </w:pPr>
      <w:r>
        <w:rPr>
          <w:rFonts w:ascii="Times New Roman" w:hAnsi="Times New Roman" w:cs="Times New Roman"/>
          <w:b/>
        </w:rPr>
        <w:t xml:space="preserve">CLÁUSULA QUARTA </w:t>
      </w:r>
      <w:r>
        <w:rPr>
          <w:rFonts w:ascii="Times New Roman" w:hAnsi="Times New Roman" w:cs="Times New Roman"/>
        </w:rPr>
        <w:t>– O objeto será recebido provisoriamente pelos fiscais desta Ata, quando da realização dos serviços, e definitivamente, de forma tácita, no prazo de vinte dias após o recebimento provisório, uma</w:t>
      </w:r>
      <w:r>
        <w:rPr>
          <w:rFonts w:ascii="Times New Roman" w:hAnsi="Times New Roman" w:cs="Times New Roman"/>
          <w:spacing w:val="-4"/>
        </w:rPr>
        <w:t xml:space="preserve"> </w:t>
      </w:r>
      <w:r>
        <w:rPr>
          <w:rFonts w:ascii="Times New Roman" w:hAnsi="Times New Roman" w:cs="Times New Roman"/>
        </w:rPr>
        <w:t>vez</w:t>
      </w:r>
      <w:r>
        <w:rPr>
          <w:rFonts w:ascii="Times New Roman" w:hAnsi="Times New Roman" w:cs="Times New Roman"/>
          <w:spacing w:val="-4"/>
        </w:rPr>
        <w:t xml:space="preserve"> </w:t>
      </w:r>
      <w:r>
        <w:rPr>
          <w:rFonts w:ascii="Times New Roman" w:hAnsi="Times New Roman" w:cs="Times New Roman"/>
        </w:rPr>
        <w:t>verificada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qualidade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4"/>
        </w:rPr>
        <w:t xml:space="preserve"> </w:t>
      </w:r>
      <w:r>
        <w:rPr>
          <w:rFonts w:ascii="Times New Roman" w:hAnsi="Times New Roman" w:cs="Times New Roman"/>
        </w:rPr>
        <w:t>quantidade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consequente</w:t>
      </w:r>
      <w:r>
        <w:rPr>
          <w:rFonts w:ascii="Times New Roman" w:hAnsi="Times New Roman" w:cs="Times New Roman"/>
          <w:spacing w:val="-4"/>
        </w:rPr>
        <w:t xml:space="preserve"> </w:t>
      </w:r>
      <w:r>
        <w:rPr>
          <w:rFonts w:ascii="Times New Roman" w:hAnsi="Times New Roman" w:cs="Times New Roman"/>
        </w:rPr>
        <w:t>aceitação, desde que até então nada conste em desabono aos serviços realizados e materiais fornecidos.</w:t>
      </w:r>
    </w:p>
    <w:p w14:paraId="3FDFB4D9">
      <w:pPr>
        <w:pStyle w:val="10"/>
        <w:spacing w:before="0" w:after="0" w:line="240" w:lineRule="auto"/>
        <w:rPr>
          <w:rFonts w:ascii="Times New Roman" w:hAnsi="Times New Roman" w:cs="Times New Roman"/>
        </w:rPr>
      </w:pPr>
    </w:p>
    <w:p w14:paraId="0581E41F">
      <w:pPr>
        <w:pStyle w:val="10"/>
        <w:tabs>
          <w:tab w:val="left" w:pos="10120"/>
        </w:tabs>
        <w:spacing w:before="0" w:after="0" w:line="240" w:lineRule="auto"/>
        <w:rPr>
          <w:rFonts w:ascii="Times New Roman" w:hAnsi="Times New Roman" w:cs="Times New Roman"/>
          <w:spacing w:val="-2"/>
        </w:rPr>
      </w:pPr>
      <w:r>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Pr>
          <w:rFonts w:ascii="Times New Roman" w:hAnsi="Times New Roman" w:cs="Times New Roman"/>
          <w:spacing w:val="-2"/>
        </w:rPr>
        <w:t>objeto.</w:t>
      </w:r>
    </w:p>
    <w:p w14:paraId="026F868C">
      <w:pPr>
        <w:pStyle w:val="10"/>
        <w:tabs>
          <w:tab w:val="left" w:pos="10120"/>
        </w:tabs>
        <w:spacing w:before="0" w:after="0" w:line="240" w:lineRule="auto"/>
        <w:rPr>
          <w:rFonts w:ascii="Times New Roman" w:hAnsi="Times New Roman" w:cs="Times New Roman"/>
          <w:spacing w:val="-2"/>
        </w:rPr>
      </w:pPr>
    </w:p>
    <w:p w14:paraId="16A761A2">
      <w:pPr>
        <w:pStyle w:val="10"/>
        <w:spacing w:before="1"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QUINTA </w:t>
      </w:r>
      <w:r>
        <w:rPr>
          <w:rFonts w:ascii="Times New Roman" w:hAnsi="Times New Roman" w:cs="Times New Roman"/>
        </w:rPr>
        <w:t xml:space="preserve">– O pagamento será depositado na conta bancária da DETENTORA, no prazo de até </w:t>
      </w:r>
      <w:r>
        <w:rPr>
          <w:rFonts w:ascii="Times New Roman" w:hAnsi="Times New Roman" w:cs="Times New Roman"/>
          <w:lang w:val="pt-BR"/>
        </w:rPr>
        <w:t xml:space="preserve">15 </w:t>
      </w:r>
      <w:r>
        <w:rPr>
          <w:rFonts w:ascii="Times New Roman" w:hAnsi="Times New Roman" w:cs="Times New Roman"/>
        </w:rPr>
        <w:t>(</w:t>
      </w:r>
      <w:r>
        <w:rPr>
          <w:rFonts w:ascii="Times New Roman" w:hAnsi="Times New Roman" w:cs="Times New Roman"/>
          <w:lang w:val="pt-BR"/>
        </w:rPr>
        <w:t>quinze</w:t>
      </w:r>
      <w:r>
        <w:rPr>
          <w:rFonts w:ascii="Times New Roman" w:hAnsi="Times New Roman" w:cs="Times New Roman"/>
        </w:rPr>
        <w:t>) dias</w:t>
      </w:r>
      <w:r>
        <w:rPr>
          <w:rFonts w:ascii="Times New Roman" w:hAnsi="Times New Roman" w:cs="Times New Roman"/>
          <w:lang w:val="pt-BR"/>
        </w:rPr>
        <w:t xml:space="preserve"> úteis</w:t>
      </w:r>
      <w:r>
        <w:rPr>
          <w:rFonts w:ascii="Times New Roman" w:hAnsi="Times New Roman" w:cs="Times New Roman"/>
        </w:rPr>
        <w:t>, após a entrega da respectiva Nota Fiscal, aprovada</w:t>
      </w:r>
      <w:r>
        <w:rPr>
          <w:rFonts w:ascii="Times New Roman" w:hAnsi="Times New Roman" w:cs="Times New Roman"/>
          <w:spacing w:val="-3"/>
        </w:rPr>
        <w:t xml:space="preserve"> </w:t>
      </w:r>
      <w:r>
        <w:rPr>
          <w:rFonts w:ascii="Times New Roman" w:hAnsi="Times New Roman" w:cs="Times New Roman"/>
        </w:rPr>
        <w:t>pelos fisca</w:t>
      </w:r>
      <w:r>
        <w:rPr>
          <w:rFonts w:ascii="Times New Roman" w:hAnsi="Times New Roman" w:cs="Times New Roman"/>
          <w:lang w:val="pt-BR"/>
        </w:rPr>
        <w:t>is</w:t>
      </w:r>
      <w:r>
        <w:rPr>
          <w:rFonts w:ascii="Times New Roman" w:hAnsi="Times New Roman" w:cs="Times New Roman"/>
        </w:rPr>
        <w:t xml:space="preserve"> desta Ata e pelo Gestor</w:t>
      </w:r>
      <w:r>
        <w:rPr>
          <w:rFonts w:ascii="Times New Roman" w:hAnsi="Times New Roman" w:cs="Times New Roman"/>
          <w:lang w:val="pt-BR"/>
        </w:rPr>
        <w:t>. O pagamento corresponderá a prestação de serviços realizados ou do produto fornecido, de acordo com as medições.</w:t>
      </w:r>
    </w:p>
    <w:p w14:paraId="25C3FA07">
      <w:pPr>
        <w:pStyle w:val="10"/>
        <w:spacing w:beforeLines="50" w:afterLines="5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1</w:t>
      </w:r>
      <w:r>
        <w:rPr>
          <w:rFonts w:ascii="Times New Roman" w:hAnsi="Times New Roman" w:cs="Times New Roman"/>
        </w:rPr>
        <w:t xml:space="preserve">º A </w:t>
      </w:r>
      <w:r>
        <w:rPr>
          <w:rFonts w:ascii="Times New Roman" w:hAnsi="Times New Roman" w:cs="Times New Roman"/>
          <w:lang w:val="pt-BR"/>
        </w:rPr>
        <w:t>N</w:t>
      </w:r>
      <w:r>
        <w:rPr>
          <w:rFonts w:ascii="Times New Roman" w:hAnsi="Times New Roman" w:cs="Times New Roman"/>
        </w:rPr>
        <w:t xml:space="preserve">ota </w:t>
      </w:r>
      <w:r>
        <w:rPr>
          <w:rFonts w:ascii="Times New Roman" w:hAnsi="Times New Roman" w:cs="Times New Roman"/>
          <w:lang w:val="pt-BR"/>
        </w:rPr>
        <w:t>F</w:t>
      </w:r>
      <w:r>
        <w:rPr>
          <w:rFonts w:ascii="Times New Roman" w:hAnsi="Times New Roman" w:cs="Times New Roman"/>
        </w:rPr>
        <w:t xml:space="preserve">iscal/fatura emitida pelo fornecedor deverá conter, em local de fácil visualização, a indicação do  número do pregão eletrônico e da </w:t>
      </w:r>
      <w:r>
        <w:rPr>
          <w:rFonts w:ascii="Times New Roman" w:hAnsi="Times New Roman" w:cs="Times New Roman"/>
          <w:lang w:val="pt-BR"/>
        </w:rPr>
        <w:t>Nota de Empenho</w:t>
      </w:r>
      <w:r>
        <w:rPr>
          <w:rFonts w:ascii="Times New Roman" w:hAnsi="Times New Roman" w:cs="Times New Roman"/>
        </w:rPr>
        <w:t>, a fim de se acelerar o trâmite de recebimento do</w:t>
      </w:r>
      <w:r>
        <w:rPr>
          <w:rFonts w:ascii="Times New Roman" w:hAnsi="Times New Roman" w:cs="Times New Roman"/>
          <w:lang w:val="pt-BR"/>
        </w:rPr>
        <w:t>s</w:t>
      </w:r>
      <w:r>
        <w:rPr>
          <w:rFonts w:ascii="Times New Roman" w:hAnsi="Times New Roman" w:cs="Times New Roman"/>
        </w:rPr>
        <w:t xml:space="preserve"> </w:t>
      </w:r>
      <w:r>
        <w:rPr>
          <w:rFonts w:ascii="Times New Roman" w:hAnsi="Times New Roman" w:cs="Times New Roman"/>
          <w:lang w:val="pt-BR"/>
        </w:rPr>
        <w:t>serviços e</w:t>
      </w:r>
      <w:r>
        <w:rPr>
          <w:rFonts w:ascii="Times New Roman" w:hAnsi="Times New Roman" w:cs="Times New Roman"/>
        </w:rPr>
        <w:t xml:space="preserve"> posterior liberação do documento fiscal para pagamento.</w:t>
      </w:r>
    </w:p>
    <w:p w14:paraId="15A05BF8">
      <w:pPr>
        <w:pStyle w:val="15"/>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 2º Somente será autorizado o pagamento a fornecedores que estiverem quitas com a Fazenda Municipal de Teutônia.</w:t>
      </w:r>
    </w:p>
    <w:p w14:paraId="3ED5EFAD">
      <w:pPr>
        <w:pStyle w:val="30"/>
        <w:tabs>
          <w:tab w:val="left" w:pos="142"/>
          <w:tab w:val="left" w:pos="284"/>
          <w:tab w:val="left" w:pos="567"/>
        </w:tabs>
        <w:spacing w:line="240" w:lineRule="auto"/>
        <w:ind w:left="0"/>
        <w:rPr>
          <w:rFonts w:ascii="Times New Roman" w:hAnsi="Times New Roman"/>
          <w:szCs w:val="22"/>
        </w:rPr>
      </w:pPr>
      <w:r>
        <w:rPr>
          <w:rFonts w:ascii="Times New Roman" w:hAnsi="Times New Roman"/>
          <w:szCs w:val="22"/>
        </w:rPr>
        <w:t>§ 3º Serão processadas as retenções tributárias e previdenciárias nos termos da legislação que regula a matéria.</w:t>
      </w:r>
    </w:p>
    <w:p w14:paraId="6D43BA2F">
      <w:pPr>
        <w:spacing w:after="0" w:line="240" w:lineRule="auto"/>
        <w:jc w:val="both"/>
        <w:rPr>
          <w:rFonts w:ascii="Times New Roman" w:hAnsi="Times New Roman"/>
        </w:rPr>
      </w:pPr>
      <w:r>
        <w:rPr>
          <w:rFonts w:ascii="Times New Roman" w:hAnsi="Times New Roman" w:cs="Times New Roman"/>
          <w:lang w:val="pt-PT"/>
        </w:rPr>
        <w:t>§</w:t>
      </w:r>
      <w:r>
        <w:rPr>
          <w:rFonts w:ascii="Times New Roman" w:hAnsi="Times New Roman" w:cs="Times New Roman"/>
        </w:rPr>
        <w:t xml:space="preserve"> 4</w:t>
      </w:r>
      <w:r>
        <w:rPr>
          <w:rFonts w:ascii="Times New Roman" w:hAnsi="Times New Roman" w:cs="Times New Roman"/>
          <w:lang w:val="pt-PT"/>
        </w:rPr>
        <w:t xml:space="preserve">º </w:t>
      </w:r>
      <w:r>
        <w:rPr>
          <w:rFonts w:ascii="Times New Roman" w:hAnsi="Times New Roman" w:cs="Times New Roman"/>
        </w:rPr>
        <w:t xml:space="preserve"> P</w:t>
      </w:r>
      <w:r>
        <w:rPr>
          <w:rFonts w:ascii="Times New Roman" w:hAnsi="Times New Roman" w:cs="Times New Roman"/>
          <w:lang w:val="pt-PT"/>
        </w:rPr>
        <w:t>oderá o Município de Teutônia</w:t>
      </w:r>
      <w:r>
        <w:rPr>
          <w:rFonts w:ascii="Times New Roman" w:hAnsi="Times New Roman" w:cs="Times New Roman"/>
        </w:rPr>
        <w:t>/</w:t>
      </w:r>
      <w:r>
        <w:rPr>
          <w:rFonts w:ascii="Times New Roman" w:hAnsi="Times New Roman" w:cs="Times New Roman"/>
          <w:lang w:val="pt-PT"/>
        </w:rPr>
        <w:t>RS compensar multas aplicadas com valores contratados e ainda não pagos</w:t>
      </w:r>
      <w:r>
        <w:rPr>
          <w:rFonts w:ascii="Times New Roman" w:hAnsi="Times New Roman" w:cs="Times New Roman"/>
        </w:rPr>
        <w:t>.</w:t>
      </w:r>
    </w:p>
    <w:p w14:paraId="05FB365C">
      <w:pPr>
        <w:spacing w:beforeLines="50" w:after="0" w:line="240" w:lineRule="auto"/>
        <w:jc w:val="both"/>
        <w:rPr>
          <w:rFonts w:ascii="Times New Roman" w:hAnsi="Times New Roman"/>
        </w:rPr>
      </w:pPr>
      <w:r>
        <w:rPr>
          <w:rFonts w:ascii="Times New Roman" w:hAnsi="Times New Roman" w:cs="Times New Roman"/>
        </w:rPr>
        <w:t>§ 5º A despesa correrá nas seguintes dotações orçamentárias:</w:t>
      </w:r>
    </w:p>
    <w:p w14:paraId="059F5958">
      <w:pPr>
        <w:spacing w:after="0" w:line="240" w:lineRule="auto"/>
        <w:jc w:val="both"/>
        <w:rPr>
          <w:rFonts w:ascii="Times New Roman" w:hAnsi="Times New Roman"/>
          <w:sz w:val="21"/>
          <w:szCs w:val="21"/>
        </w:rPr>
      </w:pPr>
    </w:p>
    <w:p w14:paraId="4BA03513">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sz w:val="22"/>
          <w:szCs w:val="22"/>
        </w:rPr>
      </w:pPr>
      <w:r>
        <w:rPr>
          <w:rFonts w:hint="default" w:ascii="Times New Roman" w:hAnsi="Times New Roman" w:eastAsia="SimSun" w:cs="Times New Roman"/>
          <w:sz w:val="22"/>
          <w:szCs w:val="22"/>
          <w:lang w:val="pt-BR"/>
        </w:rPr>
        <w:t xml:space="preserve">03 - </w:t>
      </w:r>
      <w:r>
        <w:rPr>
          <w:rFonts w:hint="default" w:ascii="Times New Roman" w:hAnsi="Times New Roman" w:eastAsia="SimSun" w:cs="Times New Roman"/>
          <w:sz w:val="22"/>
          <w:szCs w:val="22"/>
        </w:rPr>
        <w:t>SECRETARIA MUNICIPAL DE</w:t>
      </w:r>
      <w:r>
        <w:rPr>
          <w:rFonts w:hint="default" w:ascii="Times New Roman" w:hAnsi="Times New Roman" w:eastAsia="SimSun" w:cs="Times New Roman"/>
          <w:sz w:val="22"/>
          <w:szCs w:val="22"/>
          <w:lang w:val="pt-BR"/>
        </w:rPr>
        <w:t xml:space="preserve"> </w:t>
      </w:r>
      <w:r>
        <w:rPr>
          <w:rFonts w:hint="default" w:ascii="Times New Roman" w:hAnsi="Times New Roman" w:eastAsia="SimSun" w:cs="Times New Roman"/>
          <w:sz w:val="22"/>
          <w:szCs w:val="22"/>
        </w:rPr>
        <w:t xml:space="preserve">ADMINISTRAÇÃO </w:t>
      </w:r>
    </w:p>
    <w:p w14:paraId="6EB08B72">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eastAsia="SimSun" w:cs="Times New Roman"/>
          <w:sz w:val="22"/>
          <w:szCs w:val="22"/>
          <w:lang w:val="pt-BR"/>
        </w:rPr>
        <w:t>01 -</w:t>
      </w:r>
      <w:r>
        <w:rPr>
          <w:rFonts w:hint="default" w:ascii="Times New Roman" w:hAnsi="Times New Roman" w:eastAsia="SimSun" w:cs="Times New Roman"/>
          <w:sz w:val="22"/>
          <w:szCs w:val="22"/>
        </w:rPr>
        <w:t xml:space="preserve"> SECRETARIA MUNICIPAL DE ADMINISTRAÇÃO </w:t>
      </w:r>
    </w:p>
    <w:p w14:paraId="6B753EFA">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eastAsia="SimSun" w:cs="Times New Roman"/>
          <w:sz w:val="22"/>
          <w:szCs w:val="22"/>
        </w:rPr>
        <w:t>04.122.0901.0002</w:t>
      </w:r>
      <w:r>
        <w:rPr>
          <w:rFonts w:hint="default" w:ascii="Times New Roman" w:hAnsi="Times New Roman" w:eastAsia="SimSun" w:cs="Times New Roman"/>
          <w:sz w:val="22"/>
          <w:szCs w:val="22"/>
          <w:lang w:val="pt-BR"/>
        </w:rPr>
        <w:t xml:space="preserve"> -</w:t>
      </w:r>
      <w:r>
        <w:rPr>
          <w:rFonts w:hint="default" w:ascii="Times New Roman" w:hAnsi="Times New Roman" w:eastAsia="SimSun" w:cs="Times New Roman"/>
          <w:sz w:val="22"/>
          <w:szCs w:val="22"/>
        </w:rPr>
        <w:t xml:space="preserve"> DEMAIS SENTENÇAS E CUSTAS JUDICIAIS </w:t>
      </w:r>
    </w:p>
    <w:p w14:paraId="6CCEAD76">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sz w:val="22"/>
          <w:szCs w:val="22"/>
          <w:lang w:val="pt-BR"/>
        </w:rPr>
      </w:pPr>
      <w:r>
        <w:rPr>
          <w:rFonts w:hint="default" w:ascii="Times New Roman" w:hAnsi="Times New Roman" w:eastAsia="SimSun" w:cs="Times New Roman"/>
          <w:sz w:val="22"/>
          <w:szCs w:val="22"/>
        </w:rPr>
        <w:t>3.3.3.90.30.00.00.00.00 - MATERIAL DE CONSUMO</w:t>
      </w:r>
      <w:r>
        <w:rPr>
          <w:rFonts w:hint="default" w:ascii="Times New Roman" w:hAnsi="Times New Roman" w:eastAsia="SimSun" w:cs="Times New Roman"/>
          <w:sz w:val="22"/>
          <w:szCs w:val="22"/>
          <w:lang w:val="pt-BR"/>
        </w:rPr>
        <w:t xml:space="preserve"> - 319</w:t>
      </w:r>
    </w:p>
    <w:p w14:paraId="2E281113">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sz w:val="22"/>
          <w:szCs w:val="22"/>
          <w:lang w:val="pt-BR"/>
        </w:rPr>
      </w:pPr>
      <w:r>
        <w:rPr>
          <w:rFonts w:hint="default" w:ascii="Times New Roman" w:hAnsi="Times New Roman" w:eastAsia="SimSun" w:cs="Times New Roman"/>
          <w:sz w:val="22"/>
          <w:szCs w:val="22"/>
        </w:rPr>
        <w:t xml:space="preserve">3.3.3.9.0.39.00.00.00.00 - </w:t>
      </w:r>
      <w:r>
        <w:rPr>
          <w:rFonts w:hint="default" w:ascii="Times New Roman" w:hAnsi="Times New Roman" w:eastAsia="SimSun" w:cs="Times New Roman"/>
          <w:sz w:val="22"/>
          <w:szCs w:val="22"/>
          <w:lang w:val="pt-BR"/>
        </w:rPr>
        <w:t>O</w:t>
      </w:r>
      <w:r>
        <w:rPr>
          <w:rFonts w:hint="default" w:ascii="Times New Roman" w:hAnsi="Times New Roman" w:eastAsia="SimSun" w:cs="Times New Roman"/>
          <w:sz w:val="22"/>
          <w:szCs w:val="22"/>
        </w:rPr>
        <w:t>UTROS SERVIÇOS DE TERCEIROS - PESSOA JURÍDICA  362</w:t>
      </w:r>
    </w:p>
    <w:p w14:paraId="3BDADAEC">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sz w:val="22"/>
          <w:szCs w:val="22"/>
          <w:lang w:val="pt-BR"/>
        </w:rPr>
      </w:pPr>
    </w:p>
    <w:p w14:paraId="262F4DE2">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eastAsia="SimSun" w:cs="Times New Roman"/>
          <w:sz w:val="22"/>
          <w:szCs w:val="22"/>
        </w:rPr>
        <w:t>06</w:t>
      </w:r>
      <w:r>
        <w:rPr>
          <w:rFonts w:hint="default" w:ascii="Times New Roman" w:hAnsi="Times New Roman" w:eastAsia="SimSun" w:cs="Times New Roman"/>
          <w:sz w:val="22"/>
          <w:szCs w:val="22"/>
          <w:lang w:val="pt-BR"/>
        </w:rPr>
        <w:t xml:space="preserve"> -</w:t>
      </w:r>
      <w:r>
        <w:rPr>
          <w:rFonts w:hint="default" w:ascii="Times New Roman" w:hAnsi="Times New Roman" w:eastAsia="SimSun" w:cs="Times New Roman"/>
          <w:sz w:val="22"/>
          <w:szCs w:val="22"/>
        </w:rPr>
        <w:t xml:space="preserve"> SECRETARIA MUNICIPAL DE SAÚDE </w:t>
      </w:r>
    </w:p>
    <w:p w14:paraId="5AD38D39">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eastAsia="SimSun" w:cs="Times New Roman"/>
          <w:sz w:val="22"/>
          <w:szCs w:val="22"/>
        </w:rPr>
        <w:t xml:space="preserve">01 </w:t>
      </w:r>
      <w:r>
        <w:rPr>
          <w:rFonts w:hint="default" w:ascii="Times New Roman" w:hAnsi="Times New Roman" w:eastAsia="SimSun" w:cs="Times New Roman"/>
          <w:sz w:val="22"/>
          <w:szCs w:val="22"/>
          <w:lang w:val="pt-BR"/>
        </w:rPr>
        <w:t xml:space="preserve">- </w:t>
      </w:r>
      <w:r>
        <w:rPr>
          <w:rFonts w:hint="default" w:ascii="Times New Roman" w:hAnsi="Times New Roman" w:eastAsia="SimSun" w:cs="Times New Roman"/>
          <w:sz w:val="22"/>
          <w:szCs w:val="22"/>
        </w:rPr>
        <w:t xml:space="preserve">FUNDO MUNICIPAL DA SAÚDE 10.301.0034.2091 PROGRAMA DE ATENDIMENTO AOS MUNÍCIPES </w:t>
      </w:r>
    </w:p>
    <w:p w14:paraId="0C8AFE39">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sz w:val="22"/>
          <w:szCs w:val="22"/>
        </w:rPr>
      </w:pPr>
      <w:r>
        <w:rPr>
          <w:rFonts w:hint="default" w:ascii="Times New Roman" w:hAnsi="Times New Roman" w:eastAsia="SimSun" w:cs="Times New Roman"/>
          <w:sz w:val="22"/>
          <w:szCs w:val="22"/>
        </w:rPr>
        <w:t>3.3.3.90.32</w:t>
      </w:r>
      <w:r>
        <w:rPr>
          <w:rFonts w:hint="default" w:ascii="Times New Roman" w:hAnsi="Times New Roman" w:eastAsia="SimSun" w:cs="Times New Roman"/>
          <w:sz w:val="22"/>
          <w:szCs w:val="22"/>
          <w:lang w:val="pt-BR"/>
        </w:rPr>
        <w:t>.</w:t>
      </w:r>
      <w:r>
        <w:rPr>
          <w:rFonts w:hint="default" w:ascii="Times New Roman" w:hAnsi="Times New Roman" w:eastAsia="SimSun" w:cs="Times New Roman"/>
          <w:sz w:val="22"/>
          <w:szCs w:val="22"/>
        </w:rPr>
        <w:t>00</w:t>
      </w:r>
      <w:r>
        <w:rPr>
          <w:rFonts w:hint="default" w:ascii="Times New Roman" w:hAnsi="Times New Roman" w:eastAsia="SimSun" w:cs="Times New Roman"/>
          <w:sz w:val="22"/>
          <w:szCs w:val="22"/>
          <w:lang w:val="pt-BR"/>
        </w:rPr>
        <w:t>.</w:t>
      </w:r>
      <w:r>
        <w:rPr>
          <w:rFonts w:hint="default" w:ascii="Times New Roman" w:hAnsi="Times New Roman" w:eastAsia="SimSun" w:cs="Times New Roman"/>
          <w:sz w:val="22"/>
          <w:szCs w:val="22"/>
        </w:rPr>
        <w:t>00</w:t>
      </w:r>
      <w:r>
        <w:rPr>
          <w:rFonts w:hint="default" w:ascii="Times New Roman" w:hAnsi="Times New Roman" w:eastAsia="SimSun" w:cs="Times New Roman"/>
          <w:sz w:val="22"/>
          <w:szCs w:val="22"/>
          <w:lang w:val="pt-BR"/>
        </w:rPr>
        <w:t>.</w:t>
      </w:r>
      <w:r>
        <w:rPr>
          <w:rFonts w:hint="default" w:ascii="Times New Roman" w:hAnsi="Times New Roman" w:eastAsia="SimSun" w:cs="Times New Roman"/>
          <w:sz w:val="22"/>
          <w:szCs w:val="22"/>
        </w:rPr>
        <w:t>00</w:t>
      </w:r>
      <w:r>
        <w:rPr>
          <w:rFonts w:hint="default" w:ascii="Times New Roman" w:hAnsi="Times New Roman" w:eastAsia="SimSun" w:cs="Times New Roman"/>
          <w:sz w:val="22"/>
          <w:szCs w:val="22"/>
          <w:lang w:val="pt-BR"/>
        </w:rPr>
        <w:t>.</w:t>
      </w:r>
      <w:r>
        <w:rPr>
          <w:rFonts w:hint="default" w:ascii="Times New Roman" w:hAnsi="Times New Roman" w:eastAsia="SimSun" w:cs="Times New Roman"/>
          <w:sz w:val="22"/>
          <w:szCs w:val="22"/>
        </w:rPr>
        <w:t xml:space="preserve">00 </w:t>
      </w:r>
      <w:r>
        <w:rPr>
          <w:rFonts w:hint="default" w:ascii="Times New Roman" w:hAnsi="Times New Roman" w:eastAsia="SimSun" w:cs="Times New Roman"/>
          <w:sz w:val="22"/>
          <w:szCs w:val="22"/>
          <w:lang w:val="pt-BR"/>
        </w:rPr>
        <w:t xml:space="preserve">- </w:t>
      </w:r>
      <w:r>
        <w:rPr>
          <w:rFonts w:hint="default" w:ascii="Times New Roman" w:hAnsi="Times New Roman" w:eastAsia="SimSun" w:cs="Times New Roman"/>
          <w:sz w:val="22"/>
          <w:szCs w:val="22"/>
        </w:rPr>
        <w:t xml:space="preserve">MATERIAL, BEM OU SERVIÇO PARA DISTRIB GRATUITA - 1667 </w:t>
      </w:r>
    </w:p>
    <w:p w14:paraId="6A1E2216">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sz w:val="22"/>
          <w:szCs w:val="22"/>
          <w:lang w:val="pt-BR"/>
        </w:rPr>
      </w:pPr>
    </w:p>
    <w:p w14:paraId="4C194EAA">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eastAsia="SimSun" w:cs="Times New Roman"/>
          <w:sz w:val="22"/>
          <w:szCs w:val="22"/>
        </w:rPr>
        <w:t xml:space="preserve">10.301.0034.2092 </w:t>
      </w:r>
      <w:r>
        <w:rPr>
          <w:rFonts w:hint="default" w:ascii="Times New Roman" w:hAnsi="Times New Roman" w:eastAsia="SimSun" w:cs="Times New Roman"/>
          <w:sz w:val="22"/>
          <w:szCs w:val="22"/>
          <w:lang w:val="pt-BR"/>
        </w:rPr>
        <w:t xml:space="preserve">- </w:t>
      </w:r>
      <w:r>
        <w:rPr>
          <w:rFonts w:hint="default" w:ascii="Times New Roman" w:hAnsi="Times New Roman" w:eastAsia="SimSun" w:cs="Times New Roman"/>
          <w:sz w:val="22"/>
          <w:szCs w:val="22"/>
        </w:rPr>
        <w:t xml:space="preserve">PROGRAMA PARA ATENDIMENTO DA ATENÇÃO PRIMÁRIA DA SAÚDE </w:t>
      </w:r>
    </w:p>
    <w:p w14:paraId="5443E3B1">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eastAsia="SimSun" w:cs="Times New Roman"/>
          <w:sz w:val="22"/>
          <w:szCs w:val="22"/>
        </w:rPr>
        <w:t>3.3.3.90.32</w:t>
      </w:r>
      <w:r>
        <w:rPr>
          <w:rFonts w:hint="default" w:ascii="Times New Roman" w:hAnsi="Times New Roman" w:eastAsia="SimSun" w:cs="Times New Roman"/>
          <w:sz w:val="22"/>
          <w:szCs w:val="22"/>
          <w:lang w:val="pt-BR"/>
        </w:rPr>
        <w:t>.</w:t>
      </w:r>
      <w:r>
        <w:rPr>
          <w:rFonts w:hint="default" w:ascii="Times New Roman" w:hAnsi="Times New Roman" w:eastAsia="SimSun" w:cs="Times New Roman"/>
          <w:sz w:val="22"/>
          <w:szCs w:val="22"/>
        </w:rPr>
        <w:t>00</w:t>
      </w:r>
      <w:r>
        <w:rPr>
          <w:rFonts w:hint="default" w:ascii="Times New Roman" w:hAnsi="Times New Roman" w:eastAsia="SimSun" w:cs="Times New Roman"/>
          <w:sz w:val="22"/>
          <w:szCs w:val="22"/>
          <w:lang w:val="pt-BR"/>
        </w:rPr>
        <w:t>.</w:t>
      </w:r>
      <w:r>
        <w:rPr>
          <w:rFonts w:hint="default" w:ascii="Times New Roman" w:hAnsi="Times New Roman" w:eastAsia="SimSun" w:cs="Times New Roman"/>
          <w:sz w:val="22"/>
          <w:szCs w:val="22"/>
        </w:rPr>
        <w:t>00</w:t>
      </w:r>
      <w:r>
        <w:rPr>
          <w:rFonts w:hint="default" w:ascii="Times New Roman" w:hAnsi="Times New Roman" w:eastAsia="SimSun" w:cs="Times New Roman"/>
          <w:sz w:val="22"/>
          <w:szCs w:val="22"/>
          <w:lang w:val="pt-BR"/>
        </w:rPr>
        <w:t>.</w:t>
      </w:r>
      <w:r>
        <w:rPr>
          <w:rFonts w:hint="default" w:ascii="Times New Roman" w:hAnsi="Times New Roman" w:eastAsia="SimSun" w:cs="Times New Roman"/>
          <w:sz w:val="22"/>
          <w:szCs w:val="22"/>
        </w:rPr>
        <w:t>00</w:t>
      </w:r>
      <w:r>
        <w:rPr>
          <w:rFonts w:hint="default" w:ascii="Times New Roman" w:hAnsi="Times New Roman" w:eastAsia="SimSun" w:cs="Times New Roman"/>
          <w:sz w:val="22"/>
          <w:szCs w:val="22"/>
          <w:lang w:val="pt-BR"/>
        </w:rPr>
        <w:t>.</w:t>
      </w:r>
      <w:r>
        <w:rPr>
          <w:rFonts w:hint="default" w:ascii="Times New Roman" w:hAnsi="Times New Roman" w:eastAsia="SimSun" w:cs="Times New Roman"/>
          <w:sz w:val="22"/>
          <w:szCs w:val="22"/>
        </w:rPr>
        <w:t xml:space="preserve">00 </w:t>
      </w:r>
      <w:r>
        <w:rPr>
          <w:rFonts w:hint="default" w:ascii="Times New Roman" w:hAnsi="Times New Roman" w:eastAsia="SimSun" w:cs="Times New Roman"/>
          <w:sz w:val="22"/>
          <w:szCs w:val="22"/>
          <w:lang w:val="pt-BR"/>
        </w:rPr>
        <w:t xml:space="preserve">- </w:t>
      </w:r>
      <w:r>
        <w:rPr>
          <w:rFonts w:hint="default" w:ascii="Times New Roman" w:hAnsi="Times New Roman" w:eastAsia="SimSun" w:cs="Times New Roman"/>
          <w:sz w:val="22"/>
          <w:szCs w:val="22"/>
        </w:rPr>
        <w:t>MATERIAL, BEM OU SERVIÇO PARA DISTRIB GRATUITA - 631</w:t>
      </w:r>
    </w:p>
    <w:p w14:paraId="2C809F45">
      <w:pPr>
        <w:spacing w:after="0" w:line="240" w:lineRule="auto"/>
        <w:jc w:val="both"/>
        <w:rPr>
          <w:rFonts w:ascii="Times New Roman" w:hAnsi="Times New Roman"/>
          <w:sz w:val="21"/>
          <w:szCs w:val="21"/>
        </w:rPr>
      </w:pPr>
    </w:p>
    <w:p w14:paraId="5FD6E313">
      <w:pPr>
        <w:spacing w:after="0" w:line="240" w:lineRule="auto"/>
        <w:jc w:val="both"/>
        <w:rPr>
          <w:rFonts w:ascii="Times New Roman" w:hAnsi="Times New Roman"/>
        </w:rPr>
      </w:pPr>
      <w:r>
        <w:rPr>
          <w:rFonts w:ascii="Times New Roman" w:hAnsi="Times New Roman" w:cs="Times New Roman"/>
        </w:rPr>
        <w:t xml:space="preserve"> </w:t>
      </w:r>
      <w:r>
        <w:rPr>
          <w:rFonts w:ascii="Times New Roman" w:hAnsi="Times New Roman" w:cs="Times New Roman"/>
          <w:b/>
          <w:bCs/>
        </w:rPr>
        <w:t>CLÁUSULA SEXTA</w:t>
      </w:r>
      <w:r>
        <w:rPr>
          <w:rFonts w:ascii="Times New Roman" w:hAnsi="Times New Roman" w:cs="Times New Roman"/>
        </w:rPr>
        <w:t xml:space="preserve"> – A contratação junto à DETENTORA será formalizada pela Secretaria interessada por intermédio de emissão de Nota de Empenho de despesa e Ordem de Entrega dos produtos, os quais serão emitidas de acordo com a estrita necessidade da Administração.</w:t>
      </w:r>
    </w:p>
    <w:p w14:paraId="26BD2982">
      <w:pPr>
        <w:tabs>
          <w:tab w:val="left" w:pos="9460"/>
        </w:tabs>
        <w:spacing w:beforeLines="50" w:afterLines="50" w:line="240" w:lineRule="auto"/>
        <w:jc w:val="both"/>
        <w:rPr>
          <w:rFonts w:ascii="Times New Roman" w:hAnsi="Times New Roman"/>
        </w:rPr>
      </w:pPr>
      <w:r>
        <w:rPr>
          <w:rFonts w:ascii="Times New Roman" w:hAnsi="Times New Roman" w:cs="Times New Roman"/>
        </w:rPr>
        <w:t>§ 1º A Administração não emitirá qualquer solicitação de aquisição sem a prévia existência do respectivo crédito orçamentário.</w:t>
      </w:r>
    </w:p>
    <w:p w14:paraId="228EDDF0">
      <w:pPr>
        <w:spacing w:beforeLines="50" w:after="0" w:line="240" w:lineRule="auto"/>
        <w:jc w:val="both"/>
        <w:rPr>
          <w:rFonts w:ascii="Times New Roman" w:hAnsi="Times New Roman"/>
        </w:rPr>
      </w:pPr>
      <w:r>
        <w:rPr>
          <w:rFonts w:ascii="Times New Roman" w:hAnsi="Times New Roman" w:cs="Times New Roman"/>
        </w:rPr>
        <w:t>§ 2° As ordens de compra poderão ser encaminhadas por meio eletrônico ou por outra forma admitida pela Administração.</w:t>
      </w:r>
    </w:p>
    <w:p w14:paraId="4D038A64">
      <w:pPr>
        <w:spacing w:after="0" w:line="240" w:lineRule="auto"/>
        <w:ind w:right="398" w:rightChars="181"/>
        <w:jc w:val="both"/>
        <w:rPr>
          <w:rFonts w:ascii="Times New Roman" w:hAnsi="Times New Roman"/>
        </w:rPr>
      </w:pPr>
    </w:p>
    <w:p w14:paraId="2D4AD7ED">
      <w:pPr>
        <w:tabs>
          <w:tab w:val="left" w:pos="1134"/>
        </w:tabs>
        <w:spacing w:after="0" w:line="240" w:lineRule="auto"/>
        <w:jc w:val="both"/>
        <w:rPr>
          <w:rFonts w:ascii="Times New Roman" w:hAnsi="Times New Roman"/>
        </w:rPr>
      </w:pPr>
      <w:r>
        <w:rPr>
          <w:rFonts w:ascii="Times New Roman" w:hAnsi="Times New Roman" w:eastAsia="Arial-BoldMT" w:cs="Times New Roman"/>
          <w:b/>
          <w:bCs/>
        </w:rPr>
        <w:t xml:space="preserve">CLÁUSULA SÉTIMA - </w:t>
      </w:r>
      <w:r>
        <w:rPr>
          <w:rFonts w:ascii="Times New Roman" w:hAnsi="Times New Roman" w:cs="Times New Roman"/>
        </w:rPr>
        <w:t>Os produtos deverão ser entregues conforme a necessidade, no prazo de até 1</w:t>
      </w:r>
      <w:r>
        <w:rPr>
          <w:rFonts w:hint="default" w:ascii="Times New Roman" w:hAnsi="Times New Roman" w:cs="Times New Roman"/>
          <w:lang w:val="pt-BR"/>
        </w:rPr>
        <w:t>5</w:t>
      </w:r>
      <w:r>
        <w:rPr>
          <w:rFonts w:ascii="Times New Roman" w:hAnsi="Times New Roman" w:cs="Times New Roman"/>
        </w:rPr>
        <w:t xml:space="preserve"> (</w:t>
      </w:r>
      <w:r>
        <w:rPr>
          <w:rFonts w:hint="default" w:ascii="Times New Roman" w:hAnsi="Times New Roman" w:cs="Times New Roman"/>
          <w:lang w:val="pt-BR"/>
        </w:rPr>
        <w:t>quinze</w:t>
      </w:r>
      <w:r>
        <w:rPr>
          <w:rFonts w:ascii="Times New Roman" w:hAnsi="Times New Roman" w:cs="Times New Roman"/>
        </w:rPr>
        <w:t>) dias, a contar da data de envio do pedido pelo Setor de Compras (Nota de Empenho).</w:t>
      </w:r>
    </w:p>
    <w:p w14:paraId="0EB19DE1">
      <w:pPr>
        <w:tabs>
          <w:tab w:val="left" w:pos="1134"/>
        </w:tabs>
        <w:spacing w:after="0" w:line="240" w:lineRule="auto"/>
        <w:jc w:val="both"/>
        <w:rPr>
          <w:rFonts w:ascii="Times New Roman" w:hAnsi="Times New Roman"/>
        </w:rPr>
      </w:pPr>
      <w:r>
        <w:rPr>
          <w:rFonts w:ascii="Times New Roman" w:hAnsi="Times New Roman"/>
          <w:bCs/>
        </w:rPr>
        <w:t>§ 1º Mediante escrita e justificada solicitação da Detentora da Ata, o prazo declinado acima poderá ser prorrogado uma única vez por igual período, contanto que a empresa Contratada proceda a tal solicitação durante o transcurso do prazo que, originariamente, lhe foi concedida para entrega dos itens, e sendo conveniente para a Administração tal pedido.</w:t>
      </w:r>
    </w:p>
    <w:p w14:paraId="057B0A8F">
      <w:pPr>
        <w:tabs>
          <w:tab w:val="left" w:pos="675"/>
        </w:tabs>
        <w:suppressAutoHyphens/>
        <w:spacing w:after="0" w:line="240" w:lineRule="auto"/>
        <w:jc w:val="both"/>
        <w:rPr>
          <w:rFonts w:ascii="Times New Roman" w:hAnsi="Times New Roman" w:cs="Times New Roman"/>
          <w:bCs/>
          <w:sz w:val="22"/>
          <w:szCs w:val="22"/>
        </w:rPr>
      </w:pPr>
      <w:r>
        <w:rPr>
          <w:rFonts w:ascii="Times New Roman" w:hAnsi="Times New Roman" w:cs="Times New Roman"/>
          <w:bCs/>
          <w:sz w:val="24"/>
          <w:szCs w:val="24"/>
        </w:rPr>
        <w:t xml:space="preserve">§ </w:t>
      </w:r>
      <w:r>
        <w:rPr>
          <w:rFonts w:ascii="Times New Roman" w:hAnsi="Times New Roman" w:cs="Times New Roman"/>
          <w:bCs/>
        </w:rPr>
        <w:t>2º Os produtos deverão ser entregue</w:t>
      </w:r>
      <w:r>
        <w:rPr>
          <w:rFonts w:ascii="Times New Roman" w:hAnsi="Times New Roman" w:cs="Times New Roman"/>
          <w:bCs/>
          <w:sz w:val="22"/>
          <w:szCs w:val="22"/>
        </w:rPr>
        <w:t>s no</w:t>
      </w:r>
      <w:r>
        <w:rPr>
          <w:rFonts w:hint="default" w:ascii="Times New Roman" w:hAnsi="Times New Roman" w:cs="Times New Roman"/>
          <w:bCs/>
          <w:sz w:val="22"/>
          <w:szCs w:val="22"/>
          <w:lang w:val="pt-BR"/>
        </w:rPr>
        <w:t xml:space="preserve"> </w:t>
      </w:r>
      <w:r>
        <w:rPr>
          <w:rFonts w:hint="default" w:ascii="Times New Roman" w:hAnsi="Times New Roman" w:cs="Times New Roman"/>
          <w:sz w:val="22"/>
          <w:szCs w:val="22"/>
          <w:lang w:val="en-US" w:eastAsia="pt-BR"/>
        </w:rPr>
        <w:t xml:space="preserve">Setor de Medicamentos do Estado, </w:t>
      </w:r>
      <w:r>
        <w:rPr>
          <w:rFonts w:hint="default" w:ascii="Times New Roman" w:hAnsi="Times New Roman" w:cs="Times New Roman"/>
          <w:sz w:val="22"/>
          <w:szCs w:val="22"/>
          <w:lang w:eastAsia="pt-BR"/>
        </w:rPr>
        <w:t xml:space="preserve">situado na </w:t>
      </w:r>
      <w:r>
        <w:rPr>
          <w:rFonts w:hint="default" w:ascii="Times New Roman" w:hAnsi="Times New Roman" w:cs="Times New Roman"/>
          <w:sz w:val="22"/>
          <w:szCs w:val="22"/>
          <w:lang w:val="en-US" w:eastAsia="pt-BR"/>
        </w:rPr>
        <w:t>Rua Arnaldo Krug, nº 304, Bairro Canabarro</w:t>
      </w:r>
      <w:r>
        <w:rPr>
          <w:rFonts w:hint="default" w:ascii="Times New Roman" w:hAnsi="Times New Roman" w:cs="Times New Roman"/>
          <w:sz w:val="22"/>
          <w:szCs w:val="22"/>
          <w:lang w:eastAsia="pt-BR"/>
        </w:rPr>
        <w:t>, Teutônia/RS</w:t>
      </w:r>
      <w:r>
        <w:rPr>
          <w:rFonts w:ascii="Times New Roman" w:hAnsi="Times New Roman" w:cs="Times New Roman"/>
          <w:bCs/>
          <w:sz w:val="22"/>
          <w:szCs w:val="22"/>
        </w:rPr>
        <w:t>, nos horários entre 07h30 e 11h e 13h30min às 16h, mediante agendamento pelo fone (51) 3762-7808</w:t>
      </w:r>
      <w:r>
        <w:rPr>
          <w:rFonts w:ascii="Times New Roman" w:hAnsi="Times New Roman" w:cs="Times New Roman"/>
          <w:sz w:val="22"/>
          <w:szCs w:val="22"/>
        </w:rPr>
        <w:t>. Não haverá limitação e/ou carga mínima de quantitativos.</w:t>
      </w:r>
    </w:p>
    <w:p w14:paraId="6656362D">
      <w:pPr>
        <w:tabs>
          <w:tab w:val="left" w:pos="1134"/>
        </w:tabs>
        <w:spacing w:after="0" w:line="240" w:lineRule="auto"/>
        <w:jc w:val="both"/>
        <w:rPr>
          <w:rFonts w:ascii="Times New Roman" w:hAnsi="Times New Roman"/>
          <w:bCs/>
        </w:rPr>
      </w:pPr>
      <w:r>
        <w:rPr>
          <w:rFonts w:ascii="Times New Roman" w:hAnsi="Times New Roman" w:cs="Times New Roman"/>
          <w:bCs/>
          <w:sz w:val="22"/>
          <w:szCs w:val="22"/>
        </w:rPr>
        <w:t>§ 3º Os produtos devem vir acompanhados da Nota F</w:t>
      </w:r>
      <w:r>
        <w:rPr>
          <w:rFonts w:ascii="Times New Roman" w:hAnsi="Times New Roman" w:cs="Times New Roman"/>
          <w:bCs/>
        </w:rPr>
        <w:t>iscal/Fatura (constando o nº da Nota de Empenho).</w:t>
      </w:r>
    </w:p>
    <w:p w14:paraId="2B5F5B01">
      <w:pPr>
        <w:tabs>
          <w:tab w:val="left" w:pos="1134"/>
        </w:tabs>
        <w:spacing w:after="0" w:line="240" w:lineRule="auto"/>
        <w:jc w:val="both"/>
        <w:rPr>
          <w:rFonts w:ascii="Times New Roman" w:hAnsi="Times New Roman"/>
          <w:b/>
          <w:bCs/>
        </w:rPr>
      </w:pPr>
      <w:r>
        <w:rPr>
          <w:rFonts w:ascii="Times New Roman" w:hAnsi="Times New Roman" w:cs="Times New Roman"/>
          <w:bCs/>
        </w:rPr>
        <w:t xml:space="preserve">§ 4º </w:t>
      </w:r>
      <w:r>
        <w:rPr>
          <w:rFonts w:ascii="Times New Roman" w:hAnsi="Times New Roman" w:cs="Times New Roman"/>
        </w:rPr>
        <w:t xml:space="preserve">Verificada a desconformidade de algum dos produtos, a licitante vencedora deverá promover as correções necessárias no prazo máximo de </w:t>
      </w:r>
      <w:r>
        <w:rPr>
          <w:rFonts w:hint="default" w:ascii="Times New Roman" w:hAnsi="Times New Roman" w:cs="Times New Roman"/>
          <w:lang w:val="pt-BR"/>
        </w:rPr>
        <w:t xml:space="preserve">72 </w:t>
      </w:r>
      <w:r>
        <w:rPr>
          <w:rFonts w:ascii="Times New Roman" w:hAnsi="Times New Roman" w:cs="Times New Roman"/>
        </w:rPr>
        <w:t>(</w:t>
      </w:r>
      <w:r>
        <w:rPr>
          <w:rFonts w:hint="default" w:ascii="Times New Roman" w:hAnsi="Times New Roman" w:cs="Times New Roman"/>
          <w:lang w:val="pt-BR"/>
        </w:rPr>
        <w:t>setenta e duas</w:t>
      </w:r>
      <w:r>
        <w:rPr>
          <w:rFonts w:ascii="Times New Roman" w:hAnsi="Times New Roman" w:cs="Times New Roman"/>
        </w:rPr>
        <w:t xml:space="preserve">) </w:t>
      </w:r>
      <w:r>
        <w:rPr>
          <w:rFonts w:hint="default" w:ascii="Times New Roman" w:hAnsi="Times New Roman" w:cs="Times New Roman"/>
          <w:lang w:val="pt-BR"/>
        </w:rPr>
        <w:t>horas</w:t>
      </w:r>
      <w:r>
        <w:rPr>
          <w:rFonts w:ascii="Times New Roman" w:hAnsi="Times New Roman" w:cs="Times New Roman"/>
        </w:rPr>
        <w:t>, sujeitando-se às penalidades previstas neste edital.</w:t>
      </w:r>
    </w:p>
    <w:p w14:paraId="75B9DD86">
      <w:pPr>
        <w:spacing w:after="0" w:line="240" w:lineRule="auto"/>
        <w:ind w:right="398" w:rightChars="181"/>
        <w:jc w:val="both"/>
        <w:rPr>
          <w:rFonts w:ascii="Times New Roman" w:hAnsi="Times New Roman"/>
        </w:rPr>
      </w:pPr>
    </w:p>
    <w:p w14:paraId="02C64705">
      <w:pPr>
        <w:tabs>
          <w:tab w:val="left" w:pos="9240"/>
          <w:tab w:val="left" w:pos="9460"/>
        </w:tabs>
        <w:spacing w:after="0" w:line="240" w:lineRule="auto"/>
        <w:jc w:val="both"/>
        <w:rPr>
          <w:rFonts w:ascii="Times New Roman" w:hAnsi="Times New Roman"/>
        </w:rPr>
      </w:pPr>
      <w:r>
        <w:rPr>
          <w:rFonts w:ascii="Times New Roman" w:hAnsi="Times New Roman" w:cs="Times New Roman"/>
          <w:b/>
          <w:bCs/>
        </w:rPr>
        <w:t xml:space="preserve">CLÁUSULA OITAVA </w:t>
      </w:r>
      <w:r>
        <w:rPr>
          <w:rFonts w:ascii="Times New Roman" w:hAnsi="Times New Roman" w:cs="Times New Roman"/>
        </w:rPr>
        <w:t>– São obrigações da DETENTORA:</w:t>
      </w:r>
    </w:p>
    <w:p w14:paraId="229E3815">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durante toda a vigência da Ata de Registro de Preço, compatibilidade com as obrigações por ela assumidas e as condições e qualificação exigidas no Edital da licitação;</w:t>
      </w:r>
    </w:p>
    <w:p w14:paraId="405D5D4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indicar preposto, bem como seu contato telefônico e eletrônico, para representá-la durante a execução desta Ata de Registro de Preços;</w:t>
      </w:r>
    </w:p>
    <w:p w14:paraId="0AD14647">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no caso de solicitações extras, atender prontamente ao MUNICÍPIO;</w:t>
      </w:r>
    </w:p>
    <w:p w14:paraId="47F1929A">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efetuar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14:paraId="26CE845C">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prestar todos os esclarecimentos que forem solicitados pelo MUNICÍPIO;</w:t>
      </w:r>
    </w:p>
    <w:p w14:paraId="64E0952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fornecer, sempre que solicitado pelo Município, comprovantes de pagamentos de empregados e do recolhimento dos encargos sociais, trabalhistas e fiscais, decorrentes da execução desta Ata de Registro de Preço;</w:t>
      </w:r>
    </w:p>
    <w:p w14:paraId="45543EA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transferir a outrem, no todo ou em parte, o objeto do presente instrumento, sem prévia e expressa anuência do MUNICÍPIO;</w:t>
      </w:r>
    </w:p>
    <w:p w14:paraId="173F5F5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caucionar ou utilizar esta Ata de Registro de Preço para qualquer operação financeira, sem a prévia e expressa anuência do MUNICÍPIO, sob pena de rescisão contratual;</w:t>
      </w:r>
    </w:p>
    <w:p w14:paraId="39CEC15D">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quadro de pessoal suficiente para atendimento das solicitações, conforme previsto neste instrumento, sem interrupção, seja por motivo de férias, descanso semanal, licença, falta ao serviço e demissão de empregado;</w:t>
      </w:r>
    </w:p>
    <w:p w14:paraId="5285F7B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utilizar pessoal qualificado, identificado, uniformizado, utilizando EPI's conforme determina a legislação, se for o caso, com bom comportamento, podendo ser exigida a substituição de qualquer empregado cujo comportamento seja julgado impróprio pelo MUNICÍPIO;</w:t>
      </w:r>
    </w:p>
    <w:p w14:paraId="131113B5">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responder por quaisquer danos pessoais e materiais ocasionados por seus funcionários durante a execução desta Ata de Registro de Preços;</w:t>
      </w:r>
    </w:p>
    <w:p w14:paraId="3111A6E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reparar, corrigir, remover ou substituir às suas expensas, qualquer dano que venha a surgir pelos serviços prestados;</w:t>
      </w:r>
    </w:p>
    <w:p w14:paraId="699411A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relatar ao MUNICÍPIO toda e qualquer irregularidade verificada no decorrer da execução desta Ata de Registro de Preço;</w:t>
      </w:r>
    </w:p>
    <w:p w14:paraId="4CDBC664">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indenizar o MUNICÍPIO e/ou terceiros em razão de prejuízos ou danos causados pela DETENTORA, decorrentes de dolo ou culpa, durante a execução desta Ata de Registro de Preço;</w:t>
      </w:r>
    </w:p>
    <w:p w14:paraId="3EEC2D28">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comunicar ao MUNICÍPIO, no prazo máximo de 2 (dois) dias que antecedem a data de entrega do objeto, os motivos que impossibilitem o cumprimento do prazo previsto, com a devida comprovação, sem prejuízo de eventuais penalidades, caso a justificativa não seja aceita.</w:t>
      </w:r>
    </w:p>
    <w:p w14:paraId="5080ABF0">
      <w:pPr>
        <w:tabs>
          <w:tab w:val="left" w:pos="9460"/>
        </w:tabs>
        <w:spacing w:beforeLines="50" w:after="0" w:line="240" w:lineRule="auto"/>
        <w:jc w:val="both"/>
        <w:rPr>
          <w:rFonts w:ascii="Times New Roman" w:hAnsi="Times New Roman"/>
        </w:rPr>
      </w:pPr>
      <w:r>
        <w:rPr>
          <w:rFonts w:ascii="Times New Roman" w:hAnsi="Times New Roman" w:cs="Times New Roman"/>
        </w:rPr>
        <w:t>§1° O MUNICÍPIO reserva-se ao direito de promover avaliações, inspeções e diligências visando esclarecer quaisquer situações relacionadas ao fornecimento do objeto contratado, sendo obrigação da DETENTORA acolhê-las.</w:t>
      </w:r>
    </w:p>
    <w:p w14:paraId="616E3ADA">
      <w:pPr>
        <w:tabs>
          <w:tab w:val="left" w:pos="9460"/>
        </w:tabs>
        <w:spacing w:beforeLines="50" w:after="0" w:line="240" w:lineRule="auto"/>
        <w:jc w:val="both"/>
        <w:rPr>
          <w:rFonts w:ascii="Times New Roman" w:hAnsi="Times New Roman"/>
        </w:rPr>
      </w:pPr>
      <w:r>
        <w:rPr>
          <w:rFonts w:ascii="Times New Roman" w:hAnsi="Times New Roman" w:cs="Times New Roman"/>
        </w:rPr>
        <w:t>§2° Para a execução do objeto desta Ata, não será permitida a subcontratação de empresa terceirizada, salvo sob expressa anuência do MUNICÍPIO, a qual deverá ser emitida pelo Gestor deste instrumento.</w:t>
      </w:r>
    </w:p>
    <w:p w14:paraId="1B869CAC">
      <w:pPr>
        <w:tabs>
          <w:tab w:val="left" w:pos="9460"/>
        </w:tabs>
        <w:spacing w:beforeLines="50" w:after="0" w:line="240" w:lineRule="auto"/>
        <w:jc w:val="both"/>
        <w:rPr>
          <w:rFonts w:ascii="Times New Roman" w:hAnsi="Times New Roman"/>
        </w:rPr>
      </w:pPr>
      <w:r>
        <w:rPr>
          <w:rFonts w:ascii="Times New Roman" w:hAnsi="Times New Roman" w:cs="Times New Roman"/>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14:paraId="5E022FBB">
      <w:pPr>
        <w:tabs>
          <w:tab w:val="left" w:pos="9460"/>
        </w:tabs>
        <w:spacing w:after="0" w:line="240" w:lineRule="auto"/>
        <w:jc w:val="both"/>
        <w:rPr>
          <w:rFonts w:ascii="Times New Roman" w:hAnsi="Times New Roman"/>
        </w:rPr>
      </w:pPr>
    </w:p>
    <w:p w14:paraId="0AD6BD03">
      <w:pPr>
        <w:tabs>
          <w:tab w:val="left" w:pos="9460"/>
        </w:tabs>
        <w:spacing w:after="0" w:line="240" w:lineRule="auto"/>
        <w:jc w:val="both"/>
        <w:rPr>
          <w:rFonts w:ascii="Times New Roman" w:hAnsi="Times New Roman"/>
        </w:rPr>
      </w:pPr>
      <w:r>
        <w:rPr>
          <w:rFonts w:ascii="Times New Roman" w:hAnsi="Times New Roman" w:cs="Times New Roman"/>
          <w:b/>
          <w:bCs/>
        </w:rPr>
        <w:t>CLÁUSULA NONA</w:t>
      </w:r>
      <w:r>
        <w:rPr>
          <w:rFonts w:ascii="Times New Roman" w:hAnsi="Times New Roman" w:cs="Times New Roman"/>
        </w:rPr>
        <w:t xml:space="preserve"> – O MUNICÍPIO obriga-se a:</w:t>
      </w:r>
    </w:p>
    <w:p w14:paraId="79B9F184">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solicitar à DETENTORA, em tempo hábil, os serviços para atender às suas necessidades;</w:t>
      </w:r>
    </w:p>
    <w:p w14:paraId="68F8A248">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fiscalizar o cumprimento desta Ata, por intermédio dos servidores designados;</w:t>
      </w:r>
    </w:p>
    <w:p w14:paraId="55EA63A3">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verificar a conformidade dos serviços prestados com as disposições desta Ata de Registro de Preço, do Edital da Licitação e da proposta da DETENTORA;</w:t>
      </w:r>
    </w:p>
    <w:p w14:paraId="1EA3B5E9">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efetuar o pagamento à DETENTORA, de acordo com a forma e prazo estabelecidos neste instrumento; e</w:t>
      </w:r>
    </w:p>
    <w:p w14:paraId="58749E18">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comunicar à DETENTORA a ocorrência de quaisquer fatos que, a seu critério, exijam correção por parte desta.</w:t>
      </w:r>
    </w:p>
    <w:p w14:paraId="145BCC44">
      <w:pPr>
        <w:tabs>
          <w:tab w:val="left" w:pos="9460"/>
        </w:tabs>
        <w:spacing w:beforeLines="50" w:after="0" w:line="240" w:lineRule="auto"/>
        <w:jc w:val="both"/>
        <w:rPr>
          <w:rFonts w:ascii="Times New Roman" w:hAnsi="Times New Roman"/>
        </w:rPr>
      </w:pPr>
      <w:r>
        <w:rPr>
          <w:rFonts w:ascii="Times New Roman" w:hAnsi="Times New Roman" w:cs="Times New Roman"/>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14:paraId="0844D13C">
      <w:pPr>
        <w:pStyle w:val="10"/>
        <w:tabs>
          <w:tab w:val="left" w:pos="9460"/>
        </w:tabs>
        <w:spacing w:before="253"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DÉCIMA </w:t>
      </w:r>
      <w:r>
        <w:rPr>
          <w:rFonts w:ascii="Times New Roman" w:hAnsi="Times New Roman" w:cs="Times New Roman"/>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Pr>
          <w:rFonts w:ascii="Times New Roman" w:hAnsi="Times New Roman" w:cs="Times New Roman"/>
          <w:lang w:val="pt-BR"/>
        </w:rPr>
        <w:t xml:space="preserve"> </w:t>
      </w:r>
    </w:p>
    <w:p w14:paraId="2C5C6115">
      <w:pPr>
        <w:pStyle w:val="10"/>
        <w:tabs>
          <w:tab w:val="left" w:pos="9460"/>
          <w:tab w:val="left" w:pos="10120"/>
        </w:tabs>
        <w:spacing w:before="253" w:line="240" w:lineRule="auto"/>
        <w:rPr>
          <w:rFonts w:ascii="Times New Roman" w:hAnsi="Times New Roman" w:cs="Times New Roman"/>
          <w:b/>
          <w:lang w:val="pt-BR"/>
        </w:rPr>
      </w:pPr>
      <w:r>
        <w:rPr>
          <w:rFonts w:ascii="Times New Roman" w:hAnsi="Times New Roman" w:cs="Times New Roman"/>
          <w:b/>
          <w:lang w:val="pt-BR"/>
        </w:rPr>
        <w:t xml:space="preserve">CLÁUSULA DÉCIMA PRIMEIRA - </w:t>
      </w:r>
      <w:r>
        <w:rPr>
          <w:rFonts w:ascii="Times New Roman" w:hAnsi="Times New Roman" w:cs="Times New Roman"/>
        </w:rPr>
        <w:t xml:space="preserve"> </w:t>
      </w:r>
      <w:r>
        <w:rPr>
          <w:rFonts w:ascii="Times New Roman" w:hAnsi="Times New Roman" w:eastAsia="ArialMT" w:cs="Times New Roman"/>
        </w:rPr>
        <w:t>A Ata de Registro de Preços poderá ser cancelada pela Administração, de pleno direito</w:t>
      </w:r>
      <w:r>
        <w:rPr>
          <w:rFonts w:ascii="Times New Roman" w:hAnsi="Times New Roman" w:eastAsia="ArialMT" w:cs="Times New Roman"/>
          <w:lang w:val="pt-BR"/>
        </w:rPr>
        <w:t>, quando:</w:t>
      </w:r>
    </w:p>
    <w:p w14:paraId="4800860E">
      <w:pPr>
        <w:numPr>
          <w:ilvl w:val="0"/>
          <w:numId w:val="5"/>
        </w:numPr>
        <w:tabs>
          <w:tab w:val="left" w:pos="2268"/>
          <w:tab w:val="left" w:pos="9460"/>
        </w:tabs>
        <w:spacing w:after="0" w:line="240" w:lineRule="auto"/>
        <w:jc w:val="both"/>
        <w:rPr>
          <w:rFonts w:ascii="Times New Roman" w:hAnsi="Times New Roman"/>
        </w:rPr>
      </w:pPr>
      <w:r>
        <w:rPr>
          <w:rFonts w:ascii="Times New Roman" w:hAnsi="Times New Roman" w:cs="Times New Roman"/>
        </w:rPr>
        <w:t>o fornecedor descumprir total ou parcialmente as condições da ata de registro de preços;</w:t>
      </w:r>
    </w:p>
    <w:p w14:paraId="047B871D">
      <w:pPr>
        <w:tabs>
          <w:tab w:val="left" w:pos="9460"/>
        </w:tabs>
        <w:spacing w:after="0" w:line="240" w:lineRule="auto"/>
        <w:jc w:val="both"/>
        <w:rPr>
          <w:rFonts w:ascii="Times New Roman" w:hAnsi="Times New Roman"/>
        </w:rPr>
      </w:pPr>
      <w:r>
        <w:rPr>
          <w:rFonts w:ascii="Times New Roman" w:hAnsi="Times New Roman" w:cs="Times New Roman"/>
        </w:rPr>
        <w:t xml:space="preserve">b) o fornecedor não retirar a nota de empenho, ou instrumento equivalente, no prazo estabelecido pela Administração, sem justificativa aceitável; </w:t>
      </w:r>
    </w:p>
    <w:p w14:paraId="48C0F283">
      <w:pPr>
        <w:tabs>
          <w:tab w:val="left" w:pos="9460"/>
        </w:tabs>
        <w:spacing w:after="0" w:line="240" w:lineRule="auto"/>
        <w:jc w:val="both"/>
        <w:rPr>
          <w:rFonts w:ascii="Times New Roman" w:hAnsi="Times New Roman"/>
        </w:rPr>
      </w:pPr>
      <w:r>
        <w:rPr>
          <w:rFonts w:ascii="Times New Roman" w:hAnsi="Times New Roman" w:cs="Times New Roman"/>
        </w:rPr>
        <w:t xml:space="preserve">c) </w:t>
      </w:r>
      <w:r>
        <w:rPr>
          <w:rFonts w:ascii="Times New Roman" w:hAnsi="Times New Roman" w:eastAsia="SimSun" w:cs="Times New Roman"/>
        </w:rPr>
        <w:t>não aceitar reduzir o seu preço registrado, na hipótese deste se tornar superior àqueles praticados no mercado;</w:t>
      </w:r>
    </w:p>
    <w:p w14:paraId="15555FA3">
      <w:pPr>
        <w:tabs>
          <w:tab w:val="left" w:pos="9460"/>
        </w:tabs>
        <w:spacing w:after="0" w:line="240" w:lineRule="auto"/>
        <w:jc w:val="both"/>
        <w:rPr>
          <w:rFonts w:ascii="Times New Roman" w:hAnsi="Times New Roman"/>
        </w:rPr>
      </w:pPr>
      <w:r>
        <w:rPr>
          <w:rFonts w:ascii="Times New Roman" w:hAnsi="Times New Roman" w:cs="Times New Roman"/>
        </w:rPr>
        <w:t>d) o fornecedor sofrer a sanção prevista nos incisos III ou IV do caput do art. 156 da Lei Federal nº 14.133/2021.</w:t>
      </w:r>
    </w:p>
    <w:p w14:paraId="0B57B1B1">
      <w:pPr>
        <w:tabs>
          <w:tab w:val="left" w:pos="9460"/>
        </w:tabs>
        <w:spacing w:after="0" w:line="240" w:lineRule="auto"/>
        <w:jc w:val="both"/>
        <w:rPr>
          <w:rFonts w:ascii="Times New Roman" w:hAnsi="Times New Roman"/>
        </w:rPr>
      </w:pPr>
      <w:r>
        <w:rPr>
          <w:rFonts w:ascii="Times New Roman" w:hAnsi="Times New Roman" w:cs="Times New Roman"/>
        </w:rPr>
        <w:t>e) ocorrer fato superveniente, decorrente de caso fortuito ou força maior, que prejudique o cumprimento da ata, devidamente comprovados e justificados, por razão de interesse público ou a pedido do fornecedor.</w:t>
      </w:r>
    </w:p>
    <w:p w14:paraId="6B016555">
      <w:pPr>
        <w:spacing w:after="0" w:line="240" w:lineRule="auto"/>
        <w:ind w:right="398" w:rightChars="181"/>
        <w:jc w:val="both"/>
        <w:rPr>
          <w:rFonts w:ascii="Times New Roman" w:hAnsi="Times New Roman"/>
        </w:rPr>
      </w:pPr>
    </w:p>
    <w:p w14:paraId="299627FE">
      <w:pPr>
        <w:spacing w:after="0" w:line="240" w:lineRule="auto"/>
        <w:jc w:val="both"/>
        <w:rPr>
          <w:rFonts w:ascii="Times New Roman" w:hAnsi="Times New Roman" w:eastAsia="ArialMT"/>
        </w:rPr>
      </w:pPr>
      <w:r>
        <w:rPr>
          <w:rFonts w:ascii="Times New Roman" w:hAnsi="Times New Roman" w:cs="Times New Roman"/>
          <w:b/>
          <w:bCs/>
        </w:rPr>
        <w:t>CLÁUSULA DÉCIMA SEGUNDA</w:t>
      </w:r>
      <w:r>
        <w:rPr>
          <w:rFonts w:ascii="Times New Roman" w:hAnsi="Times New Roman" w:cs="Times New Roman"/>
        </w:rPr>
        <w:t xml:space="preserve"> - </w:t>
      </w:r>
      <w:r>
        <w:rPr>
          <w:rFonts w:ascii="Times New Roman" w:hAnsi="Times New Roman" w:eastAsia="ArialMT" w:cs="Times New Roman"/>
        </w:rPr>
        <w:t>A recusa injustificada da empresa em prestar os serviços descrito na Cláusula Primeira, de conformidade com a proposta classificada na licitação, ensejará a aplicação das penalidades previstas em Edital e no art. 155 da Lei nº 14.133/2021, a critério da Administração, podendo ser aplicada sanção de:</w:t>
      </w:r>
    </w:p>
    <w:p w14:paraId="59AABF1F">
      <w:pPr>
        <w:spacing w:after="0" w:line="240" w:lineRule="auto"/>
        <w:jc w:val="both"/>
        <w:rPr>
          <w:rFonts w:ascii="Times New Roman" w:hAnsi="Times New Roman"/>
        </w:rPr>
      </w:pPr>
      <w:r>
        <w:rPr>
          <w:rFonts w:ascii="Times New Roman" w:hAnsi="Times New Roman" w:cs="Times New Roman"/>
        </w:rPr>
        <w:t>a) advertência;</w:t>
      </w:r>
    </w:p>
    <w:p w14:paraId="6AE5E784">
      <w:pPr>
        <w:spacing w:after="0" w:line="240" w:lineRule="auto"/>
        <w:jc w:val="both"/>
        <w:rPr>
          <w:rFonts w:ascii="Times New Roman" w:hAnsi="Times New Roman"/>
        </w:rPr>
      </w:pPr>
      <w:bookmarkStart w:id="0" w:name="art156ii"/>
      <w:bookmarkEnd w:id="0"/>
      <w:r>
        <w:rPr>
          <w:rFonts w:ascii="Times New Roman" w:hAnsi="Times New Roman" w:cs="Times New Roman"/>
        </w:rPr>
        <w:t>b) multa de no mínimo 0,5% (cinco décimos por cento) e máximo de 30% (trinta por cento) do valor do objeto licitado ou contratado;</w:t>
      </w:r>
    </w:p>
    <w:p w14:paraId="36709192">
      <w:pPr>
        <w:spacing w:after="0" w:line="240" w:lineRule="auto"/>
        <w:jc w:val="both"/>
        <w:rPr>
          <w:rFonts w:ascii="Times New Roman" w:hAnsi="Times New Roman"/>
        </w:rPr>
      </w:pPr>
      <w:bookmarkStart w:id="1" w:name="art156iii"/>
      <w:bookmarkEnd w:id="1"/>
      <w:r>
        <w:rPr>
          <w:rFonts w:ascii="Times New Roman" w:hAnsi="Times New Roman" w:cs="Times New Roman"/>
        </w:rPr>
        <w:t>c) impedimento de licitar e contratar, no âmbito da Administração Pública direta e indireta do órgão licitante, pelo prazo máximo de 3 (três) anos.</w:t>
      </w:r>
    </w:p>
    <w:p w14:paraId="19D046BE">
      <w:pPr>
        <w:spacing w:after="0" w:line="240" w:lineRule="auto"/>
        <w:jc w:val="both"/>
        <w:rPr>
          <w:rFonts w:ascii="Times New Roman" w:hAnsi="Times New Roman"/>
        </w:rPr>
      </w:pPr>
      <w:bookmarkStart w:id="2" w:name="art156iv"/>
      <w:bookmarkEnd w:id="2"/>
      <w:r>
        <w:rPr>
          <w:rFonts w:ascii="Times New Roman" w:hAnsi="Times New Roman" w:cs="Times New Roman"/>
        </w:rPr>
        <w:t>d) declaração de inidoneidade para licitar ou contratar</w:t>
      </w:r>
      <w:bookmarkStart w:id="3" w:name="art156§2"/>
      <w:bookmarkEnd w:id="3"/>
      <w:bookmarkStart w:id="4" w:name="art156§5"/>
      <w:bookmarkEnd w:id="4"/>
      <w:bookmarkStart w:id="5" w:name="art156§1"/>
      <w:bookmarkEnd w:id="5"/>
      <w:r>
        <w:rPr>
          <w:rFonts w:ascii="Times New Roman" w:hAnsi="Times New Roman" w:cs="Times New Roman"/>
        </w:rPr>
        <w:t xml:space="preserve"> no âmbito da Administração Pública direta e indireta de todos os entes federativos, pelo prazo mínimo de 3 (três) anos e máximo de 6 (seis) anos.</w:t>
      </w:r>
    </w:p>
    <w:p w14:paraId="638DAFB6">
      <w:pPr>
        <w:spacing w:after="0" w:line="240" w:lineRule="auto"/>
        <w:jc w:val="both"/>
        <w:rPr>
          <w:rFonts w:ascii="Times New Roman" w:hAnsi="Times New Roman"/>
        </w:rPr>
      </w:pPr>
    </w:p>
    <w:p w14:paraId="02875218">
      <w:pPr>
        <w:pStyle w:val="10"/>
        <w:tabs>
          <w:tab w:val="left" w:pos="9900"/>
          <w:tab w:val="left" w:pos="10120"/>
        </w:tabs>
        <w:spacing w:before="1" w:line="240" w:lineRule="auto"/>
        <w:rPr>
          <w:rFonts w:ascii="Times New Roman" w:hAnsi="Times New Roman" w:cs="Times New Roman"/>
          <w:bCs/>
          <w:lang w:val="pt-BR"/>
        </w:rPr>
      </w:pPr>
      <w:r>
        <w:rPr>
          <w:rFonts w:ascii="Times New Roman" w:hAnsi="Times New Roman" w:cs="Times New Roman"/>
          <w:b/>
          <w:lang w:val="pt-BR"/>
        </w:rPr>
        <w:t>CL</w:t>
      </w:r>
      <w:r>
        <w:rPr>
          <w:rFonts w:ascii="Times New Roman" w:hAnsi="Times New Roman" w:cs="Times New Roman"/>
          <w:b/>
        </w:rPr>
        <w:t xml:space="preserve">ÁUSULA DÉCIMA </w:t>
      </w:r>
      <w:r>
        <w:rPr>
          <w:rFonts w:ascii="Times New Roman" w:hAnsi="Times New Roman" w:cs="Times New Roman"/>
          <w:b/>
          <w:lang w:val="pt-BR"/>
        </w:rPr>
        <w:t xml:space="preserve">TERCEIRA </w:t>
      </w:r>
      <w:r>
        <w:rPr>
          <w:rFonts w:ascii="Times New Roman" w:hAnsi="Times New Roman" w:cs="Times New Roman"/>
          <w:b/>
        </w:rPr>
        <w:t xml:space="preserve">– </w:t>
      </w:r>
      <w:r>
        <w:rPr>
          <w:rFonts w:ascii="Times New Roman" w:hAnsi="Times New Roman" w:cs="Times New Roman"/>
          <w:bCs/>
        </w:rPr>
        <w:t xml:space="preserve">Da </w:t>
      </w:r>
      <w:r>
        <w:rPr>
          <w:rFonts w:ascii="Times New Roman" w:hAnsi="Times New Roman" w:cs="Times New Roman"/>
          <w:bCs/>
          <w:lang w:val="pt-BR"/>
        </w:rPr>
        <w:t>a</w:t>
      </w:r>
      <w:r>
        <w:rPr>
          <w:rFonts w:ascii="Times New Roman" w:hAnsi="Times New Roman" w:cs="Times New Roman"/>
          <w:bCs/>
        </w:rPr>
        <w:t xml:space="preserve">dequação à Lei Geral </w:t>
      </w:r>
      <w:r>
        <w:rPr>
          <w:rFonts w:ascii="Times New Roman" w:hAnsi="Times New Roman" w:cs="Times New Roman"/>
          <w:bCs/>
          <w:lang w:val="pt-BR"/>
        </w:rPr>
        <w:t>d</w:t>
      </w:r>
      <w:r>
        <w:rPr>
          <w:rFonts w:ascii="Times New Roman" w:hAnsi="Times New Roman" w:cs="Times New Roman"/>
          <w:bCs/>
        </w:rPr>
        <w:t xml:space="preserve">e Proteção </w:t>
      </w:r>
      <w:r>
        <w:rPr>
          <w:rFonts w:ascii="Times New Roman" w:hAnsi="Times New Roman" w:cs="Times New Roman"/>
          <w:bCs/>
          <w:lang w:val="pt-BR"/>
        </w:rPr>
        <w:t>d</w:t>
      </w:r>
      <w:r>
        <w:rPr>
          <w:rFonts w:ascii="Times New Roman" w:hAnsi="Times New Roman" w:cs="Times New Roman"/>
          <w:bCs/>
        </w:rPr>
        <w:t>e Dados Pessoais - Lei Nº 13.709/2018 (L</w:t>
      </w:r>
      <w:r>
        <w:rPr>
          <w:rFonts w:ascii="Times New Roman" w:hAnsi="Times New Roman" w:cs="Times New Roman"/>
          <w:bCs/>
          <w:lang w:val="pt-BR"/>
        </w:rPr>
        <w:t>GPD</w:t>
      </w:r>
      <w:r>
        <w:rPr>
          <w:rFonts w:ascii="Times New Roman" w:hAnsi="Times New Roman" w:cs="Times New Roman"/>
          <w:bCs/>
        </w:rPr>
        <w:t>)</w:t>
      </w:r>
      <w:r>
        <w:rPr>
          <w:rFonts w:ascii="Times New Roman" w:hAnsi="Times New Roman" w:cs="Times New Roman"/>
          <w:bCs/>
          <w:lang w:val="pt-BR"/>
        </w:rPr>
        <w:t>.</w:t>
      </w:r>
    </w:p>
    <w:p w14:paraId="5DDD89E7">
      <w:pPr>
        <w:keepNext w:val="0"/>
        <w:keepLines w:val="0"/>
        <w:pageBreakBefore w:val="0"/>
        <w:widowControl/>
        <w:numPr>
          <w:ilvl w:val="0"/>
          <w:numId w:val="6"/>
        </w:numPr>
        <w:tabs>
          <w:tab w:val="left" w:pos="2268"/>
        </w:tabs>
        <w:kinsoku/>
        <w:wordWrap/>
        <w:overflowPunct/>
        <w:topLinePunct w:val="0"/>
        <w:autoSpaceDE/>
        <w:autoSpaceDN/>
        <w:bidi w:val="0"/>
        <w:adjustRightInd/>
        <w:snapToGrid/>
        <w:spacing w:after="0" w:line="240" w:lineRule="auto"/>
        <w:ind w:left="0" w:leftChars="0" w:firstLine="0" w:firstLineChars="0"/>
        <w:jc w:val="both"/>
        <w:textAlignment w:val="auto"/>
        <w:rPr>
          <w:rFonts w:ascii="Times New Roman" w:hAnsi="Times New Roman"/>
        </w:rPr>
      </w:pPr>
      <w:r>
        <w:rPr>
          <w:rFonts w:ascii="Times New Roman" w:hAnsi="Times New Roman" w:cs="Times New Roman"/>
        </w:rPr>
        <w:t>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14:paraId="6C74AC8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ascii="Times New Roman" w:hAnsi="Times New Roman"/>
        </w:rPr>
      </w:pPr>
      <w:r>
        <w:rPr>
          <w:rFonts w:ascii="Times New Roman" w:hAnsi="Times New Roman" w:cs="Times New Roman"/>
        </w:rPr>
        <w:t xml:space="preserve">b) A definição das PARTES enquanto controladores, operadores ou controladores conjuntos será prevista no Relatório de Atividade de Tratamento (RAT), elaborado pelo(s) controlador(es),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14:paraId="32E0BEB5">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ascii="Times New Roman" w:hAnsi="Times New Roman"/>
        </w:rPr>
      </w:pPr>
      <w:r>
        <w:rPr>
          <w:rFonts w:ascii="Times New Roman" w:hAnsi="Times New Roman" w:cs="Times New Roman"/>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14:paraId="72126FCD">
      <w:pPr>
        <w:spacing w:after="0" w:line="240" w:lineRule="auto"/>
        <w:jc w:val="both"/>
        <w:rPr>
          <w:rFonts w:ascii="Times New Roman" w:hAnsi="Times New Roman"/>
        </w:rPr>
      </w:pPr>
    </w:p>
    <w:p w14:paraId="70CE142E">
      <w:pPr>
        <w:spacing w:after="0" w:line="240" w:lineRule="auto"/>
        <w:jc w:val="both"/>
        <w:rPr>
          <w:rFonts w:ascii="Times New Roman" w:hAnsi="Times New Roman"/>
        </w:rPr>
      </w:pPr>
      <w:r>
        <w:rPr>
          <w:rFonts w:ascii="Times New Roman" w:hAnsi="Times New Roman" w:cs="Times New Roman"/>
          <w:b/>
          <w:bCs/>
        </w:rPr>
        <w:t>CLÁUSULA DÉCIMA QUARTA</w:t>
      </w:r>
      <w:r>
        <w:rPr>
          <w:rFonts w:ascii="Times New Roman" w:hAnsi="Times New Roman" w:cs="Times New Roman"/>
        </w:rPr>
        <w:t xml:space="preserve"> - Integram este instrumento o Edital no Pregão na Forma Eletrônica nº </w:t>
      </w:r>
      <w:r>
        <w:rPr>
          <w:rFonts w:ascii="Times New Roman" w:hAnsi="Times New Roman"/>
        </w:rPr>
        <w:t>0</w:t>
      </w:r>
      <w:r>
        <w:rPr>
          <w:rFonts w:hint="default" w:ascii="Times New Roman" w:hAnsi="Times New Roman"/>
          <w:lang w:val="pt-BR"/>
        </w:rPr>
        <w:t>02/2026</w:t>
      </w:r>
      <w:r>
        <w:rPr>
          <w:rFonts w:ascii="Times New Roman" w:hAnsi="Times New Roman" w:cs="Times New Roman"/>
        </w:rPr>
        <w:t xml:space="preserve">, seus anexos, em especial o Termo de Referência, e a proposta da </w:t>
      </w:r>
      <w:r>
        <w:rPr>
          <w:rFonts w:ascii="Times New Roman" w:hAnsi="Times New Roman" w:cs="Times New Roman"/>
          <w:spacing w:val="-2"/>
        </w:rPr>
        <w:t>DETENTORA.</w:t>
      </w:r>
    </w:p>
    <w:p w14:paraId="0658F32E">
      <w:pPr>
        <w:spacing w:before="253" w:after="0" w:line="240" w:lineRule="auto"/>
        <w:jc w:val="both"/>
        <w:rPr>
          <w:rFonts w:ascii="Times New Roman" w:hAnsi="Times New Roman"/>
        </w:rPr>
      </w:pPr>
      <w:r>
        <w:rPr>
          <w:rFonts w:ascii="Times New Roman" w:hAnsi="Times New Roman" w:cs="Times New Roman"/>
          <w:b/>
        </w:rPr>
        <w:t xml:space="preserve">CLÁUSULA DÉCIMA QUINTA – </w:t>
      </w:r>
      <w:r>
        <w:rPr>
          <w:rFonts w:ascii="Times New Roman" w:hAnsi="Times New Roman" w:cs="Times New Roman"/>
        </w:rPr>
        <w:t>Fica eleito o Foro da Comarca de Teutônia/RS para as questões resultantes desta Ata.</w:t>
      </w:r>
    </w:p>
    <w:p w14:paraId="659D4AE1">
      <w:pPr>
        <w:spacing w:after="0" w:line="240" w:lineRule="auto"/>
        <w:ind w:right="398" w:rightChars="181"/>
        <w:rPr>
          <w:rFonts w:ascii="Times New Roman" w:hAnsi="Times New Roman"/>
        </w:rPr>
      </w:pPr>
    </w:p>
    <w:p w14:paraId="08653763">
      <w:pPr>
        <w:tabs>
          <w:tab w:val="left" w:pos="4253"/>
        </w:tabs>
        <w:spacing w:after="0" w:line="240" w:lineRule="auto"/>
        <w:ind w:right="398" w:rightChars="181"/>
        <w:rPr>
          <w:rFonts w:ascii="Times New Roman" w:hAnsi="Times New Roman"/>
        </w:rPr>
      </w:pPr>
    </w:p>
    <w:p w14:paraId="19A064D5">
      <w:pPr>
        <w:tabs>
          <w:tab w:val="left" w:pos="4253"/>
        </w:tabs>
        <w:spacing w:after="0" w:line="240" w:lineRule="auto"/>
        <w:ind w:right="398" w:rightChars="181"/>
        <w:rPr>
          <w:rFonts w:ascii="Times New Roman" w:hAnsi="Times New Roman"/>
        </w:rPr>
      </w:pPr>
    </w:p>
    <w:p w14:paraId="6E26F3B5">
      <w:pPr>
        <w:tabs>
          <w:tab w:val="left" w:pos="4253"/>
        </w:tabs>
        <w:spacing w:after="0" w:line="240" w:lineRule="auto"/>
        <w:ind w:right="398" w:rightChars="181" w:firstLine="220" w:firstLineChars="100"/>
        <w:rPr>
          <w:rFonts w:ascii="Times New Roman" w:hAnsi="Times New Roman"/>
        </w:rPr>
      </w:pPr>
      <w:r>
        <w:rPr>
          <w:rFonts w:ascii="Times New Roman" w:hAnsi="Times New Roman" w:cs="Times New Roman"/>
        </w:rPr>
        <w:t>______________________                                                       _________________________</w:t>
      </w:r>
    </w:p>
    <w:p w14:paraId="379B086A">
      <w:pPr>
        <w:tabs>
          <w:tab w:val="left" w:pos="4253"/>
        </w:tabs>
        <w:spacing w:after="0" w:line="240" w:lineRule="auto"/>
        <w:ind w:right="398" w:rightChars="181"/>
        <w:rPr>
          <w:rFonts w:ascii="Times New Roman" w:hAnsi="Times New Roman"/>
        </w:rPr>
      </w:pPr>
      <w:r>
        <w:rPr>
          <w:rFonts w:ascii="Times New Roman" w:hAnsi="Times New Roman" w:cs="Times New Roman"/>
        </w:rPr>
        <w:t>RENATO AIRTON ALTMANN                                                           CONTRATADA</w:t>
      </w:r>
    </w:p>
    <w:p w14:paraId="708AFD2D">
      <w:pPr>
        <w:tabs>
          <w:tab w:val="left" w:pos="4253"/>
        </w:tabs>
        <w:spacing w:after="0" w:line="240" w:lineRule="auto"/>
        <w:ind w:right="398" w:rightChars="181" w:firstLine="440" w:firstLineChars="200"/>
        <w:rPr>
          <w:rFonts w:ascii="Times New Roman" w:hAnsi="Times New Roman"/>
        </w:rPr>
      </w:pPr>
      <w:r>
        <w:rPr>
          <w:rFonts w:ascii="Times New Roman" w:hAnsi="Times New Roman" w:cs="Times New Roman"/>
        </w:rPr>
        <w:t>Prefeito Municipal                                                            Representante da CONTRATADA</w:t>
      </w:r>
    </w:p>
    <w:p w14:paraId="573DF54C">
      <w:pPr>
        <w:rPr>
          <w:szCs w:val="24"/>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Lucida Sans Unicode">
    <w:panose1 w:val="020B0602030504020204"/>
    <w:charset w:val="00"/>
    <w:family w:val="swiss"/>
    <w:pitch w:val="default"/>
    <w:sig w:usb0="80001AFF" w:usb1="0000396B" w:usb2="00000000" w:usb3="00000000" w:csb0="200000BF" w:csb1="D7F70000"/>
  </w:font>
  <w:font w:name="Mangal">
    <w:altName w:val="Segoe Print"/>
    <w:panose1 w:val="00000400000000000000"/>
    <w:charset w:val="01"/>
    <w:family w:val="roman"/>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1" w:csb1="00000000"/>
  </w:font>
  <w:font w:name="ArialMT">
    <w:altName w:val="Times New Roman"/>
    <w:panose1 w:val="00000000000000000000"/>
    <w:charset w:val="00"/>
    <w:family w:val="auto"/>
    <w:pitch w:val="default"/>
    <w:sig w:usb0="00000000" w:usb1="00000000" w:usb2="00000000" w:usb3="00000000" w:csb0="00000001" w:csb1="00000000"/>
  </w:font>
  <w:font w:name="Arial Unicode MS">
    <w:panose1 w:val="020B0604020202020204"/>
    <w:charset w:val="86"/>
    <w:family w:val="roman"/>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Segoe Print"/>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73968">
    <w:pPr>
      <w:tabs>
        <w:tab w:val="center" w:pos="4680"/>
        <w:tab w:val="right" w:pos="10050"/>
      </w:tabs>
      <w:spacing w:after="0" w:line="240" w:lineRule="auto"/>
      <w:ind w:left="-992" w:right="-1032"/>
      <w:jc w:val="center"/>
      <w:rPr>
        <w:rFonts w:hint="default" w:ascii="Times New Roman" w:hAnsi="Times New Roman" w:eastAsia="Montserrat" w:cs="Times New Roman"/>
        <w:color w:val="1155CC"/>
        <w:sz w:val="20"/>
        <w:szCs w:val="20"/>
      </w:rPr>
    </w:pPr>
    <w:r>
      <w:rPr>
        <w:rFonts w:hint="default" w:ascii="Times New Roman" w:hAnsi="Times New Roman" w:eastAsia="Montserrat" w:cs="Times New Roman"/>
        <w:color w:val="1155CC"/>
        <w:sz w:val="20"/>
        <w:szCs w:val="20"/>
      </w:rPr>
      <w:t xml:space="preserve">Av. 1 Oeste, 878, Bairro Centro Administrativo, Teutônia | RS | (51) 3762-7700  </w:t>
    </w:r>
  </w:p>
  <w:p w14:paraId="2D85E05E">
    <w:pPr>
      <w:pStyle w:val="14"/>
      <w:jc w:val="center"/>
      <w:rPr>
        <w:rFonts w:hint="default" w:ascii="Times New Roman" w:hAnsi="Times New Roman" w:cs="Times New Roman"/>
      </w:rPr>
    </w:pPr>
    <w:r>
      <w:rPr>
        <w:rFonts w:hint="default" w:ascii="Times New Roman" w:hAnsi="Times New Roman" w:eastAsia="Montserrat" w:cs="Times New Roman"/>
        <w:color w:val="1155CC"/>
        <w:sz w:val="20"/>
        <w:szCs w:val="20"/>
      </w:rPr>
      <w:t>e-mail: licita@teutonia.rs.gov.br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38DC7">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68962">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5"/>
      <w:tblW w:w="9090" w:type="dxa"/>
      <w:jc w:val="center"/>
      <w:tblLayout w:type="fixed"/>
      <w:tblCellMar>
        <w:top w:w="0" w:type="dxa"/>
        <w:left w:w="108" w:type="dxa"/>
        <w:bottom w:w="0" w:type="dxa"/>
        <w:right w:w="108" w:type="dxa"/>
      </w:tblCellMar>
    </w:tblPr>
    <w:tblGrid>
      <w:gridCol w:w="9090"/>
    </w:tblGrid>
    <w:tr w14:paraId="0DEF7CB9">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4B9F95D1">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59F33F29">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C17FD">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3BF34">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06309"/>
    <w:multiLevelType w:val="singleLevel"/>
    <w:tmpl w:val="9AA06309"/>
    <w:lvl w:ilvl="0" w:tentative="0">
      <w:start w:val="1"/>
      <w:numFmt w:val="lowerLetter"/>
      <w:suff w:val="space"/>
      <w:lvlText w:val="%1)"/>
      <w:lvlJc w:val="left"/>
    </w:lvl>
  </w:abstractNum>
  <w:abstractNum w:abstractNumId="1">
    <w:nsid w:val="A9066C10"/>
    <w:multiLevelType w:val="singleLevel"/>
    <w:tmpl w:val="A9066C10"/>
    <w:lvl w:ilvl="0" w:tentative="0">
      <w:start w:val="1"/>
      <w:numFmt w:val="lowerLetter"/>
      <w:suff w:val="space"/>
      <w:lvlText w:val="%1)"/>
      <w:lvlJc w:val="left"/>
    </w:lvl>
  </w:abstractNum>
  <w:abstractNum w:abstractNumId="2">
    <w:nsid w:val="AC2083D9"/>
    <w:multiLevelType w:val="singleLevel"/>
    <w:tmpl w:val="AC2083D9"/>
    <w:lvl w:ilvl="0" w:tentative="0">
      <w:start w:val="1"/>
      <w:numFmt w:val="lowerLetter"/>
      <w:suff w:val="space"/>
      <w:lvlText w:val="%1)"/>
      <w:lvlJc w:val="left"/>
    </w:lvl>
  </w:abstractNum>
  <w:abstractNum w:abstractNumId="3">
    <w:nsid w:val="489D8CFE"/>
    <w:multiLevelType w:val="singleLevel"/>
    <w:tmpl w:val="489D8CFE"/>
    <w:lvl w:ilvl="0" w:tentative="0">
      <w:start w:val="1"/>
      <w:numFmt w:val="lowerLetter"/>
      <w:suff w:val="space"/>
      <w:lvlText w:val="%1)"/>
      <w:lvlJc w:val="left"/>
    </w:lvl>
  </w:abstractNum>
  <w:abstractNum w:abstractNumId="4">
    <w:nsid w:val="7415575B"/>
    <w:multiLevelType w:val="singleLevel"/>
    <w:tmpl w:val="7415575B"/>
    <w:lvl w:ilvl="0" w:tentative="0">
      <w:start w:val="1"/>
      <w:numFmt w:val="lowerLetter"/>
      <w:suff w:val="space"/>
      <w:lvlText w:val="%1)"/>
      <w:lvlJc w:val="left"/>
    </w:lvl>
  </w:abstractNum>
  <w:abstractNum w:abstractNumId="5">
    <w:nsid w:val="75872450"/>
    <w:multiLevelType w:val="singleLevel"/>
    <w:tmpl w:val="75872450"/>
    <w:lvl w:ilvl="0" w:tentative="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hyphenationZone w:val="425"/>
  <w:characterSpacingControl w:val="doNotCompress"/>
  <w:hdrShapeDefaults>
    <o:shapelayout v:ext="edit">
      <o:idmap v:ext="edit" data="1"/>
    </o:shapelayout>
  </w:hdrShapeDefaults>
  <w:footnotePr>
    <w:footnote w:id="0"/>
    <w:footnote w:id="1"/>
  </w:footnotePr>
  <w:endnotePr>
    <w:endnote w:id="0"/>
    <w:endnote w:id="1"/>
  </w:endnotePr>
  <w:compat>
    <w:compatSetting w:name="compatibilityMode" w:uri="http://schemas.microsoft.com/office/word" w:val="12"/>
  </w:compat>
  <w:rsids>
    <w:rsidRoot w:val="00DD05C7"/>
    <w:rsid w:val="000D30D1"/>
    <w:rsid w:val="001361D2"/>
    <w:rsid w:val="00143317"/>
    <w:rsid w:val="0019142F"/>
    <w:rsid w:val="001C6628"/>
    <w:rsid w:val="002017A7"/>
    <w:rsid w:val="00305A3F"/>
    <w:rsid w:val="003A6F98"/>
    <w:rsid w:val="0040361B"/>
    <w:rsid w:val="004245D2"/>
    <w:rsid w:val="004509F5"/>
    <w:rsid w:val="004D27E2"/>
    <w:rsid w:val="004D2F54"/>
    <w:rsid w:val="00532771"/>
    <w:rsid w:val="005A7840"/>
    <w:rsid w:val="00707EF1"/>
    <w:rsid w:val="00710BDD"/>
    <w:rsid w:val="00742D45"/>
    <w:rsid w:val="0079516A"/>
    <w:rsid w:val="007D1974"/>
    <w:rsid w:val="0084451C"/>
    <w:rsid w:val="00850783"/>
    <w:rsid w:val="008A7458"/>
    <w:rsid w:val="008F31A1"/>
    <w:rsid w:val="009E6F53"/>
    <w:rsid w:val="00A0182F"/>
    <w:rsid w:val="00A245CA"/>
    <w:rsid w:val="00A25E2D"/>
    <w:rsid w:val="00A77C75"/>
    <w:rsid w:val="00A85D9E"/>
    <w:rsid w:val="00AD0487"/>
    <w:rsid w:val="00B02493"/>
    <w:rsid w:val="00B039BC"/>
    <w:rsid w:val="00BF55EB"/>
    <w:rsid w:val="00C158C7"/>
    <w:rsid w:val="00C31491"/>
    <w:rsid w:val="00C37427"/>
    <w:rsid w:val="00C73FB5"/>
    <w:rsid w:val="00C85173"/>
    <w:rsid w:val="00CF71AA"/>
    <w:rsid w:val="00D470C6"/>
    <w:rsid w:val="00DD05C7"/>
    <w:rsid w:val="00E278AF"/>
    <w:rsid w:val="00E439EF"/>
    <w:rsid w:val="00EE2C84"/>
    <w:rsid w:val="00F87924"/>
    <w:rsid w:val="00FE709C"/>
    <w:rsid w:val="161C2DFA"/>
    <w:rsid w:val="1F641B0F"/>
    <w:rsid w:val="36832FFC"/>
    <w:rsid w:val="691936F4"/>
    <w:rsid w:val="6BE02D0B"/>
    <w:rsid w:val="7E5C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ody Text"/>
    <w:basedOn w:val="1"/>
    <w:link w:val="27"/>
    <w:qFormat/>
    <w:uiPriority w:val="1"/>
    <w:pPr>
      <w:tabs>
        <w:tab w:val="left" w:pos="2268"/>
      </w:tabs>
      <w:spacing w:before="120" w:after="120" w:line="360" w:lineRule="auto"/>
      <w:jc w:val="both"/>
    </w:pPr>
    <w:rPr>
      <w:rFonts w:ascii="Arial MT" w:hAnsi="Arial MT" w:eastAsia="Arial MT" w:cs="Arial MT"/>
      <w:lang w:val="pt-PT" w:eastAsia="en-US"/>
    </w:rPr>
  </w:style>
  <w:style w:type="paragraph" w:styleId="11">
    <w:name w:val="Title"/>
    <w:basedOn w:val="1"/>
    <w:next w:val="1"/>
    <w:qFormat/>
    <w:uiPriority w:val="10"/>
    <w:pPr>
      <w:keepNext/>
      <w:keepLines/>
      <w:spacing w:before="480" w:after="120"/>
    </w:pPr>
    <w:rPr>
      <w:b/>
      <w:sz w:val="72"/>
      <w:szCs w:val="72"/>
    </w:rPr>
  </w:style>
  <w:style w:type="paragraph" w:styleId="12">
    <w:name w:val="Normal (Web)"/>
    <w:basedOn w:val="1"/>
    <w:qFormat/>
    <w:uiPriority w:val="0"/>
    <w:pPr>
      <w:tabs>
        <w:tab w:val="left" w:pos="2268"/>
      </w:tabs>
      <w:spacing w:before="280" w:after="280" w:line="360" w:lineRule="auto"/>
      <w:jc w:val="both"/>
    </w:pPr>
    <w:rPr>
      <w:rFonts w:ascii="Arial" w:hAnsi="Arial" w:eastAsia="SimSun" w:cs="Times New Roman"/>
      <w:szCs w:val="20"/>
      <w:lang w:eastAsia="ar-SA"/>
    </w:rPr>
  </w:style>
  <w:style w:type="paragraph" w:styleId="13">
    <w:name w:val="header"/>
    <w:basedOn w:val="1"/>
    <w:link w:val="20"/>
    <w:unhideWhenUsed/>
    <w:qFormat/>
    <w:uiPriority w:val="99"/>
    <w:pPr>
      <w:tabs>
        <w:tab w:val="center" w:pos="4680"/>
        <w:tab w:val="right" w:pos="9360"/>
      </w:tabs>
      <w:spacing w:after="0" w:line="240" w:lineRule="auto"/>
    </w:pPr>
  </w:style>
  <w:style w:type="paragraph" w:styleId="14">
    <w:name w:val="footer"/>
    <w:basedOn w:val="1"/>
    <w:link w:val="21"/>
    <w:unhideWhenUsed/>
    <w:qFormat/>
    <w:uiPriority w:val="99"/>
    <w:pPr>
      <w:tabs>
        <w:tab w:val="center" w:pos="4680"/>
        <w:tab w:val="right" w:pos="9360"/>
      </w:tabs>
      <w:spacing w:after="0" w:line="240" w:lineRule="auto"/>
    </w:pPr>
  </w:style>
  <w:style w:type="paragraph" w:styleId="15">
    <w:name w:val="Body Text Indent 3"/>
    <w:basedOn w:val="1"/>
    <w:link w:val="28"/>
    <w:qFormat/>
    <w:uiPriority w:val="0"/>
    <w:pPr>
      <w:widowControl w:val="0"/>
      <w:tabs>
        <w:tab w:val="left" w:pos="2268"/>
      </w:tabs>
      <w:autoSpaceDE w:val="0"/>
      <w:autoSpaceDN w:val="0"/>
      <w:spacing w:before="120" w:after="120" w:line="360" w:lineRule="auto"/>
      <w:ind w:firstLine="850"/>
      <w:jc w:val="both"/>
    </w:pPr>
    <w:rPr>
      <w:rFonts w:ascii="Courier New" w:hAnsi="Courier New" w:eastAsia="SimSun" w:cs="Times New Roman"/>
      <w:color w:val="000000"/>
      <w:sz w:val="20"/>
      <w:szCs w:val="20"/>
      <w:lang w:eastAsia="ar-SA"/>
    </w:rPr>
  </w:style>
  <w:style w:type="paragraph" w:styleId="16">
    <w:name w:val="Balloon Text"/>
    <w:basedOn w:val="1"/>
    <w:link w:val="26"/>
    <w:semiHidden/>
    <w:unhideWhenUsed/>
    <w:qFormat/>
    <w:uiPriority w:val="99"/>
    <w:pPr>
      <w:spacing w:after="0" w:line="240" w:lineRule="auto"/>
    </w:pPr>
    <w:rPr>
      <w:rFonts w:ascii="Tahoma" w:hAnsi="Tahoma" w:cs="Tahoma"/>
      <w:sz w:val="16"/>
      <w:szCs w:val="16"/>
    </w:rPr>
  </w:style>
  <w:style w:type="paragraph" w:styleId="17">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8">
    <w:name w:val="Table Grid"/>
    <w:basedOn w:val="9"/>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19">
    <w:name w:val="Table Normal"/>
    <w:qFormat/>
    <w:uiPriority w:val="0"/>
    <w:tblPr>
      <w:tblCellMar>
        <w:top w:w="0" w:type="dxa"/>
        <w:left w:w="0" w:type="dxa"/>
        <w:bottom w:w="0" w:type="dxa"/>
        <w:right w:w="0" w:type="dxa"/>
      </w:tblCellMar>
    </w:tblPr>
  </w:style>
  <w:style w:type="character" w:customStyle="1" w:styleId="20">
    <w:name w:val="Cabeçalho Char"/>
    <w:basedOn w:val="8"/>
    <w:link w:val="13"/>
    <w:uiPriority w:val="99"/>
  </w:style>
  <w:style w:type="character" w:customStyle="1" w:styleId="21">
    <w:name w:val="Rodapé Char"/>
    <w:basedOn w:val="8"/>
    <w:link w:val="14"/>
    <w:qFormat/>
    <w:uiPriority w:val="99"/>
  </w:style>
  <w:style w:type="paragraph" w:styleId="22">
    <w:name w:val="List Paragraph"/>
    <w:basedOn w:val="1"/>
    <w:link w:val="31"/>
    <w:qFormat/>
    <w:uiPriority w:val="34"/>
    <w:pPr>
      <w:ind w:left="720"/>
      <w:contextualSpacing/>
    </w:pPr>
  </w:style>
  <w:style w:type="table" w:customStyle="1" w:styleId="23">
    <w:name w:val="Grid Table Light"/>
    <w:basedOn w:val="9"/>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4">
    <w:name w:val="_Style 20"/>
    <w:basedOn w:val="9"/>
    <w:qFormat/>
    <w:uiPriority w:val="0"/>
    <w:tblPr>
      <w:tblCellMar>
        <w:top w:w="0" w:type="dxa"/>
        <w:left w:w="108" w:type="dxa"/>
        <w:bottom w:w="0" w:type="dxa"/>
        <w:right w:w="108" w:type="dxa"/>
      </w:tblCellMar>
    </w:tblPr>
  </w:style>
  <w:style w:type="table" w:customStyle="1" w:styleId="25">
    <w:name w:val="_Style 21"/>
    <w:basedOn w:val="9"/>
    <w:qFormat/>
    <w:uiPriority w:val="0"/>
    <w:tblPr>
      <w:tblCellMar>
        <w:top w:w="0" w:type="dxa"/>
        <w:left w:w="108" w:type="dxa"/>
        <w:bottom w:w="0" w:type="dxa"/>
        <w:right w:w="108" w:type="dxa"/>
      </w:tblCellMar>
    </w:tblPr>
  </w:style>
  <w:style w:type="character" w:customStyle="1" w:styleId="26">
    <w:name w:val="Texto de balão Char"/>
    <w:basedOn w:val="8"/>
    <w:link w:val="16"/>
    <w:semiHidden/>
    <w:qFormat/>
    <w:uiPriority w:val="99"/>
    <w:rPr>
      <w:rFonts w:ascii="Tahoma" w:hAnsi="Tahoma" w:cs="Tahoma"/>
      <w:sz w:val="16"/>
      <w:szCs w:val="16"/>
    </w:rPr>
  </w:style>
  <w:style w:type="character" w:customStyle="1" w:styleId="27">
    <w:name w:val="Corpo de texto Char"/>
    <w:basedOn w:val="8"/>
    <w:link w:val="10"/>
    <w:qFormat/>
    <w:uiPriority w:val="1"/>
    <w:rPr>
      <w:rFonts w:ascii="Arial MT" w:hAnsi="Arial MT" w:eastAsia="Arial MT" w:cs="Arial MT"/>
      <w:lang w:val="pt-PT" w:eastAsia="en-US"/>
    </w:rPr>
  </w:style>
  <w:style w:type="character" w:customStyle="1" w:styleId="28">
    <w:name w:val="Recuo de corpo de texto 3 Char"/>
    <w:basedOn w:val="8"/>
    <w:link w:val="15"/>
    <w:qFormat/>
    <w:uiPriority w:val="0"/>
    <w:rPr>
      <w:rFonts w:ascii="Courier New" w:hAnsi="Courier New" w:eastAsia="SimSun" w:cs="Times New Roman"/>
      <w:color w:val="000000"/>
      <w:sz w:val="20"/>
      <w:szCs w:val="20"/>
      <w:lang w:eastAsia="ar-SA"/>
    </w:rPr>
  </w:style>
  <w:style w:type="paragraph" w:customStyle="1" w:styleId="29">
    <w:name w:val="Título de tabela"/>
    <w:basedOn w:val="1"/>
    <w:qFormat/>
    <w:uiPriority w:val="0"/>
    <w:pPr>
      <w:widowControl w:val="0"/>
      <w:suppressLineNumbers/>
      <w:tabs>
        <w:tab w:val="left" w:pos="2268"/>
      </w:tabs>
      <w:spacing w:before="120" w:after="120" w:line="360" w:lineRule="auto"/>
      <w:jc w:val="center"/>
    </w:pPr>
    <w:rPr>
      <w:rFonts w:ascii="Arial" w:hAnsi="Arial" w:eastAsia="Lucida Sans Unicode" w:cs="Mangal"/>
      <w:b/>
      <w:i/>
      <w:kern w:val="1"/>
      <w:szCs w:val="20"/>
      <w:lang w:eastAsia="zh-CN" w:bidi="hi-IN"/>
    </w:rPr>
  </w:style>
  <w:style w:type="paragraph" w:customStyle="1" w:styleId="30">
    <w:name w:val="Corpo de texto 21"/>
    <w:basedOn w:val="1"/>
    <w:qFormat/>
    <w:uiPriority w:val="0"/>
    <w:pPr>
      <w:tabs>
        <w:tab w:val="left" w:pos="2268"/>
      </w:tabs>
      <w:overflowPunct w:val="0"/>
      <w:autoSpaceDE w:val="0"/>
      <w:spacing w:before="120" w:after="120" w:line="360" w:lineRule="auto"/>
      <w:ind w:left="360"/>
      <w:jc w:val="both"/>
      <w:textAlignment w:val="baseline"/>
    </w:pPr>
    <w:rPr>
      <w:rFonts w:ascii="Arial" w:hAnsi="Arial" w:eastAsia="SimSun" w:cs="Times New Roman"/>
      <w:szCs w:val="20"/>
      <w:lang w:eastAsia="ar-SA"/>
    </w:rPr>
  </w:style>
  <w:style w:type="character" w:customStyle="1" w:styleId="31">
    <w:name w:val="Parágrafo da Lista Char"/>
    <w:link w:val="22"/>
    <w:qFormat/>
    <w:locked/>
    <w:uiPriority w:val="34"/>
  </w:style>
  <w:style w:type="character" w:customStyle="1" w:styleId="32">
    <w:name w:val="Link da Internet"/>
    <w:unhideWhenUsed/>
    <w:qFormat/>
    <w:uiPriority w:val="99"/>
    <w:rPr>
      <w:color w:val="0563C1"/>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9B55B4-0DEB-441F-9CA9-D2D1DCB64DE5}">
  <ds:schemaRefs/>
</ds:datastoreItem>
</file>

<file path=customXml/itemProps3.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7</Pages>
  <Words>3864</Words>
  <Characters>20867</Characters>
  <Lines>173</Lines>
  <Paragraphs>49</Paragraphs>
  <TotalTime>0</TotalTime>
  <ScaleCrop>false</ScaleCrop>
  <LinksUpToDate>false</LinksUpToDate>
  <CharactersWithSpaces>24682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2025-04-16T19:40:00Z</dcterms:created>
  <dc:creator>nicole leyser alves</dc:creator>
  <cp:lastModifiedBy>yasmin.peres</cp:lastModifiedBy>
  <dcterms:modified xsi:type="dcterms:W3CDTF">2026-01-09T12:35:43Z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A7359C8554784BB6BCE85EAE83E0FD2C_12</vt:lpwstr>
  </property>
</Properties>
</file>