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96C0EF">
      <w:pPr>
        <w:tabs>
          <w:tab w:val="left" w:pos="8360"/>
        </w:tabs>
        <w:autoSpaceDE w:val="0"/>
        <w:spacing w:after="0" w:line="240" w:lineRule="auto"/>
        <w:ind w:right="-53" w:rightChars="-24"/>
        <w:jc w:val="center"/>
        <w:rPr>
          <w:rFonts w:ascii="Times New Roman" w:hAnsi="Times New Roman" w:eastAsia="Arial-BoldMT"/>
          <w:b/>
          <w:bCs/>
        </w:rPr>
      </w:pPr>
      <w:r>
        <w:rPr>
          <w:rFonts w:ascii="Times New Roman" w:hAnsi="Times New Roman" w:eastAsia="Arial-BoldMT" w:cs="Times New Roman"/>
          <w:b/>
          <w:bCs/>
        </w:rPr>
        <w:t>Minuta Ata de Registro de Preços</w:t>
      </w:r>
    </w:p>
    <w:p w14:paraId="7B0B9526">
      <w:pPr>
        <w:tabs>
          <w:tab w:val="left" w:pos="8360"/>
        </w:tabs>
        <w:autoSpaceDE w:val="0"/>
        <w:spacing w:after="0" w:line="240" w:lineRule="auto"/>
        <w:ind w:right="-53" w:rightChars="-24"/>
        <w:jc w:val="center"/>
        <w:rPr>
          <w:rFonts w:hint="default" w:ascii="Times New Roman" w:hAnsi="Times New Roman" w:eastAsia="Arial-BoldMT"/>
          <w:b/>
          <w:bCs/>
          <w:lang w:val="pt-BR"/>
        </w:rPr>
      </w:pPr>
      <w:r>
        <w:rPr>
          <w:rFonts w:ascii="Times New Roman" w:hAnsi="Times New Roman" w:eastAsia="Arial-BoldMT" w:cs="Times New Roman"/>
          <w:b/>
          <w:bCs/>
        </w:rPr>
        <w:t>Nº xxx-01/202</w:t>
      </w:r>
      <w:r>
        <w:rPr>
          <w:rFonts w:hint="default" w:ascii="Times New Roman" w:hAnsi="Times New Roman" w:eastAsia="Arial-BoldMT" w:cs="Times New Roman"/>
          <w:b/>
          <w:bCs/>
          <w:lang w:val="pt-BR"/>
        </w:rPr>
        <w:t>6</w:t>
      </w:r>
    </w:p>
    <w:p w14:paraId="322BF5E3">
      <w:pPr>
        <w:tabs>
          <w:tab w:val="left" w:pos="8360"/>
        </w:tabs>
        <w:ind w:right="-53" w:rightChars="-24"/>
        <w:rPr>
          <w:rFonts w:ascii="Times New Roman" w:hAnsi="Times New Roman" w:eastAsia="Arial-BoldMT"/>
          <w:b/>
          <w:bCs/>
        </w:rPr>
      </w:pPr>
      <w:r>
        <w:rPr>
          <w:rFonts w:ascii="Times New Roman" w:hAnsi="Times New Roman" w:cs="Times New Roman"/>
          <w:b/>
        </w:rPr>
        <w:tab/>
      </w:r>
    </w:p>
    <w:p w14:paraId="6E0DDCCA">
      <w:pPr>
        <w:tabs>
          <w:tab w:val="left" w:pos="8360"/>
        </w:tabs>
        <w:autoSpaceDE w:val="0"/>
        <w:spacing w:after="0" w:line="240" w:lineRule="auto"/>
        <w:ind w:right="-53" w:rightChars="-24"/>
        <w:rPr>
          <w:rFonts w:hint="default" w:ascii="Times New Roman" w:hAnsi="Times New Roman" w:eastAsia="Arial-BoldMT"/>
          <w:b/>
          <w:bCs/>
          <w:lang w:val="pt-BR"/>
        </w:rPr>
      </w:pPr>
      <w:r>
        <w:rPr>
          <w:rFonts w:ascii="Times New Roman" w:hAnsi="Times New Roman" w:eastAsia="Arial-BoldMT" w:cs="Times New Roman"/>
          <w:b/>
          <w:bCs/>
        </w:rPr>
        <w:t>PREGÃO ELETRÔNICO Nº 0</w:t>
      </w:r>
      <w:r>
        <w:rPr>
          <w:rFonts w:hint="default" w:ascii="Times New Roman" w:hAnsi="Times New Roman" w:eastAsia="Arial-BoldMT" w:cs="Times New Roman"/>
          <w:b/>
          <w:bCs/>
          <w:lang w:val="pt-BR"/>
        </w:rPr>
        <w:t>12/2026</w:t>
      </w:r>
    </w:p>
    <w:p w14:paraId="153E6418">
      <w:pPr>
        <w:tabs>
          <w:tab w:val="left" w:pos="8360"/>
        </w:tabs>
        <w:autoSpaceDE w:val="0"/>
        <w:spacing w:after="0" w:line="240" w:lineRule="auto"/>
        <w:ind w:right="-53" w:rightChars="-24"/>
        <w:rPr>
          <w:rFonts w:hint="default" w:ascii="Times New Roman" w:hAnsi="Times New Roman" w:eastAsia="Arial-BoldMT"/>
          <w:b/>
          <w:bCs/>
          <w:lang w:val="pt-BR"/>
        </w:rPr>
      </w:pPr>
      <w:r>
        <w:rPr>
          <w:rFonts w:ascii="Times New Roman" w:hAnsi="Times New Roman" w:eastAsia="Arial-BoldMT" w:cs="Times New Roman"/>
          <w:b/>
          <w:bCs/>
        </w:rPr>
        <w:t>NÚMERO CONTROLE: 0</w:t>
      </w:r>
      <w:r>
        <w:rPr>
          <w:rFonts w:hint="default" w:ascii="Times New Roman" w:hAnsi="Times New Roman" w:eastAsia="Arial-BoldMT"/>
          <w:b/>
          <w:bCs/>
          <w:lang w:val="pt-BR"/>
        </w:rPr>
        <w:t>12/2026</w:t>
      </w:r>
    </w:p>
    <w:p w14:paraId="3E61C7A2">
      <w:pPr>
        <w:tabs>
          <w:tab w:val="left" w:pos="8360"/>
        </w:tabs>
        <w:autoSpaceDE w:val="0"/>
        <w:spacing w:after="0" w:line="240" w:lineRule="auto"/>
        <w:ind w:right="-53" w:rightChars="-24"/>
        <w:rPr>
          <w:rFonts w:ascii="Times New Roman" w:hAnsi="Times New Roman" w:eastAsia="Arial-BoldMT"/>
          <w:b/>
          <w:bCs/>
        </w:rPr>
      </w:pPr>
      <w:r>
        <w:rPr>
          <w:rFonts w:ascii="Times New Roman" w:hAnsi="Times New Roman" w:eastAsia="Arial-BoldMT" w:cs="Times New Roman"/>
          <w:b/>
          <w:bCs/>
        </w:rPr>
        <w:t>VALIDADE: 12 (DOZE) MESES</w:t>
      </w:r>
    </w:p>
    <w:p w14:paraId="471B9793">
      <w:pPr>
        <w:pStyle w:val="10"/>
        <w:tabs>
          <w:tab w:val="left" w:leader="dot" w:pos="7610"/>
          <w:tab w:val="left" w:pos="8360"/>
          <w:tab w:val="left" w:pos="8800"/>
        </w:tabs>
        <w:spacing w:line="240" w:lineRule="auto"/>
        <w:ind w:right="-53" w:rightChars="-24"/>
        <w:rPr>
          <w:rFonts w:ascii="Times New Roman" w:hAnsi="Times New Roman" w:cs="Times New Roman"/>
        </w:rPr>
      </w:pPr>
    </w:p>
    <w:p w14:paraId="700492B5">
      <w:pPr>
        <w:pStyle w:val="10"/>
        <w:tabs>
          <w:tab w:val="left" w:leader="dot" w:pos="7610"/>
          <w:tab w:val="left" w:pos="8360"/>
          <w:tab w:val="left" w:pos="8800"/>
        </w:tabs>
        <w:spacing w:line="240" w:lineRule="auto"/>
        <w:ind w:right="-53" w:rightChars="-24" w:firstLine="1210" w:firstLineChars="550"/>
        <w:rPr>
          <w:rFonts w:ascii="Times New Roman" w:hAnsi="Times New Roman" w:cs="Times New Roman"/>
          <w:sz w:val="22"/>
          <w:szCs w:val="22"/>
        </w:rPr>
      </w:pPr>
      <w:r>
        <w:rPr>
          <w:rFonts w:ascii="Times New Roman" w:hAnsi="Times New Roman" w:cs="Times New Roman"/>
          <w:sz w:val="22"/>
          <w:szCs w:val="22"/>
        </w:rPr>
        <w:t xml:space="preserve">Aos ……. dias do mês de ……. do ano de dois mil e vinte e </w:t>
      </w:r>
      <w:r>
        <w:rPr>
          <w:rFonts w:hint="default" w:ascii="Times New Roman" w:hAnsi="Times New Roman" w:cs="Times New Roman"/>
          <w:sz w:val="22"/>
          <w:szCs w:val="22"/>
          <w:lang w:val="pt-BR"/>
        </w:rPr>
        <w:t>seis</w:t>
      </w:r>
      <w:r>
        <w:rPr>
          <w:rFonts w:ascii="Times New Roman" w:hAnsi="Times New Roman" w:cs="Times New Roman"/>
          <w:sz w:val="22"/>
          <w:szCs w:val="22"/>
        </w:rPr>
        <w:t xml:space="preserve">, o </w:t>
      </w:r>
      <w:r>
        <w:rPr>
          <w:rFonts w:ascii="Times New Roman" w:hAnsi="Times New Roman" w:cs="Times New Roman"/>
          <w:b/>
          <w:sz w:val="22"/>
          <w:szCs w:val="22"/>
        </w:rPr>
        <w:t>MUNICÍPIO DE</w:t>
      </w:r>
      <w:r>
        <w:rPr>
          <w:rFonts w:ascii="Times New Roman" w:hAnsi="Times New Roman" w:cs="Times New Roman"/>
          <w:b/>
          <w:spacing w:val="40"/>
          <w:sz w:val="22"/>
          <w:szCs w:val="22"/>
        </w:rPr>
        <w:t xml:space="preserve"> </w:t>
      </w:r>
      <w:r>
        <w:rPr>
          <w:rFonts w:ascii="Times New Roman" w:hAnsi="Times New Roman" w:cs="Times New Roman"/>
          <w:b/>
          <w:sz w:val="22"/>
          <w:szCs w:val="22"/>
          <w:lang w:val="pt-BR"/>
        </w:rPr>
        <w:t>TEUTÔNIA</w:t>
      </w:r>
      <w:r>
        <w:rPr>
          <w:rFonts w:ascii="Times New Roman" w:hAnsi="Times New Roman" w:cs="Times New Roman"/>
          <w:b/>
          <w:sz w:val="22"/>
          <w:szCs w:val="22"/>
        </w:rPr>
        <w:t>/RS</w:t>
      </w:r>
      <w:r>
        <w:rPr>
          <w:rFonts w:ascii="Times New Roman" w:hAnsi="Times New Roman" w:cs="Times New Roman"/>
          <w:sz w:val="22"/>
          <w:szCs w:val="22"/>
        </w:rPr>
        <w:t xml:space="preserve">, pessoa jurídica de direito público, inscrito no CNPJ sob nº </w:t>
      </w:r>
      <w:r>
        <w:rPr>
          <w:rFonts w:ascii="Times New Roman" w:hAnsi="Times New Roman" w:cs="Times New Roman"/>
          <w:sz w:val="22"/>
          <w:szCs w:val="22"/>
          <w:lang w:val="pt-BR"/>
        </w:rPr>
        <w:t xml:space="preserve">88.661.400/0001-99, </w:t>
      </w:r>
      <w:r>
        <w:rPr>
          <w:rFonts w:ascii="Times New Roman" w:hAnsi="Times New Roman" w:eastAsia="ArialMT" w:cs="Times New Roman"/>
          <w:sz w:val="22"/>
          <w:szCs w:val="22"/>
        </w:rPr>
        <w:t xml:space="preserve">sita na </w:t>
      </w:r>
      <w:r>
        <w:rPr>
          <w:rFonts w:ascii="Times New Roman" w:hAnsi="Times New Roman" w:cs="Times New Roman"/>
          <w:sz w:val="22"/>
          <w:szCs w:val="22"/>
          <w:shd w:val="clear" w:color="auto" w:fill="FFFFFF"/>
        </w:rPr>
        <w:t>Avenida 1 Oeste, 878, Bairro Centro Administrativo</w:t>
      </w:r>
      <w:r>
        <w:rPr>
          <w:rFonts w:ascii="Times New Roman" w:hAnsi="Times New Roman" w:eastAsia="ArialMT" w:cs="Times New Roman"/>
          <w:sz w:val="22"/>
          <w:szCs w:val="22"/>
        </w:rPr>
        <w:t>, Teutônia/RS</w:t>
      </w:r>
      <w:r>
        <w:rPr>
          <w:rFonts w:ascii="Times New Roman" w:hAnsi="Times New Roman" w:cs="Times New Roman"/>
          <w:sz w:val="22"/>
          <w:szCs w:val="22"/>
        </w:rPr>
        <w:t xml:space="preserve">, neste ato representado pelo Prefeito Municipal, Sr. </w:t>
      </w:r>
      <w:r>
        <w:rPr>
          <w:rFonts w:ascii="Times New Roman" w:hAnsi="Times New Roman" w:cs="Times New Roman"/>
          <w:sz w:val="22"/>
          <w:szCs w:val="22"/>
          <w:lang w:val="pt-BR"/>
        </w:rPr>
        <w:t>Renato Airton Altmann</w:t>
      </w:r>
      <w:r>
        <w:rPr>
          <w:rFonts w:ascii="Times New Roman" w:hAnsi="Times New Roman" w:cs="Times New Roman"/>
          <w:sz w:val="22"/>
          <w:szCs w:val="22"/>
        </w:rPr>
        <w:t xml:space="preserve">, brasileiro, </w:t>
      </w:r>
      <w:r>
        <w:rPr>
          <w:rFonts w:ascii="Times New Roman" w:hAnsi="Times New Roman" w:cs="Times New Roman"/>
          <w:sz w:val="22"/>
          <w:szCs w:val="22"/>
          <w:lang w:val="pt-BR"/>
        </w:rPr>
        <w:t xml:space="preserve">inscrito no </w:t>
      </w:r>
      <w:r>
        <w:rPr>
          <w:rFonts w:ascii="Times New Roman" w:hAnsi="Times New Roman" w:cs="Times New Roman"/>
          <w:sz w:val="22"/>
          <w:szCs w:val="22"/>
        </w:rPr>
        <w:t>CPF</w:t>
      </w:r>
      <w:r>
        <w:rPr>
          <w:rFonts w:ascii="Times New Roman" w:hAnsi="Times New Roman" w:cs="Times New Roman"/>
          <w:sz w:val="22"/>
          <w:szCs w:val="22"/>
          <w:lang w:val="pt-BR"/>
        </w:rPr>
        <w:t xml:space="preserve"> sob o</w:t>
      </w:r>
      <w:r>
        <w:rPr>
          <w:rFonts w:ascii="Times New Roman" w:hAnsi="Times New Roman" w:cs="Times New Roman"/>
          <w:sz w:val="22"/>
          <w:szCs w:val="22"/>
        </w:rPr>
        <w:t xml:space="preserve"> nº  381.251.610-15, residente e domiciliado em </w:t>
      </w:r>
      <w:r>
        <w:rPr>
          <w:rFonts w:ascii="Times New Roman" w:hAnsi="Times New Roman" w:cs="Times New Roman"/>
          <w:sz w:val="22"/>
          <w:szCs w:val="22"/>
          <w:lang w:val="pt-BR"/>
        </w:rPr>
        <w:t>Teutônia</w:t>
      </w:r>
      <w:r>
        <w:rPr>
          <w:rFonts w:ascii="Times New Roman" w:hAnsi="Times New Roman" w:cs="Times New Roman"/>
          <w:sz w:val="22"/>
          <w:szCs w:val="22"/>
        </w:rPr>
        <w:t xml:space="preserve">/RS, doravante denominado </w:t>
      </w:r>
      <w:r>
        <w:rPr>
          <w:rFonts w:ascii="Times New Roman" w:hAnsi="Times New Roman" w:cs="Times New Roman"/>
          <w:b/>
          <w:sz w:val="22"/>
          <w:szCs w:val="22"/>
        </w:rPr>
        <w:t>MUNICÍPIO</w:t>
      </w:r>
      <w:r>
        <w:rPr>
          <w:rFonts w:ascii="Times New Roman" w:hAnsi="Times New Roman" w:cs="Times New Roman"/>
          <w:sz w:val="22"/>
          <w:szCs w:val="22"/>
        </w:rPr>
        <w:t>, resolve</w:t>
      </w:r>
      <w:r>
        <w:rPr>
          <w:rFonts w:ascii="Times New Roman" w:hAnsi="Times New Roman" w:cs="Times New Roman"/>
          <w:spacing w:val="7"/>
          <w:sz w:val="22"/>
          <w:szCs w:val="22"/>
        </w:rPr>
        <w:t xml:space="preserve"> </w:t>
      </w:r>
      <w:r>
        <w:rPr>
          <w:rFonts w:ascii="Times New Roman" w:hAnsi="Times New Roman" w:cs="Times New Roman"/>
          <w:sz w:val="22"/>
          <w:szCs w:val="22"/>
        </w:rPr>
        <w:t>REGISTRAR</w:t>
      </w:r>
      <w:r>
        <w:rPr>
          <w:rFonts w:ascii="Times New Roman" w:hAnsi="Times New Roman" w:cs="Times New Roman"/>
          <w:spacing w:val="9"/>
          <w:sz w:val="22"/>
          <w:szCs w:val="22"/>
        </w:rPr>
        <w:t xml:space="preserve"> </w:t>
      </w:r>
      <w:r>
        <w:rPr>
          <w:rFonts w:ascii="Times New Roman" w:hAnsi="Times New Roman" w:cs="Times New Roman"/>
          <w:sz w:val="22"/>
          <w:szCs w:val="22"/>
        </w:rPr>
        <w:t>o</w:t>
      </w:r>
      <w:r>
        <w:rPr>
          <w:rFonts w:ascii="Times New Roman" w:hAnsi="Times New Roman" w:cs="Times New Roman"/>
          <w:spacing w:val="9"/>
          <w:sz w:val="22"/>
          <w:szCs w:val="22"/>
        </w:rPr>
        <w:t xml:space="preserve"> </w:t>
      </w:r>
      <w:r>
        <w:rPr>
          <w:rFonts w:ascii="Times New Roman" w:hAnsi="Times New Roman" w:cs="Times New Roman"/>
          <w:sz w:val="22"/>
          <w:szCs w:val="22"/>
        </w:rPr>
        <w:t>preço</w:t>
      </w:r>
      <w:r>
        <w:rPr>
          <w:rFonts w:ascii="Times New Roman" w:hAnsi="Times New Roman" w:cs="Times New Roman"/>
          <w:spacing w:val="9"/>
          <w:sz w:val="22"/>
          <w:szCs w:val="22"/>
        </w:rPr>
        <w:t xml:space="preserve"> </w:t>
      </w:r>
      <w:r>
        <w:rPr>
          <w:rFonts w:ascii="Times New Roman" w:hAnsi="Times New Roman" w:cs="Times New Roman"/>
          <w:sz w:val="22"/>
          <w:szCs w:val="22"/>
        </w:rPr>
        <w:t>oferecido</w:t>
      </w:r>
      <w:r>
        <w:rPr>
          <w:rFonts w:ascii="Times New Roman" w:hAnsi="Times New Roman" w:cs="Times New Roman"/>
          <w:spacing w:val="9"/>
          <w:sz w:val="22"/>
          <w:szCs w:val="22"/>
        </w:rPr>
        <w:t xml:space="preserve"> </w:t>
      </w:r>
      <w:r>
        <w:rPr>
          <w:rFonts w:ascii="Times New Roman" w:hAnsi="Times New Roman" w:cs="Times New Roman"/>
          <w:sz w:val="22"/>
          <w:szCs w:val="22"/>
        </w:rPr>
        <w:t>pela</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empresa</w:t>
      </w:r>
      <w:r>
        <w:rPr>
          <w:rFonts w:ascii="Times New Roman" w:hAnsi="Times New Roman" w:cs="Times New Roman"/>
          <w:spacing w:val="-2"/>
          <w:sz w:val="22"/>
          <w:szCs w:val="22"/>
          <w:lang w:val="pt-BR"/>
        </w:rPr>
        <w:t xml:space="preserve"> XX</w:t>
      </w:r>
      <w:r>
        <w:rPr>
          <w:rFonts w:ascii="Times New Roman" w:hAnsi="Times New Roman" w:cs="Times New Roman"/>
          <w:sz w:val="22"/>
          <w:szCs w:val="22"/>
        </w:rPr>
        <w:t>,</w:t>
      </w:r>
      <w:r>
        <w:rPr>
          <w:rFonts w:ascii="Times New Roman" w:hAnsi="Times New Roman" w:cs="Times New Roman"/>
          <w:spacing w:val="8"/>
          <w:sz w:val="22"/>
          <w:szCs w:val="22"/>
        </w:rPr>
        <w:t xml:space="preserve"> </w:t>
      </w:r>
      <w:r>
        <w:rPr>
          <w:rFonts w:ascii="Times New Roman" w:hAnsi="Times New Roman" w:cs="Times New Roman"/>
          <w:sz w:val="22"/>
          <w:szCs w:val="22"/>
        </w:rPr>
        <w:t>inscrita</w:t>
      </w:r>
      <w:r>
        <w:rPr>
          <w:rFonts w:ascii="Times New Roman" w:hAnsi="Times New Roman" w:cs="Times New Roman"/>
          <w:spacing w:val="11"/>
          <w:sz w:val="22"/>
          <w:szCs w:val="22"/>
        </w:rPr>
        <w:t xml:space="preserve"> </w:t>
      </w:r>
      <w:r>
        <w:rPr>
          <w:rFonts w:ascii="Times New Roman" w:hAnsi="Times New Roman" w:cs="Times New Roman"/>
          <w:sz w:val="22"/>
          <w:szCs w:val="22"/>
        </w:rPr>
        <w:t>no</w:t>
      </w:r>
      <w:r>
        <w:rPr>
          <w:rFonts w:ascii="Times New Roman" w:hAnsi="Times New Roman" w:cs="Times New Roman"/>
          <w:spacing w:val="-3"/>
          <w:sz w:val="22"/>
          <w:szCs w:val="22"/>
        </w:rPr>
        <w:t xml:space="preserve"> </w:t>
      </w:r>
      <w:r>
        <w:rPr>
          <w:rFonts w:ascii="Times New Roman" w:hAnsi="Times New Roman" w:cs="Times New Roman"/>
          <w:sz w:val="22"/>
          <w:szCs w:val="22"/>
        </w:rPr>
        <w:t>CNPJ</w:t>
      </w:r>
      <w:r>
        <w:rPr>
          <w:rFonts w:ascii="Times New Roman" w:hAnsi="Times New Roman" w:cs="Times New Roman"/>
          <w:spacing w:val="-3"/>
          <w:sz w:val="22"/>
          <w:szCs w:val="22"/>
        </w:rPr>
        <w:t xml:space="preserve"> </w:t>
      </w:r>
      <w:r>
        <w:rPr>
          <w:rFonts w:ascii="Times New Roman" w:hAnsi="Times New Roman" w:cs="Times New Roman"/>
          <w:spacing w:val="-5"/>
          <w:sz w:val="22"/>
          <w:szCs w:val="22"/>
        </w:rPr>
        <w:t>sob</w:t>
      </w:r>
      <w:r>
        <w:rPr>
          <w:rFonts w:ascii="Times New Roman" w:hAnsi="Times New Roman" w:cs="Times New Roman"/>
          <w:spacing w:val="-5"/>
          <w:sz w:val="22"/>
          <w:szCs w:val="22"/>
          <w:lang w:val="pt-BR"/>
        </w:rPr>
        <w:t xml:space="preserve"> </w:t>
      </w:r>
      <w:r>
        <w:rPr>
          <w:rFonts w:ascii="Times New Roman" w:hAnsi="Times New Roman" w:cs="Times New Roman"/>
          <w:sz w:val="22"/>
          <w:szCs w:val="22"/>
        </w:rPr>
        <w:t xml:space="preserve">nº …………...…., com sede na Rua ..., doravante denominada </w:t>
      </w:r>
      <w:r>
        <w:rPr>
          <w:rFonts w:ascii="Times New Roman" w:hAnsi="Times New Roman" w:cs="Times New Roman"/>
          <w:b/>
          <w:sz w:val="22"/>
          <w:szCs w:val="22"/>
        </w:rPr>
        <w:t>DETENTORA</w:t>
      </w:r>
      <w:r>
        <w:rPr>
          <w:rFonts w:ascii="Times New Roman" w:hAnsi="Times New Roman" w:cs="Times New Roman"/>
          <w:sz w:val="22"/>
          <w:szCs w:val="22"/>
        </w:rPr>
        <w:t>, neste ato representada por seu(a) responsável legal, Sr(a). ….., inscrito no CPF sob o nº …., residente e domiciliado(a) na ….., em face da proposta classificada em primeiro lugar no Pregão na Forma Eletrônica nº 0</w:t>
      </w:r>
      <w:r>
        <w:rPr>
          <w:rFonts w:hint="default" w:ascii="Times New Roman" w:hAnsi="Times New Roman" w:cs="Times New Roman"/>
          <w:sz w:val="22"/>
          <w:szCs w:val="22"/>
          <w:lang w:val="pt-BR"/>
        </w:rPr>
        <w:t>12/2026</w:t>
      </w:r>
      <w:r>
        <w:rPr>
          <w:rFonts w:ascii="Times New Roman" w:hAnsi="Times New Roman" w:cs="Times New Roman"/>
          <w:sz w:val="22"/>
          <w:szCs w:val="22"/>
        </w:rPr>
        <w:t>, elaborado com fulcro na Lei Federal 14.133/2021,</w:t>
      </w:r>
      <w:r>
        <w:rPr>
          <w:rFonts w:ascii="Times New Roman" w:hAnsi="Times New Roman" w:cs="Times New Roman"/>
          <w:spacing w:val="-4"/>
          <w:sz w:val="22"/>
          <w:szCs w:val="22"/>
        </w:rPr>
        <w:t xml:space="preserve"> </w:t>
      </w:r>
      <w:r>
        <w:rPr>
          <w:rFonts w:ascii="Times New Roman" w:hAnsi="Times New Roman" w:cs="Times New Roman"/>
          <w:sz w:val="22"/>
          <w:szCs w:val="22"/>
        </w:rPr>
        <w:t>no</w:t>
      </w:r>
      <w:r>
        <w:rPr>
          <w:rFonts w:ascii="Times New Roman" w:hAnsi="Times New Roman" w:cs="Times New Roman"/>
          <w:spacing w:val="-4"/>
          <w:sz w:val="22"/>
          <w:szCs w:val="22"/>
        </w:rPr>
        <w:t xml:space="preserve"> </w:t>
      </w:r>
      <w:r>
        <w:rPr>
          <w:rFonts w:ascii="Times New Roman" w:hAnsi="Times New Roman" w:cs="Times New Roman"/>
          <w:sz w:val="22"/>
          <w:szCs w:val="22"/>
        </w:rPr>
        <w:t>Decreto</w:t>
      </w:r>
      <w:r>
        <w:rPr>
          <w:rFonts w:ascii="Times New Roman" w:hAnsi="Times New Roman" w:cs="Times New Roman"/>
          <w:spacing w:val="-4"/>
          <w:sz w:val="22"/>
          <w:szCs w:val="22"/>
        </w:rPr>
        <w:t xml:space="preserve"> </w:t>
      </w:r>
      <w:r>
        <w:rPr>
          <w:rFonts w:ascii="Times New Roman" w:hAnsi="Times New Roman" w:cs="Times New Roman"/>
          <w:sz w:val="22"/>
          <w:szCs w:val="22"/>
        </w:rPr>
        <w:t>Municipal</w:t>
      </w:r>
      <w:r>
        <w:rPr>
          <w:rFonts w:ascii="Times New Roman" w:hAnsi="Times New Roman" w:cs="Times New Roman"/>
          <w:spacing w:val="-4"/>
          <w:sz w:val="22"/>
          <w:szCs w:val="22"/>
        </w:rPr>
        <w:t xml:space="preserve"> </w:t>
      </w:r>
      <w:r>
        <w:rPr>
          <w:rFonts w:ascii="Times New Roman" w:hAnsi="Times New Roman" w:cs="Times New Roman"/>
          <w:sz w:val="22"/>
          <w:szCs w:val="22"/>
        </w:rPr>
        <w:t xml:space="preserve">n° </w:t>
      </w:r>
      <w:r>
        <w:rPr>
          <w:rFonts w:ascii="Times New Roman" w:hAnsi="Times New Roman" w:cs="Times New Roman"/>
          <w:sz w:val="22"/>
          <w:szCs w:val="22"/>
          <w:lang w:val="pt-BR"/>
        </w:rPr>
        <w:t>3.250</w:t>
      </w:r>
      <w:r>
        <w:rPr>
          <w:rFonts w:ascii="Times New Roman" w:hAnsi="Times New Roman" w:cs="Times New Roman"/>
          <w:sz w:val="22"/>
          <w:szCs w:val="22"/>
        </w:rPr>
        <w:t>/2023</w:t>
      </w:r>
      <w:r>
        <w:rPr>
          <w:rFonts w:hint="default" w:ascii="Times New Roman" w:hAnsi="Times New Roman" w:cs="Times New Roman"/>
          <w:sz w:val="22"/>
          <w:szCs w:val="22"/>
          <w:lang w:val="pt-BR"/>
        </w:rPr>
        <w:t xml:space="preserve">, </w:t>
      </w:r>
      <w:r>
        <w:rPr>
          <w:rFonts w:ascii="Times New Roman" w:hAnsi="Times New Roman" w:eastAsia="Arial Unicode MS" w:cs="Times New Roman"/>
          <w:snapToGrid w:val="0"/>
          <w:sz w:val="22"/>
          <w:szCs w:val="22"/>
          <w:lang w:eastAsia="pt-BR"/>
        </w:rPr>
        <w:t xml:space="preserve">Protocolo nº </w:t>
      </w:r>
      <w:r>
        <w:rPr>
          <w:rFonts w:ascii="Times New Roman" w:hAnsi="Times New Roman" w:eastAsia="Arial Unicode MS" w:cs="Times New Roman"/>
          <w:snapToGrid w:val="0"/>
          <w:sz w:val="22"/>
          <w:szCs w:val="22"/>
          <w:lang w:val="en-US" w:eastAsia="pt-BR"/>
        </w:rPr>
        <w:t>2025/</w:t>
      </w:r>
      <w:r>
        <w:rPr>
          <w:rFonts w:hint="default" w:ascii="Times New Roman" w:hAnsi="Times New Roman" w:eastAsia="Arial Unicode MS" w:cs="Times New Roman"/>
          <w:snapToGrid w:val="0"/>
          <w:sz w:val="22"/>
          <w:szCs w:val="22"/>
          <w:lang w:val="en-US" w:eastAsia="pt-BR"/>
        </w:rPr>
        <w:t>8738</w:t>
      </w:r>
      <w:bookmarkStart w:id="22" w:name="_GoBack"/>
      <w:bookmarkEnd w:id="22"/>
      <w:r>
        <w:rPr>
          <w:rFonts w:hint="default" w:ascii="Times New Roman" w:hAnsi="Times New Roman" w:eastAsia="Arial Unicode MS" w:cs="Times New Roman"/>
          <w:snapToGrid w:val="0"/>
          <w:sz w:val="22"/>
          <w:szCs w:val="22"/>
          <w:lang w:val="en-US" w:eastAsia="pt-BR"/>
        </w:rPr>
        <w:t xml:space="preserve"> </w:t>
      </w:r>
      <w:r>
        <w:rPr>
          <w:rFonts w:ascii="Times New Roman" w:hAnsi="Times New Roman" w:cs="Times New Roman"/>
          <w:sz w:val="22"/>
          <w:szCs w:val="22"/>
        </w:rPr>
        <w:t>e demais normas</w:t>
      </w:r>
      <w:r>
        <w:rPr>
          <w:rFonts w:ascii="Times New Roman" w:hAnsi="Times New Roman" w:cs="Times New Roman"/>
          <w:spacing w:val="-3"/>
          <w:sz w:val="22"/>
          <w:szCs w:val="22"/>
        </w:rPr>
        <w:t xml:space="preserve"> </w:t>
      </w:r>
      <w:r>
        <w:rPr>
          <w:rFonts w:ascii="Times New Roman" w:hAnsi="Times New Roman" w:cs="Times New Roman"/>
          <w:sz w:val="22"/>
          <w:szCs w:val="22"/>
        </w:rPr>
        <w:t>aplicáveis,</w:t>
      </w:r>
      <w:r>
        <w:rPr>
          <w:rFonts w:ascii="Times New Roman" w:hAnsi="Times New Roman" w:cs="Times New Roman"/>
          <w:spacing w:val="-3"/>
          <w:sz w:val="22"/>
          <w:szCs w:val="22"/>
        </w:rPr>
        <w:t xml:space="preserve"> </w:t>
      </w:r>
      <w:r>
        <w:rPr>
          <w:rFonts w:ascii="Times New Roman" w:hAnsi="Times New Roman" w:cs="Times New Roman"/>
          <w:sz w:val="22"/>
          <w:szCs w:val="22"/>
        </w:rPr>
        <w:t>para</w:t>
      </w:r>
      <w:r>
        <w:rPr>
          <w:rFonts w:ascii="Times New Roman" w:hAnsi="Times New Roman" w:cs="Times New Roman"/>
          <w:spacing w:val="-3"/>
          <w:sz w:val="22"/>
          <w:szCs w:val="22"/>
        </w:rPr>
        <w:t xml:space="preserve"> </w:t>
      </w:r>
      <w:r>
        <w:rPr>
          <w:rFonts w:ascii="Times New Roman" w:hAnsi="Times New Roman" w:cs="Times New Roman"/>
          <w:sz w:val="22"/>
          <w:szCs w:val="22"/>
        </w:rPr>
        <w:t>a</w:t>
      </w:r>
      <w:r>
        <w:rPr>
          <w:rFonts w:ascii="Times New Roman" w:hAnsi="Times New Roman" w:cs="Times New Roman"/>
          <w:spacing w:val="-3"/>
          <w:sz w:val="22"/>
          <w:szCs w:val="22"/>
        </w:rPr>
        <w:t xml:space="preserve"> </w:t>
      </w:r>
      <w:r>
        <w:rPr>
          <w:rFonts w:ascii="Times New Roman" w:hAnsi="Times New Roman" w:cs="Times New Roman"/>
          <w:sz w:val="22"/>
          <w:szCs w:val="22"/>
        </w:rPr>
        <w:t>eventual</w:t>
      </w:r>
      <w:r>
        <w:rPr>
          <w:rFonts w:ascii="Times New Roman" w:hAnsi="Times New Roman" w:cs="Times New Roman"/>
          <w:spacing w:val="-3"/>
          <w:sz w:val="22"/>
          <w:szCs w:val="22"/>
        </w:rPr>
        <w:t xml:space="preserve"> </w:t>
      </w:r>
      <w:r>
        <w:rPr>
          <w:rFonts w:ascii="Times New Roman" w:hAnsi="Times New Roman" w:cs="Times New Roman"/>
          <w:sz w:val="22"/>
          <w:szCs w:val="22"/>
        </w:rPr>
        <w:t>aquisição,</w:t>
      </w:r>
      <w:r>
        <w:rPr>
          <w:rFonts w:ascii="Times New Roman" w:hAnsi="Times New Roman" w:cs="Times New Roman"/>
          <w:spacing w:val="-3"/>
          <w:sz w:val="22"/>
          <w:szCs w:val="22"/>
        </w:rPr>
        <w:t xml:space="preserve"> </w:t>
      </w:r>
      <w:r>
        <w:rPr>
          <w:rFonts w:ascii="Times New Roman" w:hAnsi="Times New Roman" w:cs="Times New Roman"/>
          <w:sz w:val="22"/>
          <w:szCs w:val="22"/>
        </w:rPr>
        <w:t>nas</w:t>
      </w:r>
      <w:r>
        <w:rPr>
          <w:rFonts w:ascii="Times New Roman" w:hAnsi="Times New Roman" w:cs="Times New Roman"/>
          <w:spacing w:val="-3"/>
          <w:sz w:val="22"/>
          <w:szCs w:val="22"/>
        </w:rPr>
        <w:t xml:space="preserve"> </w:t>
      </w:r>
      <w:r>
        <w:rPr>
          <w:rFonts w:ascii="Times New Roman" w:hAnsi="Times New Roman" w:cs="Times New Roman"/>
          <w:sz w:val="22"/>
          <w:szCs w:val="22"/>
        </w:rPr>
        <w:t>condições</w:t>
      </w:r>
      <w:r>
        <w:rPr>
          <w:rFonts w:ascii="Times New Roman" w:hAnsi="Times New Roman" w:cs="Times New Roman"/>
          <w:spacing w:val="-3"/>
          <w:sz w:val="22"/>
          <w:szCs w:val="22"/>
        </w:rPr>
        <w:t xml:space="preserve"> </w:t>
      </w:r>
      <w:r>
        <w:rPr>
          <w:rFonts w:ascii="Times New Roman" w:hAnsi="Times New Roman" w:cs="Times New Roman"/>
          <w:sz w:val="22"/>
          <w:szCs w:val="22"/>
        </w:rPr>
        <w:t>estabelecidas neste instrumento, dos objetos abaixo discriminados.</w:t>
      </w:r>
    </w:p>
    <w:p w14:paraId="07EB2600">
      <w:pPr>
        <w:pStyle w:val="10"/>
        <w:tabs>
          <w:tab w:val="left" w:pos="8360"/>
        </w:tabs>
        <w:spacing w:before="253" w:line="240" w:lineRule="auto"/>
        <w:ind w:right="-53" w:rightChars="-24"/>
        <w:rPr>
          <w:rFonts w:ascii="Times New Roman" w:hAnsi="Times New Roman" w:cs="Times New Roman"/>
          <w:color w:val="000000"/>
          <w:sz w:val="22"/>
          <w:szCs w:val="22"/>
          <w:lang w:val="pt-BR"/>
        </w:rPr>
      </w:pPr>
      <w:r>
        <w:rPr>
          <w:rFonts w:ascii="Times New Roman" w:hAnsi="Times New Roman" w:cs="Times New Roman"/>
          <w:b/>
          <w:sz w:val="22"/>
          <w:szCs w:val="22"/>
        </w:rPr>
        <w:t>CLÁUSULA</w:t>
      </w:r>
      <w:r>
        <w:rPr>
          <w:rFonts w:ascii="Times New Roman" w:hAnsi="Times New Roman" w:cs="Times New Roman"/>
          <w:b/>
          <w:spacing w:val="40"/>
          <w:sz w:val="22"/>
          <w:szCs w:val="22"/>
        </w:rPr>
        <w:t xml:space="preserve"> </w:t>
      </w:r>
      <w:r>
        <w:rPr>
          <w:rFonts w:ascii="Times New Roman" w:hAnsi="Times New Roman" w:cs="Times New Roman"/>
          <w:b/>
          <w:sz w:val="22"/>
          <w:szCs w:val="22"/>
        </w:rPr>
        <w:t>PRIMEIRA</w:t>
      </w:r>
      <w:r>
        <w:rPr>
          <w:rFonts w:ascii="Times New Roman" w:hAnsi="Times New Roman" w:cs="Times New Roman"/>
          <w:b/>
          <w:spacing w:val="40"/>
          <w:sz w:val="22"/>
          <w:szCs w:val="22"/>
        </w:rPr>
        <w:t xml:space="preserve"> </w:t>
      </w:r>
      <w:r>
        <w:rPr>
          <w:rFonts w:ascii="Times New Roman" w:hAnsi="Times New Roman" w:cs="Times New Roman"/>
          <w:sz w:val="22"/>
          <w:szCs w:val="22"/>
        </w:rPr>
        <w:t>–</w:t>
      </w:r>
      <w:r>
        <w:rPr>
          <w:rFonts w:ascii="Times New Roman" w:hAnsi="Times New Roman" w:cs="Times New Roman"/>
          <w:spacing w:val="40"/>
          <w:sz w:val="22"/>
          <w:szCs w:val="22"/>
        </w:rPr>
        <w:t xml:space="preserve"> </w:t>
      </w:r>
      <w:r>
        <w:rPr>
          <w:rFonts w:ascii="Times New Roman" w:hAnsi="Times New Roman" w:eastAsia="ArialMT" w:cs="Times New Roman"/>
          <w:sz w:val="22"/>
          <w:szCs w:val="22"/>
        </w:rPr>
        <w:t>A presente Ata tem por objeto o Registro de Preços</w:t>
      </w:r>
      <w:r>
        <w:rPr>
          <w:rFonts w:ascii="Times New Roman" w:hAnsi="Times New Roman" w:eastAsia="ArialMT" w:cs="Times New Roman"/>
          <w:sz w:val="22"/>
          <w:szCs w:val="22"/>
          <w:lang w:val="pt-BR"/>
        </w:rPr>
        <w:t xml:space="preserve"> </w:t>
      </w:r>
      <w:r>
        <w:rPr>
          <w:rFonts w:ascii="Times New Roman" w:hAnsi="Times New Roman" w:cs="Times New Roman"/>
          <w:sz w:val="22"/>
          <w:szCs w:val="22"/>
          <w:lang w:val="pt-BR"/>
        </w:rPr>
        <w:t xml:space="preserve">visando a </w:t>
      </w:r>
      <w:r>
        <w:rPr>
          <w:rFonts w:hint="default" w:ascii="Times New Roman" w:hAnsi="Times New Roman" w:eastAsia="SimSun" w:cs="Times New Roman"/>
          <w:sz w:val="22"/>
          <w:szCs w:val="22"/>
        </w:rPr>
        <w:t xml:space="preserve">aquisição de materiais </w:t>
      </w:r>
      <w:r>
        <w:rPr>
          <w:rFonts w:hint="default" w:ascii="Times New Roman" w:hAnsi="Times New Roman" w:eastAsia="SimSun" w:cs="Times New Roman"/>
          <w:sz w:val="22"/>
          <w:szCs w:val="22"/>
          <w:lang w:val="pt-BR"/>
        </w:rPr>
        <w:t xml:space="preserve">e insumos para utilização nos atendimentos </w:t>
      </w:r>
      <w:r>
        <w:rPr>
          <w:rFonts w:hint="default" w:ascii="Times New Roman" w:hAnsi="Times New Roman" w:eastAsia="SimSun" w:cs="Times New Roman"/>
          <w:sz w:val="22"/>
          <w:szCs w:val="22"/>
        </w:rPr>
        <w:t>ambulato</w:t>
      </w:r>
      <w:r>
        <w:rPr>
          <w:rFonts w:hint="default" w:ascii="Times New Roman" w:hAnsi="Times New Roman" w:eastAsia="SimSun" w:cs="Times New Roman"/>
          <w:sz w:val="22"/>
          <w:szCs w:val="22"/>
          <w:lang w:val="pt-BR"/>
        </w:rPr>
        <w:t>riais</w:t>
      </w:r>
      <w:r>
        <w:rPr>
          <w:rFonts w:hint="default" w:ascii="Times New Roman" w:hAnsi="Times New Roman" w:eastAsia="SimSun" w:cs="Times New Roman"/>
          <w:sz w:val="22"/>
          <w:szCs w:val="22"/>
        </w:rPr>
        <w:t xml:space="preserve"> </w:t>
      </w:r>
      <w:r>
        <w:rPr>
          <w:rFonts w:hint="default" w:ascii="Times New Roman" w:hAnsi="Times New Roman" w:eastAsia="SimSun" w:cs="Times New Roman"/>
          <w:sz w:val="22"/>
          <w:szCs w:val="22"/>
          <w:lang w:val="pt-BR"/>
        </w:rPr>
        <w:t xml:space="preserve">junto as </w:t>
      </w:r>
      <w:r>
        <w:rPr>
          <w:rFonts w:hint="default" w:ascii="Times New Roman" w:hAnsi="Times New Roman" w:eastAsia="SimSun" w:cs="Times New Roman"/>
          <w:sz w:val="22"/>
          <w:szCs w:val="22"/>
        </w:rPr>
        <w:t xml:space="preserve">Unidades </w:t>
      </w:r>
      <w:r>
        <w:rPr>
          <w:rFonts w:hint="default" w:ascii="Times New Roman" w:hAnsi="Times New Roman" w:eastAsia="SimSun" w:cs="Times New Roman"/>
          <w:sz w:val="22"/>
          <w:szCs w:val="22"/>
          <w:lang w:val="pt-BR"/>
        </w:rPr>
        <w:t xml:space="preserve">Básicas de </w:t>
      </w:r>
      <w:r>
        <w:rPr>
          <w:rFonts w:hint="default" w:ascii="Times New Roman" w:hAnsi="Times New Roman" w:eastAsia="SimSun" w:cs="Times New Roman"/>
          <w:sz w:val="22"/>
          <w:szCs w:val="22"/>
        </w:rPr>
        <w:t xml:space="preserve">Saúde </w:t>
      </w:r>
      <w:r>
        <w:rPr>
          <w:rFonts w:hint="default" w:ascii="Times New Roman" w:hAnsi="Times New Roman" w:eastAsia="SimSun" w:cs="Times New Roman"/>
          <w:sz w:val="22"/>
          <w:szCs w:val="22"/>
          <w:lang w:val="pt-BR"/>
        </w:rPr>
        <w:t>do Município</w:t>
      </w:r>
      <w:r>
        <w:rPr>
          <w:rFonts w:hint="default" w:ascii="Times New Roman" w:hAnsi="Times New Roman" w:cs="Times New Roman"/>
          <w:sz w:val="22"/>
          <w:szCs w:val="22"/>
        </w:rPr>
        <w:t>,</w:t>
      </w:r>
      <w:r>
        <w:rPr>
          <w:rFonts w:ascii="Times New Roman" w:hAnsi="Times New Roman" w:cs="Times New Roman"/>
          <w:color w:val="000000"/>
          <w:sz w:val="22"/>
          <w:szCs w:val="22"/>
          <w:lang w:val="pt-BR"/>
        </w:rPr>
        <w:t xml:space="preserve"> </w:t>
      </w:r>
      <w:r>
        <w:rPr>
          <w:rFonts w:ascii="Times New Roman" w:hAnsi="Times New Roman" w:cs="Times New Roman"/>
          <w:sz w:val="22"/>
          <w:szCs w:val="22"/>
        </w:rPr>
        <w:t xml:space="preserve">conforme as disposições estabelecidas no Pregão na Forma Eletrônica </w:t>
      </w:r>
      <w:r>
        <w:rPr>
          <w:rFonts w:ascii="Times New Roman" w:hAnsi="Times New Roman" w:cs="Times New Roman"/>
          <w:sz w:val="22"/>
          <w:szCs w:val="22"/>
          <w:lang w:val="pt-BR"/>
        </w:rPr>
        <w:t>n</w:t>
      </w:r>
      <w:r>
        <w:rPr>
          <w:rFonts w:ascii="Times New Roman" w:hAnsi="Times New Roman" w:cs="Times New Roman"/>
          <w:sz w:val="22"/>
          <w:szCs w:val="22"/>
        </w:rPr>
        <w:t>º 0</w:t>
      </w:r>
      <w:r>
        <w:rPr>
          <w:rFonts w:hint="default" w:ascii="Times New Roman" w:hAnsi="Times New Roman" w:cs="Times New Roman"/>
          <w:sz w:val="22"/>
          <w:szCs w:val="22"/>
          <w:lang w:val="pt-BR"/>
        </w:rPr>
        <w:t>12/2026</w:t>
      </w:r>
      <w:r>
        <w:rPr>
          <w:rFonts w:ascii="Times New Roman" w:hAnsi="Times New Roman" w:cs="Times New Roman"/>
          <w:sz w:val="22"/>
          <w:szCs w:val="22"/>
          <w:lang w:val="pt-BR"/>
        </w:rPr>
        <w:t xml:space="preserve"> </w:t>
      </w:r>
      <w:r>
        <w:rPr>
          <w:rFonts w:ascii="Times New Roman" w:hAnsi="Times New Roman" w:cs="Times New Roman"/>
          <w:sz w:val="22"/>
          <w:szCs w:val="22"/>
        </w:rPr>
        <w:t>e a proposta da DETENTORA, independentemente de transcrição para este instrumento</w:t>
      </w:r>
      <w:r>
        <w:rPr>
          <w:rFonts w:ascii="Times New Roman" w:hAnsi="Times New Roman" w:cs="Times New Roman"/>
          <w:sz w:val="22"/>
          <w:szCs w:val="22"/>
          <w:lang w:val="pt-BR"/>
        </w:rPr>
        <w:t xml:space="preserve">, </w:t>
      </w:r>
      <w:r>
        <w:rPr>
          <w:rFonts w:ascii="Times New Roman" w:hAnsi="Times New Roman" w:cs="Times New Roman"/>
          <w:sz w:val="22"/>
          <w:szCs w:val="22"/>
        </w:rPr>
        <w:t>de acordo com o que segue:</w:t>
      </w:r>
    </w:p>
    <w:tbl>
      <w:tblPr>
        <w:tblStyle w:val="9"/>
        <w:tblpPr w:leftFromText="180" w:rightFromText="180" w:vertAnchor="text" w:horzAnchor="page" w:tblpX="1637" w:tblpY="18"/>
        <w:tblOverlap w:val="never"/>
        <w:tblW w:w="8970" w:type="dxa"/>
        <w:tblInd w:w="0" w:type="dxa"/>
        <w:tblLayout w:type="fixed"/>
        <w:tblCellMar>
          <w:top w:w="55" w:type="dxa"/>
          <w:left w:w="55" w:type="dxa"/>
          <w:bottom w:w="55" w:type="dxa"/>
          <w:right w:w="55" w:type="dxa"/>
        </w:tblCellMar>
      </w:tblPr>
      <w:tblGrid>
        <w:gridCol w:w="629"/>
        <w:gridCol w:w="646"/>
        <w:gridCol w:w="660"/>
        <w:gridCol w:w="4875"/>
        <w:gridCol w:w="1020"/>
        <w:gridCol w:w="1140"/>
      </w:tblGrid>
      <w:tr w14:paraId="58EC2DEB">
        <w:tblPrEx>
          <w:tblCellMar>
            <w:top w:w="55" w:type="dxa"/>
            <w:left w:w="55" w:type="dxa"/>
            <w:bottom w:w="55" w:type="dxa"/>
            <w:right w:w="55" w:type="dxa"/>
          </w:tblCellMar>
        </w:tblPrEx>
        <w:trPr>
          <w:trHeight w:val="286" w:hRule="atLeast"/>
          <w:tblHeader/>
        </w:trPr>
        <w:tc>
          <w:tcPr>
            <w:tcW w:w="629" w:type="dxa"/>
            <w:tcBorders>
              <w:top w:val="single" w:color="000000" w:sz="4" w:space="0"/>
              <w:left w:val="single" w:color="000000" w:sz="4" w:space="0"/>
              <w:bottom w:val="single" w:color="auto" w:sz="4" w:space="0"/>
              <w:right w:val="single" w:color="000000" w:sz="4" w:space="0"/>
            </w:tcBorders>
          </w:tcPr>
          <w:p w14:paraId="74DBFF98">
            <w:pPr>
              <w:pStyle w:val="29"/>
              <w:spacing w:before="0" w:after="0" w:line="240" w:lineRule="auto"/>
              <w:rPr>
                <w:rFonts w:ascii="Times New Roman" w:hAnsi="Times New Roman" w:cs="Times New Roman"/>
                <w:sz w:val="22"/>
                <w:szCs w:val="22"/>
              </w:rPr>
            </w:pPr>
            <w:r>
              <w:rPr>
                <w:rFonts w:ascii="Times New Roman" w:hAnsi="Times New Roman" w:cs="Times New Roman"/>
                <w:bCs/>
                <w:i w:val="0"/>
                <w:sz w:val="22"/>
                <w:szCs w:val="22"/>
              </w:rPr>
              <w:t>Item</w:t>
            </w:r>
          </w:p>
        </w:tc>
        <w:tc>
          <w:tcPr>
            <w:tcW w:w="646" w:type="dxa"/>
            <w:tcBorders>
              <w:top w:val="single" w:color="000000" w:sz="4" w:space="0"/>
              <w:left w:val="single" w:color="000000" w:sz="4" w:space="0"/>
              <w:bottom w:val="single" w:color="auto" w:sz="4" w:space="0"/>
              <w:right w:val="single" w:color="000000" w:sz="4" w:space="0"/>
            </w:tcBorders>
          </w:tcPr>
          <w:p w14:paraId="238E3BB3">
            <w:pPr>
              <w:pStyle w:val="29"/>
              <w:spacing w:before="0" w:after="0" w:line="240" w:lineRule="auto"/>
              <w:rPr>
                <w:rFonts w:ascii="Times New Roman" w:hAnsi="Times New Roman" w:cs="Times New Roman"/>
                <w:sz w:val="22"/>
                <w:szCs w:val="22"/>
              </w:rPr>
            </w:pPr>
            <w:r>
              <w:rPr>
                <w:rFonts w:ascii="Times New Roman" w:hAnsi="Times New Roman" w:cs="Times New Roman"/>
                <w:bCs/>
                <w:i w:val="0"/>
                <w:sz w:val="22"/>
                <w:szCs w:val="22"/>
              </w:rPr>
              <w:t>Qtde.</w:t>
            </w:r>
          </w:p>
        </w:tc>
        <w:tc>
          <w:tcPr>
            <w:tcW w:w="660" w:type="dxa"/>
            <w:tcBorders>
              <w:top w:val="single" w:color="000000" w:sz="4" w:space="0"/>
              <w:left w:val="single" w:color="000000" w:sz="4" w:space="0"/>
              <w:bottom w:val="single" w:color="auto" w:sz="4" w:space="0"/>
              <w:right w:val="single" w:color="000000" w:sz="4" w:space="0"/>
            </w:tcBorders>
          </w:tcPr>
          <w:p w14:paraId="379CF0FA">
            <w:pPr>
              <w:pStyle w:val="29"/>
              <w:spacing w:before="0" w:after="0" w:line="240" w:lineRule="auto"/>
              <w:rPr>
                <w:rFonts w:ascii="Times New Roman" w:hAnsi="Times New Roman" w:cs="Times New Roman"/>
                <w:sz w:val="22"/>
                <w:szCs w:val="22"/>
              </w:rPr>
            </w:pPr>
            <w:r>
              <w:rPr>
                <w:rFonts w:ascii="Times New Roman" w:hAnsi="Times New Roman" w:cs="Times New Roman"/>
                <w:bCs/>
                <w:i w:val="0"/>
                <w:sz w:val="22"/>
                <w:szCs w:val="22"/>
              </w:rPr>
              <w:t>Un</w:t>
            </w:r>
          </w:p>
        </w:tc>
        <w:tc>
          <w:tcPr>
            <w:tcW w:w="4875" w:type="dxa"/>
            <w:tcBorders>
              <w:top w:val="single" w:color="000000" w:sz="4" w:space="0"/>
              <w:left w:val="single" w:color="000000" w:sz="4" w:space="0"/>
              <w:bottom w:val="single" w:color="auto" w:sz="4" w:space="0"/>
              <w:right w:val="single" w:color="000000" w:sz="4" w:space="0"/>
            </w:tcBorders>
          </w:tcPr>
          <w:p w14:paraId="38FAD703">
            <w:pPr>
              <w:pStyle w:val="29"/>
              <w:spacing w:before="0" w:after="0" w:line="240" w:lineRule="auto"/>
              <w:rPr>
                <w:rFonts w:ascii="Times New Roman" w:hAnsi="Times New Roman" w:cs="Times New Roman"/>
                <w:sz w:val="22"/>
                <w:szCs w:val="22"/>
              </w:rPr>
            </w:pPr>
            <w:r>
              <w:rPr>
                <w:rFonts w:ascii="Times New Roman" w:hAnsi="Times New Roman" w:cs="Times New Roman"/>
                <w:bCs/>
                <w:i w:val="0"/>
                <w:sz w:val="22"/>
                <w:szCs w:val="22"/>
              </w:rPr>
              <w:t>Especificação/Marca</w:t>
            </w:r>
          </w:p>
        </w:tc>
        <w:tc>
          <w:tcPr>
            <w:tcW w:w="1020" w:type="dxa"/>
            <w:tcBorders>
              <w:top w:val="single" w:color="000000" w:sz="4" w:space="0"/>
              <w:left w:val="single" w:color="000000" w:sz="4" w:space="0"/>
              <w:bottom w:val="single" w:color="auto" w:sz="4" w:space="0"/>
              <w:right w:val="single" w:color="000000" w:sz="4" w:space="0"/>
            </w:tcBorders>
          </w:tcPr>
          <w:p w14:paraId="59B0B9F2">
            <w:pPr>
              <w:pStyle w:val="29"/>
              <w:spacing w:before="0" w:after="0" w:line="240" w:lineRule="auto"/>
              <w:rPr>
                <w:rFonts w:ascii="Times New Roman" w:hAnsi="Times New Roman" w:cs="Times New Roman"/>
                <w:sz w:val="22"/>
                <w:szCs w:val="22"/>
              </w:rPr>
            </w:pPr>
            <w:r>
              <w:rPr>
                <w:rFonts w:ascii="Times New Roman" w:hAnsi="Times New Roman" w:cs="Times New Roman"/>
                <w:bCs/>
                <w:i w:val="0"/>
                <w:sz w:val="22"/>
                <w:szCs w:val="22"/>
              </w:rPr>
              <w:t>Valor Un (R$)</w:t>
            </w:r>
          </w:p>
        </w:tc>
        <w:tc>
          <w:tcPr>
            <w:tcW w:w="1140" w:type="dxa"/>
            <w:tcBorders>
              <w:top w:val="single" w:color="000000" w:sz="4" w:space="0"/>
              <w:left w:val="single" w:color="000000" w:sz="4" w:space="0"/>
              <w:bottom w:val="single" w:color="auto" w:sz="4" w:space="0"/>
              <w:right w:val="single" w:color="000000" w:sz="4" w:space="0"/>
            </w:tcBorders>
          </w:tcPr>
          <w:p w14:paraId="17D977A5">
            <w:pPr>
              <w:pStyle w:val="29"/>
              <w:spacing w:before="0" w:after="0" w:line="240" w:lineRule="auto"/>
              <w:rPr>
                <w:rFonts w:ascii="Times New Roman" w:hAnsi="Times New Roman" w:cs="Times New Roman"/>
                <w:sz w:val="22"/>
                <w:szCs w:val="22"/>
              </w:rPr>
            </w:pPr>
            <w:r>
              <w:rPr>
                <w:rFonts w:ascii="Times New Roman" w:hAnsi="Times New Roman" w:cs="Times New Roman"/>
                <w:bCs/>
                <w:i w:val="0"/>
                <w:sz w:val="22"/>
                <w:szCs w:val="22"/>
              </w:rPr>
              <w:t>Valor Total (R$)</w:t>
            </w:r>
          </w:p>
        </w:tc>
      </w:tr>
      <w:tr w14:paraId="3A84489A">
        <w:tblPrEx>
          <w:tblCellMar>
            <w:top w:w="55" w:type="dxa"/>
            <w:left w:w="55" w:type="dxa"/>
            <w:bottom w:w="55" w:type="dxa"/>
            <w:right w:w="55" w:type="dxa"/>
          </w:tblCellMar>
        </w:tblPrEx>
        <w:trPr>
          <w:trHeight w:val="664" w:hRule="atLeast"/>
        </w:trPr>
        <w:tc>
          <w:tcPr>
            <w:tcW w:w="629" w:type="dxa"/>
            <w:tcBorders>
              <w:top w:val="single" w:color="auto" w:sz="4" w:space="0"/>
              <w:left w:val="single" w:color="auto" w:sz="4" w:space="0"/>
              <w:bottom w:val="nil"/>
              <w:right w:val="single" w:color="000000" w:sz="4" w:space="0"/>
            </w:tcBorders>
            <w:vAlign w:val="center"/>
          </w:tcPr>
          <w:p w14:paraId="1D735575">
            <w:pPr>
              <w:pStyle w:val="29"/>
              <w:spacing w:before="0" w:after="0" w:line="240" w:lineRule="auto"/>
              <w:rPr>
                <w:rFonts w:ascii="Times New Roman" w:hAnsi="Times New Roman" w:cs="Times New Roman"/>
                <w:sz w:val="22"/>
                <w:szCs w:val="22"/>
              </w:rPr>
            </w:pPr>
            <w:r>
              <w:rPr>
                <w:rFonts w:ascii="Times New Roman" w:hAnsi="Times New Roman" w:cs="Times New Roman"/>
                <w:b w:val="0"/>
                <w:i w:val="0"/>
                <w:sz w:val="22"/>
                <w:szCs w:val="22"/>
              </w:rPr>
              <w:t>1</w:t>
            </w:r>
          </w:p>
        </w:tc>
        <w:tc>
          <w:tcPr>
            <w:tcW w:w="646" w:type="dxa"/>
            <w:tcBorders>
              <w:top w:val="single" w:color="auto" w:sz="4" w:space="0"/>
              <w:left w:val="single" w:color="000000" w:sz="4" w:space="0"/>
              <w:bottom w:val="nil"/>
              <w:right w:val="single" w:color="000000" w:sz="4" w:space="0"/>
            </w:tcBorders>
            <w:vAlign w:val="center"/>
          </w:tcPr>
          <w:p w14:paraId="2B3B066E">
            <w:pPr>
              <w:spacing w:after="0" w:line="240" w:lineRule="auto"/>
              <w:jc w:val="center"/>
              <w:rPr>
                <w:rFonts w:hint="default" w:ascii="Times New Roman" w:hAnsi="Times New Roman"/>
                <w:sz w:val="22"/>
                <w:szCs w:val="22"/>
                <w:lang w:val="pt-BR"/>
              </w:rPr>
            </w:pPr>
            <w:r>
              <w:rPr>
                <w:rFonts w:hint="default" w:ascii="Times New Roman" w:hAnsi="Times New Roman" w:cs="Times New Roman"/>
                <w:sz w:val="22"/>
                <w:szCs w:val="22"/>
                <w:lang w:val="pt-BR"/>
              </w:rPr>
              <w:t>500</w:t>
            </w:r>
          </w:p>
        </w:tc>
        <w:tc>
          <w:tcPr>
            <w:tcW w:w="660" w:type="dxa"/>
            <w:tcBorders>
              <w:top w:val="single" w:color="auto" w:sz="4" w:space="0"/>
              <w:left w:val="single" w:color="000000" w:sz="4" w:space="0"/>
              <w:bottom w:val="nil"/>
              <w:right w:val="single" w:color="000000" w:sz="4" w:space="0"/>
            </w:tcBorders>
            <w:vAlign w:val="center"/>
          </w:tcPr>
          <w:p w14:paraId="09A01C37">
            <w:pPr>
              <w:spacing w:after="0" w:line="240" w:lineRule="auto"/>
              <w:jc w:val="center"/>
              <w:rPr>
                <w:rFonts w:hint="default" w:ascii="Times New Roman" w:hAnsi="Times New Roman"/>
                <w:sz w:val="22"/>
                <w:szCs w:val="22"/>
                <w:lang w:val="pt-BR"/>
              </w:rPr>
            </w:pPr>
            <w:r>
              <w:rPr>
                <w:rFonts w:hint="default" w:ascii="Times New Roman" w:hAnsi="Times New Roman"/>
                <w:sz w:val="22"/>
                <w:szCs w:val="22"/>
                <w:lang w:val="pt-BR"/>
              </w:rPr>
              <w:t>UN</w:t>
            </w:r>
          </w:p>
        </w:tc>
        <w:tc>
          <w:tcPr>
            <w:tcW w:w="4875" w:type="dxa"/>
            <w:tcBorders>
              <w:top w:val="single" w:color="auto" w:sz="4" w:space="0"/>
              <w:left w:val="single" w:color="000000" w:sz="4" w:space="0"/>
              <w:bottom w:val="nil"/>
              <w:right w:val="single" w:color="000000" w:sz="4" w:space="0"/>
            </w:tcBorders>
            <w:shd w:val="clear" w:color="auto" w:fill="auto"/>
            <w:vAlign w:val="top"/>
          </w:tcPr>
          <w:p w14:paraId="2C730657">
            <w:pPr>
              <w:spacing w:before="0" w:after="0" w:line="240" w:lineRule="auto"/>
              <w:jc w:val="both"/>
              <w:rPr>
                <w:rFonts w:hint="default" w:ascii="Times New Roman" w:hAnsi="Times New Roman" w:eastAsia="Calibri" w:cs="Times New Roman"/>
                <w:sz w:val="22"/>
                <w:szCs w:val="22"/>
                <w:lang w:val="pt-BR" w:eastAsia="pt-BR" w:bidi="ar-SA"/>
              </w:rPr>
            </w:pPr>
            <w:r>
              <w:rPr>
                <w:rFonts w:hint="default" w:ascii="Times New Roman" w:hAnsi="Times New Roman" w:cs="Times New Roman"/>
                <w:sz w:val="22"/>
                <w:szCs w:val="22"/>
              </w:rPr>
              <w:t xml:space="preserve">ABOCATH - CATETER INTRAVENOSO PERIFÉRICO INTEGRAL NÚMERO 18 Abocath - Cateter Intravenoso Periférico Integral, n.° 18, do tipo por fora da agulha, com dispositivo de segurança, constituído por, dispositivo de proteção total da agulha, com sistema autorretrátil ativado através da punção, tamanho da agulha 1,3mm de diâmetro x 32mm de comprimento, fluxo de 95ml/min, agulha em aço inoxidável siliconada com bisel biangulado e trifacetado, cateter ou cânula em teflon (FEP) ou Poliuretano (PU), confeccionado em material biocompatível, inerte, flexível, hemocompatível, trombo resistente, protetor do conjunto cateter/agulha; conector luer-lock codificado por cores, indicando o calibre do cateter, permite conexão segura com os equipos utilizados. Radiopaco, apirogênico, esterilizado por óxido de etileno. Câmara de refluxo com tampa protetora. Peças perfeitamente adaptadas. Embalado individualmente em blister plástico e papel grau cirúrgico, com abertura em pétala, garantindo assepsia do procedimento. Fabricado de acordo com a NBR ISO 10555-5, deve apresentar dados de identificação, nº de lote, registro no Ministério da Saúde, validade de esterilização e procedência. Validade mínima de 2 anos. </w:t>
            </w:r>
          </w:p>
        </w:tc>
        <w:tc>
          <w:tcPr>
            <w:tcW w:w="1020" w:type="dxa"/>
            <w:tcBorders>
              <w:top w:val="single" w:color="auto" w:sz="4" w:space="0"/>
              <w:left w:val="single" w:color="000000" w:sz="4" w:space="0"/>
              <w:bottom w:val="nil"/>
              <w:right w:val="single" w:color="000000" w:sz="4" w:space="0"/>
            </w:tcBorders>
            <w:vAlign w:val="center"/>
          </w:tcPr>
          <w:p w14:paraId="68599D7D">
            <w:pPr>
              <w:pStyle w:val="29"/>
              <w:snapToGrid w:val="0"/>
              <w:spacing w:before="0" w:after="0" w:line="240" w:lineRule="auto"/>
              <w:rPr>
                <w:rFonts w:ascii="Times New Roman" w:hAnsi="Times New Roman" w:cs="Times New Roman"/>
                <w:sz w:val="22"/>
                <w:szCs w:val="22"/>
              </w:rPr>
            </w:pPr>
            <w:r>
              <w:rPr>
                <w:rFonts w:ascii="Times New Roman" w:hAnsi="Times New Roman" w:cs="Times New Roman"/>
                <w:b w:val="0"/>
                <w:i w:val="0"/>
                <w:sz w:val="22"/>
                <w:szCs w:val="22"/>
              </w:rPr>
              <w:t>***</w:t>
            </w:r>
          </w:p>
        </w:tc>
        <w:tc>
          <w:tcPr>
            <w:tcW w:w="1140" w:type="dxa"/>
            <w:tcBorders>
              <w:top w:val="single" w:color="auto" w:sz="4" w:space="0"/>
              <w:left w:val="single" w:color="000000" w:sz="4" w:space="0"/>
              <w:bottom w:val="nil"/>
              <w:right w:val="single" w:color="auto" w:sz="4" w:space="0"/>
            </w:tcBorders>
            <w:vAlign w:val="center"/>
          </w:tcPr>
          <w:p w14:paraId="66D12716">
            <w:pPr>
              <w:pStyle w:val="29"/>
              <w:snapToGrid w:val="0"/>
              <w:spacing w:before="0" w:after="0" w:line="240" w:lineRule="auto"/>
              <w:rPr>
                <w:rFonts w:ascii="Times New Roman" w:hAnsi="Times New Roman" w:cs="Times New Roman"/>
                <w:sz w:val="22"/>
                <w:szCs w:val="22"/>
              </w:rPr>
            </w:pPr>
            <w:r>
              <w:rPr>
                <w:rFonts w:ascii="Times New Roman" w:hAnsi="Times New Roman" w:cs="Times New Roman"/>
                <w:b w:val="0"/>
                <w:i w:val="0"/>
                <w:sz w:val="22"/>
                <w:szCs w:val="22"/>
              </w:rPr>
              <w:t>***</w:t>
            </w:r>
          </w:p>
        </w:tc>
      </w:tr>
      <w:tr w14:paraId="577A57A9">
        <w:tblPrEx>
          <w:tblCellMar>
            <w:top w:w="55" w:type="dxa"/>
            <w:left w:w="55" w:type="dxa"/>
            <w:bottom w:w="55" w:type="dxa"/>
            <w:right w:w="55" w:type="dxa"/>
          </w:tblCellMar>
        </w:tblPrEx>
        <w:trPr>
          <w:trHeight w:val="740" w:hRule="atLeast"/>
        </w:trPr>
        <w:tc>
          <w:tcPr>
            <w:tcW w:w="629" w:type="dxa"/>
            <w:tcBorders>
              <w:top w:val="nil"/>
              <w:left w:val="single" w:color="auto" w:sz="4" w:space="0"/>
              <w:bottom w:val="nil"/>
              <w:right w:val="single" w:color="000000" w:sz="4" w:space="0"/>
            </w:tcBorders>
            <w:vAlign w:val="center"/>
          </w:tcPr>
          <w:p w14:paraId="56D0F57A">
            <w:pPr>
              <w:pStyle w:val="29"/>
              <w:spacing w:before="0" w:after="0" w:line="240" w:lineRule="auto"/>
              <w:rPr>
                <w:rFonts w:ascii="Times New Roman" w:hAnsi="Times New Roman" w:cs="Times New Roman"/>
                <w:sz w:val="22"/>
                <w:szCs w:val="22"/>
              </w:rPr>
            </w:pPr>
            <w:r>
              <w:rPr>
                <w:rFonts w:ascii="Times New Roman" w:hAnsi="Times New Roman" w:cs="Times New Roman"/>
                <w:b w:val="0"/>
                <w:i w:val="0"/>
                <w:sz w:val="22"/>
                <w:szCs w:val="22"/>
              </w:rPr>
              <w:t>2</w:t>
            </w:r>
          </w:p>
        </w:tc>
        <w:tc>
          <w:tcPr>
            <w:tcW w:w="646" w:type="dxa"/>
            <w:tcBorders>
              <w:top w:val="nil"/>
              <w:left w:val="single" w:color="000000" w:sz="4" w:space="0"/>
              <w:bottom w:val="nil"/>
              <w:right w:val="single" w:color="000000" w:sz="4" w:space="0"/>
            </w:tcBorders>
            <w:vAlign w:val="center"/>
          </w:tcPr>
          <w:p w14:paraId="32BD11F4">
            <w:pPr>
              <w:spacing w:after="0" w:line="240" w:lineRule="auto"/>
              <w:jc w:val="center"/>
              <w:rPr>
                <w:rFonts w:hint="default" w:ascii="Times New Roman" w:hAnsi="Times New Roman"/>
                <w:sz w:val="22"/>
                <w:szCs w:val="22"/>
                <w:lang w:val="pt-BR"/>
              </w:rPr>
            </w:pPr>
            <w:r>
              <w:rPr>
                <w:rFonts w:hint="default" w:ascii="Times New Roman" w:hAnsi="Times New Roman" w:cs="Times New Roman"/>
                <w:sz w:val="22"/>
                <w:szCs w:val="22"/>
                <w:lang w:val="pt-BR"/>
              </w:rPr>
              <w:t>10</w:t>
            </w:r>
          </w:p>
        </w:tc>
        <w:tc>
          <w:tcPr>
            <w:tcW w:w="660" w:type="dxa"/>
            <w:tcBorders>
              <w:top w:val="nil"/>
              <w:left w:val="single" w:color="000000" w:sz="4" w:space="0"/>
              <w:bottom w:val="nil"/>
              <w:right w:val="single" w:color="000000" w:sz="4" w:space="0"/>
            </w:tcBorders>
            <w:vAlign w:val="center"/>
          </w:tcPr>
          <w:p w14:paraId="23D8B4F4">
            <w:pPr>
              <w:spacing w:after="0" w:line="240" w:lineRule="auto"/>
              <w:jc w:val="center"/>
              <w:rPr>
                <w:rFonts w:hint="default" w:ascii="Times New Roman" w:hAnsi="Times New Roman"/>
                <w:sz w:val="22"/>
                <w:szCs w:val="22"/>
                <w:lang w:val="pt-BR"/>
              </w:rPr>
            </w:pPr>
            <w:r>
              <w:rPr>
                <w:rFonts w:hint="default" w:ascii="Times New Roman" w:hAnsi="Times New Roman"/>
                <w:sz w:val="22"/>
                <w:szCs w:val="22"/>
                <w:lang w:val="pt-BR"/>
              </w:rPr>
              <w:t>FR</w:t>
            </w:r>
          </w:p>
        </w:tc>
        <w:tc>
          <w:tcPr>
            <w:tcW w:w="4875" w:type="dxa"/>
            <w:tcBorders>
              <w:top w:val="nil"/>
              <w:left w:val="single" w:color="000000" w:sz="4" w:space="0"/>
              <w:bottom w:val="nil"/>
              <w:right w:val="single" w:color="000000" w:sz="4" w:space="0"/>
            </w:tcBorders>
            <w:shd w:val="clear" w:color="auto" w:fill="auto"/>
            <w:vAlign w:val="top"/>
          </w:tcPr>
          <w:p w14:paraId="38885171">
            <w:pPr>
              <w:spacing w:before="0" w:after="0" w:line="240" w:lineRule="auto"/>
              <w:jc w:val="both"/>
              <w:rPr>
                <w:rFonts w:hint="default" w:ascii="Times New Roman" w:hAnsi="Times New Roman" w:eastAsia="Calibri" w:cs="Times New Roman"/>
                <w:sz w:val="22"/>
                <w:szCs w:val="22"/>
                <w:lang w:val="pt-BR" w:eastAsia="pt-BR" w:bidi="ar-SA"/>
              </w:rPr>
            </w:pPr>
            <w:r>
              <w:rPr>
                <w:rFonts w:hint="default" w:ascii="Times New Roman" w:hAnsi="Times New Roman" w:cs="Times New Roman"/>
                <w:sz w:val="22"/>
                <w:szCs w:val="22"/>
              </w:rPr>
              <w:t xml:space="preserve">ÁCIDO ACÉTICO SOLUÇÃO 5% 1000 ML Ácido acético solução 5%. Solução de contraste para detecção e avaliação de áreas atípicas ou anormais na zona de transformação do colo uterino. Frasco com 1.000ml. Embalagem com dados de identificação, nº de lote, registro no Ministério da Saúde, validade de esterilização e procedência. Validade mínima de 18 meses. </w:t>
            </w:r>
          </w:p>
        </w:tc>
        <w:tc>
          <w:tcPr>
            <w:tcW w:w="1020" w:type="dxa"/>
            <w:tcBorders>
              <w:top w:val="nil"/>
              <w:left w:val="single" w:color="000000" w:sz="4" w:space="0"/>
              <w:bottom w:val="nil"/>
              <w:right w:val="single" w:color="000000" w:sz="4" w:space="0"/>
            </w:tcBorders>
            <w:vAlign w:val="center"/>
          </w:tcPr>
          <w:p w14:paraId="2721BA86">
            <w:pPr>
              <w:pStyle w:val="29"/>
              <w:snapToGrid w:val="0"/>
              <w:spacing w:before="0" w:after="0" w:line="240" w:lineRule="auto"/>
              <w:rPr>
                <w:rFonts w:ascii="Times New Roman" w:hAnsi="Times New Roman" w:cs="Times New Roman"/>
                <w:b w:val="0"/>
                <w:i w:val="0"/>
                <w:sz w:val="22"/>
                <w:szCs w:val="22"/>
              </w:rPr>
            </w:pPr>
            <w:r>
              <w:rPr>
                <w:rFonts w:ascii="Times New Roman" w:hAnsi="Times New Roman" w:cs="Times New Roman"/>
                <w:b w:val="0"/>
                <w:i w:val="0"/>
                <w:sz w:val="22"/>
                <w:szCs w:val="22"/>
              </w:rPr>
              <w:t>***</w:t>
            </w:r>
          </w:p>
        </w:tc>
        <w:tc>
          <w:tcPr>
            <w:tcW w:w="1140" w:type="dxa"/>
            <w:tcBorders>
              <w:top w:val="nil"/>
              <w:left w:val="single" w:color="000000" w:sz="4" w:space="0"/>
              <w:bottom w:val="nil"/>
              <w:right w:val="single" w:color="auto" w:sz="4" w:space="0"/>
            </w:tcBorders>
            <w:vAlign w:val="center"/>
          </w:tcPr>
          <w:p w14:paraId="4D509C6F">
            <w:pPr>
              <w:pStyle w:val="29"/>
              <w:snapToGrid w:val="0"/>
              <w:spacing w:before="0" w:after="0" w:line="240" w:lineRule="auto"/>
              <w:rPr>
                <w:rFonts w:ascii="Times New Roman" w:hAnsi="Times New Roman" w:cs="Times New Roman"/>
                <w:b w:val="0"/>
                <w:i w:val="0"/>
                <w:sz w:val="22"/>
                <w:szCs w:val="22"/>
              </w:rPr>
            </w:pPr>
            <w:r>
              <w:rPr>
                <w:rFonts w:ascii="Times New Roman" w:hAnsi="Times New Roman" w:cs="Times New Roman"/>
                <w:b w:val="0"/>
                <w:i w:val="0"/>
                <w:sz w:val="22"/>
                <w:szCs w:val="22"/>
              </w:rPr>
              <w:t>***</w:t>
            </w:r>
          </w:p>
        </w:tc>
      </w:tr>
      <w:tr w14:paraId="7BDE04B2">
        <w:tblPrEx>
          <w:tblCellMar>
            <w:top w:w="55" w:type="dxa"/>
            <w:left w:w="55" w:type="dxa"/>
            <w:bottom w:w="55" w:type="dxa"/>
            <w:right w:w="55" w:type="dxa"/>
          </w:tblCellMar>
        </w:tblPrEx>
        <w:tc>
          <w:tcPr>
            <w:tcW w:w="629" w:type="dxa"/>
            <w:tcBorders>
              <w:top w:val="nil"/>
              <w:left w:val="single" w:color="auto" w:sz="4" w:space="0"/>
              <w:bottom w:val="nil"/>
              <w:right w:val="single" w:color="000000" w:sz="4" w:space="0"/>
            </w:tcBorders>
            <w:vAlign w:val="center"/>
          </w:tcPr>
          <w:p w14:paraId="64AE743E">
            <w:pPr>
              <w:pStyle w:val="29"/>
              <w:spacing w:before="0" w:after="0" w:line="240" w:lineRule="auto"/>
              <w:rPr>
                <w:rFonts w:ascii="Times New Roman" w:hAnsi="Times New Roman" w:cs="Times New Roman"/>
                <w:b w:val="0"/>
                <w:i w:val="0"/>
                <w:sz w:val="22"/>
                <w:szCs w:val="22"/>
              </w:rPr>
            </w:pPr>
            <w:r>
              <w:rPr>
                <w:rFonts w:ascii="Times New Roman" w:hAnsi="Times New Roman" w:cs="Times New Roman"/>
                <w:b w:val="0"/>
                <w:i w:val="0"/>
                <w:sz w:val="22"/>
                <w:szCs w:val="22"/>
              </w:rPr>
              <w:t>3</w:t>
            </w:r>
          </w:p>
        </w:tc>
        <w:tc>
          <w:tcPr>
            <w:tcW w:w="646" w:type="dxa"/>
            <w:tcBorders>
              <w:top w:val="nil"/>
              <w:left w:val="single" w:color="000000" w:sz="4" w:space="0"/>
              <w:bottom w:val="nil"/>
              <w:right w:val="single" w:color="000000" w:sz="4" w:space="0"/>
            </w:tcBorders>
            <w:vAlign w:val="center"/>
          </w:tcPr>
          <w:p w14:paraId="1DA3E863">
            <w:pPr>
              <w:spacing w:after="0" w:line="240" w:lineRule="auto"/>
              <w:jc w:val="center"/>
              <w:rPr>
                <w:rFonts w:hint="default" w:ascii="Times New Roman" w:hAnsi="Times New Roman"/>
                <w:sz w:val="22"/>
                <w:szCs w:val="22"/>
                <w:lang w:val="pt-BR"/>
              </w:rPr>
            </w:pPr>
            <w:r>
              <w:rPr>
                <w:rFonts w:hint="default" w:ascii="Times New Roman" w:hAnsi="Times New Roman" w:cs="Times New Roman"/>
                <w:sz w:val="22"/>
                <w:szCs w:val="22"/>
                <w:lang w:val="pt-BR"/>
              </w:rPr>
              <w:t>50</w:t>
            </w:r>
          </w:p>
        </w:tc>
        <w:tc>
          <w:tcPr>
            <w:tcW w:w="660" w:type="dxa"/>
            <w:tcBorders>
              <w:top w:val="nil"/>
              <w:left w:val="single" w:color="000000" w:sz="4" w:space="0"/>
              <w:bottom w:val="nil"/>
              <w:right w:val="single" w:color="000000" w:sz="4" w:space="0"/>
            </w:tcBorders>
            <w:vAlign w:val="center"/>
          </w:tcPr>
          <w:p w14:paraId="1ED7A776">
            <w:pPr>
              <w:spacing w:after="0" w:line="240" w:lineRule="auto"/>
              <w:jc w:val="center"/>
              <w:rPr>
                <w:rFonts w:hint="default" w:ascii="Times New Roman" w:hAnsi="Times New Roman"/>
                <w:sz w:val="22"/>
                <w:szCs w:val="22"/>
                <w:lang w:val="pt-BR"/>
              </w:rPr>
            </w:pPr>
            <w:r>
              <w:rPr>
                <w:rFonts w:hint="default" w:ascii="Times New Roman" w:hAnsi="Times New Roman" w:cs="Times New Roman"/>
                <w:sz w:val="22"/>
                <w:szCs w:val="22"/>
                <w:lang w:val="pt-BR"/>
              </w:rPr>
              <w:t>FR</w:t>
            </w:r>
          </w:p>
        </w:tc>
        <w:tc>
          <w:tcPr>
            <w:tcW w:w="4875" w:type="dxa"/>
            <w:tcBorders>
              <w:top w:val="nil"/>
              <w:left w:val="single" w:color="000000" w:sz="4" w:space="0"/>
              <w:bottom w:val="nil"/>
              <w:right w:val="single" w:color="000000" w:sz="4" w:space="0"/>
            </w:tcBorders>
            <w:shd w:val="clear" w:color="auto" w:fill="auto"/>
            <w:vAlign w:val="top"/>
          </w:tcPr>
          <w:p w14:paraId="3C07D38D">
            <w:pPr>
              <w:spacing w:before="0" w:after="0" w:line="240" w:lineRule="auto"/>
              <w:jc w:val="both"/>
              <w:rPr>
                <w:rFonts w:hint="default" w:ascii="Times New Roman" w:hAnsi="Times New Roman" w:eastAsia="Calibri" w:cs="Times New Roman"/>
                <w:sz w:val="22"/>
                <w:szCs w:val="22"/>
                <w:lang w:val="pt-BR" w:eastAsia="pt-BR" w:bidi="ar-SA"/>
              </w:rPr>
            </w:pPr>
            <w:r>
              <w:rPr>
                <w:rFonts w:hint="default" w:ascii="Times New Roman" w:hAnsi="Times New Roman" w:cs="Times New Roman"/>
                <w:sz w:val="22"/>
                <w:szCs w:val="22"/>
              </w:rPr>
              <w:t xml:space="preserve">ÁCIDO ACÉTICO SOLUÇÃO 5% 100ML Ácido acético solução 5%. Solução de contraste para detecção e avaliação de áreas atípicas ou anormais na zona de transformação do colo uterino. Frasco com 100ml. Embalagem com dados de identificação, nº de lote, registro no Ministério da Saúde, validade de esterilização e procedência. Validade mínima de 18 meses. </w:t>
            </w:r>
          </w:p>
        </w:tc>
        <w:tc>
          <w:tcPr>
            <w:tcW w:w="1020" w:type="dxa"/>
            <w:tcBorders>
              <w:top w:val="nil"/>
              <w:left w:val="single" w:color="000000" w:sz="4" w:space="0"/>
              <w:bottom w:val="nil"/>
              <w:right w:val="single" w:color="000000" w:sz="4" w:space="0"/>
            </w:tcBorders>
            <w:vAlign w:val="center"/>
          </w:tcPr>
          <w:p w14:paraId="3BE43841">
            <w:pPr>
              <w:pStyle w:val="29"/>
              <w:snapToGrid w:val="0"/>
              <w:spacing w:before="0" w:after="0" w:line="240" w:lineRule="auto"/>
              <w:rPr>
                <w:rFonts w:ascii="Times New Roman" w:hAnsi="Times New Roman" w:cs="Times New Roman"/>
                <w:b w:val="0"/>
                <w:i w:val="0"/>
                <w:sz w:val="22"/>
                <w:szCs w:val="22"/>
              </w:rPr>
            </w:pPr>
            <w:r>
              <w:rPr>
                <w:rFonts w:ascii="Times New Roman" w:hAnsi="Times New Roman" w:cs="Times New Roman"/>
                <w:b w:val="0"/>
                <w:i w:val="0"/>
                <w:sz w:val="22"/>
                <w:szCs w:val="22"/>
              </w:rPr>
              <w:t>***</w:t>
            </w:r>
          </w:p>
        </w:tc>
        <w:tc>
          <w:tcPr>
            <w:tcW w:w="1140" w:type="dxa"/>
            <w:tcBorders>
              <w:top w:val="nil"/>
              <w:left w:val="single" w:color="000000" w:sz="4" w:space="0"/>
              <w:bottom w:val="nil"/>
              <w:right w:val="single" w:color="auto" w:sz="4" w:space="0"/>
            </w:tcBorders>
            <w:vAlign w:val="center"/>
          </w:tcPr>
          <w:p w14:paraId="63C26A07">
            <w:pPr>
              <w:pStyle w:val="29"/>
              <w:snapToGrid w:val="0"/>
              <w:spacing w:before="0" w:after="0" w:line="240" w:lineRule="auto"/>
              <w:rPr>
                <w:rFonts w:ascii="Times New Roman" w:hAnsi="Times New Roman" w:cs="Times New Roman"/>
                <w:b w:val="0"/>
                <w:i w:val="0"/>
                <w:sz w:val="22"/>
                <w:szCs w:val="22"/>
              </w:rPr>
            </w:pPr>
            <w:r>
              <w:rPr>
                <w:rFonts w:ascii="Times New Roman" w:hAnsi="Times New Roman" w:cs="Times New Roman"/>
                <w:b w:val="0"/>
                <w:i w:val="0"/>
                <w:sz w:val="22"/>
                <w:szCs w:val="22"/>
              </w:rPr>
              <w:t>***</w:t>
            </w:r>
          </w:p>
        </w:tc>
      </w:tr>
      <w:tr w14:paraId="74CFC28A">
        <w:tblPrEx>
          <w:tblCellMar>
            <w:top w:w="55" w:type="dxa"/>
            <w:left w:w="55" w:type="dxa"/>
            <w:bottom w:w="55" w:type="dxa"/>
            <w:right w:w="55" w:type="dxa"/>
          </w:tblCellMar>
        </w:tblPrEx>
        <w:tc>
          <w:tcPr>
            <w:tcW w:w="629" w:type="dxa"/>
            <w:tcBorders>
              <w:top w:val="nil"/>
              <w:left w:val="single" w:color="auto" w:sz="4" w:space="0"/>
              <w:bottom w:val="single" w:color="auto" w:sz="4" w:space="0"/>
              <w:right w:val="single" w:color="000000" w:sz="4" w:space="0"/>
            </w:tcBorders>
            <w:vAlign w:val="center"/>
          </w:tcPr>
          <w:p w14:paraId="4CB197DD">
            <w:pPr>
              <w:pStyle w:val="29"/>
              <w:spacing w:before="0" w:after="0" w:line="240" w:lineRule="auto"/>
              <w:jc w:val="center"/>
              <w:rPr>
                <w:rFonts w:hint="default" w:ascii="Times New Roman" w:hAnsi="Times New Roman" w:cs="Times New Roman"/>
                <w:b w:val="0"/>
                <w:i w:val="0"/>
                <w:sz w:val="22"/>
                <w:szCs w:val="22"/>
                <w:lang w:val="pt-BR"/>
              </w:rPr>
            </w:pPr>
            <w:r>
              <w:rPr>
                <w:rFonts w:hint="default" w:ascii="Times New Roman" w:hAnsi="Times New Roman" w:cs="Times New Roman"/>
                <w:b w:val="0"/>
                <w:i w:val="0"/>
                <w:sz w:val="22"/>
                <w:szCs w:val="22"/>
                <w:lang w:val="pt-BR"/>
              </w:rPr>
              <w:t>...</w:t>
            </w:r>
          </w:p>
        </w:tc>
        <w:tc>
          <w:tcPr>
            <w:tcW w:w="646" w:type="dxa"/>
            <w:tcBorders>
              <w:top w:val="nil"/>
              <w:left w:val="single" w:color="000000" w:sz="4" w:space="0"/>
              <w:bottom w:val="single" w:color="auto" w:sz="4" w:space="0"/>
              <w:right w:val="single" w:color="000000" w:sz="4" w:space="0"/>
            </w:tcBorders>
            <w:vAlign w:val="center"/>
          </w:tcPr>
          <w:p w14:paraId="0E37595E">
            <w:pPr>
              <w:pStyle w:val="29"/>
              <w:spacing w:before="0" w:after="0" w:line="240" w:lineRule="auto"/>
              <w:rPr>
                <w:rFonts w:hint="default" w:ascii="Times New Roman" w:hAnsi="Times New Roman" w:cs="Times New Roman"/>
                <w:b w:val="0"/>
                <w:i w:val="0"/>
                <w:sz w:val="22"/>
                <w:szCs w:val="22"/>
                <w:lang w:val="pt-BR"/>
              </w:rPr>
            </w:pPr>
            <w:r>
              <w:rPr>
                <w:rFonts w:hint="default" w:ascii="Times New Roman" w:hAnsi="Times New Roman" w:cs="Times New Roman"/>
                <w:b w:val="0"/>
                <w:i w:val="0"/>
                <w:sz w:val="22"/>
                <w:szCs w:val="22"/>
                <w:lang w:val="pt-BR"/>
              </w:rPr>
              <w:t>..</w:t>
            </w:r>
          </w:p>
        </w:tc>
        <w:tc>
          <w:tcPr>
            <w:tcW w:w="660" w:type="dxa"/>
            <w:tcBorders>
              <w:top w:val="nil"/>
              <w:left w:val="single" w:color="000000" w:sz="4" w:space="0"/>
              <w:bottom w:val="single" w:color="auto" w:sz="4" w:space="0"/>
              <w:right w:val="single" w:color="000000" w:sz="4" w:space="0"/>
            </w:tcBorders>
            <w:vAlign w:val="center"/>
          </w:tcPr>
          <w:p w14:paraId="2DA0F319">
            <w:pPr>
              <w:pStyle w:val="29"/>
              <w:spacing w:before="0" w:after="0" w:line="240" w:lineRule="auto"/>
              <w:rPr>
                <w:rFonts w:hint="default" w:ascii="Times New Roman" w:hAnsi="Times New Roman" w:cs="Times New Roman"/>
                <w:b w:val="0"/>
                <w:bCs/>
                <w:i w:val="0"/>
                <w:iCs/>
                <w:sz w:val="22"/>
                <w:szCs w:val="22"/>
                <w:lang w:val="pt-BR"/>
              </w:rPr>
            </w:pPr>
            <w:r>
              <w:rPr>
                <w:rFonts w:hint="default" w:ascii="Times New Roman" w:hAnsi="Times New Roman" w:cs="Times New Roman"/>
                <w:b w:val="0"/>
                <w:bCs/>
                <w:i w:val="0"/>
                <w:iCs/>
                <w:sz w:val="22"/>
                <w:szCs w:val="22"/>
                <w:lang w:val="pt-BR"/>
              </w:rPr>
              <w:t>..</w:t>
            </w:r>
          </w:p>
        </w:tc>
        <w:tc>
          <w:tcPr>
            <w:tcW w:w="4875" w:type="dxa"/>
            <w:tcBorders>
              <w:top w:val="nil"/>
              <w:left w:val="single" w:color="000000" w:sz="4" w:space="0"/>
              <w:bottom w:val="single" w:color="auto" w:sz="4" w:space="0"/>
              <w:right w:val="single" w:color="000000" w:sz="4" w:space="0"/>
            </w:tcBorders>
            <w:shd w:val="clear" w:color="auto" w:fill="auto"/>
            <w:vAlign w:val="center"/>
          </w:tcPr>
          <w:p w14:paraId="08A6BDE2">
            <w:pPr>
              <w:spacing w:after="0" w:line="240" w:lineRule="auto"/>
              <w:rPr>
                <w:rFonts w:hint="default" w:ascii="Times New Roman" w:hAnsi="Times New Roman"/>
                <w:sz w:val="22"/>
                <w:szCs w:val="22"/>
                <w:lang w:val="pt-BR"/>
              </w:rPr>
            </w:pPr>
            <w:r>
              <w:rPr>
                <w:rFonts w:hint="default" w:ascii="Times New Roman" w:hAnsi="Times New Roman"/>
                <w:sz w:val="22"/>
                <w:szCs w:val="22"/>
                <w:lang w:val="pt-BR"/>
              </w:rPr>
              <w:t>...</w:t>
            </w:r>
          </w:p>
        </w:tc>
        <w:tc>
          <w:tcPr>
            <w:tcW w:w="1020" w:type="dxa"/>
            <w:tcBorders>
              <w:top w:val="nil"/>
              <w:left w:val="single" w:color="000000" w:sz="4" w:space="0"/>
              <w:bottom w:val="single" w:color="auto" w:sz="4" w:space="0"/>
              <w:right w:val="single" w:color="000000" w:sz="4" w:space="0"/>
            </w:tcBorders>
            <w:vAlign w:val="center"/>
          </w:tcPr>
          <w:p w14:paraId="5EBC7742">
            <w:pPr>
              <w:pStyle w:val="29"/>
              <w:snapToGrid w:val="0"/>
              <w:spacing w:before="0" w:after="0" w:line="240" w:lineRule="auto"/>
              <w:rPr>
                <w:rFonts w:ascii="Times New Roman" w:hAnsi="Times New Roman" w:cs="Times New Roman"/>
                <w:b w:val="0"/>
                <w:i w:val="0"/>
                <w:sz w:val="22"/>
                <w:szCs w:val="22"/>
              </w:rPr>
            </w:pPr>
          </w:p>
        </w:tc>
        <w:tc>
          <w:tcPr>
            <w:tcW w:w="1140" w:type="dxa"/>
            <w:tcBorders>
              <w:top w:val="nil"/>
              <w:left w:val="single" w:color="000000" w:sz="4" w:space="0"/>
              <w:bottom w:val="single" w:color="auto" w:sz="4" w:space="0"/>
              <w:right w:val="single" w:color="auto" w:sz="4" w:space="0"/>
            </w:tcBorders>
            <w:vAlign w:val="center"/>
          </w:tcPr>
          <w:p w14:paraId="44BE88B1">
            <w:pPr>
              <w:pStyle w:val="29"/>
              <w:snapToGrid w:val="0"/>
              <w:spacing w:before="0" w:after="0" w:line="240" w:lineRule="auto"/>
              <w:rPr>
                <w:rFonts w:ascii="Times New Roman" w:hAnsi="Times New Roman" w:cs="Times New Roman"/>
                <w:b w:val="0"/>
                <w:i w:val="0"/>
                <w:sz w:val="22"/>
                <w:szCs w:val="22"/>
              </w:rPr>
            </w:pPr>
          </w:p>
        </w:tc>
      </w:tr>
    </w:tbl>
    <w:p w14:paraId="6C3973D4">
      <w:pPr>
        <w:suppressAutoHyphens/>
        <w:spacing w:after="0" w:line="240" w:lineRule="auto"/>
        <w:ind w:right="398" w:rightChars="181"/>
        <w:rPr>
          <w:rFonts w:ascii="Times New Roman" w:hAnsi="Times New Roman"/>
        </w:rPr>
      </w:pPr>
    </w:p>
    <w:p w14:paraId="34810C91">
      <w:pPr>
        <w:tabs>
          <w:tab w:val="left" w:pos="2835"/>
        </w:tabs>
        <w:autoSpaceDE w:val="0"/>
        <w:spacing w:after="0" w:line="240" w:lineRule="auto"/>
        <w:jc w:val="both"/>
        <w:rPr>
          <w:rFonts w:ascii="Times New Roman" w:hAnsi="Times New Roman"/>
        </w:rPr>
      </w:pPr>
      <w:r>
        <w:rPr>
          <w:rFonts w:ascii="Times New Roman" w:hAnsi="Times New Roman" w:cs="Times New Roman"/>
        </w:rPr>
        <w:t>§ 1º A entrega dos materiais/produtos é de responsabilidade da Detentora da Ata, devendo ser entregues ao Poder Público de forma adequada. As despesas extras com encargos, fretes ou demais gastos incidentes já deverão estar inclusas nos preços dos produtos.</w:t>
      </w:r>
    </w:p>
    <w:p w14:paraId="469F6A4A">
      <w:pPr>
        <w:pStyle w:val="12"/>
        <w:spacing w:before="0" w:after="0" w:line="240" w:lineRule="auto"/>
        <w:rPr>
          <w:rFonts w:ascii="Times New Roman" w:hAnsi="Times New Roman"/>
        </w:rPr>
      </w:pPr>
      <w:r>
        <w:rPr>
          <w:rFonts w:ascii="Times New Roman" w:hAnsi="Times New Roman"/>
        </w:rPr>
        <w:t>§ 2º Os materiais devem, preferencialmente, serem acondicionados em embalagem individual adequada, com o menor volume possível, que utilize materiais duráveis e recicláveis, de forma a garantir a máxima proteção durante transporte e armazenamento.</w:t>
      </w:r>
    </w:p>
    <w:p w14:paraId="3929A9F1">
      <w:pPr>
        <w:pStyle w:val="22"/>
        <w:keepNext w:val="0"/>
        <w:keepLines w:val="0"/>
        <w:pageBreakBefore w:val="0"/>
        <w:widowControl/>
        <w:kinsoku/>
        <w:wordWrap/>
        <w:overflowPunct/>
        <w:topLinePunct w:val="0"/>
        <w:autoSpaceDE/>
        <w:autoSpaceDN/>
        <w:bidi w:val="0"/>
        <w:adjustRightInd/>
        <w:snapToGrid/>
        <w:spacing w:after="0" w:line="240" w:lineRule="auto"/>
        <w:ind w:left="0" w:leftChars="0" w:right="6" w:firstLine="0" w:firstLineChars="0"/>
        <w:jc w:val="both"/>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lang w:val="pt-BR"/>
        </w:rPr>
        <w:t>§ 3º A Detentora deverá observar as normas técnicas, elaboradas pela ABNT, para aferição e garantia da aplicação dos requisitos mínimos de qualidade, utilidade, resistência e segurança dos materiais utilizados.</w:t>
      </w:r>
    </w:p>
    <w:p w14:paraId="0A44EBF6">
      <w:pPr>
        <w:pStyle w:val="22"/>
        <w:keepNext w:val="0"/>
        <w:keepLines w:val="0"/>
        <w:pageBreakBefore w:val="0"/>
        <w:widowControl/>
        <w:kinsoku/>
        <w:wordWrap/>
        <w:overflowPunct/>
        <w:topLinePunct w:val="0"/>
        <w:autoSpaceDE/>
        <w:autoSpaceDN/>
        <w:bidi w:val="0"/>
        <w:adjustRightInd/>
        <w:snapToGrid/>
        <w:spacing w:after="0" w:line="240" w:lineRule="auto"/>
        <w:ind w:left="0" w:leftChars="0" w:right="6" w:firstLine="0" w:firstLineChars="0"/>
        <w:jc w:val="both"/>
        <w:textAlignment w:val="auto"/>
        <w:rPr>
          <w:rFonts w:hint="default" w:ascii="Times New Roman" w:hAnsi="Times New Roman" w:cs="Times New Roman"/>
          <w:sz w:val="22"/>
          <w:szCs w:val="22"/>
          <w:lang w:val="pt-BR"/>
        </w:rPr>
      </w:pPr>
      <w:r>
        <w:rPr>
          <w:rFonts w:hint="default" w:ascii="Times New Roman" w:hAnsi="Times New Roman" w:cs="Times New Roman"/>
          <w:b w:val="0"/>
          <w:bCs w:val="0"/>
          <w:sz w:val="22"/>
          <w:szCs w:val="22"/>
          <w:lang w:val="pt-BR"/>
        </w:rPr>
        <w:t xml:space="preserve">§ 4º </w:t>
      </w:r>
      <w:r>
        <w:rPr>
          <w:rFonts w:hint="default" w:ascii="Times New Roman" w:hAnsi="Times New Roman" w:cs="Times New Roman"/>
          <w:sz w:val="22"/>
          <w:szCs w:val="22"/>
          <w:lang w:val="pt-BR"/>
        </w:rPr>
        <w:t>Os produtos e materiais ofertados deverão estar em conformidade com os regulamentos técnicos pertinentes em vigor expedidos pela ANVISA, de forma a assegurar aspectos relativos à saúde, à segurança, ao meio ambiente ou à proteção do consumidor.</w:t>
      </w:r>
    </w:p>
    <w:p w14:paraId="546C2D7C">
      <w:pPr>
        <w:spacing w:after="0" w:line="240" w:lineRule="auto"/>
        <w:jc w:val="both"/>
        <w:rPr>
          <w:rFonts w:ascii="Times New Roman" w:hAnsi="Times New Roman"/>
        </w:rPr>
      </w:pPr>
      <w:r>
        <w:rPr>
          <w:rFonts w:ascii="Times New Roman" w:hAnsi="Times New Roman" w:cs="Times New Roman"/>
        </w:rPr>
        <w:t xml:space="preserve">§ </w:t>
      </w:r>
      <w:r>
        <w:rPr>
          <w:rFonts w:hint="default" w:ascii="Times New Roman" w:hAnsi="Times New Roman" w:cs="Times New Roman"/>
          <w:lang w:val="pt-BR"/>
        </w:rPr>
        <w:t>5</w:t>
      </w:r>
      <w:r>
        <w:rPr>
          <w:rFonts w:ascii="Times New Roman" w:hAnsi="Times New Roman" w:cs="Times New Roman"/>
        </w:rPr>
        <w:t>º As quantidades são máximas, podendo, no entanto a Administração não fazer uso da totalidade.</w:t>
      </w:r>
    </w:p>
    <w:p w14:paraId="599FC2C4">
      <w:pPr>
        <w:spacing w:after="0" w:line="240" w:lineRule="auto"/>
        <w:jc w:val="both"/>
        <w:rPr>
          <w:rFonts w:ascii="Times New Roman" w:hAnsi="Times New Roman"/>
        </w:rPr>
      </w:pPr>
      <w:r>
        <w:rPr>
          <w:rFonts w:ascii="Times New Roman" w:hAnsi="Times New Roman" w:cs="Times New Roman"/>
        </w:rPr>
        <w:t xml:space="preserve">§ </w:t>
      </w:r>
      <w:r>
        <w:rPr>
          <w:rFonts w:hint="default" w:ascii="Times New Roman" w:hAnsi="Times New Roman" w:cs="Times New Roman"/>
          <w:lang w:val="pt-BR"/>
        </w:rPr>
        <w:t>6</w:t>
      </w:r>
      <w:r>
        <w:rPr>
          <w:rFonts w:ascii="Times New Roman" w:hAnsi="Times New Roman" w:cs="Times New Roman"/>
        </w:rPr>
        <w:t xml:space="preserve">º A Detentora da Ata ficará responsável pela substituição de toda e qualquer mercadoria que estiver fora dos padrões solicitados ou que seja considerada imprópria para o uso, no prazo máximo de </w:t>
      </w:r>
      <w:r>
        <w:rPr>
          <w:rFonts w:hint="default" w:ascii="Times New Roman" w:hAnsi="Times New Roman" w:cs="Times New Roman"/>
          <w:lang w:val="pt-BR"/>
        </w:rPr>
        <w:t xml:space="preserve">72 </w:t>
      </w:r>
      <w:r>
        <w:rPr>
          <w:rFonts w:ascii="Times New Roman" w:hAnsi="Times New Roman" w:cs="Times New Roman"/>
        </w:rPr>
        <w:t>(</w:t>
      </w:r>
      <w:r>
        <w:rPr>
          <w:rFonts w:hint="default" w:ascii="Times New Roman" w:hAnsi="Times New Roman" w:cs="Times New Roman"/>
          <w:lang w:val="pt-BR"/>
        </w:rPr>
        <w:t>setenta e duas</w:t>
      </w:r>
      <w:r>
        <w:rPr>
          <w:rFonts w:ascii="Times New Roman" w:hAnsi="Times New Roman" w:cs="Times New Roman"/>
        </w:rPr>
        <w:t xml:space="preserve">) </w:t>
      </w:r>
      <w:r>
        <w:rPr>
          <w:rFonts w:hint="default" w:ascii="Times New Roman" w:hAnsi="Times New Roman" w:cs="Times New Roman"/>
          <w:lang w:val="pt-BR"/>
        </w:rPr>
        <w:t>horas</w:t>
      </w:r>
      <w:r>
        <w:rPr>
          <w:rFonts w:ascii="Times New Roman" w:hAnsi="Times New Roman" w:cs="Times New Roman"/>
        </w:rPr>
        <w:t>, ficando ainda sujeita as demais penalidades legais.</w:t>
      </w:r>
    </w:p>
    <w:p w14:paraId="47692649">
      <w:pPr>
        <w:pStyle w:val="15"/>
        <w:tabs>
          <w:tab w:val="left" w:pos="720"/>
          <w:tab w:val="clear" w:pos="2268"/>
        </w:tabs>
        <w:spacing w:line="240" w:lineRule="auto"/>
        <w:ind w:firstLine="0"/>
        <w:rPr>
          <w:rFonts w:ascii="Times New Roman" w:hAnsi="Times New Roman"/>
          <w:color w:val="auto"/>
          <w:sz w:val="22"/>
          <w:szCs w:val="22"/>
        </w:rPr>
      </w:pPr>
      <w:r>
        <w:rPr>
          <w:rFonts w:ascii="Times New Roman" w:hAnsi="Times New Roman"/>
          <w:b/>
          <w:bCs/>
          <w:sz w:val="22"/>
          <w:szCs w:val="22"/>
        </w:rPr>
        <w:t>CLÁUSULA SEGUNDA</w:t>
      </w:r>
      <w:r>
        <w:rPr>
          <w:rFonts w:ascii="Times New Roman" w:hAnsi="Times New Roman"/>
          <w:sz w:val="22"/>
          <w:szCs w:val="22"/>
        </w:rPr>
        <w:t xml:space="preserve"> – O </w:t>
      </w:r>
      <w:r>
        <w:rPr>
          <w:rFonts w:ascii="Times New Roman" w:hAnsi="Times New Roman"/>
          <w:sz w:val="22"/>
          <w:szCs w:val="22"/>
        </w:rPr>
        <w:t>acompanhamento e fiscalização desta Ata de Registro de Preços ficará a cargo da</w:t>
      </w:r>
      <w:r>
        <w:rPr>
          <w:rFonts w:hint="default" w:ascii="Times New Roman" w:hAnsi="Times New Roman"/>
          <w:sz w:val="22"/>
          <w:szCs w:val="22"/>
          <w:lang w:val="pt-BR"/>
        </w:rPr>
        <w:t>s</w:t>
      </w:r>
      <w:r>
        <w:rPr>
          <w:rFonts w:ascii="Times New Roman" w:hAnsi="Times New Roman"/>
          <w:sz w:val="22"/>
          <w:szCs w:val="22"/>
        </w:rPr>
        <w:t xml:space="preserve"> servi</w:t>
      </w:r>
      <w:r>
        <w:rPr>
          <w:rFonts w:ascii="Times New Roman" w:hAnsi="Times New Roman"/>
          <w:color w:val="auto"/>
          <w:sz w:val="22"/>
          <w:szCs w:val="22"/>
        </w:rPr>
        <w:t>dora</w:t>
      </w:r>
      <w:r>
        <w:rPr>
          <w:rFonts w:hint="default" w:ascii="Times New Roman" w:hAnsi="Times New Roman"/>
          <w:color w:val="auto"/>
          <w:sz w:val="22"/>
          <w:szCs w:val="22"/>
          <w:lang w:val="pt-BR"/>
        </w:rPr>
        <w:t>s</w:t>
      </w:r>
      <w:r>
        <w:rPr>
          <w:rFonts w:ascii="Times New Roman" w:hAnsi="Times New Roman"/>
          <w:color w:val="auto"/>
          <w:sz w:val="22"/>
          <w:szCs w:val="22"/>
        </w:rPr>
        <w:t xml:space="preserve"> </w:t>
      </w:r>
      <w:r>
        <w:rPr>
          <w:rFonts w:hint="default" w:ascii="Times New Roman" w:hAnsi="Times New Roman" w:eastAsia="Arial Unicode MS"/>
          <w:b/>
          <w:bCs/>
          <w:sz w:val="22"/>
          <w:szCs w:val="22"/>
          <w:lang w:val="pt-BR"/>
        </w:rPr>
        <w:t xml:space="preserve">Ana Cristina Freitas da Costa </w:t>
      </w:r>
      <w:r>
        <w:rPr>
          <w:rFonts w:ascii="Times New Roman" w:hAnsi="Times New Roman" w:eastAsia="Arial Unicode MS"/>
          <w:b/>
          <w:bCs/>
          <w:sz w:val="22"/>
          <w:szCs w:val="22"/>
        </w:rPr>
        <w:t>e</w:t>
      </w:r>
      <w:r>
        <w:rPr>
          <w:rFonts w:hint="default" w:ascii="Times New Roman" w:hAnsi="Times New Roman" w:eastAsia="Arial Unicode MS"/>
          <w:b/>
          <w:bCs/>
          <w:sz w:val="22"/>
          <w:szCs w:val="22"/>
          <w:lang w:val="pt-BR"/>
        </w:rPr>
        <w:t xml:space="preserve"> Ana </w:t>
      </w:r>
      <w:r>
        <w:rPr>
          <w:rFonts w:hint="default" w:ascii="Times New Roman" w:hAnsi="Times New Roman" w:eastAsia="Arial Unicode MS"/>
          <w:b/>
          <w:bCs/>
          <w:sz w:val="22"/>
          <w:szCs w:val="22"/>
          <w:highlight w:val="none"/>
          <w:lang w:val="pt-BR"/>
        </w:rPr>
        <w:t>Lisete Wasen Windberg</w:t>
      </w:r>
      <w:r>
        <w:rPr>
          <w:rFonts w:ascii="Times New Roman" w:hAnsi="Times New Roman"/>
          <w:color w:val="auto"/>
          <w:sz w:val="22"/>
          <w:szCs w:val="22"/>
        </w:rPr>
        <w:t>, a</w:t>
      </w:r>
      <w:r>
        <w:rPr>
          <w:rFonts w:hint="default" w:ascii="Times New Roman" w:hAnsi="Times New Roman"/>
          <w:color w:val="auto"/>
          <w:sz w:val="22"/>
          <w:szCs w:val="22"/>
          <w:lang w:val="pt-BR"/>
        </w:rPr>
        <w:t>s</w:t>
      </w:r>
      <w:r>
        <w:rPr>
          <w:rFonts w:ascii="Times New Roman" w:hAnsi="Times New Roman"/>
          <w:color w:val="auto"/>
          <w:sz w:val="22"/>
          <w:szCs w:val="22"/>
        </w:rPr>
        <w:t xml:space="preserve"> qua</w:t>
      </w:r>
      <w:r>
        <w:rPr>
          <w:rFonts w:hint="default" w:ascii="Times New Roman" w:hAnsi="Times New Roman"/>
          <w:color w:val="auto"/>
          <w:sz w:val="22"/>
          <w:szCs w:val="22"/>
          <w:lang w:val="pt-BR"/>
        </w:rPr>
        <w:t>is</w:t>
      </w:r>
      <w:r>
        <w:rPr>
          <w:rFonts w:ascii="Times New Roman" w:hAnsi="Times New Roman"/>
          <w:color w:val="auto"/>
          <w:sz w:val="22"/>
          <w:szCs w:val="22"/>
        </w:rPr>
        <w:t xml:space="preserve"> poder</w:t>
      </w:r>
      <w:r>
        <w:rPr>
          <w:rFonts w:hint="default" w:ascii="Times New Roman" w:hAnsi="Times New Roman"/>
          <w:color w:val="auto"/>
          <w:sz w:val="22"/>
          <w:szCs w:val="22"/>
          <w:lang w:val="pt-BR"/>
        </w:rPr>
        <w:t>ão</w:t>
      </w:r>
      <w:r>
        <w:rPr>
          <w:rFonts w:ascii="Times New Roman" w:hAnsi="Times New Roman"/>
          <w:color w:val="auto"/>
          <w:sz w:val="22"/>
          <w:szCs w:val="22"/>
        </w:rPr>
        <w:t xml:space="preserve"> ser contatada</w:t>
      </w:r>
      <w:r>
        <w:rPr>
          <w:rFonts w:hint="default" w:ascii="Times New Roman" w:hAnsi="Times New Roman"/>
          <w:color w:val="auto"/>
          <w:sz w:val="22"/>
          <w:szCs w:val="22"/>
          <w:lang w:val="pt-BR"/>
        </w:rPr>
        <w:t>s</w:t>
      </w:r>
      <w:r>
        <w:rPr>
          <w:rFonts w:ascii="Times New Roman" w:hAnsi="Times New Roman"/>
          <w:color w:val="auto"/>
          <w:sz w:val="22"/>
          <w:szCs w:val="22"/>
        </w:rPr>
        <w:t xml:space="preserve"> pelo telefone 3762-7700, ramal </w:t>
      </w:r>
      <w:r>
        <w:rPr>
          <w:rFonts w:hint="default" w:ascii="Times New Roman" w:hAnsi="Times New Roman"/>
          <w:color w:val="auto"/>
          <w:sz w:val="22"/>
          <w:szCs w:val="22"/>
          <w:lang w:val="pt-BR"/>
        </w:rPr>
        <w:t>6</w:t>
      </w:r>
      <w:r>
        <w:rPr>
          <w:rFonts w:ascii="Times New Roman" w:hAnsi="Times New Roman"/>
          <w:color w:val="auto"/>
          <w:sz w:val="22"/>
          <w:szCs w:val="22"/>
        </w:rPr>
        <w:t>163 e ainda pelo(a) Secretário(a) Municipal de Saúde, que atuará como gestor(a). Estes anotarão em livro próprio todas as ocorrências relacionadas com a sua execução, determinando o que for necess</w:t>
      </w:r>
      <w:r>
        <w:rPr>
          <w:rFonts w:ascii="Times New Roman" w:hAnsi="Times New Roman"/>
          <w:sz w:val="22"/>
          <w:szCs w:val="22"/>
        </w:rPr>
        <w:t>ário à regularização das faltas ou defeitos observados, tendo amplos poderes para recusar e/ou sustar</w:t>
      </w:r>
      <w:r>
        <w:rPr>
          <w:rFonts w:ascii="Times New Roman" w:hAnsi="Times New Roman"/>
          <w:sz w:val="22"/>
          <w:szCs w:val="22"/>
        </w:rPr>
        <w:t xml:space="preserve"> os serviços que não tenham sido executados de acordo com as normas pertinentes, sendo que:</w:t>
      </w:r>
    </w:p>
    <w:p w14:paraId="4C6C2E8F">
      <w:pPr>
        <w:pStyle w:val="15"/>
        <w:numPr>
          <w:ilvl w:val="0"/>
          <w:numId w:val="1"/>
        </w:numPr>
        <w:tabs>
          <w:tab w:val="left" w:pos="720"/>
        </w:tabs>
        <w:spacing w:before="0" w:after="0" w:line="240" w:lineRule="auto"/>
        <w:ind w:firstLine="0"/>
        <w:rPr>
          <w:rFonts w:ascii="Times New Roman" w:hAnsi="Times New Roman"/>
          <w:sz w:val="22"/>
          <w:szCs w:val="22"/>
        </w:rPr>
      </w:pPr>
      <w:r>
        <w:rPr>
          <w:rFonts w:ascii="Times New Roman" w:hAnsi="Times New Roman"/>
          <w:sz w:val="22"/>
          <w:szCs w:val="22"/>
        </w:rPr>
        <w:t>as decisões e providências que ultrapassem a sua competência serão solicitadas a seus superiores, em tempo hábil para adoção das medidas convenientes.</w:t>
      </w:r>
    </w:p>
    <w:p w14:paraId="2ADDCDE4">
      <w:pPr>
        <w:pStyle w:val="15"/>
        <w:keepNext w:val="0"/>
        <w:keepLines w:val="0"/>
        <w:pageBreakBefore w:val="0"/>
        <w:widowControl w:val="0"/>
        <w:numPr>
          <w:ilvl w:val="0"/>
          <w:numId w:val="1"/>
        </w:numPr>
        <w:tabs>
          <w:tab w:val="left" w:pos="720"/>
        </w:tabs>
        <w:kinsoku/>
        <w:wordWrap/>
        <w:overflowPunct/>
        <w:topLinePunct w:val="0"/>
        <w:autoSpaceDE w:val="0"/>
        <w:autoSpaceDN w:val="0"/>
        <w:bidi w:val="0"/>
        <w:adjustRightInd/>
        <w:snapToGrid/>
        <w:spacing w:before="0" w:after="0" w:afterLines="50" w:line="240" w:lineRule="auto"/>
        <w:ind w:firstLine="0"/>
        <w:textAlignment w:val="auto"/>
        <w:rPr>
          <w:rFonts w:ascii="Times New Roman" w:hAnsi="Times New Roman"/>
          <w:sz w:val="22"/>
          <w:szCs w:val="22"/>
        </w:rPr>
      </w:pPr>
      <w:r>
        <w:rPr>
          <w:rFonts w:ascii="Times New Roman" w:hAnsi="Times New Roman"/>
          <w:sz w:val="22"/>
          <w:szCs w:val="22"/>
        </w:rPr>
        <w:t>a fiscalização deste instrumento será auxiliada pelos órgãos de assessoramento jurídico e de controle interno do MUNICÍPIO, que deverão dirimir dúvidas e subsidiá-lo com informações relevantes para prevenir riscos na execução contratual, consoante disposto no artigo 117, § 3º, da Lei 14.133/2021.</w:t>
      </w:r>
    </w:p>
    <w:p w14:paraId="56E9A87D">
      <w:pPr>
        <w:tabs>
          <w:tab w:val="left" w:pos="9460"/>
        </w:tabs>
        <w:spacing w:after="0" w:line="240" w:lineRule="auto"/>
        <w:jc w:val="both"/>
        <w:rPr>
          <w:rFonts w:ascii="Times New Roman" w:hAnsi="Times New Roman"/>
        </w:rPr>
      </w:pPr>
      <w:r>
        <w:rPr>
          <w:rFonts w:ascii="Times New Roman" w:hAnsi="Times New Roman" w:cs="Times New Roman"/>
          <w:sz w:val="22"/>
          <w:szCs w:val="22"/>
        </w:rPr>
        <w:t xml:space="preserve">§ 1° As atividades de gestão e fiscalização da execução contratual são o conjunto de ações que tem por objetivo aferir o cumprimento dos resultados previstos pelo MUNICÍPIO para o serviço contratado, verificar a regularidade das obrigações contratuais, bem como prestar apoio à instrução processual e o encaminhamento da documentação pertinente ao setor de contratos para a </w:t>
      </w:r>
      <w:r>
        <w:rPr>
          <w:rFonts w:ascii="Times New Roman" w:hAnsi="Times New Roman" w:cs="Times New Roman"/>
        </w:rPr>
        <w:t>formalização dos procedimentos relativos a alteração, reequilíbrio, prorrogação, pagamento, eventual aplicação de sanções, extinção do contrato, dentre outras, com vista a assegurar o cumprimento das cláusulas avençadas e a solução de problemas relativos ao objeto.</w:t>
      </w:r>
    </w:p>
    <w:p w14:paraId="4317348D">
      <w:pPr>
        <w:tabs>
          <w:tab w:val="left" w:pos="9460"/>
        </w:tabs>
        <w:spacing w:after="0" w:line="240" w:lineRule="auto"/>
        <w:jc w:val="both"/>
        <w:rPr>
          <w:rFonts w:ascii="Times New Roman" w:hAnsi="Times New Roman"/>
        </w:rPr>
      </w:pPr>
      <w:r>
        <w:rPr>
          <w:rFonts w:ascii="Times New Roman" w:hAnsi="Times New Roman" w:cs="Times New Roman"/>
        </w:rPr>
        <w:t>§ 2° O conjunto de atividades de gestão e fiscalização, são exercidas de acordo com as seguintes disposições:</w:t>
      </w:r>
    </w:p>
    <w:p w14:paraId="01E3E9E7">
      <w:pPr>
        <w:numPr>
          <w:ilvl w:val="0"/>
          <w:numId w:val="2"/>
        </w:numPr>
        <w:tabs>
          <w:tab w:val="left" w:pos="2268"/>
          <w:tab w:val="left" w:pos="9460"/>
        </w:tabs>
        <w:spacing w:after="0" w:line="240" w:lineRule="auto"/>
        <w:jc w:val="both"/>
        <w:rPr>
          <w:rFonts w:ascii="Times New Roman" w:hAnsi="Times New Roman"/>
        </w:rPr>
      </w:pPr>
      <w:r>
        <w:rPr>
          <w:rFonts w:ascii="Times New Roman" w:hAnsi="Times New Roman" w:cs="Times New Roman"/>
        </w:rPr>
        <w:t>Gestor do Contrato: coordenar as atividades de fiscalização do contrato; indicar existência de recurso orçamentário nas hipóteses de aditivo contratual; analisar e decidir as demandas recebidas dos fiscais, acompanhadas de suas manifestações; acompanhar o prazo de execução e vigência do contrato; atestar a realização da despesa, após ateste do fiscal; encaminhar os autos conclusos para pagamento à Secretaria da Fazenda à unidade de orçamento e finanças; encaminhar à unidade competente documentos pertinentes à prorrogação, alteração, reequilíbrio, pagamento, eventuais aplicações de sanções e extinção do contrato.</w:t>
      </w:r>
    </w:p>
    <w:p w14:paraId="1CECECB7">
      <w:pPr>
        <w:numPr>
          <w:ilvl w:val="0"/>
          <w:numId w:val="2"/>
        </w:numPr>
        <w:tabs>
          <w:tab w:val="left" w:pos="2268"/>
          <w:tab w:val="left" w:pos="9460"/>
        </w:tabs>
        <w:spacing w:after="0" w:line="240" w:lineRule="auto"/>
        <w:jc w:val="both"/>
        <w:rPr>
          <w:rFonts w:ascii="Times New Roman" w:hAnsi="Times New Roman"/>
        </w:rPr>
      </w:pPr>
      <w:r>
        <w:rPr>
          <w:rFonts w:ascii="Times New Roman" w:hAnsi="Times New Roman" w:cs="Times New Roman"/>
        </w:rPr>
        <w:t>Fiscal do Contrato: acompanhar a execução do contrato de acordo com o projeto básico; registrar todas as ocorrências e irregularidades relacionadas com a execução do contrato; acompanhar a regularidade da execução dos serviços e as ocorrências evidenciadas; comunicar ao Gestor do Contrato eventuais inadimplementos das obrigações contratuais, propondo aplicação de penalidades e, se for o caso, a rescisão contratual; solicitar à DETENTORA correções e/ou substituições quando do recebimento de serviços divergentes do contrato; atestar a regularidade da prestação dos serviços e encaminhá-la ao Gestor do Contrato para atesto da despesa, realizar o recebimento provisório dos serviços; acompanhar a execução do contrato quanto às obrigações previdenciárias, fiscais e trabalhistas; analisar, por amostragem, os comprovantes de recolhimento mensal das contribuições previdenciárias estabelecidas para o empregador e seus empregados; comprovantes de recolhimento mensal do Fundo de Garantia por Tempo de Serviço; comprovante de pagamento de salários, vale- transporte, auxílio-alimentação e demais obrigações contidas na convenção coletiva, acordo coletivo ou sentença normativa; comunicar ao Gestor do Contrato eventuais inadimplementos das obrigações contratuais, recomendando a aplicação de penalidades; calcular multas; certificar a regularidade da documentação analisada e encaminhá-la ao Gestor do Contrato para atesto da despesa.</w:t>
      </w:r>
    </w:p>
    <w:p w14:paraId="5B222423">
      <w:pPr>
        <w:tabs>
          <w:tab w:val="left" w:pos="9460"/>
        </w:tabs>
        <w:spacing w:after="0" w:line="240" w:lineRule="auto"/>
        <w:jc w:val="both"/>
        <w:rPr>
          <w:rFonts w:ascii="Times New Roman" w:hAnsi="Times New Roman"/>
        </w:rPr>
      </w:pPr>
      <w:r>
        <w:rPr>
          <w:rFonts w:ascii="Times New Roman" w:hAnsi="Times New Roman" w:cs="Times New Roman"/>
        </w:rPr>
        <w:t xml:space="preserve">§ 3° É direito da Fiscalização rejeitar quaisquer serviços quando entender que a sua execução está fora dos padrões técnicos e de qualidade definidos nesta Ata de Registro de Preços, no Edital de Pregão Eletrônico n° </w:t>
      </w:r>
      <w:r>
        <w:rPr>
          <w:rFonts w:hint="default" w:ascii="Times New Roman" w:hAnsi="Times New Roman" w:cs="Times New Roman"/>
          <w:lang w:val="pt-BR"/>
        </w:rPr>
        <w:t>012</w:t>
      </w:r>
      <w:r>
        <w:rPr>
          <w:rFonts w:ascii="Times New Roman" w:hAnsi="Times New Roman" w:cs="Times New Roman"/>
        </w:rPr>
        <w:t>/202</w:t>
      </w:r>
      <w:r>
        <w:rPr>
          <w:rFonts w:hint="default" w:ascii="Times New Roman" w:hAnsi="Times New Roman" w:cs="Times New Roman"/>
          <w:lang w:val="pt-BR"/>
        </w:rPr>
        <w:t>6</w:t>
      </w:r>
      <w:r>
        <w:rPr>
          <w:rFonts w:ascii="Times New Roman" w:hAnsi="Times New Roman" w:cs="Times New Roman"/>
        </w:rPr>
        <w:t>, no Termo de Referência e/ou na proposta da DETENTORA, devendo esta reparar, corrigir ou substituir os serviços e peças rejeitados pela fiscalização.</w:t>
      </w:r>
    </w:p>
    <w:p w14:paraId="14956D98">
      <w:pPr>
        <w:tabs>
          <w:tab w:val="left" w:pos="9460"/>
        </w:tabs>
        <w:spacing w:after="0" w:line="240" w:lineRule="auto"/>
        <w:jc w:val="both"/>
        <w:rPr>
          <w:rFonts w:ascii="Times New Roman" w:hAnsi="Times New Roman"/>
        </w:rPr>
      </w:pPr>
      <w:r>
        <w:rPr>
          <w:rFonts w:ascii="Times New Roman" w:hAnsi="Times New Roman" w:cs="Times New Roman"/>
        </w:rPr>
        <w:t>§ 4° Quaisquer exigências da FISCALIZAÇÃO, inerente ao objeto deste instrumento, deverão ser prontamente atendidas pela DETENTORA, sem ônus para o MUNICÍPIO.</w:t>
      </w:r>
    </w:p>
    <w:p w14:paraId="62FAE0A6">
      <w:pPr>
        <w:tabs>
          <w:tab w:val="left" w:pos="9460"/>
        </w:tabs>
        <w:spacing w:after="0" w:line="240" w:lineRule="auto"/>
        <w:jc w:val="both"/>
        <w:rPr>
          <w:rFonts w:ascii="Times New Roman" w:hAnsi="Times New Roman"/>
        </w:rPr>
      </w:pPr>
      <w:r>
        <w:rPr>
          <w:rFonts w:ascii="Times New Roman" w:hAnsi="Times New Roman" w:cs="Times New Roman"/>
        </w:rPr>
        <w:t>§ 5° A fiscalização exercida no interesse do MUNICÍPIO não exclui nem reduz a responsabilidade da DETENTORA, inclusive perante terceiros, por qualquer irregularidade, e, na sua ocorrência, não implica corresponsabilidade do Poder Público ou de seus agentes e prepostos.</w:t>
      </w:r>
    </w:p>
    <w:p w14:paraId="1F2BA31D">
      <w:pPr>
        <w:tabs>
          <w:tab w:val="left" w:pos="9460"/>
        </w:tabs>
        <w:spacing w:after="0" w:line="240" w:lineRule="auto"/>
        <w:jc w:val="both"/>
        <w:rPr>
          <w:rFonts w:ascii="Times New Roman" w:hAnsi="Times New Roman"/>
        </w:rPr>
      </w:pPr>
      <w:r>
        <w:rPr>
          <w:rFonts w:ascii="Times New Roman" w:hAnsi="Times New Roman" w:cs="Times New Roman"/>
        </w:rPr>
        <w:t>§ 6° A DETENTORA será responsável pelos danos causados diretamente ao MUNICÍPIO ou a terceiros em razão da execução desta Ata de Registro de Preço, e a fiscalização ou o acompanhamento pelo MUNICÍPIO não excluirá nem reduzirá essa responsabilidade.</w:t>
      </w:r>
    </w:p>
    <w:p w14:paraId="30446277">
      <w:pPr>
        <w:pStyle w:val="10"/>
        <w:tabs>
          <w:tab w:val="left" w:pos="9460"/>
        </w:tabs>
        <w:spacing w:beforeLines="100" w:after="0" w:line="240" w:lineRule="auto"/>
        <w:rPr>
          <w:rFonts w:ascii="Times New Roman" w:hAnsi="Times New Roman" w:cs="Times New Roman"/>
        </w:rPr>
      </w:pPr>
      <w:r>
        <w:rPr>
          <w:rFonts w:ascii="Times New Roman" w:hAnsi="Times New Roman" w:cs="Times New Roman"/>
          <w:b/>
        </w:rPr>
        <w:t xml:space="preserve">CLÁUSULA TERCEIRA – </w:t>
      </w:r>
      <w:r>
        <w:rPr>
          <w:rFonts w:ascii="Times New Roman" w:hAnsi="Times New Roman" w:cs="Times New Roman"/>
        </w:rPr>
        <w:t xml:space="preserve">O prazo de vigência da Ata de Registro de Preços será de 12 (doze) meses, a contar de sua assinatura, prorrogável, na forma do art. 84, da Lei n° 14.133/2021, e artigo </w:t>
      </w:r>
      <w:r>
        <w:rPr>
          <w:rFonts w:ascii="Times New Roman" w:hAnsi="Times New Roman" w:cs="Times New Roman"/>
          <w:lang w:val="pt-BR"/>
        </w:rPr>
        <w:t>136</w:t>
      </w:r>
      <w:r>
        <w:rPr>
          <w:rFonts w:ascii="Times New Roman" w:hAnsi="Times New Roman" w:cs="Times New Roman"/>
        </w:rPr>
        <w:t>, do Decreto Municipal n° 3.2</w:t>
      </w:r>
      <w:r>
        <w:rPr>
          <w:rFonts w:ascii="Times New Roman" w:hAnsi="Times New Roman" w:cs="Times New Roman"/>
          <w:lang w:val="pt-BR"/>
        </w:rPr>
        <w:t>50</w:t>
      </w:r>
      <w:r>
        <w:rPr>
          <w:rFonts w:ascii="Times New Roman" w:hAnsi="Times New Roman" w:cs="Times New Roman"/>
        </w:rPr>
        <w:t>/2023, por igual período.</w:t>
      </w:r>
    </w:p>
    <w:p w14:paraId="0F764D5C">
      <w:pPr>
        <w:pStyle w:val="10"/>
        <w:tabs>
          <w:tab w:val="left" w:pos="9460"/>
        </w:tabs>
        <w:spacing w:beforeLines="100" w:after="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w:t>
      </w:r>
      <w:r>
        <w:rPr>
          <w:rFonts w:ascii="Times New Roman" w:hAnsi="Times New Roman" w:cs="Times New Roman"/>
        </w:rPr>
        <w:t>1º Durante o prazo de validade desta Ata de Registro de Preços, o MUNICÍPIO não será obrigado a firmar as contratações que dela poderão advir, facultando-se a realização de</w:t>
      </w:r>
      <w:r>
        <w:rPr>
          <w:rFonts w:ascii="Times New Roman" w:hAnsi="Times New Roman" w:cs="Times New Roman"/>
          <w:spacing w:val="-3"/>
        </w:rPr>
        <w:t xml:space="preserve"> </w:t>
      </w:r>
      <w:r>
        <w:rPr>
          <w:rFonts w:ascii="Times New Roman" w:hAnsi="Times New Roman" w:cs="Times New Roman"/>
        </w:rPr>
        <w:t>licitação específica para a contratação pretendida, sendo assegurado ao beneficiário do registro preferência na execução, em igualdade de condições.</w:t>
      </w:r>
    </w:p>
    <w:p w14:paraId="23AD70BA">
      <w:pPr>
        <w:pStyle w:val="10"/>
        <w:tabs>
          <w:tab w:val="left" w:pos="9460"/>
        </w:tabs>
        <w:spacing w:beforeLines="100" w:after="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w:t>
      </w:r>
      <w:r>
        <w:rPr>
          <w:rFonts w:ascii="Times New Roman" w:hAnsi="Times New Roman" w:cs="Times New Roman"/>
        </w:rPr>
        <w:t>2º A Administração não emitirá qualquer solicitação de aquisição sem a prévia existência do respectivo crédito orçamentário.</w:t>
      </w:r>
    </w:p>
    <w:p w14:paraId="1CD28E2E">
      <w:pPr>
        <w:pStyle w:val="10"/>
        <w:tabs>
          <w:tab w:val="left" w:pos="9460"/>
        </w:tabs>
        <w:spacing w:before="0" w:after="0" w:line="240" w:lineRule="auto"/>
        <w:rPr>
          <w:rFonts w:ascii="Times New Roman" w:hAnsi="Times New Roman" w:cs="Times New Roman"/>
        </w:rPr>
      </w:pPr>
    </w:p>
    <w:p w14:paraId="451A8DBD">
      <w:pPr>
        <w:pStyle w:val="10"/>
        <w:spacing w:before="0" w:after="0" w:line="240" w:lineRule="auto"/>
        <w:rPr>
          <w:rFonts w:ascii="Times New Roman" w:hAnsi="Times New Roman" w:cs="Times New Roman"/>
        </w:rPr>
      </w:pPr>
      <w:r>
        <w:rPr>
          <w:rFonts w:ascii="Times New Roman" w:hAnsi="Times New Roman" w:cs="Times New Roman"/>
          <w:b/>
        </w:rPr>
        <w:t xml:space="preserve">CLÁUSULA QUARTA </w:t>
      </w:r>
      <w:r>
        <w:rPr>
          <w:rFonts w:ascii="Times New Roman" w:hAnsi="Times New Roman" w:cs="Times New Roman"/>
        </w:rPr>
        <w:t>– O objeto será recebido provisoriamente pelos fiscais desta Ata, quando da realização dos serviços, e definitivamente, de forma tácita, no prazo de vinte dias após o recebimento provisório, uma</w:t>
      </w:r>
      <w:r>
        <w:rPr>
          <w:rFonts w:ascii="Times New Roman" w:hAnsi="Times New Roman" w:cs="Times New Roman"/>
          <w:spacing w:val="-4"/>
        </w:rPr>
        <w:t xml:space="preserve"> </w:t>
      </w:r>
      <w:r>
        <w:rPr>
          <w:rFonts w:ascii="Times New Roman" w:hAnsi="Times New Roman" w:cs="Times New Roman"/>
        </w:rPr>
        <w:t>vez</w:t>
      </w:r>
      <w:r>
        <w:rPr>
          <w:rFonts w:ascii="Times New Roman" w:hAnsi="Times New Roman" w:cs="Times New Roman"/>
          <w:spacing w:val="-4"/>
        </w:rPr>
        <w:t xml:space="preserve"> </w:t>
      </w:r>
      <w:r>
        <w:rPr>
          <w:rFonts w:ascii="Times New Roman" w:hAnsi="Times New Roman" w:cs="Times New Roman"/>
        </w:rPr>
        <w:t>verificada</w:t>
      </w:r>
      <w:r>
        <w:rPr>
          <w:rFonts w:ascii="Times New Roman" w:hAnsi="Times New Roman" w:cs="Times New Roman"/>
          <w:spacing w:val="-4"/>
        </w:rPr>
        <w:t xml:space="preserve"> </w:t>
      </w:r>
      <w:r>
        <w:rPr>
          <w:rFonts w:ascii="Times New Roman" w:hAnsi="Times New Roman" w:cs="Times New Roman"/>
        </w:rPr>
        <w:t>a</w:t>
      </w:r>
      <w:r>
        <w:rPr>
          <w:rFonts w:ascii="Times New Roman" w:hAnsi="Times New Roman" w:cs="Times New Roman"/>
          <w:spacing w:val="-4"/>
        </w:rPr>
        <w:t xml:space="preserve"> </w:t>
      </w:r>
      <w:r>
        <w:rPr>
          <w:rFonts w:ascii="Times New Roman" w:hAnsi="Times New Roman" w:cs="Times New Roman"/>
        </w:rPr>
        <w:t>qualidade</w:t>
      </w:r>
      <w:r>
        <w:rPr>
          <w:rFonts w:ascii="Times New Roman" w:hAnsi="Times New Roman" w:cs="Times New Roman"/>
          <w:spacing w:val="-4"/>
        </w:rPr>
        <w:t xml:space="preserve"> </w:t>
      </w:r>
      <w:r>
        <w:rPr>
          <w:rFonts w:ascii="Times New Roman" w:hAnsi="Times New Roman" w:cs="Times New Roman"/>
        </w:rPr>
        <w:t>e</w:t>
      </w:r>
      <w:r>
        <w:rPr>
          <w:rFonts w:ascii="Times New Roman" w:hAnsi="Times New Roman" w:cs="Times New Roman"/>
          <w:spacing w:val="-4"/>
        </w:rPr>
        <w:t xml:space="preserve"> </w:t>
      </w:r>
      <w:r>
        <w:rPr>
          <w:rFonts w:ascii="Times New Roman" w:hAnsi="Times New Roman" w:cs="Times New Roman"/>
        </w:rPr>
        <w:t>da</w:t>
      </w:r>
      <w:r>
        <w:rPr>
          <w:rFonts w:ascii="Times New Roman" w:hAnsi="Times New Roman" w:cs="Times New Roman"/>
          <w:spacing w:val="-4"/>
        </w:rPr>
        <w:t xml:space="preserve"> </w:t>
      </w:r>
      <w:r>
        <w:rPr>
          <w:rFonts w:ascii="Times New Roman" w:hAnsi="Times New Roman" w:cs="Times New Roman"/>
        </w:rPr>
        <w:t>quantidade</w:t>
      </w:r>
      <w:r>
        <w:rPr>
          <w:rFonts w:ascii="Times New Roman" w:hAnsi="Times New Roman" w:cs="Times New Roman"/>
          <w:spacing w:val="-4"/>
        </w:rPr>
        <w:t xml:space="preserve"> </w:t>
      </w:r>
      <w:r>
        <w:rPr>
          <w:rFonts w:ascii="Times New Roman" w:hAnsi="Times New Roman" w:cs="Times New Roman"/>
        </w:rPr>
        <w:t>e</w:t>
      </w:r>
      <w:r>
        <w:rPr>
          <w:rFonts w:ascii="Times New Roman" w:hAnsi="Times New Roman" w:cs="Times New Roman"/>
          <w:spacing w:val="-4"/>
        </w:rPr>
        <w:t xml:space="preserve"> </w:t>
      </w:r>
      <w:r>
        <w:rPr>
          <w:rFonts w:ascii="Times New Roman" w:hAnsi="Times New Roman" w:cs="Times New Roman"/>
        </w:rPr>
        <w:t>consequente</w:t>
      </w:r>
      <w:r>
        <w:rPr>
          <w:rFonts w:ascii="Times New Roman" w:hAnsi="Times New Roman" w:cs="Times New Roman"/>
          <w:spacing w:val="-4"/>
        </w:rPr>
        <w:t xml:space="preserve"> </w:t>
      </w:r>
      <w:r>
        <w:rPr>
          <w:rFonts w:ascii="Times New Roman" w:hAnsi="Times New Roman" w:cs="Times New Roman"/>
        </w:rPr>
        <w:t>aceitação, desde que até então nada conste em desabono aos serviços realizados e materiais fornecidos.</w:t>
      </w:r>
    </w:p>
    <w:p w14:paraId="3FDFB4D9">
      <w:pPr>
        <w:pStyle w:val="10"/>
        <w:spacing w:before="0" w:after="0" w:line="240" w:lineRule="auto"/>
        <w:rPr>
          <w:rFonts w:ascii="Times New Roman" w:hAnsi="Times New Roman" w:cs="Times New Roman"/>
        </w:rPr>
      </w:pPr>
    </w:p>
    <w:p w14:paraId="0581E41F">
      <w:pPr>
        <w:pStyle w:val="10"/>
        <w:tabs>
          <w:tab w:val="left" w:pos="10120"/>
        </w:tabs>
        <w:spacing w:before="0" w:after="0" w:line="240" w:lineRule="auto"/>
        <w:rPr>
          <w:rFonts w:ascii="Times New Roman" w:hAnsi="Times New Roman" w:cs="Times New Roman"/>
          <w:spacing w:val="-2"/>
        </w:rPr>
      </w:pPr>
      <w:r>
        <w:rPr>
          <w:rFonts w:ascii="Times New Roman" w:hAnsi="Times New Roman" w:cs="Times New Roman"/>
        </w:rPr>
        <w:t xml:space="preserve">Parágrafo Único. O recebimento provisório ou definitivo não exclui a responsabilidade civil pelo fornecimento dos materiais e serviços, nem a ético-profissional pela perfeita execução deste </w:t>
      </w:r>
      <w:r>
        <w:rPr>
          <w:rFonts w:ascii="Times New Roman" w:hAnsi="Times New Roman" w:cs="Times New Roman"/>
          <w:spacing w:val="-2"/>
        </w:rPr>
        <w:t>objeto.</w:t>
      </w:r>
    </w:p>
    <w:p w14:paraId="026F868C">
      <w:pPr>
        <w:pStyle w:val="10"/>
        <w:tabs>
          <w:tab w:val="left" w:pos="10120"/>
        </w:tabs>
        <w:spacing w:before="0" w:after="0" w:line="240" w:lineRule="auto"/>
        <w:rPr>
          <w:rFonts w:ascii="Times New Roman" w:hAnsi="Times New Roman" w:cs="Times New Roman"/>
          <w:spacing w:val="-2"/>
        </w:rPr>
      </w:pPr>
    </w:p>
    <w:p w14:paraId="16A761A2">
      <w:pPr>
        <w:pStyle w:val="10"/>
        <w:spacing w:before="1" w:line="240" w:lineRule="auto"/>
        <w:rPr>
          <w:rFonts w:ascii="Times New Roman" w:hAnsi="Times New Roman" w:cs="Times New Roman"/>
          <w:lang w:val="pt-BR"/>
        </w:rPr>
      </w:pPr>
      <w:r>
        <w:rPr>
          <w:rFonts w:ascii="Times New Roman" w:hAnsi="Times New Roman" w:cs="Times New Roman"/>
          <w:b/>
        </w:rPr>
        <w:t xml:space="preserve">CLÁUSULA </w:t>
      </w:r>
      <w:r>
        <w:rPr>
          <w:rFonts w:ascii="Times New Roman" w:hAnsi="Times New Roman" w:cs="Times New Roman"/>
          <w:b/>
          <w:lang w:val="pt-BR"/>
        </w:rPr>
        <w:t xml:space="preserve">QUINTA </w:t>
      </w:r>
      <w:r>
        <w:rPr>
          <w:rFonts w:ascii="Times New Roman" w:hAnsi="Times New Roman" w:cs="Times New Roman"/>
        </w:rPr>
        <w:t xml:space="preserve">– O pagamento será depositado na conta bancária da DETENTORA, no prazo de até </w:t>
      </w:r>
      <w:r>
        <w:rPr>
          <w:rFonts w:ascii="Times New Roman" w:hAnsi="Times New Roman" w:cs="Times New Roman"/>
          <w:lang w:val="pt-BR"/>
        </w:rPr>
        <w:t xml:space="preserve">15 </w:t>
      </w:r>
      <w:r>
        <w:rPr>
          <w:rFonts w:ascii="Times New Roman" w:hAnsi="Times New Roman" w:cs="Times New Roman"/>
        </w:rPr>
        <w:t>(</w:t>
      </w:r>
      <w:r>
        <w:rPr>
          <w:rFonts w:ascii="Times New Roman" w:hAnsi="Times New Roman" w:cs="Times New Roman"/>
          <w:lang w:val="pt-BR"/>
        </w:rPr>
        <w:t>quinze</w:t>
      </w:r>
      <w:r>
        <w:rPr>
          <w:rFonts w:ascii="Times New Roman" w:hAnsi="Times New Roman" w:cs="Times New Roman"/>
        </w:rPr>
        <w:t>) dias</w:t>
      </w:r>
      <w:r>
        <w:rPr>
          <w:rFonts w:ascii="Times New Roman" w:hAnsi="Times New Roman" w:cs="Times New Roman"/>
          <w:lang w:val="pt-BR"/>
        </w:rPr>
        <w:t xml:space="preserve"> úteis</w:t>
      </w:r>
      <w:r>
        <w:rPr>
          <w:rFonts w:ascii="Times New Roman" w:hAnsi="Times New Roman" w:cs="Times New Roman"/>
        </w:rPr>
        <w:t>, após a entrega da respectiva Nota Fiscal, aprovada</w:t>
      </w:r>
      <w:r>
        <w:rPr>
          <w:rFonts w:ascii="Times New Roman" w:hAnsi="Times New Roman" w:cs="Times New Roman"/>
          <w:spacing w:val="-3"/>
        </w:rPr>
        <w:t xml:space="preserve"> </w:t>
      </w:r>
      <w:r>
        <w:rPr>
          <w:rFonts w:ascii="Times New Roman" w:hAnsi="Times New Roman" w:cs="Times New Roman"/>
        </w:rPr>
        <w:t>pelos fisca</w:t>
      </w:r>
      <w:r>
        <w:rPr>
          <w:rFonts w:ascii="Times New Roman" w:hAnsi="Times New Roman" w:cs="Times New Roman"/>
          <w:lang w:val="pt-BR"/>
        </w:rPr>
        <w:t>is</w:t>
      </w:r>
      <w:r>
        <w:rPr>
          <w:rFonts w:ascii="Times New Roman" w:hAnsi="Times New Roman" w:cs="Times New Roman"/>
        </w:rPr>
        <w:t xml:space="preserve"> desta Ata e pelo Gestor</w:t>
      </w:r>
      <w:r>
        <w:rPr>
          <w:rFonts w:ascii="Times New Roman" w:hAnsi="Times New Roman" w:cs="Times New Roman"/>
          <w:lang w:val="pt-BR"/>
        </w:rPr>
        <w:t>. O pagamento corresponderá a prestação de serviços realizados ou do produto fornecido, de acordo com as medições.</w:t>
      </w:r>
    </w:p>
    <w:p w14:paraId="25C3FA07">
      <w:pPr>
        <w:pStyle w:val="10"/>
        <w:spacing w:beforeLines="50" w:afterLines="50" w:line="240" w:lineRule="auto"/>
        <w:rPr>
          <w:rFonts w:ascii="Times New Roman" w:hAnsi="Times New Roman" w:cs="Times New Roman"/>
        </w:rPr>
      </w:pPr>
      <w:r>
        <w:rPr>
          <w:rFonts w:ascii="Times New Roman" w:hAnsi="Times New Roman" w:cs="Times New Roman"/>
        </w:rPr>
        <w:t>§</w:t>
      </w:r>
      <w:r>
        <w:rPr>
          <w:rFonts w:ascii="Times New Roman" w:hAnsi="Times New Roman" w:cs="Times New Roman"/>
          <w:lang w:val="pt-BR"/>
        </w:rPr>
        <w:t xml:space="preserve"> 1</w:t>
      </w:r>
      <w:r>
        <w:rPr>
          <w:rFonts w:ascii="Times New Roman" w:hAnsi="Times New Roman" w:cs="Times New Roman"/>
        </w:rPr>
        <w:t xml:space="preserve">º A </w:t>
      </w:r>
      <w:r>
        <w:rPr>
          <w:rFonts w:ascii="Times New Roman" w:hAnsi="Times New Roman" w:cs="Times New Roman"/>
          <w:lang w:val="pt-BR"/>
        </w:rPr>
        <w:t>N</w:t>
      </w:r>
      <w:r>
        <w:rPr>
          <w:rFonts w:ascii="Times New Roman" w:hAnsi="Times New Roman" w:cs="Times New Roman"/>
        </w:rPr>
        <w:t xml:space="preserve">ota </w:t>
      </w:r>
      <w:r>
        <w:rPr>
          <w:rFonts w:ascii="Times New Roman" w:hAnsi="Times New Roman" w:cs="Times New Roman"/>
          <w:lang w:val="pt-BR"/>
        </w:rPr>
        <w:t>F</w:t>
      </w:r>
      <w:r>
        <w:rPr>
          <w:rFonts w:ascii="Times New Roman" w:hAnsi="Times New Roman" w:cs="Times New Roman"/>
        </w:rPr>
        <w:t xml:space="preserve">iscal/fatura emitida pelo fornecedor deverá conter, em local de fácil visualização, a indicação do  número do pregão eletrônico e da </w:t>
      </w:r>
      <w:r>
        <w:rPr>
          <w:rFonts w:ascii="Times New Roman" w:hAnsi="Times New Roman" w:cs="Times New Roman"/>
          <w:lang w:val="pt-BR"/>
        </w:rPr>
        <w:t>Nota de Empenho</w:t>
      </w:r>
      <w:r>
        <w:rPr>
          <w:rFonts w:ascii="Times New Roman" w:hAnsi="Times New Roman" w:cs="Times New Roman"/>
        </w:rPr>
        <w:t>, a fim de se acelerar o trâmite de recebimento do</w:t>
      </w:r>
      <w:r>
        <w:rPr>
          <w:rFonts w:ascii="Times New Roman" w:hAnsi="Times New Roman" w:cs="Times New Roman"/>
          <w:lang w:val="pt-BR"/>
        </w:rPr>
        <w:t>s</w:t>
      </w:r>
      <w:r>
        <w:rPr>
          <w:rFonts w:ascii="Times New Roman" w:hAnsi="Times New Roman" w:cs="Times New Roman"/>
        </w:rPr>
        <w:t xml:space="preserve"> </w:t>
      </w:r>
      <w:r>
        <w:rPr>
          <w:rFonts w:ascii="Times New Roman" w:hAnsi="Times New Roman" w:cs="Times New Roman"/>
          <w:lang w:val="pt-BR"/>
        </w:rPr>
        <w:t>serviços e</w:t>
      </w:r>
      <w:r>
        <w:rPr>
          <w:rFonts w:ascii="Times New Roman" w:hAnsi="Times New Roman" w:cs="Times New Roman"/>
        </w:rPr>
        <w:t xml:space="preserve"> posterior liberação do documento fiscal para pagamento.</w:t>
      </w:r>
    </w:p>
    <w:p w14:paraId="15A05BF8">
      <w:pPr>
        <w:pStyle w:val="15"/>
        <w:tabs>
          <w:tab w:val="left" w:pos="720"/>
        </w:tabs>
        <w:spacing w:before="0" w:after="0" w:line="240" w:lineRule="auto"/>
        <w:ind w:firstLine="0"/>
        <w:rPr>
          <w:rFonts w:ascii="Times New Roman" w:hAnsi="Times New Roman"/>
          <w:sz w:val="22"/>
          <w:szCs w:val="22"/>
        </w:rPr>
      </w:pPr>
      <w:r>
        <w:rPr>
          <w:rFonts w:ascii="Times New Roman" w:hAnsi="Times New Roman"/>
          <w:sz w:val="22"/>
          <w:szCs w:val="22"/>
        </w:rPr>
        <w:t>§ 2º Somente será autorizado o pagamento a fornecedores que estiverem quitas com a Fazenda Municipal de Teutônia.</w:t>
      </w:r>
    </w:p>
    <w:p w14:paraId="3ED5EFAD">
      <w:pPr>
        <w:pStyle w:val="30"/>
        <w:tabs>
          <w:tab w:val="left" w:pos="142"/>
          <w:tab w:val="left" w:pos="284"/>
          <w:tab w:val="left" w:pos="567"/>
        </w:tabs>
        <w:spacing w:line="240" w:lineRule="auto"/>
        <w:ind w:left="0"/>
        <w:rPr>
          <w:rFonts w:ascii="Times New Roman" w:hAnsi="Times New Roman"/>
          <w:szCs w:val="22"/>
        </w:rPr>
      </w:pPr>
      <w:r>
        <w:rPr>
          <w:rFonts w:ascii="Times New Roman" w:hAnsi="Times New Roman"/>
          <w:szCs w:val="22"/>
        </w:rPr>
        <w:t>§ 3º Serão processadas as retenções tributárias e previdenciárias nos termos da legislação que regula a matéria.</w:t>
      </w:r>
    </w:p>
    <w:p w14:paraId="6D43BA2F">
      <w:pPr>
        <w:spacing w:after="0" w:line="240" w:lineRule="auto"/>
        <w:jc w:val="both"/>
        <w:rPr>
          <w:rFonts w:ascii="Times New Roman" w:hAnsi="Times New Roman"/>
        </w:rPr>
      </w:pPr>
      <w:r>
        <w:rPr>
          <w:rFonts w:ascii="Times New Roman" w:hAnsi="Times New Roman" w:cs="Times New Roman"/>
          <w:lang w:val="pt-PT"/>
        </w:rPr>
        <w:t>§</w:t>
      </w:r>
      <w:r>
        <w:rPr>
          <w:rFonts w:ascii="Times New Roman" w:hAnsi="Times New Roman" w:cs="Times New Roman"/>
        </w:rPr>
        <w:t xml:space="preserve"> 4</w:t>
      </w:r>
      <w:r>
        <w:rPr>
          <w:rFonts w:ascii="Times New Roman" w:hAnsi="Times New Roman" w:cs="Times New Roman"/>
          <w:lang w:val="pt-PT"/>
        </w:rPr>
        <w:t xml:space="preserve">º </w:t>
      </w:r>
      <w:r>
        <w:rPr>
          <w:rFonts w:ascii="Times New Roman" w:hAnsi="Times New Roman" w:cs="Times New Roman"/>
        </w:rPr>
        <w:t xml:space="preserve"> P</w:t>
      </w:r>
      <w:r>
        <w:rPr>
          <w:rFonts w:ascii="Times New Roman" w:hAnsi="Times New Roman" w:cs="Times New Roman"/>
          <w:lang w:val="pt-PT"/>
        </w:rPr>
        <w:t>oderá o Município de Teutônia</w:t>
      </w:r>
      <w:r>
        <w:rPr>
          <w:rFonts w:ascii="Times New Roman" w:hAnsi="Times New Roman" w:cs="Times New Roman"/>
        </w:rPr>
        <w:t>/</w:t>
      </w:r>
      <w:r>
        <w:rPr>
          <w:rFonts w:ascii="Times New Roman" w:hAnsi="Times New Roman" w:cs="Times New Roman"/>
          <w:lang w:val="pt-PT"/>
        </w:rPr>
        <w:t>RS compensar multas aplicadas com valores contratados e ainda não pagos</w:t>
      </w:r>
      <w:r>
        <w:rPr>
          <w:rFonts w:ascii="Times New Roman" w:hAnsi="Times New Roman" w:cs="Times New Roman"/>
        </w:rPr>
        <w:t>.</w:t>
      </w:r>
    </w:p>
    <w:p w14:paraId="05FB365C">
      <w:pPr>
        <w:spacing w:beforeLines="50" w:after="0" w:line="240" w:lineRule="auto"/>
        <w:jc w:val="both"/>
        <w:rPr>
          <w:rFonts w:ascii="Times New Roman" w:hAnsi="Times New Roman"/>
        </w:rPr>
      </w:pPr>
      <w:r>
        <w:rPr>
          <w:rFonts w:ascii="Times New Roman" w:hAnsi="Times New Roman" w:cs="Times New Roman"/>
        </w:rPr>
        <w:t>§ 5º A despesa correrá nas seguintes dotações orçamentárias:</w:t>
      </w:r>
    </w:p>
    <w:p w14:paraId="059F5958">
      <w:pPr>
        <w:spacing w:after="0" w:line="240" w:lineRule="auto"/>
        <w:jc w:val="both"/>
        <w:rPr>
          <w:rFonts w:ascii="Times New Roman" w:hAnsi="Times New Roman"/>
          <w:sz w:val="21"/>
          <w:szCs w:val="21"/>
        </w:rPr>
      </w:pPr>
    </w:p>
    <w:p w14:paraId="144BECD3">
      <w:pPr>
        <w:pStyle w:val="10"/>
        <w:keepNext w:val="0"/>
        <w:keepLines w:val="0"/>
        <w:pageBreakBefore w:val="0"/>
        <w:widowControl/>
        <w:tabs>
          <w:tab w:val="left" w:pos="4962"/>
          <w:tab w:val="clear" w:pos="2268"/>
        </w:tabs>
        <w:kinsoku/>
        <w:wordWrap/>
        <w:overflowPunct/>
        <w:topLinePunct w:val="0"/>
        <w:autoSpaceDE/>
        <w:autoSpaceDN/>
        <w:bidi w:val="0"/>
        <w:adjustRightInd/>
        <w:snapToGrid/>
        <w:spacing w:before="0" w:after="0" w:line="240" w:lineRule="auto"/>
        <w:ind w:left="0" w:leftChars="0" w:firstLine="0" w:firstLineChars="0"/>
        <w:textAlignment w:val="auto"/>
        <w:rPr>
          <w:rFonts w:hint="default" w:ascii="Times New Roman" w:hAnsi="Times New Roman" w:cs="Times New Roman"/>
          <w:bCs/>
          <w:sz w:val="22"/>
          <w:szCs w:val="22"/>
        </w:rPr>
      </w:pPr>
      <w:r>
        <w:rPr>
          <w:rFonts w:hint="default" w:ascii="Times New Roman" w:hAnsi="Times New Roman" w:eastAsia="Cambria" w:cs="Times New Roman"/>
          <w:bCs/>
          <w:sz w:val="22"/>
          <w:szCs w:val="22"/>
          <w:lang w:eastAsia="en-US"/>
        </w:rPr>
        <w:t>06 – SECRETARIA MUNICIPAL DE SAÚDE</w:t>
      </w:r>
    </w:p>
    <w:p w14:paraId="6C69035E">
      <w:pPr>
        <w:pStyle w:val="10"/>
        <w:keepNext w:val="0"/>
        <w:keepLines w:val="0"/>
        <w:pageBreakBefore w:val="0"/>
        <w:widowControl/>
        <w:tabs>
          <w:tab w:val="left" w:pos="4962"/>
          <w:tab w:val="clear" w:pos="2268"/>
        </w:tabs>
        <w:kinsoku/>
        <w:wordWrap/>
        <w:overflowPunct/>
        <w:topLinePunct w:val="0"/>
        <w:autoSpaceDE/>
        <w:autoSpaceDN/>
        <w:bidi w:val="0"/>
        <w:adjustRightInd/>
        <w:snapToGrid/>
        <w:spacing w:before="0" w:after="0" w:line="240" w:lineRule="auto"/>
        <w:ind w:left="0" w:leftChars="0" w:firstLine="0" w:firstLineChars="0"/>
        <w:textAlignment w:val="auto"/>
        <w:rPr>
          <w:rFonts w:hint="default" w:ascii="Times New Roman" w:hAnsi="Times New Roman" w:cs="Times New Roman"/>
          <w:bCs/>
          <w:sz w:val="22"/>
          <w:szCs w:val="22"/>
        </w:rPr>
      </w:pPr>
      <w:r>
        <w:rPr>
          <w:rFonts w:hint="default" w:ascii="Times New Roman" w:hAnsi="Times New Roman" w:eastAsia="Cambria" w:cs="Times New Roman"/>
          <w:bCs/>
          <w:sz w:val="22"/>
          <w:szCs w:val="22"/>
          <w:lang w:eastAsia="en-US"/>
        </w:rPr>
        <w:t>01 – FUNDO MUNICIPAL DA SAÚDE – REC. PRÓPRIOS</w:t>
      </w:r>
    </w:p>
    <w:p w14:paraId="41F5B101">
      <w:pPr>
        <w:pStyle w:val="10"/>
        <w:keepNext w:val="0"/>
        <w:keepLines w:val="0"/>
        <w:pageBreakBefore w:val="0"/>
        <w:widowControl/>
        <w:tabs>
          <w:tab w:val="left" w:pos="4962"/>
          <w:tab w:val="clear" w:pos="2268"/>
        </w:tabs>
        <w:kinsoku/>
        <w:wordWrap/>
        <w:overflowPunct/>
        <w:topLinePunct w:val="0"/>
        <w:autoSpaceDE/>
        <w:autoSpaceDN/>
        <w:bidi w:val="0"/>
        <w:adjustRightInd/>
        <w:snapToGrid/>
        <w:spacing w:before="0" w:after="0" w:line="240" w:lineRule="auto"/>
        <w:ind w:left="0" w:lef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shd w:val="clear" w:color="auto" w:fill="FFFFFF"/>
        </w:rPr>
        <w:t>10.301.0034.2092</w:t>
      </w:r>
      <w:r>
        <w:rPr>
          <w:rFonts w:hint="default" w:ascii="Times New Roman" w:hAnsi="Times New Roman" w:cs="Times New Roman"/>
          <w:sz w:val="22"/>
          <w:szCs w:val="22"/>
        </w:rPr>
        <w:t> </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PROGRAMA PARA ATENDIMENTO DA ATENÇÃO PRIMÁRIA DA SAÚDE</w:t>
      </w:r>
    </w:p>
    <w:p w14:paraId="26223669">
      <w:pPr>
        <w:pStyle w:val="10"/>
        <w:keepNext w:val="0"/>
        <w:keepLines w:val="0"/>
        <w:pageBreakBefore w:val="0"/>
        <w:widowControl/>
        <w:tabs>
          <w:tab w:val="left" w:pos="4962"/>
          <w:tab w:val="clear" w:pos="2268"/>
        </w:tabs>
        <w:kinsoku/>
        <w:wordWrap/>
        <w:overflowPunct/>
        <w:topLinePunct w:val="0"/>
        <w:autoSpaceDE/>
        <w:autoSpaceDN/>
        <w:bidi w:val="0"/>
        <w:adjustRightInd/>
        <w:snapToGrid/>
        <w:spacing w:before="0" w:after="0" w:line="240" w:lineRule="auto"/>
        <w:ind w:left="0" w:lef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t>3.3.3.9.0.3000000000</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 MATERIAL DE CONSUMO – 618</w:t>
      </w:r>
    </w:p>
    <w:p w14:paraId="08432DAA">
      <w:pPr>
        <w:pStyle w:val="10"/>
        <w:keepNext w:val="0"/>
        <w:keepLines w:val="0"/>
        <w:pageBreakBefore w:val="0"/>
        <w:widowControl/>
        <w:tabs>
          <w:tab w:val="left" w:pos="4962"/>
          <w:tab w:val="clear" w:pos="2268"/>
        </w:tabs>
        <w:kinsoku/>
        <w:wordWrap/>
        <w:overflowPunct/>
        <w:topLinePunct w:val="0"/>
        <w:autoSpaceDE/>
        <w:autoSpaceDN/>
        <w:bidi w:val="0"/>
        <w:adjustRightInd/>
        <w:snapToGrid/>
        <w:spacing w:before="0" w:after="0" w:line="240" w:lineRule="auto"/>
        <w:ind w:left="0" w:leftChars="0" w:firstLine="0" w:firstLineChars="0"/>
        <w:textAlignment w:val="auto"/>
        <w:rPr>
          <w:rFonts w:hint="default" w:ascii="Times New Roman" w:hAnsi="Times New Roman" w:cs="Times New Roman"/>
          <w:sz w:val="22"/>
          <w:szCs w:val="22"/>
        </w:rPr>
      </w:pPr>
      <w:bookmarkStart w:id="0" w:name="gmail-m_3369628518139418360OBJ_PREFIX_DW"/>
      <w:bookmarkEnd w:id="0"/>
    </w:p>
    <w:p w14:paraId="658E7BF0">
      <w:pPr>
        <w:pStyle w:val="10"/>
        <w:keepNext w:val="0"/>
        <w:keepLines w:val="0"/>
        <w:pageBreakBefore w:val="0"/>
        <w:widowControl/>
        <w:tabs>
          <w:tab w:val="left" w:pos="4962"/>
          <w:tab w:val="clear" w:pos="2268"/>
        </w:tabs>
        <w:kinsoku/>
        <w:wordWrap/>
        <w:overflowPunct/>
        <w:topLinePunct w:val="0"/>
        <w:autoSpaceDE/>
        <w:autoSpaceDN/>
        <w:bidi w:val="0"/>
        <w:adjustRightInd/>
        <w:snapToGrid/>
        <w:spacing w:before="0" w:after="0" w:line="240" w:lineRule="auto"/>
        <w:ind w:left="0" w:leftChars="0" w:firstLine="0" w:firstLineChars="0"/>
        <w:textAlignment w:val="auto"/>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"callto:10.301.0034.2119" \h </w:instrText>
      </w:r>
      <w:r>
        <w:rPr>
          <w:rFonts w:hint="default" w:ascii="Times New Roman" w:hAnsi="Times New Roman" w:cs="Times New Roman"/>
          <w:sz w:val="22"/>
          <w:szCs w:val="22"/>
        </w:rPr>
        <w:fldChar w:fldCharType="separate"/>
      </w:r>
      <w:bookmarkStart w:id="1" w:name="OBJ_PREFIX_DWT321_com_zimbra_phone"/>
      <w:bookmarkEnd w:id="1"/>
      <w:bookmarkStart w:id="2" w:name="OBJ_PREFIX_DWT266_com_zimbra_phone"/>
      <w:bookmarkEnd w:id="2"/>
      <w:bookmarkStart w:id="3" w:name="OBJ_PREFIX_DWT139_com_zimbra_phone"/>
      <w:bookmarkEnd w:id="3"/>
      <w:bookmarkStart w:id="4" w:name="OBJ_PREFIX_DWT347_com_zimbra_phone"/>
      <w:bookmarkEnd w:id="4"/>
      <w:bookmarkStart w:id="5" w:name="OBJ_PREFIX_DWT271_com_zimbra_phone"/>
      <w:bookmarkEnd w:id="5"/>
      <w:bookmarkStart w:id="6" w:name="OBJ_PREFIX_DWT414_com_zimbra_phone"/>
      <w:bookmarkEnd w:id="6"/>
      <w:bookmarkStart w:id="7" w:name="OBJ_PREFIX_DWT150_com_zimbra_phone"/>
      <w:bookmarkEnd w:id="7"/>
      <w:bookmarkStart w:id="8" w:name="OBJ_PREFIX_DWT297_com_zimbra_phone"/>
      <w:bookmarkEnd w:id="8"/>
      <w:r>
        <w:rPr>
          <w:rStyle w:val="32"/>
          <w:rFonts w:hint="default" w:ascii="Times New Roman" w:hAnsi="Times New Roman" w:cs="Times New Roman"/>
          <w:color w:val="auto"/>
          <w:sz w:val="22"/>
          <w:szCs w:val="22"/>
          <w:u w:val="none"/>
          <w:shd w:val="clear" w:color="auto" w:fill="FFFFFF"/>
        </w:rPr>
        <w:t>10.301.0034.2119</w:t>
      </w:r>
      <w:r>
        <w:rPr>
          <w:rStyle w:val="32"/>
          <w:rFonts w:hint="default" w:ascii="Times New Roman" w:hAnsi="Times New Roman" w:cs="Times New Roman"/>
          <w:color w:val="auto"/>
          <w:sz w:val="22"/>
          <w:szCs w:val="22"/>
          <w:u w:val="none"/>
          <w:shd w:val="clear" w:color="auto" w:fill="FFFFFF"/>
        </w:rPr>
        <w:fldChar w:fldCharType="end"/>
      </w:r>
      <w:r>
        <w:rPr>
          <w:rFonts w:hint="default" w:ascii="Times New Roman" w:hAnsi="Times New Roman" w:cs="Times New Roman"/>
          <w:sz w:val="22"/>
          <w:szCs w:val="22"/>
        </w:rPr>
        <w:t> </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PROGRAMA PARA ATENDIMENTO DA ATENÇÃO PRIMÁRIA DA SAÚDE - CAPTAÇÃO PONDERADA</w:t>
      </w:r>
    </w:p>
    <w:p w14:paraId="3E9CBBA4">
      <w:pPr>
        <w:keepNext w:val="0"/>
        <w:keepLines w:val="0"/>
        <w:pageBreakBefore w:val="0"/>
        <w:widowControl/>
        <w:tabs>
          <w:tab w:val="left" w:pos="4962"/>
        </w:tabs>
        <w:kinsoku/>
        <w:wordWrap/>
        <w:overflowPunct/>
        <w:topLinePunct w:val="0"/>
        <w:autoSpaceDE/>
        <w:autoSpaceDN/>
        <w:bidi w:val="0"/>
        <w:adjustRightInd/>
        <w:snapToGrid/>
        <w:spacing w:after="0" w:line="240" w:lineRule="auto"/>
        <w:ind w:left="0" w:leftChars="0" w:firstLine="0" w:firstLine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"callto:3.3.3.9.0.3000000000" \h </w:instrText>
      </w:r>
      <w:r>
        <w:rPr>
          <w:rFonts w:hint="default" w:ascii="Times New Roman" w:hAnsi="Times New Roman" w:cs="Times New Roman"/>
          <w:sz w:val="22"/>
          <w:szCs w:val="22"/>
        </w:rPr>
        <w:fldChar w:fldCharType="separate"/>
      </w:r>
      <w:bookmarkStart w:id="9" w:name="OBJ_PREFIX_DWT140_com_zimbra_phone"/>
      <w:bookmarkEnd w:id="9"/>
      <w:bookmarkStart w:id="10" w:name="OBJ_PREFIX_DWT415_com_zimbra_phone"/>
      <w:bookmarkEnd w:id="10"/>
      <w:bookmarkStart w:id="11" w:name="OBJ_PREFIX_DWT161_com_zimbra_phone"/>
      <w:bookmarkEnd w:id="11"/>
      <w:bookmarkStart w:id="12" w:name="OBJ_PREFIX_DWT272_com_zimbra_phone"/>
      <w:bookmarkEnd w:id="12"/>
      <w:bookmarkStart w:id="13" w:name="OBJ_PREFIX_DWT151_com_zimbra_phone"/>
      <w:bookmarkEnd w:id="13"/>
      <w:bookmarkStart w:id="14" w:name="OBJ_PREFIX_DWT298_com_zimbra_phone"/>
      <w:bookmarkEnd w:id="14"/>
      <w:bookmarkStart w:id="15" w:name="OBJ_PREFIX_DWT267_com_zimbra_phone"/>
      <w:bookmarkEnd w:id="15"/>
      <w:r>
        <w:rPr>
          <w:rStyle w:val="32"/>
          <w:rFonts w:hint="default" w:ascii="Times New Roman" w:hAnsi="Times New Roman" w:cs="Times New Roman"/>
          <w:color w:val="auto"/>
          <w:sz w:val="22"/>
          <w:szCs w:val="22"/>
          <w:u w:val="none"/>
        </w:rPr>
        <w:t>3.3.3.9.0.3000000000</w:t>
      </w:r>
      <w:r>
        <w:rPr>
          <w:rStyle w:val="32"/>
          <w:rFonts w:hint="default" w:ascii="Times New Roman" w:hAnsi="Times New Roman" w:cs="Times New Roman"/>
          <w:color w:val="auto"/>
          <w:sz w:val="22"/>
          <w:szCs w:val="22"/>
          <w:u w:val="none"/>
        </w:rPr>
        <w:fldChar w:fldCharType="end"/>
      </w:r>
      <w:r>
        <w:rPr>
          <w:rStyle w:val="32"/>
          <w:rFonts w:hint="default" w:ascii="Times New Roman" w:hAnsi="Times New Roman" w:cs="Times New Roman"/>
          <w:color w:val="auto"/>
          <w:sz w:val="22"/>
          <w:szCs w:val="22"/>
          <w:u w:val="none"/>
          <w:lang w:val="pt-BR"/>
        </w:rPr>
        <w:t xml:space="preserve"> -</w:t>
      </w:r>
      <w:r>
        <w:rPr>
          <w:rFonts w:hint="default" w:ascii="Times New Roman" w:hAnsi="Times New Roman" w:cs="Times New Roman"/>
          <w:sz w:val="22"/>
          <w:szCs w:val="22"/>
        </w:rPr>
        <w:t> OUTROS SERV. TERC. - PJ – 640</w:t>
      </w:r>
    </w:p>
    <w:p w14:paraId="40370E82">
      <w:pPr>
        <w:spacing w:after="0" w:line="240" w:lineRule="auto"/>
        <w:jc w:val="both"/>
        <w:rPr>
          <w:rFonts w:ascii="Times New Roman" w:hAnsi="Times New Roman"/>
          <w:sz w:val="21"/>
          <w:szCs w:val="21"/>
        </w:rPr>
      </w:pPr>
    </w:p>
    <w:p w14:paraId="5FD6E313">
      <w:pPr>
        <w:spacing w:after="0" w:line="240" w:lineRule="auto"/>
        <w:jc w:val="both"/>
        <w:rPr>
          <w:rFonts w:ascii="Times New Roman" w:hAnsi="Times New Roman"/>
        </w:rPr>
      </w:pPr>
      <w:r>
        <w:rPr>
          <w:rFonts w:ascii="Times New Roman" w:hAnsi="Times New Roman" w:cs="Times New Roman"/>
        </w:rPr>
        <w:t xml:space="preserve"> </w:t>
      </w:r>
      <w:r>
        <w:rPr>
          <w:rFonts w:ascii="Times New Roman" w:hAnsi="Times New Roman" w:cs="Times New Roman"/>
          <w:b/>
          <w:bCs/>
        </w:rPr>
        <w:t>CLÁUSULA SEXTA</w:t>
      </w:r>
      <w:r>
        <w:rPr>
          <w:rFonts w:ascii="Times New Roman" w:hAnsi="Times New Roman" w:cs="Times New Roman"/>
        </w:rPr>
        <w:t xml:space="preserve"> – A contratação junto à DETENTORA será formalizada pela Secretaria interessada por intermédio de emissão de Nota de Empenho de despesa e Ordem de Entrega dos produtos, os quais serão emitidas de acordo com a estrita necessidade da Administração.</w:t>
      </w:r>
    </w:p>
    <w:p w14:paraId="26BD2982">
      <w:pPr>
        <w:tabs>
          <w:tab w:val="left" w:pos="9460"/>
        </w:tabs>
        <w:spacing w:beforeLines="50" w:afterLines="50" w:line="240" w:lineRule="auto"/>
        <w:jc w:val="both"/>
        <w:rPr>
          <w:rFonts w:ascii="Times New Roman" w:hAnsi="Times New Roman"/>
        </w:rPr>
      </w:pPr>
      <w:r>
        <w:rPr>
          <w:rFonts w:ascii="Times New Roman" w:hAnsi="Times New Roman" w:cs="Times New Roman"/>
        </w:rPr>
        <w:t>§ 1º A Administração não emitirá qualquer solicitação de aquisição sem a prévia existência do respectivo crédito orçamentário.</w:t>
      </w:r>
    </w:p>
    <w:p w14:paraId="228EDDF0">
      <w:pPr>
        <w:spacing w:beforeLines="50" w:after="0" w:line="240" w:lineRule="auto"/>
        <w:jc w:val="both"/>
        <w:rPr>
          <w:rFonts w:ascii="Times New Roman" w:hAnsi="Times New Roman"/>
        </w:rPr>
      </w:pPr>
      <w:r>
        <w:rPr>
          <w:rFonts w:ascii="Times New Roman" w:hAnsi="Times New Roman" w:cs="Times New Roman"/>
        </w:rPr>
        <w:t>§ 2° As ordens de compra poderão ser encaminhadas por meio eletrônico ou por outra forma admitida pela Administração.</w:t>
      </w:r>
    </w:p>
    <w:p w14:paraId="4D038A64">
      <w:pPr>
        <w:spacing w:after="0" w:line="240" w:lineRule="auto"/>
        <w:ind w:right="398" w:rightChars="181"/>
        <w:jc w:val="both"/>
        <w:rPr>
          <w:rFonts w:ascii="Times New Roman" w:hAnsi="Times New Roman"/>
        </w:rPr>
      </w:pPr>
    </w:p>
    <w:p w14:paraId="2D4AD7ED">
      <w:pPr>
        <w:tabs>
          <w:tab w:val="left" w:pos="1134"/>
        </w:tabs>
        <w:spacing w:after="0" w:line="240" w:lineRule="auto"/>
        <w:jc w:val="both"/>
        <w:rPr>
          <w:rFonts w:ascii="Times New Roman" w:hAnsi="Times New Roman"/>
        </w:rPr>
      </w:pPr>
      <w:r>
        <w:rPr>
          <w:rFonts w:ascii="Times New Roman" w:hAnsi="Times New Roman" w:eastAsia="Arial-BoldMT" w:cs="Times New Roman"/>
          <w:b/>
          <w:bCs/>
        </w:rPr>
        <w:t xml:space="preserve">CLÁUSULA SÉTIMA - </w:t>
      </w:r>
      <w:r>
        <w:rPr>
          <w:rFonts w:ascii="Times New Roman" w:hAnsi="Times New Roman" w:cs="Times New Roman"/>
        </w:rPr>
        <w:t>Os produtos deverão ser entregues conforme a necessidade, no prazo de até 1</w:t>
      </w:r>
      <w:r>
        <w:rPr>
          <w:rFonts w:hint="default" w:ascii="Times New Roman" w:hAnsi="Times New Roman" w:cs="Times New Roman"/>
          <w:lang w:val="pt-BR"/>
        </w:rPr>
        <w:t>5</w:t>
      </w:r>
      <w:r>
        <w:rPr>
          <w:rFonts w:ascii="Times New Roman" w:hAnsi="Times New Roman" w:cs="Times New Roman"/>
        </w:rPr>
        <w:t xml:space="preserve"> (</w:t>
      </w:r>
      <w:r>
        <w:rPr>
          <w:rFonts w:hint="default" w:ascii="Times New Roman" w:hAnsi="Times New Roman" w:cs="Times New Roman"/>
          <w:lang w:val="pt-BR"/>
        </w:rPr>
        <w:t>quinze</w:t>
      </w:r>
      <w:r>
        <w:rPr>
          <w:rFonts w:ascii="Times New Roman" w:hAnsi="Times New Roman" w:cs="Times New Roman"/>
        </w:rPr>
        <w:t>) dias, a contar da data de envio do pedido pelo Setor de Compras (Nota de Empenho).</w:t>
      </w:r>
    </w:p>
    <w:p w14:paraId="0EB19DE1">
      <w:pPr>
        <w:tabs>
          <w:tab w:val="left" w:pos="1134"/>
        </w:tabs>
        <w:spacing w:after="0" w:line="240" w:lineRule="auto"/>
        <w:jc w:val="both"/>
        <w:rPr>
          <w:rFonts w:ascii="Times New Roman" w:hAnsi="Times New Roman"/>
        </w:rPr>
      </w:pPr>
      <w:r>
        <w:rPr>
          <w:rFonts w:ascii="Times New Roman" w:hAnsi="Times New Roman"/>
          <w:bCs/>
        </w:rPr>
        <w:t>§ 1º Mediante escrita e justificada solicitação da Detentora da Ata, o prazo declinado acima poderá ser prorrogado uma única vez por igual período, contanto que a empresa Contratada proceda a tal solicitação durante o transcurso do prazo que, originariamente, lhe foi concedida para entrega dos itens, e sendo conveniente para a Administração tal pedido.</w:t>
      </w:r>
    </w:p>
    <w:p w14:paraId="057B0A8F">
      <w:pPr>
        <w:tabs>
          <w:tab w:val="left" w:pos="675"/>
        </w:tabs>
        <w:suppressAutoHyphens/>
        <w:spacing w:after="0" w:line="240" w:lineRule="auto"/>
        <w:jc w:val="both"/>
        <w:rPr>
          <w:rFonts w:ascii="Times New Roman" w:hAnsi="Times New Roman" w:cs="Times New Roman"/>
          <w:bCs/>
        </w:rPr>
      </w:pPr>
      <w:r>
        <w:rPr>
          <w:rFonts w:ascii="Times New Roman" w:hAnsi="Times New Roman" w:cs="Times New Roman"/>
          <w:bCs/>
          <w:sz w:val="24"/>
          <w:szCs w:val="24"/>
        </w:rPr>
        <w:t xml:space="preserve">§ </w:t>
      </w:r>
      <w:r>
        <w:rPr>
          <w:rFonts w:ascii="Times New Roman" w:hAnsi="Times New Roman" w:cs="Times New Roman"/>
          <w:bCs/>
        </w:rPr>
        <w:t xml:space="preserve">2º Os produtos deverão ser entregues no </w:t>
      </w:r>
      <w:r>
        <w:rPr>
          <w:rFonts w:hint="default" w:ascii="Times New Roman" w:hAnsi="Times New Roman" w:cs="Times New Roman"/>
          <w:bCs/>
          <w:lang w:val="pt-BR"/>
        </w:rPr>
        <w:t xml:space="preserve">Almoxarifado </w:t>
      </w:r>
      <w:r>
        <w:rPr>
          <w:rFonts w:ascii="Times New Roman" w:hAnsi="Times New Roman" w:cs="Times New Roman"/>
          <w:bCs/>
        </w:rPr>
        <w:t>de Medicamentos, situado na Rua</w:t>
      </w:r>
      <w:r>
        <w:rPr>
          <w:rFonts w:hint="default" w:ascii="Times New Roman" w:hAnsi="Times New Roman" w:cs="Times New Roman"/>
          <w:bCs/>
          <w:lang w:val="pt-BR"/>
        </w:rPr>
        <w:t xml:space="preserve"> 31 de Agosto</w:t>
      </w:r>
      <w:r>
        <w:rPr>
          <w:rFonts w:ascii="Times New Roman" w:hAnsi="Times New Roman" w:cs="Times New Roman"/>
          <w:bCs/>
        </w:rPr>
        <w:t xml:space="preserve">, nº </w:t>
      </w:r>
      <w:r>
        <w:rPr>
          <w:rFonts w:hint="default" w:ascii="Times New Roman" w:hAnsi="Times New Roman" w:cs="Times New Roman"/>
          <w:bCs/>
          <w:lang w:val="pt-BR"/>
        </w:rPr>
        <w:t>227</w:t>
      </w:r>
      <w:r>
        <w:rPr>
          <w:rFonts w:ascii="Times New Roman" w:hAnsi="Times New Roman" w:cs="Times New Roman"/>
          <w:bCs/>
        </w:rPr>
        <w:t>,</w:t>
      </w:r>
      <w:r>
        <w:rPr>
          <w:rFonts w:hint="default" w:ascii="Times New Roman" w:hAnsi="Times New Roman" w:cs="Times New Roman"/>
          <w:bCs/>
          <w:lang w:val="pt-BR"/>
        </w:rPr>
        <w:t xml:space="preserve"> Bairro Alesgut</w:t>
      </w:r>
      <w:r>
        <w:rPr>
          <w:rFonts w:ascii="Times New Roman" w:hAnsi="Times New Roman" w:cs="Times New Roman"/>
          <w:bCs/>
        </w:rPr>
        <w:t>, Teutônia</w:t>
      </w:r>
      <w:r>
        <w:rPr>
          <w:rFonts w:hint="default" w:ascii="Times New Roman" w:hAnsi="Times New Roman" w:cs="Times New Roman"/>
          <w:bCs/>
          <w:lang w:val="pt-BR"/>
        </w:rPr>
        <w:t>/R</w:t>
      </w:r>
      <w:r>
        <w:rPr>
          <w:rFonts w:ascii="Times New Roman" w:hAnsi="Times New Roman" w:cs="Times New Roman"/>
          <w:bCs/>
        </w:rPr>
        <w:t>S, nos horários entre 07h30 e 11h e 13h30min às 16h, mediante agendamento pelo fone (51) 3762-7808</w:t>
      </w:r>
      <w:r>
        <w:rPr>
          <w:rFonts w:ascii="Times New Roman" w:hAnsi="Times New Roman" w:cs="Times New Roman"/>
        </w:rPr>
        <w:t>. Não haverá limitação e/ou carga mínima de quantitativos.</w:t>
      </w:r>
    </w:p>
    <w:p w14:paraId="6656362D">
      <w:pPr>
        <w:tabs>
          <w:tab w:val="left" w:pos="1134"/>
        </w:tabs>
        <w:spacing w:after="0" w:line="240" w:lineRule="auto"/>
        <w:jc w:val="both"/>
        <w:rPr>
          <w:rFonts w:ascii="Times New Roman" w:hAnsi="Times New Roman"/>
          <w:bCs/>
        </w:rPr>
      </w:pPr>
      <w:r>
        <w:rPr>
          <w:rFonts w:ascii="Times New Roman" w:hAnsi="Times New Roman" w:cs="Times New Roman"/>
          <w:bCs/>
        </w:rPr>
        <w:t>§ 3º Os produtos devem vir acompanhados da Nota Fiscal/Fatura (constando o nº da Nota de Empenho).</w:t>
      </w:r>
    </w:p>
    <w:p w14:paraId="2B5F5B01">
      <w:pPr>
        <w:tabs>
          <w:tab w:val="left" w:pos="1134"/>
        </w:tabs>
        <w:spacing w:after="0" w:line="240" w:lineRule="auto"/>
        <w:jc w:val="both"/>
        <w:rPr>
          <w:rFonts w:ascii="Times New Roman" w:hAnsi="Times New Roman"/>
          <w:b/>
          <w:bCs/>
        </w:rPr>
      </w:pPr>
      <w:r>
        <w:rPr>
          <w:rFonts w:ascii="Times New Roman" w:hAnsi="Times New Roman" w:cs="Times New Roman"/>
          <w:bCs/>
        </w:rPr>
        <w:t xml:space="preserve">§ 4º </w:t>
      </w:r>
      <w:r>
        <w:rPr>
          <w:rFonts w:ascii="Times New Roman" w:hAnsi="Times New Roman" w:cs="Times New Roman"/>
        </w:rPr>
        <w:t xml:space="preserve">Verificada a desconformidade de algum dos produtos, a licitante vencedora deverá promover as correções necessárias no prazo máximo de </w:t>
      </w:r>
      <w:r>
        <w:rPr>
          <w:rFonts w:hint="default" w:ascii="Times New Roman" w:hAnsi="Times New Roman" w:cs="Times New Roman"/>
          <w:lang w:val="pt-BR"/>
        </w:rPr>
        <w:t xml:space="preserve">72 </w:t>
      </w:r>
      <w:r>
        <w:rPr>
          <w:rFonts w:ascii="Times New Roman" w:hAnsi="Times New Roman" w:cs="Times New Roman"/>
        </w:rPr>
        <w:t>(</w:t>
      </w:r>
      <w:r>
        <w:rPr>
          <w:rFonts w:hint="default" w:ascii="Times New Roman" w:hAnsi="Times New Roman" w:cs="Times New Roman"/>
          <w:lang w:val="pt-BR"/>
        </w:rPr>
        <w:t>setenta e duas</w:t>
      </w:r>
      <w:r>
        <w:rPr>
          <w:rFonts w:ascii="Times New Roman" w:hAnsi="Times New Roman" w:cs="Times New Roman"/>
        </w:rPr>
        <w:t xml:space="preserve">) </w:t>
      </w:r>
      <w:r>
        <w:rPr>
          <w:rFonts w:hint="default" w:ascii="Times New Roman" w:hAnsi="Times New Roman" w:cs="Times New Roman"/>
          <w:lang w:val="pt-BR"/>
        </w:rPr>
        <w:t>horas</w:t>
      </w:r>
      <w:r>
        <w:rPr>
          <w:rFonts w:ascii="Times New Roman" w:hAnsi="Times New Roman" w:cs="Times New Roman"/>
        </w:rPr>
        <w:t>, sujeitando-se às penalidades previstas neste edital.</w:t>
      </w:r>
    </w:p>
    <w:p w14:paraId="75B9DD86">
      <w:pPr>
        <w:spacing w:after="0" w:line="240" w:lineRule="auto"/>
        <w:ind w:right="398" w:rightChars="181"/>
        <w:jc w:val="both"/>
        <w:rPr>
          <w:rFonts w:ascii="Times New Roman" w:hAnsi="Times New Roman"/>
        </w:rPr>
      </w:pPr>
    </w:p>
    <w:p w14:paraId="02C64705">
      <w:pPr>
        <w:tabs>
          <w:tab w:val="left" w:pos="9240"/>
          <w:tab w:val="left" w:pos="9460"/>
        </w:tabs>
        <w:spacing w:after="0" w:line="240" w:lineRule="auto"/>
        <w:jc w:val="both"/>
        <w:rPr>
          <w:rFonts w:ascii="Times New Roman" w:hAnsi="Times New Roman"/>
        </w:rPr>
      </w:pPr>
      <w:r>
        <w:rPr>
          <w:rFonts w:ascii="Times New Roman" w:hAnsi="Times New Roman" w:cs="Times New Roman"/>
          <w:b/>
          <w:bCs/>
        </w:rPr>
        <w:t xml:space="preserve">CLÁUSULA OITAVA </w:t>
      </w:r>
      <w:r>
        <w:rPr>
          <w:rFonts w:ascii="Times New Roman" w:hAnsi="Times New Roman" w:cs="Times New Roman"/>
        </w:rPr>
        <w:t>– São obrigações da DETENTORA:</w:t>
      </w:r>
    </w:p>
    <w:p w14:paraId="229E3815">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manter, durante toda a vigência da Ata de Registro de Preço, compatibilidade com as obrigações por ela assumidas e as condições e qualificação exigidas no Edital da licitação;</w:t>
      </w:r>
    </w:p>
    <w:p w14:paraId="405D5D4E">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indicar preposto, bem como seu contato telefônico e eletrônico, para representá-la durante a execução desta Ata de Registro de Preços;</w:t>
      </w:r>
    </w:p>
    <w:p w14:paraId="0AD14647">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no caso de solicitações extras, atender prontamente ao MUNICÍPIO;</w:t>
      </w:r>
    </w:p>
    <w:p w14:paraId="47F1929A">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efetuar a execução dos serviços/objeto em perfeitas condições, conforme especificações, prazos e locais indicados pela Fiscalização, independentemente de qualquer contratempo, mesmo que para isso tenha que adquirir de suas concorrentes, se formalizado e admitido com antecedência;</w:t>
      </w:r>
    </w:p>
    <w:p w14:paraId="26CE845C">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prestar todos os esclarecimentos que forem solicitados pelo MUNICÍPIO;</w:t>
      </w:r>
    </w:p>
    <w:p w14:paraId="64E0952E">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fornecer, sempre que solicitado pelo Município, comprovantes de pagamentos de empregados e do recolhimento dos encargos sociais, trabalhistas e fiscais, decorrentes da execução desta Ata de Registro de Preço;</w:t>
      </w:r>
    </w:p>
    <w:p w14:paraId="45543EAB">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não transferir a outrem, no todo ou em parte, o objeto do presente instrumento, sem prévia e expressa anuência do MUNICÍPIO;</w:t>
      </w:r>
    </w:p>
    <w:p w14:paraId="173F5F5B">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não caucionar ou utilizar esta Ata de Registro de Preço para qualquer operação financeira, sem a prévia e expressa anuência do MUNICÍPIO, sob pena de rescisão contratual;</w:t>
      </w:r>
    </w:p>
    <w:p w14:paraId="39CEC15D">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manter quadro de pessoal suficiente para atendimento das solicitações, conforme previsto neste instrumento, sem interrupção, seja por motivo de férias, descanso semanal, licença, falta ao serviço e demissão de empregado;</w:t>
      </w:r>
    </w:p>
    <w:p w14:paraId="5285F7BE">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utilizar pessoal qualificado, identificado, uniformizado, utilizando EPI's conforme determina a legislação, se for o caso, com bom comportamento, podendo ser exigida a substituição de qualquer empregado cujo comportamento seja julgado impróprio pelo MUNICÍPIO;</w:t>
      </w:r>
    </w:p>
    <w:p w14:paraId="131113B5">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responder por quaisquer danos pessoais e materiais ocasionados por seus funcionários durante a execução desta Ata de Registro de Preços;</w:t>
      </w:r>
    </w:p>
    <w:p w14:paraId="3111A6EE">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reparar, corrigir, remover ou substituir às suas expensas, qualquer dano que venha a surgir pelos serviços prestados;</w:t>
      </w:r>
    </w:p>
    <w:p w14:paraId="699411AB">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relatar ao MUNICÍPIO toda e qualquer irregularidade verificada no decorrer da execução desta Ata de Registro de Preço;</w:t>
      </w:r>
    </w:p>
    <w:p w14:paraId="4CDBC664">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indenizar o MUNICÍPIO e/ou terceiros em razão de prejuízos ou danos causados pela DETENTORA, decorrentes de dolo ou culpa, durante a execução desta Ata de Registro de Preço;</w:t>
      </w:r>
    </w:p>
    <w:p w14:paraId="3EEC2D28">
      <w:pPr>
        <w:numPr>
          <w:ilvl w:val="0"/>
          <w:numId w:val="3"/>
        </w:numPr>
        <w:tabs>
          <w:tab w:val="left" w:pos="2268"/>
          <w:tab w:val="left" w:pos="9240"/>
          <w:tab w:val="left" w:pos="9460"/>
        </w:tabs>
        <w:spacing w:after="0" w:line="240" w:lineRule="auto"/>
        <w:jc w:val="both"/>
        <w:rPr>
          <w:rFonts w:ascii="Times New Roman" w:hAnsi="Times New Roman"/>
        </w:rPr>
      </w:pPr>
      <w:r>
        <w:rPr>
          <w:rFonts w:ascii="Times New Roman" w:hAnsi="Times New Roman" w:cs="Times New Roman"/>
        </w:rPr>
        <w:t>comunicar ao MUNICÍPIO, no prazo máximo de 2 (dois) dias que antecedem a data de entrega do objeto, os motivos que impossibilitem o cumprimento do prazo previsto, com a devida comprovação, sem prejuízo de eventuais penalidades, caso a justificativa não seja aceita.</w:t>
      </w:r>
    </w:p>
    <w:p w14:paraId="5080ABF0">
      <w:pPr>
        <w:tabs>
          <w:tab w:val="left" w:pos="9460"/>
        </w:tabs>
        <w:spacing w:beforeLines="50" w:after="0" w:line="240" w:lineRule="auto"/>
        <w:jc w:val="both"/>
        <w:rPr>
          <w:rFonts w:ascii="Times New Roman" w:hAnsi="Times New Roman"/>
        </w:rPr>
      </w:pPr>
      <w:r>
        <w:rPr>
          <w:rFonts w:ascii="Times New Roman" w:hAnsi="Times New Roman" w:cs="Times New Roman"/>
        </w:rPr>
        <w:t>§1° O MUNICÍPIO reserva-se ao direito de promover avaliações, inspeções e diligências visando esclarecer quaisquer situações relacionadas ao fornecimento do objeto contratado, sendo obrigação da DETENTORA acolhê-las.</w:t>
      </w:r>
    </w:p>
    <w:p w14:paraId="616E3ADA">
      <w:pPr>
        <w:tabs>
          <w:tab w:val="left" w:pos="9460"/>
        </w:tabs>
        <w:spacing w:beforeLines="50" w:after="0" w:line="240" w:lineRule="auto"/>
        <w:jc w:val="both"/>
        <w:rPr>
          <w:rFonts w:ascii="Times New Roman" w:hAnsi="Times New Roman"/>
        </w:rPr>
      </w:pPr>
      <w:r>
        <w:rPr>
          <w:rFonts w:ascii="Times New Roman" w:hAnsi="Times New Roman" w:cs="Times New Roman"/>
        </w:rPr>
        <w:t>§2° Para a execução do objeto desta Ata, não será permitida a subcontratação de empresa terceirizada, salvo sob expressa anuência do MUNICÍPIO, a qual deverá ser emitida pelo Gestor deste instrumento.</w:t>
      </w:r>
    </w:p>
    <w:p w14:paraId="1B869CAC">
      <w:pPr>
        <w:tabs>
          <w:tab w:val="left" w:pos="9460"/>
        </w:tabs>
        <w:spacing w:beforeLines="50" w:after="0" w:line="240" w:lineRule="auto"/>
        <w:jc w:val="both"/>
        <w:rPr>
          <w:rFonts w:ascii="Times New Roman" w:hAnsi="Times New Roman"/>
        </w:rPr>
      </w:pPr>
      <w:r>
        <w:rPr>
          <w:rFonts w:ascii="Times New Roman" w:hAnsi="Times New Roman" w:cs="Times New Roman"/>
        </w:rPr>
        <w:t>§3° A DETENTORA será responsável pelos encargos sociais, taxas, encargos ou tributos, alvarás e qualquer outra despesa que vier a incidir sobre o serviço, bem como qualquer responsabilidade do vínculo empregatício e obrigações previdenciárias, referentes ao pessoal utilizado nos serviços, no caso de reclamações trabalhistas, ações de responsabilidade civil e penal decorrentes dos serviços de qualquer tipo de demanda, devendo atender o disposto na legislação trabalhista e previdenciária.</w:t>
      </w:r>
    </w:p>
    <w:p w14:paraId="5E022FBB">
      <w:pPr>
        <w:tabs>
          <w:tab w:val="left" w:pos="9460"/>
        </w:tabs>
        <w:spacing w:after="0" w:line="240" w:lineRule="auto"/>
        <w:jc w:val="both"/>
        <w:rPr>
          <w:rFonts w:ascii="Times New Roman" w:hAnsi="Times New Roman"/>
        </w:rPr>
      </w:pPr>
    </w:p>
    <w:p w14:paraId="0AD6BD03">
      <w:pPr>
        <w:tabs>
          <w:tab w:val="left" w:pos="9460"/>
        </w:tabs>
        <w:spacing w:after="0" w:line="240" w:lineRule="auto"/>
        <w:jc w:val="both"/>
        <w:rPr>
          <w:rFonts w:ascii="Times New Roman" w:hAnsi="Times New Roman"/>
        </w:rPr>
      </w:pPr>
      <w:r>
        <w:rPr>
          <w:rFonts w:ascii="Times New Roman" w:hAnsi="Times New Roman" w:cs="Times New Roman"/>
          <w:b/>
          <w:bCs/>
        </w:rPr>
        <w:t>CLÁUSULA NONA</w:t>
      </w:r>
      <w:r>
        <w:rPr>
          <w:rFonts w:ascii="Times New Roman" w:hAnsi="Times New Roman" w:cs="Times New Roman"/>
        </w:rPr>
        <w:t xml:space="preserve"> – O MUNICÍPIO obriga-se a:</w:t>
      </w:r>
    </w:p>
    <w:p w14:paraId="79B9F184">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solicitar à DETENTORA, em tempo hábil, os serviços para atender às suas necessidades;</w:t>
      </w:r>
    </w:p>
    <w:p w14:paraId="68F8A248">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fiscalizar o cumprimento desta Ata, por intermédio dos servidores designados;</w:t>
      </w:r>
    </w:p>
    <w:p w14:paraId="55EA63A3">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verificar a conformidade dos serviços prestados com as disposições desta Ata de Registro de Preço, do Edital da Licitação e da proposta da DETENTORA;</w:t>
      </w:r>
    </w:p>
    <w:p w14:paraId="1EA3B5E9">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efetuar o pagamento à DETENTORA, de acordo com a forma e prazo estabelecidos neste instrumento; e</w:t>
      </w:r>
    </w:p>
    <w:p w14:paraId="58749E18">
      <w:pPr>
        <w:numPr>
          <w:ilvl w:val="0"/>
          <w:numId w:val="4"/>
        </w:numPr>
        <w:tabs>
          <w:tab w:val="left" w:pos="2268"/>
          <w:tab w:val="left" w:pos="9460"/>
        </w:tabs>
        <w:spacing w:after="0" w:line="240" w:lineRule="auto"/>
        <w:jc w:val="both"/>
        <w:rPr>
          <w:rFonts w:ascii="Times New Roman" w:hAnsi="Times New Roman"/>
        </w:rPr>
      </w:pPr>
      <w:r>
        <w:rPr>
          <w:rFonts w:ascii="Times New Roman" w:hAnsi="Times New Roman" w:cs="Times New Roman"/>
        </w:rPr>
        <w:t>comunicar à DETENTORA a ocorrência de quaisquer fatos que, a seu critério, exijam correção por parte desta.</w:t>
      </w:r>
    </w:p>
    <w:p w14:paraId="145BCC44">
      <w:pPr>
        <w:tabs>
          <w:tab w:val="left" w:pos="9460"/>
        </w:tabs>
        <w:spacing w:beforeLines="50" w:after="0" w:line="240" w:lineRule="auto"/>
        <w:jc w:val="both"/>
        <w:rPr>
          <w:rFonts w:ascii="Times New Roman" w:hAnsi="Times New Roman"/>
        </w:rPr>
      </w:pPr>
      <w:r>
        <w:rPr>
          <w:rFonts w:ascii="Times New Roman" w:hAnsi="Times New Roman" w:cs="Times New Roman"/>
        </w:rPr>
        <w:t>Parágrafo Único. O MUNICÍPIO não responderá por quaisquer compromissos assumidos pela DETENTORA com terceiros, ainda que vinculados à execução do objeto, bem como por qualquer dano causado a terceiros em decorrência de ato da DETENTORA, de seus empregados, prepostos ou subordinados.</w:t>
      </w:r>
    </w:p>
    <w:p w14:paraId="0844D13C">
      <w:pPr>
        <w:pStyle w:val="10"/>
        <w:tabs>
          <w:tab w:val="left" w:pos="9460"/>
        </w:tabs>
        <w:spacing w:before="253" w:line="240" w:lineRule="auto"/>
        <w:rPr>
          <w:rFonts w:ascii="Times New Roman" w:hAnsi="Times New Roman" w:cs="Times New Roman"/>
          <w:lang w:val="pt-BR"/>
        </w:rPr>
      </w:pPr>
      <w:r>
        <w:rPr>
          <w:rFonts w:ascii="Times New Roman" w:hAnsi="Times New Roman" w:cs="Times New Roman"/>
          <w:b/>
        </w:rPr>
        <w:t xml:space="preserve">CLÁUSULA </w:t>
      </w:r>
      <w:r>
        <w:rPr>
          <w:rFonts w:ascii="Times New Roman" w:hAnsi="Times New Roman" w:cs="Times New Roman"/>
          <w:b/>
          <w:lang w:val="pt-BR"/>
        </w:rPr>
        <w:t xml:space="preserve">DÉCIMA </w:t>
      </w:r>
      <w:r>
        <w:rPr>
          <w:rFonts w:ascii="Times New Roman" w:hAnsi="Times New Roman" w:cs="Times New Roman"/>
        </w:rPr>
        <w:t>– 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no artigo 124 da Lei nº 14.133/2021.</w:t>
      </w:r>
      <w:r>
        <w:rPr>
          <w:rFonts w:ascii="Times New Roman" w:hAnsi="Times New Roman" w:cs="Times New Roman"/>
          <w:lang w:val="pt-BR"/>
        </w:rPr>
        <w:t xml:space="preserve"> </w:t>
      </w:r>
    </w:p>
    <w:p w14:paraId="2C5C6115">
      <w:pPr>
        <w:pStyle w:val="10"/>
        <w:tabs>
          <w:tab w:val="left" w:pos="9460"/>
          <w:tab w:val="left" w:pos="10120"/>
        </w:tabs>
        <w:spacing w:before="253" w:line="240" w:lineRule="auto"/>
        <w:rPr>
          <w:rFonts w:ascii="Times New Roman" w:hAnsi="Times New Roman" w:cs="Times New Roman"/>
          <w:b/>
          <w:lang w:val="pt-BR"/>
        </w:rPr>
      </w:pPr>
      <w:r>
        <w:rPr>
          <w:rFonts w:ascii="Times New Roman" w:hAnsi="Times New Roman" w:cs="Times New Roman"/>
          <w:b/>
          <w:lang w:val="pt-BR"/>
        </w:rPr>
        <w:t xml:space="preserve">CLÁUSULA DÉCIMA PRIMEIRA - </w:t>
      </w:r>
      <w:r>
        <w:rPr>
          <w:rFonts w:ascii="Times New Roman" w:hAnsi="Times New Roman" w:cs="Times New Roman"/>
        </w:rPr>
        <w:t xml:space="preserve"> </w:t>
      </w:r>
      <w:r>
        <w:rPr>
          <w:rFonts w:ascii="Times New Roman" w:hAnsi="Times New Roman" w:eastAsia="ArialMT" w:cs="Times New Roman"/>
        </w:rPr>
        <w:t>A Ata de Registro de Preços poderá ser cancelada pela Administração, de pleno direito</w:t>
      </w:r>
      <w:r>
        <w:rPr>
          <w:rFonts w:ascii="Times New Roman" w:hAnsi="Times New Roman" w:eastAsia="ArialMT" w:cs="Times New Roman"/>
          <w:lang w:val="pt-BR"/>
        </w:rPr>
        <w:t>, quando:</w:t>
      </w:r>
    </w:p>
    <w:p w14:paraId="4800860E">
      <w:pPr>
        <w:numPr>
          <w:ilvl w:val="0"/>
          <w:numId w:val="5"/>
        </w:numPr>
        <w:tabs>
          <w:tab w:val="left" w:pos="2268"/>
          <w:tab w:val="left" w:pos="9460"/>
        </w:tabs>
        <w:spacing w:after="0" w:line="240" w:lineRule="auto"/>
        <w:jc w:val="both"/>
        <w:rPr>
          <w:rFonts w:ascii="Times New Roman" w:hAnsi="Times New Roman"/>
        </w:rPr>
      </w:pPr>
      <w:r>
        <w:rPr>
          <w:rFonts w:ascii="Times New Roman" w:hAnsi="Times New Roman" w:cs="Times New Roman"/>
        </w:rPr>
        <w:t>o fornecedor descumprir total ou parcialmente as condições da ata de registro de preços;</w:t>
      </w:r>
    </w:p>
    <w:p w14:paraId="047B871D">
      <w:pPr>
        <w:tabs>
          <w:tab w:val="left" w:pos="9460"/>
        </w:tabs>
        <w:spacing w:after="0" w:line="240" w:lineRule="auto"/>
        <w:jc w:val="both"/>
        <w:rPr>
          <w:rFonts w:ascii="Times New Roman" w:hAnsi="Times New Roman"/>
        </w:rPr>
      </w:pPr>
      <w:r>
        <w:rPr>
          <w:rFonts w:ascii="Times New Roman" w:hAnsi="Times New Roman" w:cs="Times New Roman"/>
        </w:rPr>
        <w:t xml:space="preserve">b) o fornecedor não retirar a nota de empenho, ou instrumento equivalente, no prazo estabelecido pela Administração, sem justificativa aceitável; </w:t>
      </w:r>
    </w:p>
    <w:p w14:paraId="48C0F283">
      <w:pPr>
        <w:tabs>
          <w:tab w:val="left" w:pos="9460"/>
        </w:tabs>
        <w:spacing w:after="0" w:line="240" w:lineRule="auto"/>
        <w:jc w:val="both"/>
        <w:rPr>
          <w:rFonts w:ascii="Times New Roman" w:hAnsi="Times New Roman"/>
        </w:rPr>
      </w:pPr>
      <w:r>
        <w:rPr>
          <w:rFonts w:ascii="Times New Roman" w:hAnsi="Times New Roman" w:cs="Times New Roman"/>
        </w:rPr>
        <w:t xml:space="preserve">c) </w:t>
      </w:r>
      <w:r>
        <w:rPr>
          <w:rFonts w:ascii="Times New Roman" w:hAnsi="Times New Roman" w:eastAsia="SimSun" w:cs="Times New Roman"/>
        </w:rPr>
        <w:t>não aceitar reduzir o seu preço registrado, na hipótese deste se tornar superior àqueles praticados no mercado;</w:t>
      </w:r>
    </w:p>
    <w:p w14:paraId="15555FA3">
      <w:pPr>
        <w:tabs>
          <w:tab w:val="left" w:pos="9460"/>
        </w:tabs>
        <w:spacing w:after="0" w:line="240" w:lineRule="auto"/>
        <w:jc w:val="both"/>
        <w:rPr>
          <w:rFonts w:ascii="Times New Roman" w:hAnsi="Times New Roman"/>
        </w:rPr>
      </w:pPr>
      <w:r>
        <w:rPr>
          <w:rFonts w:ascii="Times New Roman" w:hAnsi="Times New Roman" w:cs="Times New Roman"/>
        </w:rPr>
        <w:t>d) o fornecedor sofrer a sanção prevista nos incisos III ou IV do caput do art. 156 da Lei Federal nº 14.133/2021.</w:t>
      </w:r>
    </w:p>
    <w:p w14:paraId="0B57B1B1">
      <w:pPr>
        <w:tabs>
          <w:tab w:val="left" w:pos="9460"/>
        </w:tabs>
        <w:spacing w:after="0" w:line="240" w:lineRule="auto"/>
        <w:jc w:val="both"/>
        <w:rPr>
          <w:rFonts w:ascii="Times New Roman" w:hAnsi="Times New Roman"/>
        </w:rPr>
      </w:pPr>
      <w:r>
        <w:rPr>
          <w:rFonts w:ascii="Times New Roman" w:hAnsi="Times New Roman" w:cs="Times New Roman"/>
        </w:rPr>
        <w:t>e) ocorrer fato superveniente, decorrente de caso fortuito ou força maior, que prejudique o cumprimento da ata, devidamente comprovados e justificados, por razão de interesse público ou a pedido do fornecedor.</w:t>
      </w:r>
    </w:p>
    <w:p w14:paraId="6B016555">
      <w:pPr>
        <w:spacing w:after="0" w:line="240" w:lineRule="auto"/>
        <w:ind w:right="398" w:rightChars="181"/>
        <w:jc w:val="both"/>
        <w:rPr>
          <w:rFonts w:ascii="Times New Roman" w:hAnsi="Times New Roman"/>
        </w:rPr>
      </w:pPr>
    </w:p>
    <w:p w14:paraId="299627FE">
      <w:pPr>
        <w:spacing w:after="0" w:line="240" w:lineRule="auto"/>
        <w:jc w:val="both"/>
        <w:rPr>
          <w:rFonts w:ascii="Times New Roman" w:hAnsi="Times New Roman" w:eastAsia="ArialMT"/>
        </w:rPr>
      </w:pPr>
      <w:r>
        <w:rPr>
          <w:rFonts w:ascii="Times New Roman" w:hAnsi="Times New Roman" w:cs="Times New Roman"/>
          <w:b/>
          <w:bCs/>
        </w:rPr>
        <w:t>CLÁUSULA DÉCIMA SEGUNDA</w:t>
      </w:r>
      <w:r>
        <w:rPr>
          <w:rFonts w:ascii="Times New Roman" w:hAnsi="Times New Roman" w:cs="Times New Roman"/>
        </w:rPr>
        <w:t xml:space="preserve"> - </w:t>
      </w:r>
      <w:r>
        <w:rPr>
          <w:rFonts w:ascii="Times New Roman" w:hAnsi="Times New Roman" w:eastAsia="ArialMT" w:cs="Times New Roman"/>
        </w:rPr>
        <w:t>A recusa injustificada da empresa em prestar os serviços descrito na Cláusula Primeira, de conformidade com a proposta classificada na licitação, ensejará a aplicação das penalidades previstas em Edital e no art. 155 da Lei nº 14.133/2021, a critério da Administração, podendo ser aplicada sanção de:</w:t>
      </w:r>
    </w:p>
    <w:p w14:paraId="59AABF1F">
      <w:pPr>
        <w:spacing w:after="0" w:line="240" w:lineRule="auto"/>
        <w:jc w:val="both"/>
        <w:rPr>
          <w:rFonts w:ascii="Times New Roman" w:hAnsi="Times New Roman"/>
        </w:rPr>
      </w:pPr>
      <w:r>
        <w:rPr>
          <w:rFonts w:ascii="Times New Roman" w:hAnsi="Times New Roman" w:cs="Times New Roman"/>
        </w:rPr>
        <w:t>a) advertência;</w:t>
      </w:r>
    </w:p>
    <w:p w14:paraId="6AE5E784">
      <w:pPr>
        <w:spacing w:after="0" w:line="240" w:lineRule="auto"/>
        <w:jc w:val="both"/>
        <w:rPr>
          <w:rFonts w:ascii="Times New Roman" w:hAnsi="Times New Roman"/>
        </w:rPr>
      </w:pPr>
      <w:bookmarkStart w:id="16" w:name="art156ii"/>
      <w:bookmarkEnd w:id="16"/>
      <w:r>
        <w:rPr>
          <w:rFonts w:ascii="Times New Roman" w:hAnsi="Times New Roman" w:cs="Times New Roman"/>
        </w:rPr>
        <w:t>b) multa de no mínimo 0,5% (cinco décimos por cento) e máximo de 30% (trinta por cento) do valor do objeto licitado ou contratado;</w:t>
      </w:r>
    </w:p>
    <w:p w14:paraId="36709192">
      <w:pPr>
        <w:spacing w:after="0" w:line="240" w:lineRule="auto"/>
        <w:jc w:val="both"/>
        <w:rPr>
          <w:rFonts w:ascii="Times New Roman" w:hAnsi="Times New Roman"/>
        </w:rPr>
      </w:pPr>
      <w:bookmarkStart w:id="17" w:name="art156iii"/>
      <w:bookmarkEnd w:id="17"/>
      <w:r>
        <w:rPr>
          <w:rFonts w:ascii="Times New Roman" w:hAnsi="Times New Roman" w:cs="Times New Roman"/>
        </w:rPr>
        <w:t>c) impedimento de licitar e contratar, no âmbito da Administração Pública direta e indireta do órgão licitante, pelo prazo máximo de 3 (três) anos.</w:t>
      </w:r>
    </w:p>
    <w:p w14:paraId="19D046BE">
      <w:pPr>
        <w:spacing w:after="0" w:line="240" w:lineRule="auto"/>
        <w:jc w:val="both"/>
        <w:rPr>
          <w:rFonts w:ascii="Times New Roman" w:hAnsi="Times New Roman"/>
        </w:rPr>
      </w:pPr>
      <w:bookmarkStart w:id="18" w:name="art156iv"/>
      <w:bookmarkEnd w:id="18"/>
      <w:r>
        <w:rPr>
          <w:rFonts w:ascii="Times New Roman" w:hAnsi="Times New Roman" w:cs="Times New Roman"/>
        </w:rPr>
        <w:t>d) declaração de inidoneidade para licitar ou contratar</w:t>
      </w:r>
      <w:bookmarkStart w:id="19" w:name="art156§5"/>
      <w:bookmarkEnd w:id="19"/>
      <w:bookmarkStart w:id="20" w:name="art156§1"/>
      <w:bookmarkEnd w:id="20"/>
      <w:bookmarkStart w:id="21" w:name="art156§2"/>
      <w:bookmarkEnd w:id="21"/>
      <w:r>
        <w:rPr>
          <w:rFonts w:ascii="Times New Roman" w:hAnsi="Times New Roman" w:cs="Times New Roman"/>
        </w:rPr>
        <w:t xml:space="preserve"> no âmbito da Administração Pública direta e indireta de todos os entes federativos, pelo prazo mínimo de 3 (três) anos e máximo de 6 (seis) anos.</w:t>
      </w:r>
    </w:p>
    <w:p w14:paraId="638DAFB6">
      <w:pPr>
        <w:spacing w:after="0" w:line="240" w:lineRule="auto"/>
        <w:jc w:val="both"/>
        <w:rPr>
          <w:rFonts w:ascii="Times New Roman" w:hAnsi="Times New Roman"/>
        </w:rPr>
      </w:pPr>
    </w:p>
    <w:p w14:paraId="02875218">
      <w:pPr>
        <w:pStyle w:val="10"/>
        <w:tabs>
          <w:tab w:val="left" w:pos="9900"/>
          <w:tab w:val="left" w:pos="10120"/>
        </w:tabs>
        <w:spacing w:before="1" w:line="240" w:lineRule="auto"/>
        <w:rPr>
          <w:rFonts w:ascii="Times New Roman" w:hAnsi="Times New Roman" w:cs="Times New Roman"/>
          <w:bCs/>
          <w:lang w:val="pt-BR"/>
        </w:rPr>
      </w:pPr>
      <w:r>
        <w:rPr>
          <w:rFonts w:ascii="Times New Roman" w:hAnsi="Times New Roman" w:cs="Times New Roman"/>
          <w:b/>
          <w:lang w:val="pt-BR"/>
        </w:rPr>
        <w:t>CL</w:t>
      </w:r>
      <w:r>
        <w:rPr>
          <w:rFonts w:ascii="Times New Roman" w:hAnsi="Times New Roman" w:cs="Times New Roman"/>
          <w:b/>
        </w:rPr>
        <w:t xml:space="preserve">ÁUSULA DÉCIMA </w:t>
      </w:r>
      <w:r>
        <w:rPr>
          <w:rFonts w:ascii="Times New Roman" w:hAnsi="Times New Roman" w:cs="Times New Roman"/>
          <w:b/>
          <w:lang w:val="pt-BR"/>
        </w:rPr>
        <w:t xml:space="preserve">TERCEIRA </w:t>
      </w:r>
      <w:r>
        <w:rPr>
          <w:rFonts w:ascii="Times New Roman" w:hAnsi="Times New Roman" w:cs="Times New Roman"/>
          <w:b/>
        </w:rPr>
        <w:t xml:space="preserve">– </w:t>
      </w:r>
      <w:r>
        <w:rPr>
          <w:rFonts w:ascii="Times New Roman" w:hAnsi="Times New Roman" w:cs="Times New Roman"/>
          <w:bCs/>
        </w:rPr>
        <w:t xml:space="preserve">Da </w:t>
      </w:r>
      <w:r>
        <w:rPr>
          <w:rFonts w:ascii="Times New Roman" w:hAnsi="Times New Roman" w:cs="Times New Roman"/>
          <w:bCs/>
          <w:lang w:val="pt-BR"/>
        </w:rPr>
        <w:t>a</w:t>
      </w:r>
      <w:r>
        <w:rPr>
          <w:rFonts w:ascii="Times New Roman" w:hAnsi="Times New Roman" w:cs="Times New Roman"/>
          <w:bCs/>
        </w:rPr>
        <w:t xml:space="preserve">dequação à Lei Geral </w:t>
      </w:r>
      <w:r>
        <w:rPr>
          <w:rFonts w:ascii="Times New Roman" w:hAnsi="Times New Roman" w:cs="Times New Roman"/>
          <w:bCs/>
          <w:lang w:val="pt-BR"/>
        </w:rPr>
        <w:t>d</w:t>
      </w:r>
      <w:r>
        <w:rPr>
          <w:rFonts w:ascii="Times New Roman" w:hAnsi="Times New Roman" w:cs="Times New Roman"/>
          <w:bCs/>
        </w:rPr>
        <w:t xml:space="preserve">e Proteção </w:t>
      </w:r>
      <w:r>
        <w:rPr>
          <w:rFonts w:ascii="Times New Roman" w:hAnsi="Times New Roman" w:cs="Times New Roman"/>
          <w:bCs/>
          <w:lang w:val="pt-BR"/>
        </w:rPr>
        <w:t>d</w:t>
      </w:r>
      <w:r>
        <w:rPr>
          <w:rFonts w:ascii="Times New Roman" w:hAnsi="Times New Roman" w:cs="Times New Roman"/>
          <w:bCs/>
        </w:rPr>
        <w:t>e Dados Pessoais - Lei Nº 13.709/2018 (L</w:t>
      </w:r>
      <w:r>
        <w:rPr>
          <w:rFonts w:ascii="Times New Roman" w:hAnsi="Times New Roman" w:cs="Times New Roman"/>
          <w:bCs/>
          <w:lang w:val="pt-BR"/>
        </w:rPr>
        <w:t>GPD</w:t>
      </w:r>
      <w:r>
        <w:rPr>
          <w:rFonts w:ascii="Times New Roman" w:hAnsi="Times New Roman" w:cs="Times New Roman"/>
          <w:bCs/>
        </w:rPr>
        <w:t>)</w:t>
      </w:r>
      <w:r>
        <w:rPr>
          <w:rFonts w:ascii="Times New Roman" w:hAnsi="Times New Roman" w:cs="Times New Roman"/>
          <w:bCs/>
          <w:lang w:val="pt-BR"/>
        </w:rPr>
        <w:t>.</w:t>
      </w:r>
    </w:p>
    <w:p w14:paraId="5DDD89E7">
      <w:pPr>
        <w:keepNext w:val="0"/>
        <w:keepLines w:val="0"/>
        <w:pageBreakBefore w:val="0"/>
        <w:widowControl/>
        <w:numPr>
          <w:ilvl w:val="0"/>
          <w:numId w:val="6"/>
        </w:numPr>
        <w:tabs>
          <w:tab w:val="left" w:pos="2268"/>
        </w:tabs>
        <w:kinsoku/>
        <w:wordWrap/>
        <w:overflowPunct/>
        <w:topLinePunct w:val="0"/>
        <w:autoSpaceDE/>
        <w:autoSpaceDN/>
        <w:bidi w:val="0"/>
        <w:adjustRightInd/>
        <w:snapToGrid/>
        <w:spacing w:after="0" w:line="240" w:lineRule="auto"/>
        <w:ind w:left="0" w:leftChars="0" w:firstLine="0" w:firstLineChars="0"/>
        <w:jc w:val="both"/>
        <w:textAlignment w:val="auto"/>
        <w:rPr>
          <w:rFonts w:ascii="Times New Roman" w:hAnsi="Times New Roman"/>
        </w:rPr>
      </w:pPr>
      <w:r>
        <w:rPr>
          <w:rFonts w:ascii="Times New Roman" w:hAnsi="Times New Roman" w:cs="Times New Roman"/>
        </w:rPr>
        <w:t>As PARTES observarão os preceitos da Lei nº 13.709/2018 (Lei Geral de Proteção de Dados - LGPD) e utilizarão os dados a que tiverem acesso em decorrência do presente contrato estritamente para o cumprimento dos fins a que se propõe o presente contrato, comprometendo-se a adotar as medidas técnicas e administrativas necessárias visando a proteção dos dados pessoais, em conformidade com o disposto na referida legislação e respeitando os princípios da LGPD. Os dados pessoais e sensíveis deverão ser tratados com respeito ao sigilo e confidencialidade, não devendo ser compartilhados com terceiros a menos que necessário para atingir o fim proposto no contrato.</w:t>
      </w:r>
    </w:p>
    <w:p w14:paraId="6C74AC87">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ascii="Times New Roman" w:hAnsi="Times New Roman"/>
        </w:rPr>
      </w:pPr>
      <w:r>
        <w:rPr>
          <w:rFonts w:ascii="Times New Roman" w:hAnsi="Times New Roman" w:cs="Times New Roman"/>
        </w:rPr>
        <w:t xml:space="preserve">b) A definição das PARTES enquanto controladores, operadores ou controladores conjuntos será prevista no Relatório de Atividade de Tratamento (RAT), elaborado pelo(s) controlador(es), conforme cada atividade. As PARTES deverão prover treinamentos periódicos às equipes que realizarem tratamento de dados pessoais e sensíveis, garantindo que o acesso somente seja concedido aos que estejam sob a obrigação de confidencialidade dos dados pessoais tratados. Deverão também informar à parte contrária sobre a ocorrência de incidentes de segurança assim que tomarem conhecimento do evento, bem como deverão permitir à parte contrária o acesso às informações sobre tratamentos de dados pessoais, inclusive para fins de auditoria. Ainda, as PARTES deverão garantir o atendimento aos direitos dos titulares de dados nos termos da LGPD. </w:t>
      </w:r>
    </w:p>
    <w:p w14:paraId="32E0BEB5">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ascii="Times New Roman" w:hAnsi="Times New Roman"/>
        </w:rPr>
      </w:pPr>
      <w:r>
        <w:rPr>
          <w:rFonts w:ascii="Times New Roman" w:hAnsi="Times New Roman" w:cs="Times New Roman"/>
        </w:rPr>
        <w:t xml:space="preserve">c) Em caso de transferência internacional de dados, as PARTES se comprometem a atender as exigências de LGPD. A PARTE, quando operadora, deverá comunicar a outra PARTE para que emita sua anuência nos casos de subcontratação de qualquer atividade que envolva tratamento de dados pessoais. Cada PARTE será responsável pelos eventuais prejuízos que forem decorrentes das suas específicas atribuições. Ao fim da relação contratual, deverão as PARTES eliminar os dados pessoais e sensíveis de suas bases de dados, salvo quando necessitarem mantê-los para cumprimento de obrigação legal ou outra hipótese prevista na LGPD. </w:t>
      </w:r>
    </w:p>
    <w:p w14:paraId="72126FCD">
      <w:pPr>
        <w:spacing w:after="0" w:line="240" w:lineRule="auto"/>
        <w:jc w:val="both"/>
        <w:rPr>
          <w:rFonts w:ascii="Times New Roman" w:hAnsi="Times New Roman"/>
        </w:rPr>
      </w:pPr>
    </w:p>
    <w:p w14:paraId="70CE142E">
      <w:pPr>
        <w:spacing w:after="0" w:line="240" w:lineRule="auto"/>
        <w:jc w:val="both"/>
        <w:rPr>
          <w:rFonts w:ascii="Times New Roman" w:hAnsi="Times New Roman"/>
        </w:rPr>
      </w:pPr>
      <w:r>
        <w:rPr>
          <w:rFonts w:ascii="Times New Roman" w:hAnsi="Times New Roman" w:cs="Times New Roman"/>
          <w:b/>
          <w:bCs/>
        </w:rPr>
        <w:t>CLÁUSULA DÉCIMA QUARTA</w:t>
      </w:r>
      <w:r>
        <w:rPr>
          <w:rFonts w:ascii="Times New Roman" w:hAnsi="Times New Roman" w:cs="Times New Roman"/>
        </w:rPr>
        <w:t xml:space="preserve"> - Integram este instrumento o Edital no Pregão na Forma Eletrônica nº </w:t>
      </w:r>
      <w:r>
        <w:rPr>
          <w:rFonts w:hint="default" w:ascii="Times New Roman" w:hAnsi="Times New Roman"/>
          <w:lang w:val="pt-BR"/>
        </w:rPr>
        <w:t>012/2026</w:t>
      </w:r>
      <w:r>
        <w:rPr>
          <w:rFonts w:ascii="Times New Roman" w:hAnsi="Times New Roman" w:cs="Times New Roman"/>
        </w:rPr>
        <w:t xml:space="preserve">, seus anexos, em especial o Termo de Referência, e a proposta da </w:t>
      </w:r>
      <w:r>
        <w:rPr>
          <w:rFonts w:ascii="Times New Roman" w:hAnsi="Times New Roman" w:cs="Times New Roman"/>
          <w:spacing w:val="-2"/>
        </w:rPr>
        <w:t>DETENTORA.</w:t>
      </w:r>
    </w:p>
    <w:p w14:paraId="0658F32E">
      <w:pPr>
        <w:spacing w:before="253" w:after="0" w:line="240" w:lineRule="auto"/>
        <w:jc w:val="both"/>
        <w:rPr>
          <w:rFonts w:ascii="Times New Roman" w:hAnsi="Times New Roman"/>
        </w:rPr>
      </w:pPr>
      <w:r>
        <w:rPr>
          <w:rFonts w:ascii="Times New Roman" w:hAnsi="Times New Roman" w:cs="Times New Roman"/>
          <w:b/>
        </w:rPr>
        <w:t xml:space="preserve">CLÁUSULA DÉCIMA QUINTA – </w:t>
      </w:r>
      <w:r>
        <w:rPr>
          <w:rFonts w:ascii="Times New Roman" w:hAnsi="Times New Roman" w:cs="Times New Roman"/>
        </w:rPr>
        <w:t>Fica eleito o Foro da Comarca de Teutônia/RS para as questões resultantes desta Ata.</w:t>
      </w:r>
    </w:p>
    <w:p w14:paraId="659D4AE1">
      <w:pPr>
        <w:spacing w:after="0" w:line="240" w:lineRule="auto"/>
        <w:ind w:right="398" w:rightChars="181"/>
        <w:rPr>
          <w:rFonts w:ascii="Times New Roman" w:hAnsi="Times New Roman"/>
        </w:rPr>
      </w:pPr>
    </w:p>
    <w:p w14:paraId="08653763">
      <w:pPr>
        <w:tabs>
          <w:tab w:val="left" w:pos="4253"/>
        </w:tabs>
        <w:spacing w:after="0" w:line="240" w:lineRule="auto"/>
        <w:ind w:right="398" w:rightChars="181"/>
        <w:rPr>
          <w:rFonts w:ascii="Times New Roman" w:hAnsi="Times New Roman"/>
        </w:rPr>
      </w:pPr>
    </w:p>
    <w:p w14:paraId="19A064D5">
      <w:pPr>
        <w:tabs>
          <w:tab w:val="left" w:pos="4253"/>
        </w:tabs>
        <w:spacing w:after="0" w:line="240" w:lineRule="auto"/>
        <w:ind w:right="398" w:rightChars="181"/>
        <w:rPr>
          <w:rFonts w:ascii="Times New Roman" w:hAnsi="Times New Roman"/>
        </w:rPr>
      </w:pPr>
    </w:p>
    <w:p w14:paraId="6E26F3B5">
      <w:pPr>
        <w:tabs>
          <w:tab w:val="left" w:pos="4253"/>
        </w:tabs>
        <w:spacing w:after="0" w:line="240" w:lineRule="auto"/>
        <w:ind w:right="398" w:rightChars="181" w:firstLine="220" w:firstLineChars="100"/>
        <w:rPr>
          <w:rFonts w:ascii="Times New Roman" w:hAnsi="Times New Roman"/>
        </w:rPr>
      </w:pPr>
      <w:r>
        <w:rPr>
          <w:rFonts w:ascii="Times New Roman" w:hAnsi="Times New Roman" w:cs="Times New Roman"/>
        </w:rPr>
        <w:t>______________________                                                       _________________________</w:t>
      </w:r>
    </w:p>
    <w:p w14:paraId="379B086A">
      <w:pPr>
        <w:tabs>
          <w:tab w:val="left" w:pos="4253"/>
        </w:tabs>
        <w:spacing w:after="0" w:line="240" w:lineRule="auto"/>
        <w:ind w:right="398" w:rightChars="181"/>
        <w:rPr>
          <w:rFonts w:ascii="Times New Roman" w:hAnsi="Times New Roman"/>
        </w:rPr>
      </w:pPr>
      <w:r>
        <w:rPr>
          <w:rFonts w:ascii="Times New Roman" w:hAnsi="Times New Roman" w:cs="Times New Roman"/>
        </w:rPr>
        <w:t>RENATO AIRTON ALTMANN                                                           CONTRATADA</w:t>
      </w:r>
    </w:p>
    <w:p w14:paraId="708AFD2D">
      <w:pPr>
        <w:tabs>
          <w:tab w:val="left" w:pos="4253"/>
        </w:tabs>
        <w:spacing w:after="0" w:line="240" w:lineRule="auto"/>
        <w:ind w:right="398" w:rightChars="181" w:firstLine="440" w:firstLineChars="200"/>
        <w:rPr>
          <w:rFonts w:ascii="Times New Roman" w:hAnsi="Times New Roman"/>
        </w:rPr>
      </w:pPr>
      <w:r>
        <w:rPr>
          <w:rFonts w:ascii="Times New Roman" w:hAnsi="Times New Roman" w:cs="Times New Roman"/>
        </w:rPr>
        <w:t>Prefeito Municipal                                                            Representante da CONTRATADA</w:t>
      </w:r>
    </w:p>
    <w:p w14:paraId="573DF54C">
      <w:pPr>
        <w:rPr>
          <w:szCs w:val="24"/>
        </w:rPr>
      </w:pPr>
    </w:p>
    <w:sectPr>
      <w:headerReference r:id="rId7" w:type="first"/>
      <w:footerReference r:id="rId10" w:type="first"/>
      <w:headerReference r:id="rId5" w:type="default"/>
      <w:footerReference r:id="rId8" w:type="default"/>
      <w:headerReference r:id="rId6" w:type="even"/>
      <w:footerReference r:id="rId9" w:type="even"/>
      <w:pgSz w:w="11906" w:h="16838"/>
      <w:pgMar w:top="398" w:right="1440" w:bottom="1440" w:left="1560" w:header="170" w:footer="43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Arial MT">
    <w:altName w:val="Arial"/>
    <w:panose1 w:val="00000000000000000000"/>
    <w:charset w:val="01"/>
    <w:family w:val="swiss"/>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Georgia">
    <w:panose1 w:val="02040502050405020303"/>
    <w:charset w:val="00"/>
    <w:family w:val="roman"/>
    <w:pitch w:val="default"/>
    <w:sig w:usb0="00000287" w:usb1="00000000" w:usb2="00000000" w:usb3="00000000" w:csb0="2000009F" w:csb1="00000000"/>
  </w:font>
  <w:font w:name="Lucida Sans Unicode">
    <w:panose1 w:val="020B0602030504020204"/>
    <w:charset w:val="00"/>
    <w:family w:val="swiss"/>
    <w:pitch w:val="default"/>
    <w:sig w:usb0="80001AFF" w:usb1="0000396B" w:usb2="00000000" w:usb3="00000000" w:csb0="200000BF" w:csb1="D7F70000"/>
  </w:font>
  <w:font w:name="Mangal">
    <w:altName w:val="Segoe Print"/>
    <w:panose1 w:val="00000400000000000000"/>
    <w:charset w:val="01"/>
    <w:family w:val="roman"/>
    <w:pitch w:val="default"/>
    <w:sig w:usb0="00000000" w:usb1="00000000" w:usb2="00000000" w:usb3="00000000" w:csb0="00000000" w:csb1="00000000"/>
  </w:font>
  <w:font w:name="Arial-BoldMT">
    <w:altName w:val="Segoe Print"/>
    <w:panose1 w:val="00000000000000000000"/>
    <w:charset w:val="00"/>
    <w:family w:val="auto"/>
    <w:pitch w:val="default"/>
    <w:sig w:usb0="00000000" w:usb1="00000000" w:usb2="00000000" w:usb3="00000000" w:csb0="00000001" w:csb1="00000000"/>
  </w:font>
  <w:font w:name="ArialMT">
    <w:altName w:val="Times New Roman"/>
    <w:panose1 w:val="00000000000000000000"/>
    <w:charset w:val="00"/>
    <w:family w:val="auto"/>
    <w:pitch w:val="default"/>
    <w:sig w:usb0="00000000" w:usb1="00000000" w:usb2="00000000" w:usb3="00000000" w:csb0="00000001" w:csb1="00000000"/>
  </w:font>
  <w:font w:name="Arial Unicode MS">
    <w:panose1 w:val="020B0604020202020204"/>
    <w:charset w:val="86"/>
    <w:family w:val="roman"/>
    <w:pitch w:val="default"/>
    <w:sig w:usb0="FFFFFFFF" w:usb1="E9FFFFFF" w:usb2="0000003F" w:usb3="00000000" w:csb0="603F01FF" w:csb1="FFFF0000"/>
  </w:font>
  <w:font w:name="Cambria">
    <w:panose1 w:val="02040503050406030204"/>
    <w:charset w:val="00"/>
    <w:family w:val="roman"/>
    <w:pitch w:val="default"/>
    <w:sig w:usb0="E00006FF" w:usb1="420024FF" w:usb2="02000000" w:usb3="00000000" w:csb0="2000019F" w:csb1="00000000"/>
  </w:font>
  <w:font w:name="Quire Sans Pro Light">
    <w:altName w:val="Segoe Print"/>
    <w:panose1 w:val="00000000000000000000"/>
    <w:charset w:val="00"/>
    <w:family w:val="swiss"/>
    <w:pitch w:val="default"/>
    <w:sig w:usb0="00000000" w:usb1="00000000" w:usb2="00000000" w:usb3="00000000" w:csb0="00000001" w:csb1="00000000"/>
  </w:font>
  <w:font w:name="Montserrat">
    <w:altName w:val="Segoe Print"/>
    <w:panose1 w:val="00000000000000000000"/>
    <w:charset w:val="00"/>
    <w:family w:val="auto"/>
    <w:pitch w:val="default"/>
    <w:sig w:usb0="00000000" w:usb1="00000000" w:usb2="00000000" w:usb3="00000000" w:csb0="00000197"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 w:name="Arial Narrow">
    <w:panose1 w:val="020B0606020202030204"/>
    <w:charset w:val="00"/>
    <w:family w:val="auto"/>
    <w:pitch w:val="default"/>
    <w:sig w:usb0="00000287" w:usb1="000008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73968">
    <w:pPr>
      <w:tabs>
        <w:tab w:val="center" w:pos="4680"/>
        <w:tab w:val="right" w:pos="10050"/>
      </w:tabs>
      <w:spacing w:after="0" w:line="240" w:lineRule="auto"/>
      <w:ind w:left="-992" w:right="-1032"/>
      <w:jc w:val="center"/>
      <w:rPr>
        <w:rFonts w:hint="default" w:ascii="Times New Roman" w:hAnsi="Times New Roman" w:eastAsia="Montserrat" w:cs="Times New Roman"/>
        <w:color w:val="1155CC"/>
        <w:sz w:val="20"/>
        <w:szCs w:val="20"/>
      </w:rPr>
    </w:pPr>
    <w:r>
      <w:rPr>
        <w:rFonts w:hint="default" w:ascii="Times New Roman" w:hAnsi="Times New Roman" w:eastAsia="Montserrat" w:cs="Times New Roman"/>
        <w:color w:val="1155CC"/>
        <w:sz w:val="20"/>
        <w:szCs w:val="20"/>
      </w:rPr>
      <w:t xml:space="preserve">Av. 1 Oeste, 878, Bairro Centro Administrativo, Teutônia | RS | (51) 3762-7700  </w:t>
    </w:r>
  </w:p>
  <w:p w14:paraId="2D85E05E">
    <w:pPr>
      <w:pStyle w:val="14"/>
      <w:jc w:val="center"/>
      <w:rPr>
        <w:rFonts w:hint="default" w:ascii="Times New Roman" w:hAnsi="Times New Roman" w:cs="Times New Roman"/>
      </w:rPr>
    </w:pPr>
    <w:r>
      <w:rPr>
        <w:rFonts w:hint="default" w:ascii="Times New Roman" w:hAnsi="Times New Roman" w:eastAsia="Montserrat" w:cs="Times New Roman"/>
        <w:color w:val="1155CC"/>
        <w:sz w:val="20"/>
        <w:szCs w:val="20"/>
      </w:rPr>
      <w:t>e-mail: licita</w:t>
    </w:r>
    <w:r>
      <w:rPr>
        <w:rFonts w:hint="default" w:ascii="Times New Roman" w:hAnsi="Times New Roman" w:eastAsia="Montserrat" w:cs="Times New Roman"/>
        <w:color w:val="1155CC"/>
        <w:sz w:val="20"/>
        <w:szCs w:val="20"/>
        <w:lang w:val="pt-BR"/>
      </w:rPr>
      <w:t>1</w:t>
    </w:r>
    <w:r>
      <w:rPr>
        <w:rFonts w:hint="default" w:ascii="Times New Roman" w:hAnsi="Times New Roman" w:eastAsia="Montserrat" w:cs="Times New Roman"/>
        <w:color w:val="1155CC"/>
        <w:sz w:val="20"/>
        <w:szCs w:val="20"/>
      </w:rPr>
      <w:t>@teutonia.rs.gov.br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038DC7">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C68962">
    <w:pPr>
      <w:pStyle w:val="1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5"/>
      <w:tblW w:w="9090" w:type="dxa"/>
      <w:jc w:val="center"/>
      <w:tblLayout w:type="fixed"/>
      <w:tblCellMar>
        <w:top w:w="0" w:type="dxa"/>
        <w:left w:w="108" w:type="dxa"/>
        <w:bottom w:w="0" w:type="dxa"/>
        <w:right w:w="108" w:type="dxa"/>
      </w:tblCellMar>
    </w:tblPr>
    <w:tblGrid>
      <w:gridCol w:w="9090"/>
    </w:tblGrid>
    <w:tr w14:paraId="0DEF7CB9">
      <w:tblPrEx>
        <w:tblCellMar>
          <w:top w:w="0" w:type="dxa"/>
          <w:left w:w="108" w:type="dxa"/>
          <w:bottom w:w="0" w:type="dxa"/>
          <w:right w:w="108" w:type="dxa"/>
        </w:tblCellMar>
      </w:tblPrEx>
      <w:trPr>
        <w:trHeight w:val="1277" w:hRule="atLeast"/>
        <w:jc w:val="center"/>
      </w:trPr>
      <w:tc>
        <w:tcPr>
          <w:tcW w:w="9090" w:type="dxa"/>
          <w:tcBorders>
            <w:top w:val="nil"/>
            <w:left w:val="nil"/>
            <w:bottom w:val="nil"/>
            <w:right w:val="nil"/>
          </w:tcBorders>
        </w:tcPr>
        <w:p w14:paraId="4B9F95D1">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after="0" w:line="240" w:lineRule="auto"/>
            <w:ind w:left="-1417"/>
            <w:jc w:val="center"/>
            <w:rPr>
              <w:rFonts w:ascii="Quire Sans Pro Light" w:hAnsi="Quire Sans Pro Light" w:eastAsia="Quire Sans Pro Light" w:cs="Quire Sans Pro Light"/>
              <w:b/>
              <w:color w:val="E283AE"/>
              <w:sz w:val="32"/>
              <w:szCs w:val="32"/>
            </w:rPr>
          </w:pPr>
          <w:r>
            <w:t xml:space="preserve">                          </w:t>
          </w:r>
          <w:r>
            <w:drawing>
              <wp:inline distT="114300" distB="114300" distL="114300" distR="114300">
                <wp:extent cx="3674110" cy="1130300"/>
                <wp:effectExtent l="0" t="0" r="0" b="0"/>
                <wp:docPr id="751185123" name="image1.png"/>
                <wp:cNvGraphicFramePr/>
                <a:graphic xmlns:a="http://schemas.openxmlformats.org/drawingml/2006/main">
                  <a:graphicData uri="http://schemas.openxmlformats.org/drawingml/2006/picture">
                    <pic:pic xmlns:pic="http://schemas.openxmlformats.org/drawingml/2006/picture">
                      <pic:nvPicPr>
                        <pic:cNvPr id="751185123"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14:paraId="59F33F29">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after="0" w:line="240" w:lineRule="auto"/>
      <w:rPr>
        <w:color w:val="000000"/>
      </w:rPr>
    </w:pPr>
    <w:r>
      <w:pict>
        <v:shape id="WordPictureWatermark1" o:spid="_x0000_s1025" o:spt="75" type="#_x0000_t75" style="position:absolute;left:0pt;margin-top:-12.9pt;height:623.75pt;width:445.75pt;mso-position-horizontal:center;mso-position-horizontal-relative:margin;mso-position-vertical-relative:margin;z-index:-251657216;mso-width-relative:page;mso-height-relative:page;" filled="f" o:preferrelative="t" stroked="f" coordsize="21600,21600">
          <v:path/>
          <v:fill on="f" focussize="0,0"/>
          <v:stroke on="f" joinstyle="miter"/>
          <v:imagedata r:id="rId2" gain="19661f" blacklevel="22938f" o:title="image3"/>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C17FD">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A3BF34">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A06309"/>
    <w:multiLevelType w:val="singleLevel"/>
    <w:tmpl w:val="9AA06309"/>
    <w:lvl w:ilvl="0" w:tentative="0">
      <w:start w:val="1"/>
      <w:numFmt w:val="lowerLetter"/>
      <w:suff w:val="space"/>
      <w:lvlText w:val="%1)"/>
      <w:lvlJc w:val="left"/>
    </w:lvl>
  </w:abstractNum>
  <w:abstractNum w:abstractNumId="1">
    <w:nsid w:val="A9066C10"/>
    <w:multiLevelType w:val="singleLevel"/>
    <w:tmpl w:val="A9066C10"/>
    <w:lvl w:ilvl="0" w:tentative="0">
      <w:start w:val="1"/>
      <w:numFmt w:val="lowerLetter"/>
      <w:suff w:val="space"/>
      <w:lvlText w:val="%1)"/>
      <w:lvlJc w:val="left"/>
    </w:lvl>
  </w:abstractNum>
  <w:abstractNum w:abstractNumId="2">
    <w:nsid w:val="AC2083D9"/>
    <w:multiLevelType w:val="singleLevel"/>
    <w:tmpl w:val="AC2083D9"/>
    <w:lvl w:ilvl="0" w:tentative="0">
      <w:start w:val="1"/>
      <w:numFmt w:val="lowerLetter"/>
      <w:suff w:val="space"/>
      <w:lvlText w:val="%1)"/>
      <w:lvlJc w:val="left"/>
    </w:lvl>
  </w:abstractNum>
  <w:abstractNum w:abstractNumId="3">
    <w:nsid w:val="489D8CFE"/>
    <w:multiLevelType w:val="singleLevel"/>
    <w:tmpl w:val="489D8CFE"/>
    <w:lvl w:ilvl="0" w:tentative="0">
      <w:start w:val="1"/>
      <w:numFmt w:val="lowerLetter"/>
      <w:suff w:val="space"/>
      <w:lvlText w:val="%1)"/>
      <w:lvlJc w:val="left"/>
    </w:lvl>
  </w:abstractNum>
  <w:abstractNum w:abstractNumId="4">
    <w:nsid w:val="7415575B"/>
    <w:multiLevelType w:val="singleLevel"/>
    <w:tmpl w:val="7415575B"/>
    <w:lvl w:ilvl="0" w:tentative="0">
      <w:start w:val="1"/>
      <w:numFmt w:val="lowerLetter"/>
      <w:suff w:val="space"/>
      <w:lvlText w:val="%1)"/>
      <w:lvlJc w:val="left"/>
    </w:lvl>
  </w:abstractNum>
  <w:abstractNum w:abstractNumId="5">
    <w:nsid w:val="75872450"/>
    <w:multiLevelType w:val="singleLevel"/>
    <w:tmpl w:val="75872450"/>
    <w:lvl w:ilvl="0" w:tentative="0">
      <w:start w:val="1"/>
      <w:numFmt w:val="lowerLetter"/>
      <w:suff w:val="space"/>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hyphenationZone w:val="425"/>
  <w:characterSpacingControl w:val="doNotCompress"/>
  <w:hdrShapeDefaults>
    <o:shapelayout v:ext="edit">
      <o:idmap v:ext="edit" data="1"/>
    </o:shapelayout>
  </w:hdrShapeDefaults>
  <w:footnotePr>
    <w:footnote w:id="0"/>
    <w:footnote w:id="1"/>
  </w:footnotePr>
  <w:endnotePr>
    <w:endnote w:id="0"/>
    <w:endnote w:id="1"/>
  </w:endnotePr>
  <w:compat>
    <w:compatSetting w:name="compatibilityMode" w:uri="http://schemas.microsoft.com/office/word" w:val="12"/>
  </w:compat>
  <w:rsids>
    <w:rsidRoot w:val="00DD05C7"/>
    <w:rsid w:val="000D30D1"/>
    <w:rsid w:val="001361D2"/>
    <w:rsid w:val="00143317"/>
    <w:rsid w:val="0019142F"/>
    <w:rsid w:val="001C6628"/>
    <w:rsid w:val="002017A7"/>
    <w:rsid w:val="00305A3F"/>
    <w:rsid w:val="003A6F98"/>
    <w:rsid w:val="0040361B"/>
    <w:rsid w:val="004245D2"/>
    <w:rsid w:val="004509F5"/>
    <w:rsid w:val="004D27E2"/>
    <w:rsid w:val="004D2F54"/>
    <w:rsid w:val="00532771"/>
    <w:rsid w:val="005A7840"/>
    <w:rsid w:val="00707EF1"/>
    <w:rsid w:val="00710BDD"/>
    <w:rsid w:val="00742D45"/>
    <w:rsid w:val="0079516A"/>
    <w:rsid w:val="007D1974"/>
    <w:rsid w:val="0084451C"/>
    <w:rsid w:val="00850783"/>
    <w:rsid w:val="008A7458"/>
    <w:rsid w:val="008F31A1"/>
    <w:rsid w:val="009E6F53"/>
    <w:rsid w:val="00A0182F"/>
    <w:rsid w:val="00A245CA"/>
    <w:rsid w:val="00A25E2D"/>
    <w:rsid w:val="00A77C75"/>
    <w:rsid w:val="00A85D9E"/>
    <w:rsid w:val="00AD0487"/>
    <w:rsid w:val="00B02493"/>
    <w:rsid w:val="00B039BC"/>
    <w:rsid w:val="00BF55EB"/>
    <w:rsid w:val="00C158C7"/>
    <w:rsid w:val="00C31491"/>
    <w:rsid w:val="00C37427"/>
    <w:rsid w:val="00C73FB5"/>
    <w:rsid w:val="00C85173"/>
    <w:rsid w:val="00CF71AA"/>
    <w:rsid w:val="00D470C6"/>
    <w:rsid w:val="00DD05C7"/>
    <w:rsid w:val="00E278AF"/>
    <w:rsid w:val="00E439EF"/>
    <w:rsid w:val="00EE2C84"/>
    <w:rsid w:val="00F87924"/>
    <w:rsid w:val="00FE709C"/>
    <w:rsid w:val="15FE087F"/>
    <w:rsid w:val="1F641B0F"/>
    <w:rsid w:val="36832FFC"/>
    <w:rsid w:val="61724E6F"/>
    <w:rsid w:val="691936F4"/>
    <w:rsid w:val="6942776D"/>
    <w:rsid w:val="6BE02D0B"/>
    <w:rsid w:val="7DE74313"/>
    <w:rsid w:val="7E5C5939"/>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Calibri" w:hAnsi="Calibri" w:eastAsia="Calibri" w:cs="Calibri"/>
      <w:sz w:val="22"/>
      <w:szCs w:val="22"/>
      <w:lang w:val="pt-BR" w:eastAsia="pt-BR"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Body Text"/>
    <w:basedOn w:val="1"/>
    <w:link w:val="27"/>
    <w:qFormat/>
    <w:uiPriority w:val="1"/>
    <w:pPr>
      <w:tabs>
        <w:tab w:val="left" w:pos="2268"/>
      </w:tabs>
      <w:spacing w:before="120" w:after="120" w:line="360" w:lineRule="auto"/>
      <w:jc w:val="both"/>
    </w:pPr>
    <w:rPr>
      <w:rFonts w:ascii="Arial MT" w:hAnsi="Arial MT" w:eastAsia="Arial MT" w:cs="Arial MT"/>
      <w:lang w:val="pt-PT" w:eastAsia="en-US"/>
    </w:rPr>
  </w:style>
  <w:style w:type="paragraph" w:styleId="11">
    <w:name w:val="Title"/>
    <w:basedOn w:val="1"/>
    <w:next w:val="1"/>
    <w:qFormat/>
    <w:uiPriority w:val="10"/>
    <w:pPr>
      <w:keepNext/>
      <w:keepLines/>
      <w:spacing w:before="480" w:after="120"/>
    </w:pPr>
    <w:rPr>
      <w:b/>
      <w:sz w:val="72"/>
      <w:szCs w:val="72"/>
    </w:rPr>
  </w:style>
  <w:style w:type="paragraph" w:styleId="12">
    <w:name w:val="Normal (Web)"/>
    <w:basedOn w:val="1"/>
    <w:qFormat/>
    <w:uiPriority w:val="0"/>
    <w:pPr>
      <w:tabs>
        <w:tab w:val="left" w:pos="2268"/>
      </w:tabs>
      <w:spacing w:before="280" w:after="280" w:line="360" w:lineRule="auto"/>
      <w:jc w:val="both"/>
    </w:pPr>
    <w:rPr>
      <w:rFonts w:ascii="Arial" w:hAnsi="Arial" w:eastAsia="SimSun" w:cs="Times New Roman"/>
      <w:szCs w:val="20"/>
      <w:lang w:eastAsia="ar-SA"/>
    </w:rPr>
  </w:style>
  <w:style w:type="paragraph" w:styleId="13">
    <w:name w:val="header"/>
    <w:basedOn w:val="1"/>
    <w:link w:val="20"/>
    <w:unhideWhenUsed/>
    <w:qFormat/>
    <w:uiPriority w:val="99"/>
    <w:pPr>
      <w:tabs>
        <w:tab w:val="center" w:pos="4680"/>
        <w:tab w:val="right" w:pos="9360"/>
      </w:tabs>
      <w:spacing w:after="0" w:line="240" w:lineRule="auto"/>
    </w:pPr>
  </w:style>
  <w:style w:type="paragraph" w:styleId="14">
    <w:name w:val="footer"/>
    <w:basedOn w:val="1"/>
    <w:link w:val="21"/>
    <w:unhideWhenUsed/>
    <w:qFormat/>
    <w:uiPriority w:val="99"/>
    <w:pPr>
      <w:tabs>
        <w:tab w:val="center" w:pos="4680"/>
        <w:tab w:val="right" w:pos="9360"/>
      </w:tabs>
      <w:spacing w:after="0" w:line="240" w:lineRule="auto"/>
    </w:pPr>
  </w:style>
  <w:style w:type="paragraph" w:styleId="15">
    <w:name w:val="Body Text Indent 3"/>
    <w:basedOn w:val="1"/>
    <w:link w:val="28"/>
    <w:qFormat/>
    <w:uiPriority w:val="0"/>
    <w:pPr>
      <w:widowControl w:val="0"/>
      <w:tabs>
        <w:tab w:val="left" w:pos="2268"/>
      </w:tabs>
      <w:autoSpaceDE w:val="0"/>
      <w:autoSpaceDN w:val="0"/>
      <w:spacing w:before="120" w:after="120" w:line="360" w:lineRule="auto"/>
      <w:ind w:firstLine="850"/>
      <w:jc w:val="both"/>
    </w:pPr>
    <w:rPr>
      <w:rFonts w:ascii="Courier New" w:hAnsi="Courier New" w:eastAsia="SimSun" w:cs="Times New Roman"/>
      <w:color w:val="000000"/>
      <w:sz w:val="20"/>
      <w:szCs w:val="20"/>
      <w:lang w:eastAsia="ar-SA"/>
    </w:rPr>
  </w:style>
  <w:style w:type="paragraph" w:styleId="16">
    <w:name w:val="Balloon Text"/>
    <w:basedOn w:val="1"/>
    <w:link w:val="26"/>
    <w:semiHidden/>
    <w:unhideWhenUsed/>
    <w:qFormat/>
    <w:uiPriority w:val="99"/>
    <w:pPr>
      <w:spacing w:after="0" w:line="240" w:lineRule="auto"/>
    </w:pPr>
    <w:rPr>
      <w:rFonts w:ascii="Tahoma" w:hAnsi="Tahoma" w:cs="Tahoma"/>
      <w:sz w:val="16"/>
      <w:szCs w:val="16"/>
    </w:rPr>
  </w:style>
  <w:style w:type="paragraph" w:styleId="17">
    <w:name w:val="Subtitle"/>
    <w:basedOn w:val="1"/>
    <w:next w:val="1"/>
    <w:qFormat/>
    <w:uiPriority w:val="11"/>
    <w:pPr>
      <w:keepNext/>
      <w:keepLines/>
      <w:spacing w:before="360" w:after="80"/>
    </w:pPr>
    <w:rPr>
      <w:rFonts w:ascii="Georgia" w:hAnsi="Georgia" w:eastAsia="Georgia" w:cs="Georgia"/>
      <w:i/>
      <w:color w:val="666666"/>
      <w:sz w:val="48"/>
      <w:szCs w:val="48"/>
    </w:rPr>
  </w:style>
  <w:style w:type="table" w:styleId="18">
    <w:name w:val="Table Grid"/>
    <w:basedOn w:val="9"/>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customStyle="1" w:styleId="19">
    <w:name w:val="Table Normal"/>
    <w:qFormat/>
    <w:uiPriority w:val="0"/>
    <w:tblPr>
      <w:tblCellMar>
        <w:top w:w="0" w:type="dxa"/>
        <w:left w:w="0" w:type="dxa"/>
        <w:bottom w:w="0" w:type="dxa"/>
        <w:right w:w="0" w:type="dxa"/>
      </w:tblCellMar>
    </w:tblPr>
  </w:style>
  <w:style w:type="character" w:customStyle="1" w:styleId="20">
    <w:name w:val="Cabeçalho Char"/>
    <w:basedOn w:val="8"/>
    <w:link w:val="13"/>
    <w:qFormat/>
    <w:uiPriority w:val="99"/>
  </w:style>
  <w:style w:type="character" w:customStyle="1" w:styleId="21">
    <w:name w:val="Rodapé Char"/>
    <w:basedOn w:val="8"/>
    <w:link w:val="14"/>
    <w:qFormat/>
    <w:uiPriority w:val="99"/>
  </w:style>
  <w:style w:type="paragraph" w:styleId="22">
    <w:name w:val="List Paragraph"/>
    <w:basedOn w:val="1"/>
    <w:link w:val="31"/>
    <w:qFormat/>
    <w:uiPriority w:val="34"/>
    <w:pPr>
      <w:ind w:left="720"/>
      <w:contextualSpacing/>
    </w:pPr>
  </w:style>
  <w:style w:type="table" w:customStyle="1" w:styleId="23">
    <w:name w:val="Grid Table Light"/>
    <w:basedOn w:val="9"/>
    <w:qFormat/>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
  </w:style>
  <w:style w:type="table" w:customStyle="1" w:styleId="24">
    <w:name w:val="_Style 20"/>
    <w:basedOn w:val="9"/>
    <w:qFormat/>
    <w:uiPriority w:val="0"/>
    <w:tblPr>
      <w:tblCellMar>
        <w:top w:w="0" w:type="dxa"/>
        <w:left w:w="108" w:type="dxa"/>
        <w:bottom w:w="0" w:type="dxa"/>
        <w:right w:w="108" w:type="dxa"/>
      </w:tblCellMar>
    </w:tblPr>
  </w:style>
  <w:style w:type="table" w:customStyle="1" w:styleId="25">
    <w:name w:val="_Style 21"/>
    <w:basedOn w:val="9"/>
    <w:qFormat/>
    <w:uiPriority w:val="0"/>
    <w:tblPr>
      <w:tblCellMar>
        <w:top w:w="0" w:type="dxa"/>
        <w:left w:w="108" w:type="dxa"/>
        <w:bottom w:w="0" w:type="dxa"/>
        <w:right w:w="108" w:type="dxa"/>
      </w:tblCellMar>
    </w:tblPr>
  </w:style>
  <w:style w:type="character" w:customStyle="1" w:styleId="26">
    <w:name w:val="Texto de balão Char"/>
    <w:basedOn w:val="8"/>
    <w:link w:val="16"/>
    <w:semiHidden/>
    <w:qFormat/>
    <w:uiPriority w:val="99"/>
    <w:rPr>
      <w:rFonts w:ascii="Tahoma" w:hAnsi="Tahoma" w:cs="Tahoma"/>
      <w:sz w:val="16"/>
      <w:szCs w:val="16"/>
    </w:rPr>
  </w:style>
  <w:style w:type="character" w:customStyle="1" w:styleId="27">
    <w:name w:val="Corpo de texto Char"/>
    <w:basedOn w:val="8"/>
    <w:link w:val="10"/>
    <w:qFormat/>
    <w:uiPriority w:val="1"/>
    <w:rPr>
      <w:rFonts w:ascii="Arial MT" w:hAnsi="Arial MT" w:eastAsia="Arial MT" w:cs="Arial MT"/>
      <w:lang w:val="pt-PT" w:eastAsia="en-US"/>
    </w:rPr>
  </w:style>
  <w:style w:type="character" w:customStyle="1" w:styleId="28">
    <w:name w:val="Recuo de corpo de texto 3 Char"/>
    <w:basedOn w:val="8"/>
    <w:link w:val="15"/>
    <w:qFormat/>
    <w:uiPriority w:val="0"/>
    <w:rPr>
      <w:rFonts w:ascii="Courier New" w:hAnsi="Courier New" w:eastAsia="SimSun" w:cs="Times New Roman"/>
      <w:color w:val="000000"/>
      <w:sz w:val="20"/>
      <w:szCs w:val="20"/>
      <w:lang w:eastAsia="ar-SA"/>
    </w:rPr>
  </w:style>
  <w:style w:type="paragraph" w:customStyle="1" w:styleId="29">
    <w:name w:val="Título de tabela"/>
    <w:basedOn w:val="1"/>
    <w:qFormat/>
    <w:uiPriority w:val="0"/>
    <w:pPr>
      <w:widowControl w:val="0"/>
      <w:suppressLineNumbers/>
      <w:tabs>
        <w:tab w:val="left" w:pos="2268"/>
      </w:tabs>
      <w:spacing w:before="120" w:after="120" w:line="360" w:lineRule="auto"/>
      <w:jc w:val="center"/>
    </w:pPr>
    <w:rPr>
      <w:rFonts w:ascii="Arial" w:hAnsi="Arial" w:eastAsia="Lucida Sans Unicode" w:cs="Mangal"/>
      <w:b/>
      <w:i/>
      <w:kern w:val="1"/>
      <w:szCs w:val="20"/>
      <w:lang w:eastAsia="zh-CN" w:bidi="hi-IN"/>
    </w:rPr>
  </w:style>
  <w:style w:type="paragraph" w:customStyle="1" w:styleId="30">
    <w:name w:val="Corpo de texto 21"/>
    <w:basedOn w:val="1"/>
    <w:qFormat/>
    <w:uiPriority w:val="0"/>
    <w:pPr>
      <w:tabs>
        <w:tab w:val="left" w:pos="2268"/>
      </w:tabs>
      <w:overflowPunct w:val="0"/>
      <w:autoSpaceDE w:val="0"/>
      <w:spacing w:before="120" w:after="120" w:line="360" w:lineRule="auto"/>
      <w:ind w:left="360"/>
      <w:jc w:val="both"/>
      <w:textAlignment w:val="baseline"/>
    </w:pPr>
    <w:rPr>
      <w:rFonts w:ascii="Arial" w:hAnsi="Arial" w:eastAsia="SimSun" w:cs="Times New Roman"/>
      <w:szCs w:val="20"/>
      <w:lang w:eastAsia="ar-SA"/>
    </w:rPr>
  </w:style>
  <w:style w:type="character" w:customStyle="1" w:styleId="31">
    <w:name w:val="Parágrafo da Lista Char"/>
    <w:link w:val="22"/>
    <w:qFormat/>
    <w:locked/>
    <w:uiPriority w:val="34"/>
  </w:style>
  <w:style w:type="character" w:customStyle="1" w:styleId="32">
    <w:name w:val="Link da Internet"/>
    <w:unhideWhenUsed/>
    <w:qFormat/>
    <w:uiPriority w:val="99"/>
    <w:rPr>
      <w:color w:val="0563C1"/>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5"/>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9B55B4-0DEB-441F-9CA9-D2D1DCB64DE5}">
  <ds:schemaRefs/>
</ds:datastoreItem>
</file>

<file path=customXml/itemProps3.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Normal.dotm</Template>
  <Pages>7</Pages>
  <Words>3864</Words>
  <Characters>20867</Characters>
  <Lines>173</Lines>
  <Paragraphs>49</Paragraphs>
  <TotalTime>0</TotalTime>
  <ScaleCrop>false</ScaleCrop>
  <LinksUpToDate>false</LinksUpToDate>
  <CharactersWithSpaces>24682</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2025-04-16T19:40:00Z</dcterms:created>
  <dc:creator>nicole leyser alves</dc:creator>
  <cp:lastModifiedBy>yasmin.peres</cp:lastModifiedBy>
  <dcterms:modified xsi:type="dcterms:W3CDTF">2026-02-11T18:55:20Z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A7359C8554784BB6BCE85EAE83E0FD2C_12</vt:lpwstr>
  </property>
</Properties>
</file>