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FD79E5">
      <w:pPr>
        <w:tabs>
          <w:tab w:val="left" w:pos="8360"/>
        </w:tabs>
        <w:autoSpaceDE w:val="0"/>
        <w:spacing w:after="0" w:line="240" w:lineRule="auto"/>
        <w:ind w:right="-53" w:rightChars="-24"/>
        <w:jc w:val="center"/>
        <w:rPr>
          <w:rFonts w:ascii="Times New Roman" w:hAnsi="Times New Roman" w:eastAsia="Arial-BoldMT"/>
          <w:b/>
          <w:bCs/>
        </w:rPr>
      </w:pPr>
      <w:r>
        <w:rPr>
          <w:rFonts w:ascii="Times New Roman" w:hAnsi="Times New Roman" w:eastAsia="Arial-BoldMT" w:cs="Times New Roman"/>
          <w:b/>
          <w:bCs/>
        </w:rPr>
        <w:t>Minuta Ata de Registro de Preços</w:t>
      </w:r>
    </w:p>
    <w:p w14:paraId="73D0E4CE">
      <w:pPr>
        <w:tabs>
          <w:tab w:val="left" w:pos="8360"/>
        </w:tabs>
        <w:autoSpaceDE w:val="0"/>
        <w:spacing w:after="0" w:line="240" w:lineRule="auto"/>
        <w:ind w:right="-53" w:rightChars="-24"/>
        <w:jc w:val="center"/>
        <w:rPr>
          <w:rFonts w:ascii="Times New Roman" w:hAnsi="Times New Roman" w:eastAsia="Arial-BoldMT"/>
          <w:b/>
          <w:bCs/>
        </w:rPr>
      </w:pPr>
      <w:r>
        <w:rPr>
          <w:rFonts w:ascii="Times New Roman" w:hAnsi="Times New Roman" w:eastAsia="Arial-BoldMT" w:cs="Times New Roman"/>
          <w:b/>
          <w:bCs/>
        </w:rPr>
        <w:t>Nº xxx-01/2026</w:t>
      </w:r>
    </w:p>
    <w:p w14:paraId="7482C87D">
      <w:pPr>
        <w:tabs>
          <w:tab w:val="left" w:pos="8360"/>
        </w:tabs>
        <w:ind w:right="-53" w:rightChars="-24"/>
        <w:rPr>
          <w:rFonts w:ascii="Times New Roman" w:hAnsi="Times New Roman" w:eastAsia="Arial-BoldMT"/>
          <w:b/>
          <w:bCs/>
        </w:rPr>
      </w:pPr>
      <w:r>
        <w:rPr>
          <w:rFonts w:ascii="Times New Roman" w:hAnsi="Times New Roman" w:cs="Times New Roman"/>
          <w:b/>
        </w:rPr>
        <w:tab/>
      </w:r>
    </w:p>
    <w:p w14:paraId="3D58F6E2">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PREGÃO ELETRÔNICO Nº 027/2026</w:t>
      </w:r>
    </w:p>
    <w:p w14:paraId="299B351A">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NÚMERO CONTROLE: 027/2026</w:t>
      </w:r>
    </w:p>
    <w:p w14:paraId="27E1CE7E">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VALIDADE: 12 (DOZE) MESES</w:t>
      </w:r>
    </w:p>
    <w:p w14:paraId="32EE1897">
      <w:pPr>
        <w:pStyle w:val="11"/>
        <w:tabs>
          <w:tab w:val="left" w:leader="dot" w:pos="7610"/>
          <w:tab w:val="left" w:pos="8360"/>
          <w:tab w:val="left" w:pos="8800"/>
        </w:tabs>
        <w:spacing w:line="240" w:lineRule="auto"/>
        <w:ind w:right="-53" w:rightChars="-24"/>
        <w:rPr>
          <w:rFonts w:ascii="Times New Roman" w:hAnsi="Times New Roman" w:cs="Times New Roman"/>
        </w:rPr>
      </w:pPr>
    </w:p>
    <w:p w14:paraId="4673CBAC">
      <w:pPr>
        <w:pStyle w:val="11"/>
        <w:tabs>
          <w:tab w:val="left" w:leader="dot" w:pos="7610"/>
          <w:tab w:val="left" w:pos="8360"/>
          <w:tab w:val="left" w:pos="8800"/>
        </w:tabs>
        <w:spacing w:line="240" w:lineRule="auto"/>
        <w:ind w:right="-53" w:rightChars="-24" w:firstLine="1210" w:firstLineChars="550"/>
        <w:rPr>
          <w:rFonts w:ascii="Times New Roman" w:hAnsi="Times New Roman" w:cs="Times New Roman"/>
        </w:rPr>
      </w:pPr>
      <w:r>
        <w:rPr>
          <w:rFonts w:ascii="Times New Roman" w:hAnsi="Times New Roman" w:cs="Times New Roman"/>
        </w:rPr>
        <w:t xml:space="preserve">Aos ……. dias do mês de ……. do ano de dois mil e vinte e </w:t>
      </w:r>
      <w:r>
        <w:rPr>
          <w:rFonts w:ascii="Times New Roman" w:hAnsi="Times New Roman" w:cs="Times New Roman"/>
          <w:lang w:val="pt-BR"/>
        </w:rPr>
        <w:t>seis</w:t>
      </w:r>
      <w:r>
        <w:rPr>
          <w:rFonts w:ascii="Times New Roman" w:hAnsi="Times New Roman" w:cs="Times New Roman"/>
        </w:rPr>
        <w:t xml:space="preserve">, o </w:t>
      </w:r>
      <w:r>
        <w:rPr>
          <w:rFonts w:ascii="Times New Roman" w:hAnsi="Times New Roman" w:cs="Times New Roman"/>
          <w:b/>
        </w:rPr>
        <w:t>MUNICÍPIO DE</w:t>
      </w:r>
      <w:r>
        <w:rPr>
          <w:rFonts w:ascii="Times New Roman" w:hAnsi="Times New Roman" w:cs="Times New Roman"/>
          <w:b/>
          <w:spacing w:val="40"/>
        </w:rPr>
        <w:t xml:space="preserve"> </w:t>
      </w:r>
      <w:r>
        <w:rPr>
          <w:rFonts w:ascii="Times New Roman" w:hAnsi="Times New Roman" w:cs="Times New Roman"/>
          <w:b/>
          <w:lang w:val="pt-BR"/>
        </w:rPr>
        <w:t>TEUTÔNIA</w:t>
      </w:r>
      <w:r>
        <w:rPr>
          <w:rFonts w:ascii="Times New Roman" w:hAnsi="Times New Roman" w:cs="Times New Roman"/>
          <w:b/>
        </w:rPr>
        <w:t>/RS</w:t>
      </w:r>
      <w:r>
        <w:rPr>
          <w:rFonts w:ascii="Times New Roman" w:hAnsi="Times New Roman" w:cs="Times New Roman"/>
        </w:rPr>
        <w:t xml:space="preserve">, pessoa jurídica de direito público, inscrito no CNPJ sob nº </w:t>
      </w:r>
      <w:r>
        <w:rPr>
          <w:rFonts w:ascii="Times New Roman" w:hAnsi="Times New Roman" w:cs="Times New Roman"/>
          <w:lang w:val="pt-BR"/>
        </w:rPr>
        <w:t xml:space="preserve">88.661.400/0001-99, </w:t>
      </w:r>
      <w:r>
        <w:rPr>
          <w:rFonts w:ascii="Times New Roman" w:hAnsi="Times New Roman" w:eastAsia="ArialMT" w:cs="Times New Roman"/>
        </w:rPr>
        <w:t xml:space="preserve">sita na </w:t>
      </w:r>
      <w:r>
        <w:rPr>
          <w:rFonts w:ascii="Times New Roman" w:hAnsi="Times New Roman" w:cs="Times New Roman"/>
          <w:shd w:val="clear" w:color="auto" w:fill="FFFFFF"/>
        </w:rPr>
        <w:t>Avenida 1 Oeste, 878, Bairro Centro Administrativo</w:t>
      </w:r>
      <w:r>
        <w:rPr>
          <w:rFonts w:ascii="Times New Roman" w:hAnsi="Times New Roman" w:eastAsia="ArialMT" w:cs="Times New Roman"/>
        </w:rPr>
        <w:t>, Teutônia/RS</w:t>
      </w:r>
      <w:r>
        <w:rPr>
          <w:rFonts w:ascii="Times New Roman" w:hAnsi="Times New Roman" w:cs="Times New Roman"/>
        </w:rPr>
        <w:t xml:space="preserve">, neste ato representado pelo Prefeito Municipal, Sr. </w:t>
      </w:r>
      <w:r>
        <w:rPr>
          <w:rFonts w:ascii="Times New Roman" w:hAnsi="Times New Roman" w:cs="Times New Roman"/>
          <w:lang w:val="pt-BR"/>
        </w:rPr>
        <w:t>Renato Airton Altmann</w:t>
      </w:r>
      <w:r>
        <w:rPr>
          <w:rFonts w:ascii="Times New Roman" w:hAnsi="Times New Roman" w:cs="Times New Roman"/>
        </w:rPr>
        <w:t xml:space="preserve">, brasileiro, </w:t>
      </w:r>
      <w:r>
        <w:rPr>
          <w:rFonts w:ascii="Times New Roman" w:hAnsi="Times New Roman" w:cs="Times New Roman"/>
          <w:lang w:val="pt-BR"/>
        </w:rPr>
        <w:t xml:space="preserve">inscrito no </w:t>
      </w:r>
      <w:r>
        <w:rPr>
          <w:rFonts w:ascii="Times New Roman" w:hAnsi="Times New Roman" w:cs="Times New Roman"/>
        </w:rPr>
        <w:t>CPF</w:t>
      </w:r>
      <w:r>
        <w:rPr>
          <w:rFonts w:ascii="Times New Roman" w:hAnsi="Times New Roman" w:cs="Times New Roman"/>
          <w:lang w:val="pt-BR"/>
        </w:rPr>
        <w:t xml:space="preserve"> sob o</w:t>
      </w:r>
      <w:r>
        <w:rPr>
          <w:rFonts w:ascii="Times New Roman" w:hAnsi="Times New Roman" w:cs="Times New Roman"/>
        </w:rPr>
        <w:t xml:space="preserve"> nº  381.251.610-15, residente e domiciliado em </w:t>
      </w:r>
      <w:r>
        <w:rPr>
          <w:rFonts w:ascii="Times New Roman" w:hAnsi="Times New Roman" w:cs="Times New Roman"/>
          <w:lang w:val="pt-BR"/>
        </w:rPr>
        <w:t>Teutônia</w:t>
      </w:r>
      <w:r>
        <w:rPr>
          <w:rFonts w:ascii="Times New Roman" w:hAnsi="Times New Roman" w:cs="Times New Roman"/>
        </w:rPr>
        <w:t xml:space="preserve">/RS, doravante denominado </w:t>
      </w:r>
      <w:r>
        <w:rPr>
          <w:rFonts w:ascii="Times New Roman" w:hAnsi="Times New Roman" w:cs="Times New Roman"/>
          <w:b/>
        </w:rPr>
        <w:t>MUNICÍPIO</w:t>
      </w:r>
      <w:r>
        <w:rPr>
          <w:rFonts w:ascii="Times New Roman" w:hAnsi="Times New Roman" w:cs="Times New Roman"/>
        </w:rPr>
        <w:t>, resolve</w:t>
      </w:r>
      <w:r>
        <w:rPr>
          <w:rFonts w:ascii="Times New Roman" w:hAnsi="Times New Roman" w:cs="Times New Roman"/>
          <w:spacing w:val="7"/>
        </w:rPr>
        <w:t xml:space="preserve"> </w:t>
      </w:r>
      <w:r>
        <w:rPr>
          <w:rFonts w:ascii="Times New Roman" w:hAnsi="Times New Roman" w:cs="Times New Roman"/>
        </w:rPr>
        <w:t>REGISTRAR</w:t>
      </w:r>
      <w:r>
        <w:rPr>
          <w:rFonts w:ascii="Times New Roman" w:hAnsi="Times New Roman" w:cs="Times New Roman"/>
          <w:spacing w:val="9"/>
        </w:rPr>
        <w:t xml:space="preserve"> </w:t>
      </w:r>
      <w:r>
        <w:rPr>
          <w:rFonts w:ascii="Times New Roman" w:hAnsi="Times New Roman" w:cs="Times New Roman"/>
        </w:rPr>
        <w:t>o</w:t>
      </w:r>
      <w:r>
        <w:rPr>
          <w:rFonts w:ascii="Times New Roman" w:hAnsi="Times New Roman" w:cs="Times New Roman"/>
          <w:spacing w:val="9"/>
        </w:rPr>
        <w:t xml:space="preserve"> </w:t>
      </w:r>
      <w:r>
        <w:rPr>
          <w:rFonts w:ascii="Times New Roman" w:hAnsi="Times New Roman" w:cs="Times New Roman"/>
        </w:rPr>
        <w:t>preço</w:t>
      </w:r>
      <w:r>
        <w:rPr>
          <w:rFonts w:ascii="Times New Roman" w:hAnsi="Times New Roman" w:cs="Times New Roman"/>
          <w:spacing w:val="9"/>
        </w:rPr>
        <w:t xml:space="preserve"> </w:t>
      </w:r>
      <w:r>
        <w:rPr>
          <w:rFonts w:ascii="Times New Roman" w:hAnsi="Times New Roman" w:cs="Times New Roman"/>
        </w:rPr>
        <w:t>oferecido</w:t>
      </w:r>
      <w:r>
        <w:rPr>
          <w:rFonts w:ascii="Times New Roman" w:hAnsi="Times New Roman" w:cs="Times New Roman"/>
          <w:spacing w:val="9"/>
        </w:rPr>
        <w:t xml:space="preserve"> </w:t>
      </w:r>
      <w:r>
        <w:rPr>
          <w:rFonts w:ascii="Times New Roman" w:hAnsi="Times New Roman" w:cs="Times New Roman"/>
        </w:rPr>
        <w:t>pela</w:t>
      </w:r>
      <w:r>
        <w:rPr>
          <w:rFonts w:ascii="Times New Roman" w:hAnsi="Times New Roman" w:cs="Times New Roman"/>
          <w:spacing w:val="10"/>
        </w:rPr>
        <w:t xml:space="preserve"> </w:t>
      </w:r>
      <w:r>
        <w:rPr>
          <w:rFonts w:ascii="Times New Roman" w:hAnsi="Times New Roman" w:cs="Times New Roman"/>
          <w:spacing w:val="-2"/>
        </w:rPr>
        <w:t>empresa</w:t>
      </w:r>
      <w:r>
        <w:rPr>
          <w:rFonts w:ascii="Times New Roman" w:hAnsi="Times New Roman" w:cs="Times New Roman"/>
          <w:spacing w:val="-2"/>
          <w:lang w:val="pt-BR"/>
        </w:rPr>
        <w:t xml:space="preserve"> XX</w:t>
      </w:r>
      <w:r>
        <w:rPr>
          <w:rFonts w:ascii="Times New Roman" w:hAnsi="Times New Roman" w:cs="Times New Roman"/>
        </w:rPr>
        <w:t>,</w:t>
      </w:r>
      <w:r>
        <w:rPr>
          <w:rFonts w:ascii="Times New Roman" w:hAnsi="Times New Roman" w:cs="Times New Roman"/>
          <w:spacing w:val="8"/>
        </w:rPr>
        <w:t xml:space="preserve"> </w:t>
      </w:r>
      <w:r>
        <w:rPr>
          <w:rFonts w:ascii="Times New Roman" w:hAnsi="Times New Roman" w:cs="Times New Roman"/>
        </w:rPr>
        <w:t>inscrita</w:t>
      </w:r>
      <w:r>
        <w:rPr>
          <w:rFonts w:ascii="Times New Roman" w:hAnsi="Times New Roman" w:cs="Times New Roman"/>
          <w:spacing w:val="11"/>
        </w:rPr>
        <w:t xml:space="preserve"> </w:t>
      </w:r>
      <w:r>
        <w:rPr>
          <w:rFonts w:ascii="Times New Roman" w:hAnsi="Times New Roman" w:cs="Times New Roman"/>
        </w:rPr>
        <w:t>no</w:t>
      </w:r>
      <w:r>
        <w:rPr>
          <w:rFonts w:ascii="Times New Roman" w:hAnsi="Times New Roman" w:cs="Times New Roman"/>
          <w:spacing w:val="-3"/>
        </w:rPr>
        <w:t xml:space="preserve"> </w:t>
      </w:r>
      <w:r>
        <w:rPr>
          <w:rFonts w:ascii="Times New Roman" w:hAnsi="Times New Roman" w:cs="Times New Roman"/>
        </w:rPr>
        <w:t>CNPJ</w:t>
      </w:r>
      <w:r>
        <w:rPr>
          <w:rFonts w:ascii="Times New Roman" w:hAnsi="Times New Roman" w:cs="Times New Roman"/>
          <w:spacing w:val="-3"/>
        </w:rPr>
        <w:t xml:space="preserve"> </w:t>
      </w:r>
      <w:r>
        <w:rPr>
          <w:rFonts w:ascii="Times New Roman" w:hAnsi="Times New Roman" w:cs="Times New Roman"/>
          <w:spacing w:val="-5"/>
        </w:rPr>
        <w:t>sob</w:t>
      </w:r>
      <w:r>
        <w:rPr>
          <w:rFonts w:ascii="Times New Roman" w:hAnsi="Times New Roman" w:cs="Times New Roman"/>
          <w:spacing w:val="-5"/>
          <w:lang w:val="pt-BR"/>
        </w:rPr>
        <w:t xml:space="preserve"> </w:t>
      </w:r>
      <w:r>
        <w:rPr>
          <w:rFonts w:ascii="Times New Roman" w:hAnsi="Times New Roman" w:cs="Times New Roman"/>
        </w:rPr>
        <w:t xml:space="preserve">nº …………...…., com sede na Rua ..., doravante denominada </w:t>
      </w:r>
      <w:r>
        <w:rPr>
          <w:rFonts w:ascii="Times New Roman" w:hAnsi="Times New Roman" w:cs="Times New Roman"/>
          <w:b/>
        </w:rPr>
        <w:t>DETENTORA</w:t>
      </w:r>
      <w:r>
        <w:rPr>
          <w:rFonts w:ascii="Times New Roman" w:hAnsi="Times New Roman" w:cs="Times New Roman"/>
        </w:rPr>
        <w:t>, neste ato representada por seu(a) responsável legal, Sr(a). ….., inscrito no CPF sob o nº …., residente e domiciliado(a) na ….., em face da proposta classificada em primeiro lugar no Pregão na Forma Eletrônica nº 0</w:t>
      </w:r>
      <w:r>
        <w:rPr>
          <w:rFonts w:ascii="Times New Roman" w:hAnsi="Times New Roman" w:cs="Times New Roman"/>
          <w:lang w:val="pt-BR"/>
        </w:rPr>
        <w:t>27/2026</w:t>
      </w:r>
      <w:r>
        <w:rPr>
          <w:rFonts w:ascii="Times New Roman" w:hAnsi="Times New Roman" w:cs="Times New Roman"/>
        </w:rPr>
        <w:t>, elaborado com fulcro na Lei Federal 14.133/2021,</w:t>
      </w:r>
      <w:r>
        <w:rPr>
          <w:rFonts w:ascii="Times New Roman" w:hAnsi="Times New Roman" w:cs="Times New Roman"/>
          <w:spacing w:val="-4"/>
        </w:rPr>
        <w:t xml:space="preserve"> </w:t>
      </w:r>
      <w:r>
        <w:rPr>
          <w:rFonts w:ascii="Times New Roman" w:hAnsi="Times New Roman" w:cs="Times New Roman"/>
        </w:rPr>
        <w:t>no</w:t>
      </w:r>
      <w:r>
        <w:rPr>
          <w:rFonts w:ascii="Times New Roman" w:hAnsi="Times New Roman" w:cs="Times New Roman"/>
          <w:spacing w:val="-4"/>
        </w:rPr>
        <w:t xml:space="preserve"> </w:t>
      </w:r>
      <w:r>
        <w:rPr>
          <w:rFonts w:ascii="Times New Roman" w:hAnsi="Times New Roman" w:cs="Times New Roman"/>
        </w:rPr>
        <w:t>Decreto</w:t>
      </w:r>
      <w:r>
        <w:rPr>
          <w:rFonts w:ascii="Times New Roman" w:hAnsi="Times New Roman" w:cs="Times New Roman"/>
          <w:spacing w:val="-4"/>
        </w:rPr>
        <w:t xml:space="preserve"> </w:t>
      </w:r>
      <w:r>
        <w:rPr>
          <w:rFonts w:ascii="Times New Roman" w:hAnsi="Times New Roman" w:cs="Times New Roman"/>
        </w:rPr>
        <w:t>Municipal</w:t>
      </w:r>
      <w:r>
        <w:rPr>
          <w:rFonts w:ascii="Times New Roman" w:hAnsi="Times New Roman" w:cs="Times New Roman"/>
          <w:spacing w:val="-4"/>
        </w:rPr>
        <w:t xml:space="preserve"> </w:t>
      </w:r>
      <w:r>
        <w:rPr>
          <w:rFonts w:ascii="Times New Roman" w:hAnsi="Times New Roman" w:cs="Times New Roman"/>
        </w:rPr>
        <w:t xml:space="preserve">n° </w:t>
      </w:r>
      <w:r>
        <w:rPr>
          <w:rFonts w:ascii="Times New Roman" w:hAnsi="Times New Roman" w:cs="Times New Roman"/>
          <w:lang w:val="pt-BR"/>
        </w:rPr>
        <w:t>3.250</w:t>
      </w:r>
      <w:r>
        <w:rPr>
          <w:rFonts w:ascii="Times New Roman" w:hAnsi="Times New Roman" w:cs="Times New Roman"/>
        </w:rPr>
        <w:t>/2023</w:t>
      </w:r>
      <w:r>
        <w:rPr>
          <w:rFonts w:ascii="Times New Roman" w:hAnsi="Times New Roman" w:cs="Times New Roman"/>
          <w:lang w:val="pt-BR"/>
        </w:rPr>
        <w:t xml:space="preserve">, </w:t>
      </w:r>
      <w:r>
        <w:rPr>
          <w:rFonts w:ascii="Times New Roman" w:hAnsi="Times New Roman" w:eastAsia="Arial Unicode MS" w:cs="Times New Roman"/>
          <w:snapToGrid w:val="0"/>
          <w:lang w:eastAsia="pt-BR"/>
        </w:rPr>
        <w:t xml:space="preserve">Protocolo nº </w:t>
      </w:r>
      <w:r>
        <w:rPr>
          <w:rFonts w:ascii="Times New Roman" w:hAnsi="Times New Roman" w:eastAsia="Arial Unicode MS" w:cs="Times New Roman"/>
          <w:snapToGrid w:val="0"/>
          <w:lang w:val="en-US" w:eastAsia="pt-BR"/>
        </w:rPr>
        <w:t xml:space="preserve">2026/396 </w:t>
      </w:r>
      <w:r>
        <w:rPr>
          <w:rFonts w:ascii="Times New Roman" w:hAnsi="Times New Roman" w:cs="Times New Roman"/>
        </w:rPr>
        <w:t>e demais normas</w:t>
      </w:r>
      <w:r>
        <w:rPr>
          <w:rFonts w:ascii="Times New Roman" w:hAnsi="Times New Roman" w:cs="Times New Roman"/>
          <w:spacing w:val="-3"/>
        </w:rPr>
        <w:t xml:space="preserve"> </w:t>
      </w:r>
      <w:r>
        <w:rPr>
          <w:rFonts w:ascii="Times New Roman" w:hAnsi="Times New Roman" w:cs="Times New Roman"/>
        </w:rPr>
        <w:t>aplicáveis,</w:t>
      </w:r>
      <w:r>
        <w:rPr>
          <w:rFonts w:ascii="Times New Roman" w:hAnsi="Times New Roman" w:cs="Times New Roman"/>
          <w:spacing w:val="-3"/>
        </w:rPr>
        <w:t xml:space="preserve"> </w:t>
      </w: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eventual</w:t>
      </w:r>
      <w:r>
        <w:rPr>
          <w:rFonts w:ascii="Times New Roman" w:hAnsi="Times New Roman" w:cs="Times New Roman"/>
          <w:spacing w:val="-3"/>
        </w:rPr>
        <w:t xml:space="preserve"> </w:t>
      </w:r>
      <w:r>
        <w:rPr>
          <w:rFonts w:ascii="Times New Roman" w:hAnsi="Times New Roman" w:cs="Times New Roman"/>
        </w:rPr>
        <w:t>aquisição,</w:t>
      </w:r>
      <w:r>
        <w:rPr>
          <w:rFonts w:ascii="Times New Roman" w:hAnsi="Times New Roman" w:cs="Times New Roman"/>
          <w:spacing w:val="-3"/>
        </w:rPr>
        <w:t xml:space="preserve"> </w:t>
      </w:r>
      <w:r>
        <w:rPr>
          <w:rFonts w:ascii="Times New Roman" w:hAnsi="Times New Roman" w:cs="Times New Roman"/>
        </w:rPr>
        <w:t>nas</w:t>
      </w:r>
      <w:r>
        <w:rPr>
          <w:rFonts w:ascii="Times New Roman" w:hAnsi="Times New Roman" w:cs="Times New Roman"/>
          <w:spacing w:val="-3"/>
        </w:rPr>
        <w:t xml:space="preserve"> </w:t>
      </w:r>
      <w:r>
        <w:rPr>
          <w:rFonts w:ascii="Times New Roman" w:hAnsi="Times New Roman" w:cs="Times New Roman"/>
        </w:rPr>
        <w:t>condições</w:t>
      </w:r>
      <w:r>
        <w:rPr>
          <w:rFonts w:ascii="Times New Roman" w:hAnsi="Times New Roman" w:cs="Times New Roman"/>
          <w:spacing w:val="-3"/>
        </w:rPr>
        <w:t xml:space="preserve"> </w:t>
      </w:r>
      <w:r>
        <w:rPr>
          <w:rFonts w:ascii="Times New Roman" w:hAnsi="Times New Roman" w:cs="Times New Roman"/>
        </w:rPr>
        <w:t>estabelecidas neste instrumento, dos objetos abaixo discriminados.</w:t>
      </w:r>
    </w:p>
    <w:p w14:paraId="1F864168">
      <w:pPr>
        <w:pStyle w:val="11"/>
        <w:tabs>
          <w:tab w:val="left" w:pos="8360"/>
        </w:tabs>
        <w:spacing w:before="240" w:line="240" w:lineRule="auto"/>
        <w:ind w:right="-53" w:rightChars="-24"/>
        <w:rPr>
          <w:rFonts w:ascii="Times New Roman" w:hAnsi="Times New Roman" w:cs="Times New Roman"/>
        </w:rPr>
      </w:pPr>
      <w:r>
        <w:rPr>
          <w:rFonts w:ascii="Times New Roman" w:hAnsi="Times New Roman" w:cs="Times New Roman"/>
          <w:b/>
        </w:rPr>
        <w:t>CLÁUSULA</w:t>
      </w:r>
      <w:r>
        <w:rPr>
          <w:rFonts w:ascii="Times New Roman" w:hAnsi="Times New Roman" w:cs="Times New Roman"/>
          <w:b/>
          <w:spacing w:val="40"/>
        </w:rPr>
        <w:t xml:space="preserve"> </w:t>
      </w:r>
      <w:r>
        <w:rPr>
          <w:rFonts w:ascii="Times New Roman" w:hAnsi="Times New Roman" w:cs="Times New Roman"/>
          <w:b/>
        </w:rPr>
        <w:t>PRIMEIRA</w:t>
      </w:r>
      <w:r>
        <w:rPr>
          <w:rFonts w:ascii="Times New Roman" w:hAnsi="Times New Roman" w:cs="Times New Roman"/>
          <w:b/>
          <w:spacing w:val="40"/>
        </w:rPr>
        <w:t xml:space="preserve"> </w:t>
      </w:r>
      <w:r>
        <w:rPr>
          <w:rFonts w:ascii="Times New Roman" w:hAnsi="Times New Roman" w:cs="Times New Roman"/>
        </w:rPr>
        <w:t>–</w:t>
      </w:r>
      <w:r>
        <w:rPr>
          <w:rFonts w:ascii="Times New Roman" w:hAnsi="Times New Roman" w:cs="Times New Roman"/>
          <w:spacing w:val="40"/>
        </w:rPr>
        <w:t xml:space="preserve"> </w:t>
      </w:r>
      <w:r>
        <w:rPr>
          <w:rFonts w:ascii="Times New Roman" w:hAnsi="Times New Roman" w:eastAsia="ArialMT" w:cs="Times New Roman"/>
        </w:rPr>
        <w:t>A presente Ata tem por objeto o Registro de Preços</w:t>
      </w:r>
      <w:r>
        <w:rPr>
          <w:rFonts w:ascii="Times New Roman" w:hAnsi="Times New Roman" w:eastAsia="ArialMT" w:cs="Times New Roman"/>
          <w:lang w:val="pt-BR"/>
        </w:rPr>
        <w:t xml:space="preserve"> </w:t>
      </w:r>
      <w:r>
        <w:rPr>
          <w:rFonts w:ascii="Times New Roman" w:hAnsi="Times New Roman" w:cs="Times New Roman"/>
          <w:lang w:val="pt-BR"/>
        </w:rPr>
        <w:t xml:space="preserve">visando a aquisição </w:t>
      </w:r>
      <w:r>
        <w:rPr>
          <w:rFonts w:ascii="Times New Roman" w:hAnsi="Times New Roman" w:cs="Times New Roman"/>
        </w:rPr>
        <w:t>de</w:t>
      </w:r>
      <w:r>
        <w:rPr>
          <w:rFonts w:ascii="Times New Roman" w:hAnsi="Times New Roman" w:eastAsia="SimSun" w:cs="Times New Roman"/>
          <w:sz w:val="24"/>
          <w:szCs w:val="24"/>
        </w:rPr>
        <w:t xml:space="preserve"> materiais permanentes destinados às Unidades Básicas de Saúde (UBS)</w:t>
      </w:r>
      <w:r>
        <w:rPr>
          <w:rFonts w:ascii="Times New Roman" w:hAnsi="Times New Roman" w:cs="Times New Roman"/>
          <w:sz w:val="24"/>
          <w:szCs w:val="24"/>
        </w:rPr>
        <w:t xml:space="preserve">, </w:t>
      </w:r>
      <w:r>
        <w:rPr>
          <w:rFonts w:ascii="Times New Roman" w:hAnsi="Times New Roman" w:cs="Times New Roman"/>
          <w:lang w:val="pt-BR"/>
        </w:rPr>
        <w:t>a serem adquiridos conforme demanda e necessidade pelas Secretarias Municipais</w:t>
      </w: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color w:val="000000"/>
          <w:lang w:val="pt-BR"/>
        </w:rPr>
        <w:t xml:space="preserve">observadas </w:t>
      </w:r>
      <w:r>
        <w:rPr>
          <w:rFonts w:ascii="Times New Roman" w:hAnsi="Times New Roman" w:cs="Times New Roman"/>
        </w:rPr>
        <w:t xml:space="preserve">as disposições estabelecidas no Pregão na Forma Eletrônica </w:t>
      </w:r>
      <w:r>
        <w:rPr>
          <w:rFonts w:ascii="Times New Roman" w:hAnsi="Times New Roman" w:cs="Times New Roman"/>
          <w:lang w:val="pt-BR"/>
        </w:rPr>
        <w:t>n</w:t>
      </w:r>
      <w:r>
        <w:rPr>
          <w:rFonts w:ascii="Times New Roman" w:hAnsi="Times New Roman" w:cs="Times New Roman"/>
        </w:rPr>
        <w:t>º 0</w:t>
      </w:r>
      <w:r>
        <w:rPr>
          <w:rFonts w:ascii="Times New Roman" w:hAnsi="Times New Roman" w:cs="Times New Roman"/>
          <w:lang w:val="pt-BR"/>
        </w:rPr>
        <w:t xml:space="preserve">27/2026 </w:t>
      </w:r>
      <w:r>
        <w:rPr>
          <w:rFonts w:ascii="Times New Roman" w:hAnsi="Times New Roman" w:cs="Times New Roman"/>
        </w:rPr>
        <w:t>e a proposta da DETENTORA, independentemente de transcrição para este instrumento</w:t>
      </w:r>
      <w:r>
        <w:rPr>
          <w:rFonts w:ascii="Times New Roman" w:hAnsi="Times New Roman" w:cs="Times New Roman"/>
          <w:lang w:val="pt-BR"/>
        </w:rPr>
        <w:t xml:space="preserve">, </w:t>
      </w:r>
      <w:r>
        <w:rPr>
          <w:rFonts w:ascii="Times New Roman" w:hAnsi="Times New Roman" w:cs="Times New Roman"/>
        </w:rPr>
        <w:t>de acordo com o que segue:</w:t>
      </w:r>
    </w:p>
    <w:tbl>
      <w:tblPr>
        <w:tblStyle w:val="9"/>
        <w:tblpPr w:leftFromText="180" w:rightFromText="180" w:vertAnchor="text" w:horzAnchor="page" w:tblpX="1637" w:tblpY="18"/>
        <w:tblOverlap w:val="never"/>
        <w:tblW w:w="8970" w:type="dxa"/>
        <w:tblInd w:w="0" w:type="dxa"/>
        <w:tblLayout w:type="fixed"/>
        <w:tblCellMar>
          <w:top w:w="55" w:type="dxa"/>
          <w:left w:w="55" w:type="dxa"/>
          <w:bottom w:w="55" w:type="dxa"/>
          <w:right w:w="55" w:type="dxa"/>
        </w:tblCellMar>
      </w:tblPr>
      <w:tblGrid>
        <w:gridCol w:w="675"/>
        <w:gridCol w:w="660"/>
        <w:gridCol w:w="600"/>
        <w:gridCol w:w="4875"/>
        <w:gridCol w:w="1020"/>
        <w:gridCol w:w="1140"/>
      </w:tblGrid>
      <w:tr w14:paraId="37936FB2">
        <w:tblPrEx>
          <w:tblCellMar>
            <w:top w:w="55" w:type="dxa"/>
            <w:left w:w="55" w:type="dxa"/>
            <w:bottom w:w="55" w:type="dxa"/>
            <w:right w:w="55" w:type="dxa"/>
          </w:tblCellMar>
        </w:tblPrEx>
        <w:trPr>
          <w:trHeight w:val="286" w:hRule="atLeast"/>
          <w:tblHeader/>
        </w:trPr>
        <w:tc>
          <w:tcPr>
            <w:tcW w:w="675" w:type="dxa"/>
            <w:tcBorders>
              <w:top w:val="single" w:color="000000" w:sz="4" w:space="0"/>
              <w:left w:val="single" w:color="000000" w:sz="4" w:space="0"/>
              <w:bottom w:val="single" w:color="auto" w:sz="4" w:space="0"/>
              <w:right w:val="single" w:color="000000" w:sz="4" w:space="0"/>
            </w:tcBorders>
          </w:tcPr>
          <w:p w14:paraId="0BFB7D2C">
            <w:pPr>
              <w:pStyle w:val="30"/>
              <w:snapToGrid w:val="0"/>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Item</w:t>
            </w:r>
          </w:p>
        </w:tc>
        <w:tc>
          <w:tcPr>
            <w:tcW w:w="660" w:type="dxa"/>
            <w:tcBorders>
              <w:top w:val="single" w:color="000000" w:sz="4" w:space="0"/>
              <w:left w:val="single" w:color="000000" w:sz="4" w:space="0"/>
              <w:bottom w:val="single" w:color="auto" w:sz="4" w:space="0"/>
              <w:right w:val="single" w:color="000000" w:sz="4" w:space="0"/>
            </w:tcBorders>
          </w:tcPr>
          <w:p w14:paraId="563A2811">
            <w:pPr>
              <w:pStyle w:val="30"/>
              <w:snapToGrid w:val="0"/>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Qtde.</w:t>
            </w:r>
          </w:p>
        </w:tc>
        <w:tc>
          <w:tcPr>
            <w:tcW w:w="600" w:type="dxa"/>
            <w:tcBorders>
              <w:top w:val="single" w:color="000000" w:sz="4" w:space="0"/>
              <w:left w:val="single" w:color="000000" w:sz="4" w:space="0"/>
              <w:bottom w:val="single" w:color="auto" w:sz="4" w:space="0"/>
              <w:right w:val="single" w:color="000000" w:sz="4" w:space="0"/>
            </w:tcBorders>
          </w:tcPr>
          <w:p w14:paraId="5FAFA873">
            <w:pPr>
              <w:pStyle w:val="30"/>
              <w:snapToGrid w:val="0"/>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Un</w:t>
            </w:r>
          </w:p>
        </w:tc>
        <w:tc>
          <w:tcPr>
            <w:tcW w:w="4875" w:type="dxa"/>
            <w:tcBorders>
              <w:top w:val="single" w:color="000000" w:sz="4" w:space="0"/>
              <w:left w:val="single" w:color="000000" w:sz="4" w:space="0"/>
              <w:bottom w:val="single" w:color="auto" w:sz="4" w:space="0"/>
              <w:right w:val="single" w:color="000000" w:sz="4" w:space="0"/>
            </w:tcBorders>
          </w:tcPr>
          <w:p w14:paraId="30A2AC6B">
            <w:pPr>
              <w:pStyle w:val="30"/>
              <w:snapToGrid w:val="0"/>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Especificação/Marca</w:t>
            </w:r>
          </w:p>
        </w:tc>
        <w:tc>
          <w:tcPr>
            <w:tcW w:w="1020" w:type="dxa"/>
            <w:tcBorders>
              <w:top w:val="single" w:color="000000" w:sz="4" w:space="0"/>
              <w:left w:val="single" w:color="000000" w:sz="4" w:space="0"/>
              <w:bottom w:val="single" w:color="auto" w:sz="4" w:space="0"/>
              <w:right w:val="single" w:color="000000" w:sz="4" w:space="0"/>
            </w:tcBorders>
          </w:tcPr>
          <w:p w14:paraId="7810B317">
            <w:pPr>
              <w:pStyle w:val="30"/>
              <w:snapToGrid w:val="0"/>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Valor Un (R$)</w:t>
            </w:r>
          </w:p>
        </w:tc>
        <w:tc>
          <w:tcPr>
            <w:tcW w:w="1140" w:type="dxa"/>
            <w:tcBorders>
              <w:top w:val="single" w:color="000000" w:sz="4" w:space="0"/>
              <w:left w:val="single" w:color="000000" w:sz="4" w:space="0"/>
              <w:bottom w:val="single" w:color="auto" w:sz="4" w:space="0"/>
              <w:right w:val="single" w:color="000000" w:sz="4" w:space="0"/>
            </w:tcBorders>
          </w:tcPr>
          <w:p w14:paraId="1F506296">
            <w:pPr>
              <w:pStyle w:val="30"/>
              <w:snapToGrid w:val="0"/>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Valor Total (R$)</w:t>
            </w:r>
          </w:p>
        </w:tc>
      </w:tr>
      <w:tr w14:paraId="49E61452">
        <w:tblPrEx>
          <w:tblCellMar>
            <w:top w:w="55" w:type="dxa"/>
            <w:left w:w="55" w:type="dxa"/>
            <w:bottom w:w="55" w:type="dxa"/>
            <w:right w:w="55" w:type="dxa"/>
          </w:tblCellMar>
        </w:tblPrEx>
        <w:trPr>
          <w:trHeight w:val="639" w:hRule="atLeast"/>
        </w:trPr>
        <w:tc>
          <w:tcPr>
            <w:tcW w:w="675" w:type="dxa"/>
            <w:tcBorders>
              <w:top w:val="single" w:color="auto" w:sz="4" w:space="0"/>
              <w:left w:val="single" w:color="auto" w:sz="4" w:space="0"/>
              <w:bottom w:val="nil"/>
              <w:right w:val="single" w:color="000000" w:sz="4" w:space="0"/>
            </w:tcBorders>
            <w:vAlign w:val="center"/>
          </w:tcPr>
          <w:p w14:paraId="0D508B35">
            <w:pPr>
              <w:pStyle w:val="30"/>
              <w:snapToGrid w:val="0"/>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1</w:t>
            </w:r>
          </w:p>
        </w:tc>
        <w:tc>
          <w:tcPr>
            <w:tcW w:w="660" w:type="dxa"/>
            <w:tcBorders>
              <w:top w:val="single" w:color="auto" w:sz="4" w:space="0"/>
              <w:left w:val="single" w:color="000000" w:sz="4" w:space="0"/>
              <w:bottom w:val="nil"/>
              <w:right w:val="single" w:color="000000" w:sz="4" w:space="0"/>
            </w:tcBorders>
            <w:vAlign w:val="center"/>
          </w:tcPr>
          <w:p w14:paraId="08DED679">
            <w:pPr>
              <w:snapToGrid w:val="0"/>
              <w:spacing w:after="0" w:line="240" w:lineRule="auto"/>
              <w:jc w:val="center"/>
              <w:rPr>
                <w:rFonts w:ascii="Times New Roman" w:hAnsi="Times New Roman"/>
                <w:sz w:val="22"/>
                <w:szCs w:val="22"/>
              </w:rPr>
            </w:pPr>
            <w:r>
              <w:rPr>
                <w:rFonts w:ascii="Times New Roman" w:hAnsi="Times New Roman"/>
                <w:sz w:val="22"/>
                <w:szCs w:val="22"/>
              </w:rPr>
              <w:t>5</w:t>
            </w:r>
          </w:p>
        </w:tc>
        <w:tc>
          <w:tcPr>
            <w:tcW w:w="600" w:type="dxa"/>
            <w:tcBorders>
              <w:top w:val="single" w:color="auto" w:sz="4" w:space="0"/>
              <w:left w:val="single" w:color="000000" w:sz="4" w:space="0"/>
              <w:bottom w:val="nil"/>
              <w:right w:val="single" w:color="000000" w:sz="4" w:space="0"/>
            </w:tcBorders>
            <w:vAlign w:val="center"/>
          </w:tcPr>
          <w:p w14:paraId="7F6031EE">
            <w:pPr>
              <w:snapToGrid w:val="0"/>
              <w:spacing w:after="0" w:line="240" w:lineRule="auto"/>
              <w:jc w:val="center"/>
              <w:rPr>
                <w:rFonts w:ascii="Times New Roman" w:hAnsi="Times New Roman"/>
                <w:sz w:val="22"/>
                <w:szCs w:val="22"/>
              </w:rPr>
            </w:pPr>
            <w:r>
              <w:rPr>
                <w:rFonts w:ascii="Times New Roman" w:hAnsi="Times New Roman"/>
                <w:sz w:val="22"/>
                <w:szCs w:val="22"/>
              </w:rPr>
              <w:t>UN</w:t>
            </w:r>
          </w:p>
        </w:tc>
        <w:tc>
          <w:tcPr>
            <w:tcW w:w="4875" w:type="dxa"/>
            <w:tcBorders>
              <w:top w:val="single" w:color="auto" w:sz="4" w:space="0"/>
              <w:left w:val="single" w:color="000000" w:sz="4" w:space="0"/>
              <w:bottom w:val="nil"/>
              <w:right w:val="single" w:color="000000" w:sz="4" w:space="0"/>
            </w:tcBorders>
            <w:shd w:val="clear" w:color="auto" w:fill="auto"/>
          </w:tcPr>
          <w:p w14:paraId="5A95E904">
            <w:pPr>
              <w:spacing w:after="0" w:line="240" w:lineRule="auto"/>
              <w:jc w:val="both"/>
              <w:rPr>
                <w:rFonts w:ascii="Times New Roman" w:hAnsi="Times New Roman" w:cs="Times New Roman"/>
                <w:sz w:val="22"/>
                <w:szCs w:val="22"/>
              </w:rPr>
            </w:pPr>
            <w:r>
              <w:rPr>
                <w:rFonts w:ascii="Times New Roman" w:hAnsi="Times New Roman" w:cs="Times New Roman"/>
                <w:sz w:val="22"/>
                <w:szCs w:val="22"/>
              </w:rPr>
              <w:t>ANDADOR ADULTO (CÓD.IMOB.436) Andador em alumínio polido ,altura e largura reguláveis e composto por no mínimo 9 pontos de regulagem de altura com pinos e travas resistentes ,seguros e de fácil manuseio e apoios de mãos em borracha de modo que ofereça segurança e estabilidade na locomoção ;Capacidade para suportar no mínimo 100kg.Estrutura em alumínio tubos 7/8 ,sistema de fixação em T injetados em PP e rebitados ,trazendo maior rigidez ,resistência e durabilidade ao andador. Pés confeccionados com tubos de alumínio 1 antiderrapante,aderentes com arruela interna para evitar o desgaste precoce. Apoio de mãos em borracha ,estrutura dobrável com regulagem de altura .Possuir sistema antirruídos de PVC internos evitando o contato dos alumínios e manoplas super macias de modo a oferecer maior conforto ao usuário. Medidas aproximadas:Largura mínima: 55cm;Abertura máxima: 70cm ;Altura máxima: 95cm; Altura mínima:71cm,Garantia mínima de 12 meses.</w:t>
            </w:r>
          </w:p>
        </w:tc>
        <w:tc>
          <w:tcPr>
            <w:tcW w:w="1020" w:type="dxa"/>
            <w:tcBorders>
              <w:top w:val="single" w:color="auto" w:sz="4" w:space="0"/>
              <w:left w:val="single" w:color="000000" w:sz="4" w:space="0"/>
              <w:bottom w:val="nil"/>
              <w:right w:val="single" w:color="000000" w:sz="4" w:space="0"/>
            </w:tcBorders>
            <w:vAlign w:val="center"/>
          </w:tcPr>
          <w:p w14:paraId="3D246B66">
            <w:pPr>
              <w:pStyle w:val="30"/>
              <w:snapToGrid w:val="0"/>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w:t>
            </w:r>
          </w:p>
        </w:tc>
        <w:tc>
          <w:tcPr>
            <w:tcW w:w="1140" w:type="dxa"/>
            <w:tcBorders>
              <w:top w:val="single" w:color="auto" w:sz="4" w:space="0"/>
              <w:left w:val="single" w:color="000000" w:sz="4" w:space="0"/>
              <w:bottom w:val="nil"/>
              <w:right w:val="single" w:color="auto" w:sz="4" w:space="0"/>
            </w:tcBorders>
            <w:vAlign w:val="center"/>
          </w:tcPr>
          <w:p w14:paraId="75D5AF8B">
            <w:pPr>
              <w:pStyle w:val="30"/>
              <w:snapToGrid w:val="0"/>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w:t>
            </w:r>
          </w:p>
        </w:tc>
      </w:tr>
      <w:tr w14:paraId="32FB2496">
        <w:tblPrEx>
          <w:tblCellMar>
            <w:top w:w="55" w:type="dxa"/>
            <w:left w:w="55" w:type="dxa"/>
            <w:bottom w:w="55" w:type="dxa"/>
            <w:right w:w="55" w:type="dxa"/>
          </w:tblCellMar>
        </w:tblPrEx>
        <w:trPr>
          <w:trHeight w:val="570" w:hRule="atLeast"/>
        </w:trPr>
        <w:tc>
          <w:tcPr>
            <w:tcW w:w="675" w:type="dxa"/>
            <w:tcBorders>
              <w:top w:val="nil"/>
              <w:left w:val="single" w:color="auto" w:sz="4" w:space="0"/>
              <w:bottom w:val="nil"/>
              <w:right w:val="single" w:color="000000" w:sz="4" w:space="0"/>
            </w:tcBorders>
            <w:vAlign w:val="center"/>
          </w:tcPr>
          <w:p w14:paraId="24654994">
            <w:pPr>
              <w:pStyle w:val="30"/>
              <w:snapToGrid w:val="0"/>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2</w:t>
            </w:r>
          </w:p>
        </w:tc>
        <w:tc>
          <w:tcPr>
            <w:tcW w:w="660" w:type="dxa"/>
            <w:tcBorders>
              <w:top w:val="nil"/>
              <w:left w:val="single" w:color="000000" w:sz="4" w:space="0"/>
              <w:bottom w:val="nil"/>
              <w:right w:val="single" w:color="000000" w:sz="4" w:space="0"/>
            </w:tcBorders>
            <w:vAlign w:val="center"/>
          </w:tcPr>
          <w:p w14:paraId="0387FD56">
            <w:pPr>
              <w:snapToGrid w:val="0"/>
              <w:spacing w:after="0" w:line="240" w:lineRule="auto"/>
              <w:jc w:val="center"/>
              <w:rPr>
                <w:rFonts w:ascii="Times New Roman" w:hAnsi="Times New Roman"/>
                <w:sz w:val="22"/>
                <w:szCs w:val="22"/>
              </w:rPr>
            </w:pPr>
            <w:r>
              <w:rPr>
                <w:rFonts w:ascii="Times New Roman" w:hAnsi="Times New Roman"/>
                <w:sz w:val="22"/>
                <w:szCs w:val="22"/>
              </w:rPr>
              <w:t>9</w:t>
            </w:r>
          </w:p>
        </w:tc>
        <w:tc>
          <w:tcPr>
            <w:tcW w:w="600" w:type="dxa"/>
            <w:tcBorders>
              <w:top w:val="nil"/>
              <w:left w:val="single" w:color="000000" w:sz="4" w:space="0"/>
              <w:bottom w:val="nil"/>
              <w:right w:val="single" w:color="000000" w:sz="4" w:space="0"/>
            </w:tcBorders>
            <w:vAlign w:val="center"/>
          </w:tcPr>
          <w:p w14:paraId="496E6A50">
            <w:pPr>
              <w:snapToGrid w:val="0"/>
              <w:spacing w:after="0" w:line="240" w:lineRule="auto"/>
              <w:jc w:val="center"/>
              <w:rPr>
                <w:rFonts w:ascii="Times New Roman" w:hAnsi="Times New Roman"/>
                <w:sz w:val="22"/>
                <w:szCs w:val="22"/>
              </w:rPr>
            </w:pPr>
            <w:r>
              <w:rPr>
                <w:rFonts w:ascii="Times New Roman" w:hAnsi="Times New Roman"/>
                <w:sz w:val="22"/>
                <w:szCs w:val="22"/>
              </w:rPr>
              <w:t>PÇ</w:t>
            </w:r>
          </w:p>
        </w:tc>
        <w:tc>
          <w:tcPr>
            <w:tcW w:w="4875" w:type="dxa"/>
            <w:tcBorders>
              <w:top w:val="nil"/>
              <w:left w:val="single" w:color="000000" w:sz="4" w:space="0"/>
              <w:bottom w:val="nil"/>
              <w:right w:val="single" w:color="000000" w:sz="4" w:space="0"/>
            </w:tcBorders>
            <w:shd w:val="clear" w:color="auto" w:fill="auto"/>
          </w:tcPr>
          <w:p w14:paraId="42C0414D">
            <w:pPr>
              <w:spacing w:after="0" w:line="240" w:lineRule="auto"/>
              <w:jc w:val="both"/>
              <w:rPr>
                <w:rFonts w:ascii="Times New Roman" w:hAnsi="Times New Roman" w:cs="Times New Roman"/>
                <w:sz w:val="22"/>
                <w:szCs w:val="22"/>
              </w:rPr>
            </w:pPr>
            <w:r>
              <w:rPr>
                <w:rFonts w:ascii="Times New Roman" w:hAnsi="Times New Roman" w:cs="Times New Roman"/>
                <w:sz w:val="22"/>
                <w:szCs w:val="22"/>
              </w:rPr>
              <w:t>ANTROPÔMETRO HORIZONTAL PORTÁTIL (CÓD.IMOB.8615) Antropômetro Horizontal e portátil. Equipamento destinado à medição de crianças em decúbito frontal. Fabricado em material rígido, resistente à umidade e de fácil higienização. Deve incluir todas as peças necessárias para sua utilização. Escala numérica em centímetros, com graduação (precisão) de 1 mm. Escala numérica com, no mínimo, 100 cm úteis. Escala numérica com indicação de dezena (em números maiores) a cada 10 cm. Cursor deve permitir o deslize suave e estável, mantendo ângulo de 90 graus com a escala numérica e boa indicação para a leitura. Deve incluir bolsa ou outra embalagem para seu armazenamento e transporte. Equipamento acompanhado de estojo exclusivo para proteção e transporte. Equipamento acompanhado de manual de instrução em português. Garantia de, no mínimo, 1 ano.</w:t>
            </w:r>
          </w:p>
        </w:tc>
        <w:tc>
          <w:tcPr>
            <w:tcW w:w="1020" w:type="dxa"/>
            <w:tcBorders>
              <w:top w:val="nil"/>
              <w:left w:val="single" w:color="000000" w:sz="4" w:space="0"/>
              <w:bottom w:val="nil"/>
              <w:right w:val="single" w:color="000000" w:sz="4" w:space="0"/>
            </w:tcBorders>
            <w:vAlign w:val="center"/>
          </w:tcPr>
          <w:p w14:paraId="76A4306D">
            <w:pPr>
              <w:pStyle w:val="30"/>
              <w:snapToGrid w:val="0"/>
              <w:spacing w:before="0" w:after="0" w:line="240" w:lineRule="auto"/>
              <w:rPr>
                <w:rFonts w:ascii="Times New Roman" w:hAnsi="Times New Roman" w:cs="Times New Roman"/>
                <w:b w:val="0"/>
                <w:i w:val="0"/>
                <w:sz w:val="22"/>
                <w:szCs w:val="22"/>
              </w:rPr>
            </w:pPr>
            <w:r>
              <w:rPr>
                <w:rFonts w:ascii="Times New Roman" w:hAnsi="Times New Roman" w:cs="Times New Roman"/>
                <w:b w:val="0"/>
                <w:i w:val="0"/>
                <w:sz w:val="22"/>
                <w:szCs w:val="22"/>
              </w:rPr>
              <w:t>***</w:t>
            </w:r>
          </w:p>
        </w:tc>
        <w:tc>
          <w:tcPr>
            <w:tcW w:w="1140" w:type="dxa"/>
            <w:tcBorders>
              <w:top w:val="nil"/>
              <w:left w:val="single" w:color="000000" w:sz="4" w:space="0"/>
              <w:bottom w:val="nil"/>
              <w:right w:val="single" w:color="auto" w:sz="4" w:space="0"/>
            </w:tcBorders>
            <w:vAlign w:val="center"/>
          </w:tcPr>
          <w:p w14:paraId="6FE58034">
            <w:pPr>
              <w:pStyle w:val="30"/>
              <w:snapToGrid w:val="0"/>
              <w:spacing w:before="0" w:after="0" w:line="240" w:lineRule="auto"/>
              <w:rPr>
                <w:rFonts w:ascii="Times New Roman" w:hAnsi="Times New Roman" w:cs="Times New Roman"/>
                <w:b w:val="0"/>
                <w:i w:val="0"/>
                <w:sz w:val="22"/>
                <w:szCs w:val="22"/>
              </w:rPr>
            </w:pPr>
            <w:r>
              <w:rPr>
                <w:rFonts w:ascii="Times New Roman" w:hAnsi="Times New Roman" w:cs="Times New Roman"/>
                <w:b w:val="0"/>
                <w:i w:val="0"/>
                <w:sz w:val="22"/>
                <w:szCs w:val="22"/>
              </w:rPr>
              <w:t>***</w:t>
            </w:r>
          </w:p>
        </w:tc>
      </w:tr>
      <w:tr w14:paraId="24A52206">
        <w:tblPrEx>
          <w:tblCellMar>
            <w:top w:w="55" w:type="dxa"/>
            <w:left w:w="55" w:type="dxa"/>
            <w:bottom w:w="55" w:type="dxa"/>
            <w:right w:w="55" w:type="dxa"/>
          </w:tblCellMar>
        </w:tblPrEx>
        <w:tc>
          <w:tcPr>
            <w:tcW w:w="675" w:type="dxa"/>
            <w:tcBorders>
              <w:top w:val="nil"/>
              <w:left w:val="single" w:color="auto" w:sz="4" w:space="0"/>
              <w:bottom w:val="single" w:color="auto" w:sz="4" w:space="0"/>
              <w:right w:val="single" w:color="000000" w:sz="4" w:space="0"/>
            </w:tcBorders>
            <w:vAlign w:val="center"/>
          </w:tcPr>
          <w:p w14:paraId="3B68955E">
            <w:pPr>
              <w:pStyle w:val="30"/>
              <w:snapToGrid w:val="0"/>
              <w:spacing w:before="0" w:after="0" w:line="240" w:lineRule="auto"/>
              <w:rPr>
                <w:rFonts w:ascii="Times New Roman" w:hAnsi="Times New Roman" w:cs="Times New Roman"/>
                <w:b w:val="0"/>
                <w:i w:val="0"/>
                <w:sz w:val="21"/>
                <w:szCs w:val="21"/>
              </w:rPr>
            </w:pPr>
            <w:r>
              <w:rPr>
                <w:rFonts w:ascii="Times New Roman" w:hAnsi="Times New Roman" w:cs="Times New Roman"/>
                <w:b w:val="0"/>
                <w:i w:val="0"/>
                <w:sz w:val="21"/>
                <w:szCs w:val="21"/>
              </w:rPr>
              <w:t>...</w:t>
            </w:r>
          </w:p>
        </w:tc>
        <w:tc>
          <w:tcPr>
            <w:tcW w:w="660" w:type="dxa"/>
            <w:tcBorders>
              <w:top w:val="nil"/>
              <w:left w:val="single" w:color="000000" w:sz="4" w:space="0"/>
              <w:bottom w:val="single" w:color="auto" w:sz="4" w:space="0"/>
              <w:right w:val="single" w:color="000000" w:sz="4" w:space="0"/>
            </w:tcBorders>
            <w:vAlign w:val="center"/>
          </w:tcPr>
          <w:p w14:paraId="509964C7">
            <w:pPr>
              <w:pStyle w:val="30"/>
              <w:snapToGrid w:val="0"/>
              <w:spacing w:before="0" w:after="0" w:line="240" w:lineRule="auto"/>
              <w:rPr>
                <w:rFonts w:ascii="Times New Roman" w:hAnsi="Times New Roman" w:cs="Times New Roman"/>
                <w:b w:val="0"/>
                <w:i w:val="0"/>
                <w:sz w:val="21"/>
                <w:szCs w:val="21"/>
              </w:rPr>
            </w:pPr>
            <w:r>
              <w:rPr>
                <w:rFonts w:ascii="Times New Roman" w:hAnsi="Times New Roman" w:cs="Times New Roman"/>
                <w:b w:val="0"/>
                <w:i w:val="0"/>
                <w:sz w:val="21"/>
                <w:szCs w:val="21"/>
              </w:rPr>
              <w:t>..</w:t>
            </w:r>
          </w:p>
        </w:tc>
        <w:tc>
          <w:tcPr>
            <w:tcW w:w="600" w:type="dxa"/>
            <w:tcBorders>
              <w:top w:val="nil"/>
              <w:left w:val="single" w:color="000000" w:sz="4" w:space="0"/>
              <w:bottom w:val="single" w:color="auto" w:sz="4" w:space="0"/>
              <w:right w:val="single" w:color="000000" w:sz="4" w:space="0"/>
            </w:tcBorders>
            <w:vAlign w:val="center"/>
          </w:tcPr>
          <w:p w14:paraId="4AEC63EB">
            <w:pPr>
              <w:pStyle w:val="30"/>
              <w:snapToGrid w:val="0"/>
              <w:spacing w:before="0" w:after="0" w:line="240" w:lineRule="auto"/>
              <w:rPr>
                <w:rFonts w:ascii="Times New Roman" w:hAnsi="Times New Roman" w:cs="Times New Roman"/>
                <w:b w:val="0"/>
                <w:bCs/>
                <w:i w:val="0"/>
                <w:iCs/>
                <w:sz w:val="21"/>
                <w:szCs w:val="21"/>
              </w:rPr>
            </w:pPr>
            <w:r>
              <w:rPr>
                <w:rFonts w:ascii="Times New Roman" w:hAnsi="Times New Roman" w:cs="Times New Roman"/>
                <w:b w:val="0"/>
                <w:bCs/>
                <w:i w:val="0"/>
                <w:iCs/>
                <w:sz w:val="21"/>
                <w:szCs w:val="21"/>
              </w:rPr>
              <w:t>..</w:t>
            </w:r>
          </w:p>
        </w:tc>
        <w:tc>
          <w:tcPr>
            <w:tcW w:w="4875" w:type="dxa"/>
            <w:tcBorders>
              <w:top w:val="nil"/>
              <w:left w:val="single" w:color="000000" w:sz="4" w:space="0"/>
              <w:bottom w:val="single" w:color="auto" w:sz="4" w:space="0"/>
              <w:right w:val="single" w:color="000000" w:sz="4" w:space="0"/>
            </w:tcBorders>
            <w:shd w:val="clear" w:color="auto" w:fill="auto"/>
            <w:vAlign w:val="center"/>
          </w:tcPr>
          <w:p w14:paraId="7AD26E26">
            <w:pPr>
              <w:snapToGrid w:val="0"/>
              <w:spacing w:after="0" w:line="240" w:lineRule="auto"/>
              <w:rPr>
                <w:rFonts w:ascii="Times New Roman" w:hAnsi="Times New Roman"/>
                <w:sz w:val="21"/>
                <w:szCs w:val="21"/>
              </w:rPr>
            </w:pPr>
            <w:r>
              <w:rPr>
                <w:rFonts w:ascii="Times New Roman" w:hAnsi="Times New Roman"/>
                <w:sz w:val="21"/>
                <w:szCs w:val="21"/>
              </w:rPr>
              <w:t>...</w:t>
            </w:r>
          </w:p>
        </w:tc>
        <w:tc>
          <w:tcPr>
            <w:tcW w:w="1020" w:type="dxa"/>
            <w:tcBorders>
              <w:top w:val="nil"/>
              <w:left w:val="single" w:color="000000" w:sz="4" w:space="0"/>
              <w:bottom w:val="single" w:color="auto" w:sz="4" w:space="0"/>
              <w:right w:val="single" w:color="000000" w:sz="4" w:space="0"/>
            </w:tcBorders>
            <w:vAlign w:val="center"/>
          </w:tcPr>
          <w:p w14:paraId="7CA95C8B">
            <w:pPr>
              <w:pStyle w:val="30"/>
              <w:snapToGrid w:val="0"/>
              <w:spacing w:before="0" w:after="0" w:line="240" w:lineRule="auto"/>
              <w:rPr>
                <w:rFonts w:ascii="Times New Roman" w:hAnsi="Times New Roman" w:cs="Times New Roman"/>
                <w:b w:val="0"/>
                <w:i w:val="0"/>
                <w:sz w:val="21"/>
                <w:szCs w:val="21"/>
              </w:rPr>
            </w:pPr>
          </w:p>
        </w:tc>
        <w:tc>
          <w:tcPr>
            <w:tcW w:w="1140" w:type="dxa"/>
            <w:tcBorders>
              <w:top w:val="nil"/>
              <w:left w:val="single" w:color="000000" w:sz="4" w:space="0"/>
              <w:bottom w:val="single" w:color="auto" w:sz="4" w:space="0"/>
              <w:right w:val="single" w:color="auto" w:sz="4" w:space="0"/>
            </w:tcBorders>
            <w:vAlign w:val="center"/>
          </w:tcPr>
          <w:p w14:paraId="07B15CE8">
            <w:pPr>
              <w:pStyle w:val="30"/>
              <w:snapToGrid w:val="0"/>
              <w:spacing w:before="0" w:after="0" w:line="240" w:lineRule="auto"/>
              <w:rPr>
                <w:rFonts w:ascii="Times New Roman" w:hAnsi="Times New Roman" w:cs="Times New Roman"/>
                <w:b w:val="0"/>
                <w:i w:val="0"/>
                <w:sz w:val="21"/>
                <w:szCs w:val="21"/>
              </w:rPr>
            </w:pPr>
          </w:p>
        </w:tc>
      </w:tr>
    </w:tbl>
    <w:p w14:paraId="1A435A32">
      <w:pPr>
        <w:suppressAutoHyphens/>
        <w:spacing w:after="0" w:line="240" w:lineRule="auto"/>
        <w:ind w:right="398" w:rightChars="181"/>
        <w:rPr>
          <w:rFonts w:ascii="Times New Roman" w:hAnsi="Times New Roman"/>
        </w:rPr>
      </w:pPr>
      <w:bookmarkStart w:id="6" w:name="_GoBack"/>
      <w:bookmarkEnd w:id="6"/>
    </w:p>
    <w:p w14:paraId="2E2780AA">
      <w:pPr>
        <w:spacing w:after="0" w:line="240" w:lineRule="auto"/>
        <w:jc w:val="both"/>
        <w:rPr>
          <w:rFonts w:ascii="Times New Roman" w:hAnsi="Times New Roman" w:cs="Times New Roman"/>
        </w:rPr>
      </w:pPr>
      <w:r>
        <w:rPr>
          <w:rFonts w:ascii="Times New Roman" w:hAnsi="Times New Roman" w:cs="Times New Roman"/>
        </w:rPr>
        <w:t>§ 1º A entrega dos materiais/produtos é de responsabilidade da Detentora da Ata, devendo ser entregues ao Poder Público de forma adequada. As despesas extras com encargos, fretes ou demais gastos incidentes já deverão estar inclusas nos preços dos produtos.</w:t>
      </w:r>
    </w:p>
    <w:p w14:paraId="103EA96F">
      <w:pPr>
        <w:spacing w:after="0" w:line="240" w:lineRule="auto"/>
        <w:jc w:val="both"/>
        <w:rPr>
          <w:rFonts w:ascii="Times New Roman" w:hAnsi="Times New Roman" w:cs="Times New Roman"/>
        </w:rPr>
      </w:pPr>
      <w:r>
        <w:rPr>
          <w:rFonts w:ascii="Times New Roman" w:hAnsi="Times New Roman" w:cs="Times New Roman"/>
        </w:rPr>
        <w:t>§ 2º Os materiais devem, preferencialmente, serem acondicionados em embalagem individual adequada, com o menor volume possível, que utilize materiais duráveis e recicláveis, de forma a garantir a máxima proteção durante transporte e armazenamento.</w:t>
      </w:r>
    </w:p>
    <w:p w14:paraId="4C9B588E">
      <w:pPr>
        <w:spacing w:after="0" w:line="240" w:lineRule="auto"/>
        <w:jc w:val="both"/>
        <w:rPr>
          <w:rFonts w:ascii="Times New Roman" w:hAnsi="Times New Roman" w:cs="Times New Roman"/>
          <w:highlight w:val="none"/>
        </w:rPr>
      </w:pPr>
      <w:r>
        <w:rPr>
          <w:rFonts w:ascii="Times New Roman" w:hAnsi="Times New Roman" w:cs="Times New Roman"/>
          <w:highlight w:val="none"/>
        </w:rPr>
        <w:t>§ 3º Os produtos que, de acordo com as especificações constantes do edital, necessitarem de registro junto ao Ministério da Saúde, somente serão aceitos mediante a devida comprovação documental.</w:t>
      </w:r>
    </w:p>
    <w:p w14:paraId="207E9A13">
      <w:pPr>
        <w:spacing w:after="0" w:line="240" w:lineRule="auto"/>
        <w:jc w:val="both"/>
        <w:rPr>
          <w:rFonts w:ascii="Times New Roman" w:hAnsi="Times New Roman" w:cs="Times New Roman"/>
        </w:rPr>
      </w:pPr>
      <w:r>
        <w:rPr>
          <w:rFonts w:ascii="Times New Roman" w:hAnsi="Times New Roman" w:cs="Times New Roman"/>
        </w:rPr>
        <w:t xml:space="preserve">§ </w:t>
      </w:r>
      <w:r>
        <w:rPr>
          <w:rFonts w:hint="default" w:ascii="Times New Roman" w:hAnsi="Times New Roman" w:cs="Times New Roman"/>
          <w:lang w:val="pt-BR"/>
        </w:rPr>
        <w:t>4</w:t>
      </w:r>
      <w:r>
        <w:rPr>
          <w:rFonts w:ascii="Times New Roman" w:hAnsi="Times New Roman" w:cs="Times New Roman"/>
        </w:rPr>
        <w:t>º O não atendimento às exigências acima acarretará na recusa do recebimento do produto, conforme o caso.</w:t>
      </w:r>
    </w:p>
    <w:p w14:paraId="3E46AEB6">
      <w:pPr>
        <w:spacing w:after="0" w:line="240" w:lineRule="auto"/>
        <w:jc w:val="both"/>
        <w:rPr>
          <w:rFonts w:ascii="Times New Roman" w:hAnsi="Times New Roman" w:cs="Times New Roman"/>
        </w:rPr>
      </w:pPr>
      <w:r>
        <w:rPr>
          <w:rFonts w:ascii="Times New Roman" w:hAnsi="Times New Roman" w:cs="Times New Roman"/>
        </w:rPr>
        <w:t>§</w:t>
      </w:r>
      <w:r>
        <w:rPr>
          <w:rFonts w:hint="default" w:ascii="Times New Roman" w:hAnsi="Times New Roman" w:cs="Times New Roman"/>
          <w:lang w:val="pt-BR"/>
        </w:rPr>
        <w:t xml:space="preserve"> 5</w:t>
      </w:r>
      <w:r>
        <w:rPr>
          <w:rFonts w:ascii="Times New Roman" w:hAnsi="Times New Roman" w:cs="Times New Roman"/>
        </w:rPr>
        <w:t>º As quantidades são máximas, podendo, no entanto a Administração não fazer uso da totalidade.</w:t>
      </w:r>
    </w:p>
    <w:p w14:paraId="1A37F574">
      <w:pPr>
        <w:spacing w:after="0" w:line="240" w:lineRule="auto"/>
        <w:jc w:val="both"/>
        <w:rPr>
          <w:rFonts w:ascii="Times New Roman" w:hAnsi="Times New Roman" w:cs="Times New Roman"/>
        </w:rPr>
      </w:pPr>
      <w:r>
        <w:rPr>
          <w:rFonts w:ascii="Times New Roman" w:hAnsi="Times New Roman" w:cs="Times New Roman"/>
        </w:rPr>
        <w:t>§</w:t>
      </w:r>
      <w:r>
        <w:rPr>
          <w:rFonts w:hint="default" w:ascii="Times New Roman" w:hAnsi="Times New Roman" w:cs="Times New Roman"/>
          <w:lang w:val="pt-BR"/>
        </w:rPr>
        <w:t xml:space="preserve"> 6</w:t>
      </w:r>
      <w:r>
        <w:rPr>
          <w:rFonts w:ascii="Times New Roman" w:hAnsi="Times New Roman" w:cs="Times New Roman"/>
        </w:rPr>
        <w:t>º A Detentora da Ata ficará responsável pela substituição de toda e qualquer mercadoria que estiver fora dos padrões solicitados ou que seja considerada imprópria para o uso, no prazo máximo de 05 (cinco) dias, ficando ainda sujeita as demais penalidades legais.</w:t>
      </w:r>
    </w:p>
    <w:p w14:paraId="65428F73">
      <w:pPr>
        <w:pStyle w:val="16"/>
        <w:tabs>
          <w:tab w:val="left" w:pos="720"/>
          <w:tab w:val="clear" w:pos="2268"/>
        </w:tabs>
        <w:spacing w:beforeLines="100" w:after="0" w:line="240" w:lineRule="auto"/>
        <w:ind w:firstLine="0"/>
        <w:rPr>
          <w:rFonts w:ascii="Times New Roman" w:hAnsi="Times New Roman"/>
          <w:color w:val="auto"/>
          <w:sz w:val="22"/>
          <w:szCs w:val="22"/>
        </w:rPr>
      </w:pPr>
      <w:r>
        <w:rPr>
          <w:rFonts w:ascii="Times New Roman" w:hAnsi="Times New Roman"/>
          <w:b/>
          <w:bCs/>
          <w:sz w:val="22"/>
          <w:szCs w:val="22"/>
        </w:rPr>
        <w:t>CLÁUSULA SEGUNDA</w:t>
      </w:r>
      <w:r>
        <w:rPr>
          <w:rFonts w:ascii="Times New Roman" w:hAnsi="Times New Roman"/>
          <w:sz w:val="22"/>
          <w:szCs w:val="22"/>
        </w:rPr>
        <w:t xml:space="preserve"> – O acompanhamento e fiscalização desta Ata de Registro de Preços ficará a cargo dos servi</w:t>
      </w:r>
      <w:r>
        <w:rPr>
          <w:rFonts w:ascii="Times New Roman" w:hAnsi="Times New Roman"/>
          <w:color w:val="auto"/>
          <w:sz w:val="22"/>
          <w:szCs w:val="22"/>
        </w:rPr>
        <w:t xml:space="preserve">dores </w:t>
      </w:r>
      <w:r>
        <w:rPr>
          <w:rFonts w:ascii="Times New Roman" w:hAnsi="Times New Roman" w:eastAsia="Arial Unicode MS"/>
          <w:sz w:val="24"/>
          <w:szCs w:val="24"/>
          <w:lang w:eastAsia="pt-BR"/>
        </w:rPr>
        <w:t>servidores Endgel Beatriz Volkmer e Luiz Carlos de Vargas Becker</w:t>
      </w:r>
      <w:r>
        <w:rPr>
          <w:rFonts w:ascii="Times New Roman" w:hAnsi="Times New Roman" w:eastAsia="Arial Unicode MS"/>
          <w:sz w:val="22"/>
          <w:szCs w:val="22"/>
        </w:rPr>
        <w:t>, os</w:t>
      </w:r>
      <w:r>
        <w:rPr>
          <w:rFonts w:ascii="Times New Roman" w:hAnsi="Times New Roman"/>
          <w:color w:val="auto"/>
          <w:sz w:val="22"/>
          <w:szCs w:val="22"/>
        </w:rPr>
        <w:t xml:space="preserve"> quais poderão ser contatados pelo telefone 3762-7700, ramal 6163, e ainda pela Secretária Municipal de Saúde, </w:t>
      </w:r>
      <w:r>
        <w:rPr>
          <w:rFonts w:ascii="Times New Roman" w:hAnsi="Times New Roman" w:eastAsia="Arial Unicode MS"/>
          <w:sz w:val="22"/>
          <w:szCs w:val="22"/>
        </w:rPr>
        <w:t xml:space="preserve">Marlene Metz, </w:t>
      </w:r>
      <w:r>
        <w:rPr>
          <w:rFonts w:ascii="Times New Roman" w:hAnsi="Times New Roman"/>
          <w:color w:val="auto"/>
          <w:sz w:val="22"/>
          <w:szCs w:val="22"/>
        </w:rPr>
        <w:t>que atuará como gestora. Estes anotarão em livro próprio todas as ocorrências relacionadas com a sua execução, determinando o que for necess</w:t>
      </w:r>
      <w:r>
        <w:rPr>
          <w:rFonts w:ascii="Times New Roman" w:hAnsi="Times New Roman"/>
          <w:sz w:val="22"/>
          <w:szCs w:val="22"/>
        </w:rPr>
        <w:t>ário à regularização das faltas ou defeitos observados, tendo amplos poderes para recusar e/ou sustar os serviços que não tenham sido executados de acordo com as normas pertinentes, sendo que:</w:t>
      </w:r>
    </w:p>
    <w:p w14:paraId="467C1E47">
      <w:pPr>
        <w:pStyle w:val="16"/>
        <w:numPr>
          <w:ilvl w:val="0"/>
          <w:numId w:val="1"/>
        </w:numPr>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as decisões e providências que ultrapassem a sua competência serão solicitadas a seus superiores, em tempo hábil para adoção das medidas convenientes.</w:t>
      </w:r>
    </w:p>
    <w:p w14:paraId="1512F3E2">
      <w:pPr>
        <w:pStyle w:val="16"/>
        <w:numPr>
          <w:ilvl w:val="0"/>
          <w:numId w:val="1"/>
        </w:numPr>
        <w:tabs>
          <w:tab w:val="left" w:pos="720"/>
        </w:tabs>
        <w:spacing w:before="0" w:afterLines="50" w:line="240" w:lineRule="auto"/>
        <w:ind w:firstLine="0"/>
        <w:rPr>
          <w:rFonts w:ascii="Times New Roman" w:hAnsi="Times New Roman"/>
          <w:sz w:val="22"/>
          <w:szCs w:val="22"/>
        </w:rPr>
      </w:pPr>
      <w:r>
        <w:rPr>
          <w:rFonts w:ascii="Times New Roman" w:hAnsi="Times New Roman"/>
          <w:sz w:val="22"/>
          <w:szCs w:val="22"/>
        </w:rPr>
        <w:t>a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14:paraId="432217F0">
      <w:pPr>
        <w:tabs>
          <w:tab w:val="left" w:pos="9460"/>
        </w:tabs>
        <w:spacing w:after="0" w:line="240" w:lineRule="auto"/>
        <w:jc w:val="both"/>
        <w:rPr>
          <w:rFonts w:ascii="Times New Roman" w:hAnsi="Times New Roman"/>
        </w:rPr>
      </w:pPr>
      <w:r>
        <w:rPr>
          <w:rFonts w:ascii="Times New Roman" w:hAnsi="Times New Roman" w:cs="Times New Roman"/>
        </w:rPr>
        <w:t>§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162B01FC">
      <w:pPr>
        <w:tabs>
          <w:tab w:val="left" w:pos="9460"/>
        </w:tabs>
        <w:spacing w:after="0" w:line="240" w:lineRule="auto"/>
        <w:jc w:val="both"/>
        <w:rPr>
          <w:rFonts w:ascii="Times New Roman" w:hAnsi="Times New Roman"/>
        </w:rPr>
      </w:pPr>
      <w:r>
        <w:rPr>
          <w:rFonts w:ascii="Times New Roman" w:hAnsi="Times New Roman" w:cs="Times New Roman"/>
        </w:rPr>
        <w:t>§ 2° O conjunto de atividades de gestão e fiscalização, são exercidas de acordo com as seguintes disposições:</w:t>
      </w:r>
    </w:p>
    <w:p w14:paraId="4623F8CA">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2576D9D4">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14:paraId="77BB6E97">
      <w:pPr>
        <w:tabs>
          <w:tab w:val="left" w:pos="9460"/>
        </w:tabs>
        <w:spacing w:after="0" w:line="240" w:lineRule="auto"/>
        <w:jc w:val="both"/>
        <w:rPr>
          <w:rFonts w:ascii="Times New Roman" w:hAnsi="Times New Roman"/>
        </w:rPr>
      </w:pPr>
      <w:r>
        <w:rPr>
          <w:rFonts w:ascii="Times New Roman" w:hAnsi="Times New Roman" w:cs="Times New Roman"/>
        </w:rPr>
        <w:t>§ 3° É direito da Fiscalização rejeitar quaisquer serviços quando entender que a sua execução está fora dos padrões técnicos e de qualidade definidos nesta Ata de Registro de Preços, no Edital de Pregão Eletrônico n° 027/2026, no Termo de Referência e/ou na proposta da DETENTORA, devendo esta reparar, corrigir ou substituir os serviços e peças rejeitados pela fiscalização.</w:t>
      </w:r>
    </w:p>
    <w:p w14:paraId="1AFB4B0B">
      <w:pPr>
        <w:tabs>
          <w:tab w:val="left" w:pos="9460"/>
        </w:tabs>
        <w:spacing w:after="0" w:line="240" w:lineRule="auto"/>
        <w:jc w:val="both"/>
        <w:rPr>
          <w:rFonts w:ascii="Times New Roman" w:hAnsi="Times New Roman"/>
        </w:rPr>
      </w:pPr>
      <w:r>
        <w:rPr>
          <w:rFonts w:ascii="Times New Roman" w:hAnsi="Times New Roman" w:cs="Times New Roman"/>
        </w:rPr>
        <w:t>§ 4° Quaisquer exigências da FISCALIZAÇÃO, inerente ao objeto deste instrumento, deverão ser prontamente atendidas pela DETENTORA, sem ônus para o MUNICÍPIO.</w:t>
      </w:r>
    </w:p>
    <w:p w14:paraId="0689DE61">
      <w:pPr>
        <w:tabs>
          <w:tab w:val="left" w:pos="9460"/>
        </w:tabs>
        <w:spacing w:after="0" w:line="240" w:lineRule="auto"/>
        <w:jc w:val="both"/>
        <w:rPr>
          <w:rFonts w:ascii="Times New Roman" w:hAnsi="Times New Roman"/>
        </w:rPr>
      </w:pPr>
      <w:r>
        <w:rPr>
          <w:rFonts w:ascii="Times New Roman" w:hAnsi="Times New Roman" w:cs="Times New Roman"/>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14:paraId="00837525">
      <w:pPr>
        <w:tabs>
          <w:tab w:val="left" w:pos="9460"/>
        </w:tabs>
        <w:spacing w:after="0" w:line="240" w:lineRule="auto"/>
        <w:jc w:val="both"/>
        <w:rPr>
          <w:rFonts w:ascii="Times New Roman" w:hAnsi="Times New Roman"/>
        </w:rPr>
      </w:pPr>
      <w:r>
        <w:rPr>
          <w:rFonts w:ascii="Times New Roman" w:hAnsi="Times New Roman" w:cs="Times New Roman"/>
        </w:rPr>
        <w:t>§ 6° A DETENTORA será responsável pelos danos causados diretamente ao MUNICÍPIO ou a terceiros em razão da execução desta Ata de Registro de Preço, e a fiscalização ou o acompanhamento pelo MUNICÍPIO não excluirá nem reduzirá essa responsabilidade.</w:t>
      </w:r>
    </w:p>
    <w:p w14:paraId="324EEAA0">
      <w:pPr>
        <w:pStyle w:val="11"/>
        <w:tabs>
          <w:tab w:val="left" w:pos="9460"/>
        </w:tabs>
        <w:spacing w:beforeLines="100" w:after="0" w:line="240" w:lineRule="auto"/>
        <w:rPr>
          <w:rFonts w:ascii="Times New Roman" w:hAnsi="Times New Roman" w:cs="Times New Roman"/>
        </w:rPr>
      </w:pPr>
      <w:r>
        <w:rPr>
          <w:rFonts w:ascii="Times New Roman" w:hAnsi="Times New Roman" w:cs="Times New Roman"/>
          <w:b/>
        </w:rPr>
        <w:t xml:space="preserve">CLÁUSULA TERCEIRA – </w:t>
      </w:r>
      <w:r>
        <w:rPr>
          <w:rFonts w:ascii="Times New Roman" w:hAnsi="Times New Roman" w:cs="Times New Roman"/>
        </w:rPr>
        <w:t xml:space="preserve">O prazo de vigência da Ata de Registro de Preços será de 12 (doze) meses, a contar de sua assinatura, prorrogável, na forma do art. 84, da Lei n° 14.133/2021, e artigo </w:t>
      </w:r>
      <w:r>
        <w:rPr>
          <w:rFonts w:ascii="Times New Roman" w:hAnsi="Times New Roman" w:cs="Times New Roman"/>
          <w:lang w:val="pt-BR"/>
        </w:rPr>
        <w:t>136</w:t>
      </w:r>
      <w:r>
        <w:rPr>
          <w:rFonts w:ascii="Times New Roman" w:hAnsi="Times New Roman" w:cs="Times New Roman"/>
        </w:rPr>
        <w:t>, do Decreto Municipal n° 3.2</w:t>
      </w:r>
      <w:r>
        <w:rPr>
          <w:rFonts w:ascii="Times New Roman" w:hAnsi="Times New Roman" w:cs="Times New Roman"/>
          <w:lang w:val="pt-BR"/>
        </w:rPr>
        <w:t>50</w:t>
      </w:r>
      <w:r>
        <w:rPr>
          <w:rFonts w:ascii="Times New Roman" w:hAnsi="Times New Roman" w:cs="Times New Roman"/>
        </w:rPr>
        <w:t>/2023, por igual período.</w:t>
      </w:r>
    </w:p>
    <w:p w14:paraId="0610C16F">
      <w:pPr>
        <w:pStyle w:val="11"/>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1º Durante o prazo de validade desta Ata de Registro de Preços, o MUNICÍPIO não será obrigado a firmar as contratações que dela poderão advir, facultando-se a realização de</w:t>
      </w:r>
      <w:r>
        <w:rPr>
          <w:rFonts w:ascii="Times New Roman" w:hAnsi="Times New Roman" w:cs="Times New Roman"/>
          <w:spacing w:val="-3"/>
        </w:rPr>
        <w:t xml:space="preserve"> </w:t>
      </w:r>
      <w:r>
        <w:rPr>
          <w:rFonts w:ascii="Times New Roman" w:hAnsi="Times New Roman" w:cs="Times New Roman"/>
        </w:rPr>
        <w:t>licitação específica para a contratação pretendida, sendo assegurado ao beneficiário do registro preferência na execução, em igualdade de condições.</w:t>
      </w:r>
    </w:p>
    <w:p w14:paraId="755BF08D">
      <w:pPr>
        <w:pStyle w:val="11"/>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2º A Administração não emitirá qualquer solicitação de aquisição sem a prévia existência do respectivo crédito orçamentário.</w:t>
      </w:r>
    </w:p>
    <w:p w14:paraId="5F82A5EF">
      <w:pPr>
        <w:pStyle w:val="11"/>
        <w:tabs>
          <w:tab w:val="left" w:pos="9460"/>
        </w:tabs>
        <w:spacing w:before="0" w:after="0" w:line="240" w:lineRule="auto"/>
        <w:rPr>
          <w:rFonts w:ascii="Times New Roman" w:hAnsi="Times New Roman" w:cs="Times New Roman"/>
        </w:rPr>
      </w:pPr>
    </w:p>
    <w:p w14:paraId="1D08E678">
      <w:pPr>
        <w:pStyle w:val="11"/>
        <w:spacing w:before="0" w:after="0" w:line="240" w:lineRule="auto"/>
        <w:rPr>
          <w:rFonts w:ascii="Times New Roman" w:hAnsi="Times New Roman" w:cs="Times New Roman"/>
        </w:rPr>
      </w:pPr>
      <w:r>
        <w:rPr>
          <w:rFonts w:ascii="Times New Roman" w:hAnsi="Times New Roman" w:cs="Times New Roman"/>
          <w:b/>
        </w:rPr>
        <w:t xml:space="preserve">CLÁUSULA QUARTA </w:t>
      </w:r>
      <w:r>
        <w:rPr>
          <w:rFonts w:ascii="Times New Roman" w:hAnsi="Times New Roman" w:cs="Times New Roman"/>
        </w:rPr>
        <w:t>– O objeto será recebido provisoriamente pelos fiscais desta Ata, quando da realização dos serviços, e definitivamente, de forma tácita, no prazo de vinte dias após o recebimento provisório, uma</w:t>
      </w:r>
      <w:r>
        <w:rPr>
          <w:rFonts w:ascii="Times New Roman" w:hAnsi="Times New Roman" w:cs="Times New Roman"/>
          <w:spacing w:val="-4"/>
        </w:rPr>
        <w:t xml:space="preserve"> </w:t>
      </w:r>
      <w:r>
        <w:rPr>
          <w:rFonts w:ascii="Times New Roman" w:hAnsi="Times New Roman" w:cs="Times New Roman"/>
        </w:rPr>
        <w:t>vez</w:t>
      </w:r>
      <w:r>
        <w:rPr>
          <w:rFonts w:ascii="Times New Roman" w:hAnsi="Times New Roman" w:cs="Times New Roman"/>
          <w:spacing w:val="-4"/>
        </w:rPr>
        <w:t xml:space="preserve"> </w:t>
      </w:r>
      <w:r>
        <w:rPr>
          <w:rFonts w:ascii="Times New Roman" w:hAnsi="Times New Roman" w:cs="Times New Roman"/>
        </w:rPr>
        <w:t>verificada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qualidade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4"/>
        </w:rPr>
        <w:t xml:space="preserve"> </w:t>
      </w:r>
      <w:r>
        <w:rPr>
          <w:rFonts w:ascii="Times New Roman" w:hAnsi="Times New Roman" w:cs="Times New Roman"/>
        </w:rPr>
        <w:t>quantidade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consequente</w:t>
      </w:r>
      <w:r>
        <w:rPr>
          <w:rFonts w:ascii="Times New Roman" w:hAnsi="Times New Roman" w:cs="Times New Roman"/>
          <w:spacing w:val="-4"/>
        </w:rPr>
        <w:t xml:space="preserve"> </w:t>
      </w:r>
      <w:r>
        <w:rPr>
          <w:rFonts w:ascii="Times New Roman" w:hAnsi="Times New Roman" w:cs="Times New Roman"/>
        </w:rPr>
        <w:t>aceitação, desde que até então nada conste em desabono aos serviços realizados e materiais fornecidos.</w:t>
      </w:r>
    </w:p>
    <w:p w14:paraId="524637B6">
      <w:pPr>
        <w:pStyle w:val="11"/>
        <w:spacing w:before="0" w:after="0" w:line="240" w:lineRule="auto"/>
        <w:rPr>
          <w:rFonts w:ascii="Times New Roman" w:hAnsi="Times New Roman" w:cs="Times New Roman"/>
        </w:rPr>
      </w:pPr>
    </w:p>
    <w:p w14:paraId="68CB4E4A">
      <w:pPr>
        <w:pStyle w:val="11"/>
        <w:tabs>
          <w:tab w:val="left" w:pos="10120"/>
        </w:tabs>
        <w:spacing w:before="0" w:after="0" w:line="240" w:lineRule="auto"/>
        <w:rPr>
          <w:rFonts w:ascii="Times New Roman" w:hAnsi="Times New Roman" w:cs="Times New Roman"/>
          <w:spacing w:val="-2"/>
        </w:rPr>
      </w:pPr>
      <w:r>
        <w:rPr>
          <w:rFonts w:ascii="Times New Roman" w:hAnsi="Times New Roman" w:cs="Times New Roman"/>
        </w:rPr>
        <w:t xml:space="preserve">Parágrafo Único. O recebimento provisório ou definitivo não exclui a responsabilidade civil pelo fornecimento dos materiais e serviços, nem a ético-profissional pela perfeita execução deste </w:t>
      </w:r>
      <w:r>
        <w:rPr>
          <w:rFonts w:ascii="Times New Roman" w:hAnsi="Times New Roman" w:cs="Times New Roman"/>
          <w:spacing w:val="-2"/>
        </w:rPr>
        <w:t>objeto.</w:t>
      </w:r>
    </w:p>
    <w:p w14:paraId="58EB0BF7">
      <w:pPr>
        <w:pStyle w:val="11"/>
        <w:tabs>
          <w:tab w:val="left" w:pos="10120"/>
        </w:tabs>
        <w:spacing w:before="0" w:after="0" w:line="240" w:lineRule="auto"/>
        <w:rPr>
          <w:rFonts w:ascii="Times New Roman" w:hAnsi="Times New Roman" w:cs="Times New Roman"/>
          <w:spacing w:val="-2"/>
        </w:rPr>
      </w:pPr>
    </w:p>
    <w:p w14:paraId="2609350E">
      <w:pPr>
        <w:pStyle w:val="11"/>
        <w:spacing w:before="1"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QUINTA </w:t>
      </w:r>
      <w:r>
        <w:rPr>
          <w:rFonts w:ascii="Times New Roman" w:hAnsi="Times New Roman" w:cs="Times New Roman"/>
        </w:rPr>
        <w:t xml:space="preserve">– O pagamento será depositado na conta bancária da DETENTORA, no prazo de até </w:t>
      </w:r>
      <w:r>
        <w:rPr>
          <w:rFonts w:ascii="Times New Roman" w:hAnsi="Times New Roman" w:cs="Times New Roman"/>
          <w:lang w:val="pt-BR"/>
        </w:rPr>
        <w:t>1</w:t>
      </w:r>
      <w:r>
        <w:rPr>
          <w:rFonts w:hint="default" w:ascii="Times New Roman" w:hAnsi="Times New Roman" w:cs="Times New Roman"/>
          <w:lang w:val="pt-BR"/>
        </w:rPr>
        <w:t>0</w:t>
      </w:r>
      <w:r>
        <w:rPr>
          <w:rFonts w:ascii="Times New Roman" w:hAnsi="Times New Roman" w:cs="Times New Roman"/>
          <w:lang w:val="pt-BR"/>
        </w:rPr>
        <w:t xml:space="preserve"> </w:t>
      </w:r>
      <w:r>
        <w:rPr>
          <w:rFonts w:ascii="Times New Roman" w:hAnsi="Times New Roman" w:cs="Times New Roman"/>
        </w:rPr>
        <w:t>(</w:t>
      </w:r>
      <w:r>
        <w:rPr>
          <w:rFonts w:hint="default" w:ascii="Times New Roman" w:hAnsi="Times New Roman" w:cs="Times New Roman"/>
          <w:lang w:val="pt-BR"/>
        </w:rPr>
        <w:t>dez</w:t>
      </w:r>
      <w:r>
        <w:rPr>
          <w:rFonts w:ascii="Times New Roman" w:hAnsi="Times New Roman" w:cs="Times New Roman"/>
        </w:rPr>
        <w:t>) dias</w:t>
      </w:r>
      <w:r>
        <w:rPr>
          <w:rFonts w:ascii="Times New Roman" w:hAnsi="Times New Roman" w:cs="Times New Roman"/>
          <w:lang w:val="pt-BR"/>
        </w:rPr>
        <w:t xml:space="preserve"> úteis</w:t>
      </w:r>
      <w:r>
        <w:rPr>
          <w:rFonts w:ascii="Times New Roman" w:hAnsi="Times New Roman" w:cs="Times New Roman"/>
        </w:rPr>
        <w:t>, após a entrega da respectiva Nota Fiscal, aprovada</w:t>
      </w:r>
      <w:r>
        <w:rPr>
          <w:rFonts w:ascii="Times New Roman" w:hAnsi="Times New Roman" w:cs="Times New Roman"/>
          <w:spacing w:val="-3"/>
        </w:rPr>
        <w:t xml:space="preserve"> </w:t>
      </w:r>
      <w:r>
        <w:rPr>
          <w:rFonts w:ascii="Times New Roman" w:hAnsi="Times New Roman" w:cs="Times New Roman"/>
        </w:rPr>
        <w:t>pelos fisca</w:t>
      </w:r>
      <w:r>
        <w:rPr>
          <w:rFonts w:ascii="Times New Roman" w:hAnsi="Times New Roman" w:cs="Times New Roman"/>
          <w:lang w:val="pt-BR"/>
        </w:rPr>
        <w:t>is</w:t>
      </w:r>
      <w:r>
        <w:rPr>
          <w:rFonts w:ascii="Times New Roman" w:hAnsi="Times New Roman" w:cs="Times New Roman"/>
        </w:rPr>
        <w:t xml:space="preserve"> desta Ata e pelo Gestor</w:t>
      </w:r>
      <w:r>
        <w:rPr>
          <w:rFonts w:ascii="Times New Roman" w:hAnsi="Times New Roman" w:cs="Times New Roman"/>
          <w:lang w:val="pt-BR"/>
        </w:rPr>
        <w:t>. O pagamento corresponderá a prestação de serviços realizados ou do produto fornecido, de acordo com as medições.</w:t>
      </w:r>
    </w:p>
    <w:p w14:paraId="725ADB5D">
      <w:pPr>
        <w:pStyle w:val="11"/>
        <w:spacing w:beforeLines="50" w:afterLines="5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1</w:t>
      </w:r>
      <w:r>
        <w:rPr>
          <w:rFonts w:ascii="Times New Roman" w:hAnsi="Times New Roman" w:cs="Times New Roman"/>
        </w:rPr>
        <w:t xml:space="preserve">º A </w:t>
      </w:r>
      <w:r>
        <w:rPr>
          <w:rFonts w:ascii="Times New Roman" w:hAnsi="Times New Roman" w:cs="Times New Roman"/>
          <w:lang w:val="pt-BR"/>
        </w:rPr>
        <w:t>N</w:t>
      </w:r>
      <w:r>
        <w:rPr>
          <w:rFonts w:ascii="Times New Roman" w:hAnsi="Times New Roman" w:cs="Times New Roman"/>
        </w:rPr>
        <w:t xml:space="preserve">ota </w:t>
      </w:r>
      <w:r>
        <w:rPr>
          <w:rFonts w:ascii="Times New Roman" w:hAnsi="Times New Roman" w:cs="Times New Roman"/>
          <w:lang w:val="pt-BR"/>
        </w:rPr>
        <w:t>F</w:t>
      </w:r>
      <w:r>
        <w:rPr>
          <w:rFonts w:ascii="Times New Roman" w:hAnsi="Times New Roman" w:cs="Times New Roman"/>
        </w:rPr>
        <w:t xml:space="preserve">iscal/fatura emitida pelo fornecedor deverá conter, em local de fácil visualização, a indicação do  número do pregão eletrônico e da </w:t>
      </w:r>
      <w:r>
        <w:rPr>
          <w:rFonts w:ascii="Times New Roman" w:hAnsi="Times New Roman" w:cs="Times New Roman"/>
          <w:lang w:val="pt-BR"/>
        </w:rPr>
        <w:t>Nota de Empenho</w:t>
      </w:r>
      <w:r>
        <w:rPr>
          <w:rFonts w:ascii="Times New Roman" w:hAnsi="Times New Roman" w:cs="Times New Roman"/>
        </w:rPr>
        <w:t>, a fim de se acelerar o trâmite de recebimento do</w:t>
      </w:r>
      <w:r>
        <w:rPr>
          <w:rFonts w:ascii="Times New Roman" w:hAnsi="Times New Roman" w:cs="Times New Roman"/>
          <w:lang w:val="pt-BR"/>
        </w:rPr>
        <w:t>s</w:t>
      </w:r>
      <w:r>
        <w:rPr>
          <w:rFonts w:ascii="Times New Roman" w:hAnsi="Times New Roman" w:cs="Times New Roman"/>
        </w:rPr>
        <w:t xml:space="preserve"> </w:t>
      </w:r>
      <w:r>
        <w:rPr>
          <w:rFonts w:ascii="Times New Roman" w:hAnsi="Times New Roman" w:cs="Times New Roman"/>
          <w:lang w:val="pt-BR"/>
        </w:rPr>
        <w:t>serviços e</w:t>
      </w:r>
      <w:r>
        <w:rPr>
          <w:rFonts w:ascii="Times New Roman" w:hAnsi="Times New Roman" w:cs="Times New Roman"/>
        </w:rPr>
        <w:t xml:space="preserve"> posterior liberação do documento fiscal para pagamento.</w:t>
      </w:r>
    </w:p>
    <w:p w14:paraId="7CE32E4A">
      <w:pPr>
        <w:pStyle w:val="16"/>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 2º Somente será autorizado o pagamento a fornecedores que estiverem quitas com a Fazenda Municipal de Teutônia.</w:t>
      </w:r>
    </w:p>
    <w:p w14:paraId="0C826EDD">
      <w:pPr>
        <w:pStyle w:val="31"/>
        <w:tabs>
          <w:tab w:val="left" w:pos="142"/>
          <w:tab w:val="left" w:pos="284"/>
          <w:tab w:val="left" w:pos="567"/>
        </w:tabs>
        <w:spacing w:line="240" w:lineRule="auto"/>
        <w:ind w:left="0"/>
        <w:rPr>
          <w:rFonts w:ascii="Times New Roman" w:hAnsi="Times New Roman"/>
          <w:szCs w:val="22"/>
        </w:rPr>
      </w:pPr>
      <w:r>
        <w:rPr>
          <w:rFonts w:ascii="Times New Roman" w:hAnsi="Times New Roman"/>
          <w:szCs w:val="22"/>
        </w:rPr>
        <w:t>§ 3º Serão processadas as retenções tributárias e previdenciárias nos termos da legislação que regula a matéria.</w:t>
      </w:r>
    </w:p>
    <w:p w14:paraId="45143D3B">
      <w:pPr>
        <w:spacing w:after="0" w:line="240" w:lineRule="auto"/>
        <w:jc w:val="both"/>
        <w:rPr>
          <w:rFonts w:ascii="Times New Roman" w:hAnsi="Times New Roman"/>
        </w:rPr>
      </w:pPr>
      <w:r>
        <w:rPr>
          <w:rFonts w:ascii="Times New Roman" w:hAnsi="Times New Roman" w:cs="Times New Roman"/>
          <w:lang w:val="pt-PT"/>
        </w:rPr>
        <w:t>§</w:t>
      </w:r>
      <w:r>
        <w:rPr>
          <w:rFonts w:ascii="Times New Roman" w:hAnsi="Times New Roman" w:cs="Times New Roman"/>
        </w:rPr>
        <w:t xml:space="preserve"> 4</w:t>
      </w:r>
      <w:r>
        <w:rPr>
          <w:rFonts w:ascii="Times New Roman" w:hAnsi="Times New Roman" w:cs="Times New Roman"/>
          <w:lang w:val="pt-PT"/>
        </w:rPr>
        <w:t xml:space="preserve">º </w:t>
      </w:r>
      <w:r>
        <w:rPr>
          <w:rFonts w:ascii="Times New Roman" w:hAnsi="Times New Roman" w:cs="Times New Roman"/>
        </w:rPr>
        <w:t xml:space="preserve"> P</w:t>
      </w:r>
      <w:r>
        <w:rPr>
          <w:rFonts w:ascii="Times New Roman" w:hAnsi="Times New Roman" w:cs="Times New Roman"/>
          <w:lang w:val="pt-PT"/>
        </w:rPr>
        <w:t>oderá o Município de Teutônia</w:t>
      </w:r>
      <w:r>
        <w:rPr>
          <w:rFonts w:ascii="Times New Roman" w:hAnsi="Times New Roman" w:cs="Times New Roman"/>
        </w:rPr>
        <w:t>/</w:t>
      </w:r>
      <w:r>
        <w:rPr>
          <w:rFonts w:ascii="Times New Roman" w:hAnsi="Times New Roman" w:cs="Times New Roman"/>
          <w:lang w:val="pt-PT"/>
        </w:rPr>
        <w:t>RS compensar multas aplicadas com valores contratados e ainda não pagos</w:t>
      </w:r>
      <w:r>
        <w:rPr>
          <w:rFonts w:ascii="Times New Roman" w:hAnsi="Times New Roman" w:cs="Times New Roman"/>
        </w:rPr>
        <w:t>.</w:t>
      </w:r>
    </w:p>
    <w:p w14:paraId="0B2A6687">
      <w:pPr>
        <w:spacing w:beforeLines="50" w:after="0" w:line="240" w:lineRule="auto"/>
        <w:jc w:val="both"/>
        <w:rPr>
          <w:rFonts w:ascii="Times New Roman" w:hAnsi="Times New Roman"/>
        </w:rPr>
      </w:pPr>
      <w:r>
        <w:rPr>
          <w:rFonts w:ascii="Times New Roman" w:hAnsi="Times New Roman" w:cs="Times New Roman"/>
        </w:rPr>
        <w:t>§ 5º A despesa correrá nas seguintes dotações orçamentárias:</w:t>
      </w:r>
    </w:p>
    <w:p w14:paraId="1923CE3A">
      <w:pPr>
        <w:spacing w:after="0" w:line="240" w:lineRule="auto"/>
        <w:rPr>
          <w:rFonts w:ascii="Times New Roman" w:hAnsi="Times New Roman"/>
          <w:sz w:val="21"/>
          <w:szCs w:val="21"/>
        </w:rPr>
      </w:pPr>
    </w:p>
    <w:p w14:paraId="48966CC8">
      <w:pPr>
        <w:pStyle w:val="11"/>
        <w:widowControl w:val="0"/>
        <w:tabs>
          <w:tab w:val="left" w:pos="4962"/>
        </w:tabs>
        <w:suppressAutoHyphens/>
        <w:spacing w:before="0" w:after="0" w:line="276" w:lineRule="auto"/>
        <w:rPr>
          <w:rFonts w:ascii="Times New Roman" w:hAnsi="Times New Roman"/>
          <w:sz w:val="22"/>
          <w:szCs w:val="22"/>
        </w:rPr>
      </w:pPr>
      <w:r>
        <w:rPr>
          <w:rFonts w:ascii="Times New Roman" w:hAnsi="Times New Roman"/>
          <w:b/>
          <w:bCs/>
          <w:sz w:val="22"/>
          <w:szCs w:val="22"/>
        </w:rPr>
        <w:t>06. SECRETARIA MUNICIPAL DE SAÚDE</w:t>
      </w:r>
    </w:p>
    <w:p w14:paraId="3079EB23">
      <w:pPr>
        <w:pStyle w:val="11"/>
        <w:widowControl w:val="0"/>
        <w:tabs>
          <w:tab w:val="left" w:pos="4962"/>
        </w:tabs>
        <w:suppressAutoHyphens/>
        <w:spacing w:before="0" w:after="0" w:line="276" w:lineRule="auto"/>
        <w:rPr>
          <w:rFonts w:ascii="Times New Roman" w:hAnsi="Times New Roman"/>
          <w:b/>
          <w:bCs/>
          <w:sz w:val="22"/>
          <w:szCs w:val="22"/>
        </w:rPr>
      </w:pPr>
      <w:r>
        <w:rPr>
          <w:rFonts w:ascii="Times New Roman" w:hAnsi="Times New Roman"/>
          <w:b/>
          <w:bCs/>
          <w:sz w:val="22"/>
          <w:szCs w:val="22"/>
        </w:rPr>
        <w:t>06.01  FUNDO MUNICIPAL DA SAÚDE</w:t>
      </w:r>
    </w:p>
    <w:p w14:paraId="1374E89C">
      <w:pPr>
        <w:pStyle w:val="11"/>
        <w:widowControl w:val="0"/>
        <w:tabs>
          <w:tab w:val="left" w:pos="4962"/>
        </w:tabs>
        <w:suppressAutoHyphens/>
        <w:spacing w:before="0" w:after="0" w:line="276" w:lineRule="auto"/>
        <w:rPr>
          <w:rFonts w:ascii="Times New Roman" w:hAnsi="Times New Roman"/>
          <w:sz w:val="22"/>
          <w:szCs w:val="22"/>
        </w:rPr>
      </w:pPr>
      <w:r>
        <w:rPr>
          <w:rFonts w:ascii="Times New Roman" w:hAnsi="Times New Roman"/>
          <w:b/>
          <w:bCs/>
          <w:sz w:val="22"/>
          <w:szCs w:val="22"/>
        </w:rPr>
        <w:t>10.122.0010.1045 AQUISIÇÃO DE EQUIPAMENTO E MATERIAL PERMANENTE</w:t>
      </w:r>
    </w:p>
    <w:p w14:paraId="1BB14336">
      <w:pPr>
        <w:pStyle w:val="11"/>
        <w:widowControl w:val="0"/>
        <w:tabs>
          <w:tab w:val="left" w:pos="4962"/>
        </w:tabs>
        <w:suppressAutoHyphens/>
        <w:spacing w:before="0" w:after="0" w:line="276" w:lineRule="auto"/>
        <w:rPr>
          <w:rFonts w:ascii="Times New Roman" w:hAnsi="Times New Roman"/>
          <w:sz w:val="22"/>
          <w:szCs w:val="22"/>
        </w:rPr>
      </w:pPr>
      <w:r>
        <w:rPr>
          <w:rFonts w:ascii="Times New Roman" w:hAnsi="Times New Roman"/>
          <w:sz w:val="22"/>
          <w:szCs w:val="22"/>
        </w:rPr>
        <w:t>4.4.9.0.5200000000 EQUIPAMENTO E MATERIAL PERMANENTE – 602</w:t>
      </w:r>
    </w:p>
    <w:p w14:paraId="752273AE">
      <w:pPr>
        <w:pStyle w:val="11"/>
        <w:widowControl w:val="0"/>
        <w:tabs>
          <w:tab w:val="left" w:pos="4962"/>
        </w:tabs>
        <w:suppressAutoHyphens/>
        <w:spacing w:before="0" w:after="0" w:line="276" w:lineRule="auto"/>
        <w:rPr>
          <w:rFonts w:ascii="Times New Roman" w:hAnsi="Times New Roman"/>
          <w:sz w:val="22"/>
          <w:szCs w:val="22"/>
        </w:rPr>
      </w:pPr>
      <w:r>
        <w:rPr>
          <w:rFonts w:ascii="Times New Roman" w:hAnsi="Times New Roman"/>
          <w:b/>
          <w:bCs/>
          <w:sz w:val="22"/>
          <w:szCs w:val="22"/>
        </w:rPr>
        <w:t>10.301.0034.1130 ESTRUTURAÇÃO DA REDE DE SERVIÇOS</w:t>
      </w:r>
    </w:p>
    <w:p w14:paraId="3D613B52">
      <w:pPr>
        <w:pStyle w:val="11"/>
        <w:widowControl w:val="0"/>
        <w:tabs>
          <w:tab w:val="left" w:pos="4962"/>
        </w:tabs>
        <w:suppressAutoHyphens/>
        <w:spacing w:before="0" w:after="0" w:line="276" w:lineRule="auto"/>
        <w:rPr>
          <w:rFonts w:ascii="Times New Roman" w:hAnsi="Times New Roman"/>
          <w:sz w:val="22"/>
          <w:szCs w:val="22"/>
        </w:rPr>
      </w:pPr>
      <w:r>
        <w:rPr>
          <w:rFonts w:ascii="Times New Roman" w:hAnsi="Times New Roman"/>
          <w:sz w:val="22"/>
          <w:szCs w:val="22"/>
        </w:rPr>
        <w:t>4.4.9.0.5200000000 EQUIPAMENTO E MATERIAL PERMANENTE – 663</w:t>
      </w:r>
    </w:p>
    <w:p w14:paraId="0B60F0EB">
      <w:pPr>
        <w:pStyle w:val="11"/>
        <w:widowControl w:val="0"/>
        <w:tabs>
          <w:tab w:val="left" w:pos="4962"/>
        </w:tabs>
        <w:suppressAutoHyphens/>
        <w:spacing w:before="0" w:after="0" w:line="276" w:lineRule="auto"/>
        <w:rPr>
          <w:rFonts w:ascii="Times New Roman" w:hAnsi="Times New Roman"/>
          <w:sz w:val="22"/>
          <w:szCs w:val="22"/>
        </w:rPr>
      </w:pPr>
    </w:p>
    <w:p w14:paraId="19FB155B">
      <w:pPr>
        <w:pStyle w:val="11"/>
        <w:widowControl w:val="0"/>
        <w:tabs>
          <w:tab w:val="left" w:pos="4962"/>
        </w:tabs>
        <w:suppressAutoHyphens/>
        <w:spacing w:before="0" w:after="0" w:line="276" w:lineRule="auto"/>
        <w:rPr>
          <w:rFonts w:ascii="Times New Roman" w:hAnsi="Times New Roman"/>
          <w:sz w:val="22"/>
          <w:szCs w:val="22"/>
        </w:rPr>
      </w:pPr>
      <w:r>
        <w:rPr>
          <w:rFonts w:ascii="Times New Roman" w:hAnsi="Times New Roman"/>
          <w:b/>
          <w:bCs/>
          <w:sz w:val="22"/>
          <w:szCs w:val="22"/>
        </w:rPr>
        <w:t>10.301.0034.2092 PROGRAMA PARA ATENDIMENTO DA ATENÇÃO PRIMÁRIA DA SAÚDE</w:t>
      </w:r>
    </w:p>
    <w:p w14:paraId="172929B3">
      <w:pPr>
        <w:pStyle w:val="11"/>
        <w:widowControl w:val="0"/>
        <w:tabs>
          <w:tab w:val="left" w:pos="4962"/>
        </w:tabs>
        <w:suppressAutoHyphens/>
        <w:spacing w:before="0" w:after="0" w:line="276" w:lineRule="auto"/>
        <w:rPr>
          <w:rFonts w:ascii="Times New Roman" w:hAnsi="Times New Roman"/>
          <w:sz w:val="22"/>
          <w:szCs w:val="22"/>
        </w:rPr>
      </w:pPr>
      <w:r>
        <w:rPr>
          <w:rFonts w:ascii="Times New Roman" w:hAnsi="Times New Roman"/>
          <w:sz w:val="22"/>
          <w:szCs w:val="22"/>
        </w:rPr>
        <w:t>4.4.9.0.5200000000 EQUIPAMENTO E MATERIAL PERMANENTE – 1684</w:t>
      </w:r>
    </w:p>
    <w:p w14:paraId="52AFD446">
      <w:pPr>
        <w:pStyle w:val="11"/>
        <w:widowControl w:val="0"/>
        <w:tabs>
          <w:tab w:val="left" w:pos="4962"/>
        </w:tabs>
        <w:suppressAutoHyphens/>
        <w:spacing w:before="0" w:after="0" w:line="276" w:lineRule="auto"/>
        <w:rPr>
          <w:rFonts w:ascii="Times New Roman" w:hAnsi="Times New Roman"/>
          <w:sz w:val="22"/>
          <w:szCs w:val="22"/>
        </w:rPr>
      </w:pPr>
      <w:r>
        <w:rPr>
          <w:rFonts w:ascii="Times New Roman" w:hAnsi="Times New Roman"/>
          <w:b/>
          <w:bCs/>
          <w:sz w:val="22"/>
          <w:szCs w:val="22"/>
        </w:rPr>
        <w:t>10.301.0034.2198  COFINANCIAMENTO FEDERAL PISO ATENÇÃO PRIMÁRIA A SAÚDE</w:t>
      </w:r>
    </w:p>
    <w:p w14:paraId="3F8DDA43">
      <w:pPr>
        <w:pStyle w:val="11"/>
        <w:widowControl w:val="0"/>
        <w:tabs>
          <w:tab w:val="left" w:pos="4962"/>
        </w:tabs>
        <w:suppressAutoHyphens/>
        <w:spacing w:before="0" w:after="0" w:line="276" w:lineRule="auto"/>
        <w:rPr>
          <w:rFonts w:ascii="Times New Roman" w:hAnsi="Times New Roman"/>
          <w:sz w:val="22"/>
          <w:szCs w:val="22"/>
        </w:rPr>
      </w:pPr>
      <w:r>
        <w:rPr>
          <w:rFonts w:ascii="Times New Roman" w:hAnsi="Times New Roman"/>
          <w:sz w:val="22"/>
          <w:szCs w:val="22"/>
        </w:rPr>
        <w:t>4.4.9.0.5200000000 EQUIPAMENTO E MATERIAL PERMANENTE – 647</w:t>
      </w:r>
    </w:p>
    <w:p w14:paraId="72016AD8">
      <w:pPr>
        <w:pStyle w:val="11"/>
        <w:widowControl w:val="0"/>
        <w:tabs>
          <w:tab w:val="left" w:pos="4962"/>
        </w:tabs>
        <w:suppressAutoHyphens/>
        <w:spacing w:before="0" w:after="0" w:line="276" w:lineRule="auto"/>
        <w:rPr>
          <w:rFonts w:ascii="Times New Roman" w:hAnsi="Times New Roman"/>
          <w:sz w:val="22"/>
          <w:szCs w:val="22"/>
        </w:rPr>
      </w:pPr>
      <w:r>
        <w:rPr>
          <w:rFonts w:ascii="Times New Roman" w:hAnsi="Times New Roman"/>
          <w:b/>
          <w:bCs/>
          <w:sz w:val="22"/>
          <w:szCs w:val="22"/>
        </w:rPr>
        <w:t>10.302.0114.2197  CENTRO DE ATENÇÃO PSICOSSOCIAL - CAPS</w:t>
      </w:r>
    </w:p>
    <w:p w14:paraId="7ADAFEAB">
      <w:pPr>
        <w:pStyle w:val="11"/>
        <w:widowControl w:val="0"/>
        <w:tabs>
          <w:tab w:val="left" w:pos="4962"/>
        </w:tabs>
        <w:suppressAutoHyphens/>
        <w:spacing w:before="0" w:after="0" w:line="276" w:lineRule="auto"/>
        <w:rPr>
          <w:rFonts w:ascii="Times New Roman" w:hAnsi="Times New Roman"/>
          <w:sz w:val="22"/>
          <w:szCs w:val="22"/>
        </w:rPr>
      </w:pPr>
      <w:r>
        <w:rPr>
          <w:rFonts w:ascii="Times New Roman" w:hAnsi="Times New Roman"/>
          <w:sz w:val="22"/>
          <w:szCs w:val="22"/>
        </w:rPr>
        <w:t>4.4.9.0.5200000000 EQUIPAMENTO E MATERIAL PERMANENTE – 1691</w:t>
      </w:r>
    </w:p>
    <w:p w14:paraId="4F933A2B">
      <w:pPr>
        <w:pStyle w:val="11"/>
        <w:widowControl w:val="0"/>
        <w:tabs>
          <w:tab w:val="left" w:pos="4962"/>
        </w:tabs>
        <w:suppressAutoHyphens/>
        <w:spacing w:before="0" w:after="0" w:line="276" w:lineRule="auto"/>
        <w:rPr>
          <w:rFonts w:ascii="Times New Roman" w:hAnsi="Times New Roman"/>
          <w:sz w:val="22"/>
          <w:szCs w:val="22"/>
        </w:rPr>
      </w:pPr>
      <w:r>
        <w:rPr>
          <w:rFonts w:ascii="Times New Roman" w:hAnsi="Times New Roman"/>
          <w:b/>
          <w:bCs/>
          <w:sz w:val="22"/>
          <w:szCs w:val="22"/>
        </w:rPr>
        <w:t>10.304.0036.2089 PROGRAMA VIGILÂNCIA EM SAÚDE</w:t>
      </w:r>
    </w:p>
    <w:p w14:paraId="3494F3D1">
      <w:pPr>
        <w:spacing w:after="0" w:line="276" w:lineRule="auto"/>
        <w:jc w:val="both"/>
        <w:rPr>
          <w:rFonts w:ascii="Arial" w:hAnsi="Arial" w:cs="Arial"/>
          <w:sz w:val="22"/>
          <w:szCs w:val="22"/>
        </w:rPr>
      </w:pPr>
      <w:r>
        <w:rPr>
          <w:rFonts w:ascii="Times New Roman" w:hAnsi="Times New Roman"/>
          <w:sz w:val="22"/>
          <w:szCs w:val="22"/>
        </w:rPr>
        <w:t>4.4.9.0.5200000000 EQUIPAMENTO E MATERIAL PERMANENTE - 1673</w:t>
      </w:r>
    </w:p>
    <w:p w14:paraId="237A5577">
      <w:pPr>
        <w:spacing w:after="0" w:line="240" w:lineRule="auto"/>
        <w:jc w:val="both"/>
        <w:rPr>
          <w:rFonts w:ascii="Times New Roman" w:hAnsi="Times New Roman"/>
          <w:sz w:val="21"/>
          <w:szCs w:val="21"/>
        </w:rPr>
      </w:pPr>
    </w:p>
    <w:p w14:paraId="6BC00904">
      <w:pPr>
        <w:spacing w:after="0" w:line="240" w:lineRule="auto"/>
        <w:jc w:val="both"/>
        <w:rPr>
          <w:rFonts w:ascii="Times New Roman" w:hAnsi="Times New Roman"/>
        </w:rPr>
      </w:pPr>
      <w:r>
        <w:rPr>
          <w:rFonts w:ascii="Times New Roman" w:hAnsi="Times New Roman" w:cs="Times New Roman"/>
        </w:rPr>
        <w:t xml:space="preserve"> </w:t>
      </w:r>
      <w:r>
        <w:rPr>
          <w:rFonts w:ascii="Times New Roman" w:hAnsi="Times New Roman" w:cs="Times New Roman"/>
          <w:b/>
          <w:bCs/>
        </w:rPr>
        <w:t>CLÁUSULA SEXTA</w:t>
      </w:r>
      <w:r>
        <w:rPr>
          <w:rFonts w:ascii="Times New Roman" w:hAnsi="Times New Roman" w:cs="Times New Roman"/>
        </w:rPr>
        <w:t xml:space="preserve"> – A contratação junto à DETENTORA será formalizada pela Secretaria interessada por intermédio de emissão de Nota de Empenho de despesa e Ordem de Entrega dos produtos, os quais serão emitidas de acordo com a estrita necessidade da Administração.</w:t>
      </w:r>
    </w:p>
    <w:p w14:paraId="367F8197">
      <w:pPr>
        <w:tabs>
          <w:tab w:val="left" w:pos="9460"/>
        </w:tabs>
        <w:spacing w:beforeLines="50" w:afterLines="50" w:line="240" w:lineRule="auto"/>
        <w:jc w:val="both"/>
        <w:rPr>
          <w:rFonts w:ascii="Times New Roman" w:hAnsi="Times New Roman"/>
        </w:rPr>
      </w:pPr>
      <w:r>
        <w:rPr>
          <w:rFonts w:ascii="Times New Roman" w:hAnsi="Times New Roman" w:cs="Times New Roman"/>
        </w:rPr>
        <w:t>§ 1º A Administração não emitirá qualquer solicitação de aquisição sem a prévia existência do respectivo crédito orçamentário.</w:t>
      </w:r>
    </w:p>
    <w:p w14:paraId="775903E6">
      <w:pPr>
        <w:spacing w:beforeLines="50" w:after="0" w:line="240" w:lineRule="auto"/>
        <w:jc w:val="both"/>
        <w:rPr>
          <w:rFonts w:ascii="Times New Roman" w:hAnsi="Times New Roman"/>
        </w:rPr>
      </w:pPr>
      <w:r>
        <w:rPr>
          <w:rFonts w:ascii="Times New Roman" w:hAnsi="Times New Roman" w:cs="Times New Roman"/>
        </w:rPr>
        <w:t>§ 2° As ordens de compra poderão ser encaminhadas por meio eletrônico ou por outra forma admitida pela Administração.</w:t>
      </w:r>
    </w:p>
    <w:p w14:paraId="1007874B">
      <w:pPr>
        <w:spacing w:after="0" w:line="240" w:lineRule="auto"/>
        <w:ind w:right="398" w:rightChars="181"/>
        <w:jc w:val="both"/>
        <w:rPr>
          <w:rFonts w:ascii="Times New Roman" w:hAnsi="Times New Roman"/>
        </w:rPr>
      </w:pPr>
    </w:p>
    <w:p w14:paraId="4692CA37">
      <w:pPr>
        <w:tabs>
          <w:tab w:val="left" w:pos="1134"/>
        </w:tabs>
        <w:spacing w:after="0" w:line="20" w:lineRule="atLeast"/>
        <w:jc w:val="both"/>
        <w:rPr>
          <w:rFonts w:ascii="Times New Roman" w:hAnsi="Times New Roman"/>
        </w:rPr>
      </w:pPr>
      <w:r>
        <w:rPr>
          <w:rFonts w:ascii="Times New Roman" w:hAnsi="Times New Roman" w:eastAsia="Arial-BoldMT" w:cs="Times New Roman"/>
          <w:b/>
          <w:bCs/>
        </w:rPr>
        <w:t xml:space="preserve">CLÁUSULA SÉTIMA - </w:t>
      </w:r>
      <w:r>
        <w:rPr>
          <w:rFonts w:ascii="Times New Roman" w:hAnsi="Times New Roman" w:cs="Times New Roman"/>
        </w:rPr>
        <w:t>Os materiais deverão ser entregues conforme a necessidade, no prazo de até 15 (quinze) dias, a contar da data de envio do pedido pelo Setor de Compras (Nota de Empenho).</w:t>
      </w:r>
    </w:p>
    <w:p w14:paraId="1FCF6197">
      <w:pPr>
        <w:tabs>
          <w:tab w:val="left" w:pos="1134"/>
        </w:tabs>
        <w:spacing w:after="0" w:line="20" w:lineRule="atLeast"/>
        <w:jc w:val="both"/>
        <w:rPr>
          <w:rFonts w:ascii="Times New Roman" w:hAnsi="Times New Roman"/>
        </w:rPr>
      </w:pPr>
      <w:r>
        <w:rPr>
          <w:rFonts w:ascii="Times New Roman" w:hAnsi="Times New Roman"/>
          <w:bCs/>
        </w:rPr>
        <w:t>§ 1º Mediante escrita e justificada solicitação da Detentora da Ata, o prazo declinado acima poderá ser prorrogado uma única vez por igual período, contanto que a empresa Contratada proceda a tal solicitação durante o transcurso do prazo que, originariamente, lhe foi concedida para entrega dos itens, e sendo conveniente para a Administração tal pedido.</w:t>
      </w:r>
    </w:p>
    <w:p w14:paraId="7174AF76">
      <w:pPr>
        <w:tabs>
          <w:tab w:val="left" w:pos="1134"/>
        </w:tabs>
        <w:spacing w:after="0" w:line="20" w:lineRule="atLeast"/>
        <w:jc w:val="both"/>
        <w:rPr>
          <w:rFonts w:ascii="Times New Roman" w:hAnsi="Times New Roman" w:cs="Times New Roman"/>
        </w:rPr>
      </w:pPr>
      <w:r>
        <w:rPr>
          <w:rFonts w:ascii="Times New Roman" w:hAnsi="Times New Roman" w:cs="Times New Roman"/>
          <w:bCs/>
        </w:rPr>
        <w:t xml:space="preserve">§ 2º Os materiais </w:t>
      </w:r>
      <w:r>
        <w:rPr>
          <w:rFonts w:ascii="Times New Roman" w:hAnsi="Times New Roman" w:cs="Times New Roman"/>
        </w:rPr>
        <w:t>deverão ser entregues no Almoxarifado da Secretaria Municipal de Saúde, sito à Rua 31 de Agosto, Nº 227, Bairro Alesgut, Teutônia/RS Não haverá limitação e/ou carga mínima de quantitativos.</w:t>
      </w:r>
    </w:p>
    <w:p w14:paraId="66B52075">
      <w:pPr>
        <w:tabs>
          <w:tab w:val="left" w:pos="1134"/>
        </w:tabs>
        <w:spacing w:after="0" w:line="20" w:lineRule="atLeast"/>
        <w:jc w:val="both"/>
        <w:rPr>
          <w:rFonts w:ascii="Times New Roman" w:hAnsi="Times New Roman"/>
          <w:bCs/>
        </w:rPr>
      </w:pPr>
      <w:r>
        <w:rPr>
          <w:rFonts w:ascii="Times New Roman" w:hAnsi="Times New Roman" w:cs="Times New Roman"/>
          <w:bCs/>
        </w:rPr>
        <w:t>§ 3º Os produtos devem vir acompanhados da Nota Fiscal/Fatura (constando o nº da Nota de Empenho).</w:t>
      </w:r>
    </w:p>
    <w:p w14:paraId="6EBA1B30">
      <w:pPr>
        <w:tabs>
          <w:tab w:val="left" w:pos="1134"/>
        </w:tabs>
        <w:spacing w:after="0" w:line="20" w:lineRule="atLeast"/>
        <w:jc w:val="both"/>
        <w:rPr>
          <w:rFonts w:ascii="Times New Roman" w:hAnsi="Times New Roman"/>
          <w:b/>
          <w:bCs/>
        </w:rPr>
      </w:pPr>
      <w:r>
        <w:rPr>
          <w:rFonts w:ascii="Times New Roman" w:hAnsi="Times New Roman" w:cs="Times New Roman"/>
          <w:bCs/>
        </w:rPr>
        <w:t xml:space="preserve">§ 4º </w:t>
      </w:r>
      <w:r>
        <w:rPr>
          <w:rFonts w:ascii="Times New Roman" w:hAnsi="Times New Roman" w:cs="Times New Roman"/>
        </w:rPr>
        <w:t>Verificada a desconformidade de algum dos produtos, a licitante vencedora deverá promover as correções necessárias no prazo máximo de 05 (cinco) dias, sujeitando-se às penalidades previstas neste edital.</w:t>
      </w:r>
    </w:p>
    <w:p w14:paraId="6FB659E9">
      <w:pPr>
        <w:spacing w:after="0" w:line="240" w:lineRule="auto"/>
        <w:ind w:right="398" w:rightChars="181"/>
        <w:jc w:val="both"/>
        <w:rPr>
          <w:rFonts w:ascii="Times New Roman" w:hAnsi="Times New Roman"/>
        </w:rPr>
      </w:pPr>
    </w:p>
    <w:p w14:paraId="20604FC8">
      <w:pPr>
        <w:tabs>
          <w:tab w:val="left" w:pos="9240"/>
          <w:tab w:val="left" w:pos="9460"/>
        </w:tabs>
        <w:spacing w:after="0" w:line="240" w:lineRule="auto"/>
        <w:jc w:val="both"/>
        <w:rPr>
          <w:rFonts w:ascii="Times New Roman" w:hAnsi="Times New Roman"/>
        </w:rPr>
      </w:pPr>
      <w:r>
        <w:rPr>
          <w:rFonts w:ascii="Times New Roman" w:hAnsi="Times New Roman" w:cs="Times New Roman"/>
          <w:b/>
          <w:bCs/>
        </w:rPr>
        <w:t xml:space="preserve">CLÁUSULA OITAVA </w:t>
      </w:r>
      <w:r>
        <w:rPr>
          <w:rFonts w:ascii="Times New Roman" w:hAnsi="Times New Roman" w:cs="Times New Roman"/>
        </w:rPr>
        <w:t>– São obrigações da DETENTORA:</w:t>
      </w:r>
    </w:p>
    <w:p w14:paraId="7AC9F65C">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durante toda a vigência da Ata de Registro de Preço, compatibilidade com as obrigações por ela assumidas e as condições e qualificação exigidas no Edital da licitação;</w:t>
      </w:r>
    </w:p>
    <w:p w14:paraId="137B1E41">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indicar preposto, bem como seu contato telefônico e eletrônico, para representá-la durante a execução desta Ata de Registro de Preços;</w:t>
      </w:r>
    </w:p>
    <w:p w14:paraId="26566EF6">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no caso de solicitações extras, atender prontamente ao MUNICÍPIO;</w:t>
      </w:r>
    </w:p>
    <w:p w14:paraId="22A74FAF">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efetuar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14:paraId="1BB924D3">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prestar todos os esclarecimentos que forem solicitados pelo MUNICÍPIO;</w:t>
      </w:r>
    </w:p>
    <w:p w14:paraId="618F5664">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fornecer, sempre que solicitado pelo Município, comprovantes de pagamentos de empregados e do recolhimento dos encargos sociais, trabalhistas e fiscais, decorrentes da execução desta Ata de Registro de Preço;</w:t>
      </w:r>
    </w:p>
    <w:p w14:paraId="6AB2416A">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transferir a outrem, no todo ou em parte, o objeto do presente instrumento, sem prévia e expressa anuência do MUNICÍPIO;</w:t>
      </w:r>
    </w:p>
    <w:p w14:paraId="46313F79">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caucionar ou utilizar esta Ata de Registro de Preço para qualquer operação financeira, sem a prévia e expressa anuência do MUNICÍPIO, sob pena de rescisão contratual;</w:t>
      </w:r>
    </w:p>
    <w:p w14:paraId="450E81DD">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quadro de pessoal suficiente para atendimento das solicitações, conforme previsto neste instrumento, sem interrupção, seja por motivo de férias, descanso semanal, licença, falta ao serviço e demissão de empregado;</w:t>
      </w:r>
    </w:p>
    <w:p w14:paraId="6F0C5FA1">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utilizar pessoal qualificado, identificado, uniformizado, utilizando EPI's conforme determina a legislação, se for o caso, com bom comportamento, podendo ser exigida a substituição de qualquer empregado cujo comportamento seja julgado impróprio pelo MUNICÍPIO;</w:t>
      </w:r>
    </w:p>
    <w:p w14:paraId="3883BD7D">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responder por quaisquer danos pessoais e materiais ocasionados por seus funcionários durante a execução desta Ata de Registro de Preços;</w:t>
      </w:r>
    </w:p>
    <w:p w14:paraId="15AF0EE2">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reparar, corrigir, remover ou substituir às suas expensas, qualquer dano que venha a surgir pelos serviços prestados;</w:t>
      </w:r>
    </w:p>
    <w:p w14:paraId="2DAAA460">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relatar ao MUNICÍPIO toda e qualquer irregularidade verificada no decorrer da execução desta Ata de Registro de Preço;</w:t>
      </w:r>
    </w:p>
    <w:p w14:paraId="2737DB9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indenizar o MUNICÍPIO e/ou terceiros em razão de prejuízos ou danos causados pela DETENTORA, decorrentes de dolo ou culpa, durante a execução desta Ata de Registro de Preço;</w:t>
      </w:r>
    </w:p>
    <w:p w14:paraId="397799F0">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comunicar ao MUNICÍPIO, no prazo máximo de 2 (dois) dias que antecedem a data de entrega do objeto, os motivos que impossibilitem o cumprimento do prazo previsto, com a devida comprovação, sem prejuízo de eventuais penalidades, caso a justificativa não seja aceita.</w:t>
      </w:r>
    </w:p>
    <w:p w14:paraId="5E1D004E">
      <w:pPr>
        <w:tabs>
          <w:tab w:val="left" w:pos="9460"/>
        </w:tabs>
        <w:spacing w:beforeLines="50" w:after="0" w:line="240" w:lineRule="auto"/>
        <w:jc w:val="both"/>
        <w:rPr>
          <w:rFonts w:ascii="Times New Roman" w:hAnsi="Times New Roman"/>
        </w:rPr>
      </w:pPr>
      <w:r>
        <w:rPr>
          <w:rFonts w:ascii="Times New Roman" w:hAnsi="Times New Roman" w:cs="Times New Roman"/>
        </w:rPr>
        <w:t>§1° O MUNICÍPIO reserva-se ao direito de promover avaliações, inspeções e diligências visando esclarecer quaisquer situações relacionadas ao fornecimento do objeto contratado, sendo obrigação da DETENTORA acolhê-las.</w:t>
      </w:r>
    </w:p>
    <w:p w14:paraId="40DCA9DD">
      <w:pPr>
        <w:tabs>
          <w:tab w:val="left" w:pos="9460"/>
        </w:tabs>
        <w:spacing w:beforeLines="50" w:after="0" w:line="240" w:lineRule="auto"/>
        <w:jc w:val="both"/>
        <w:rPr>
          <w:rFonts w:ascii="Times New Roman" w:hAnsi="Times New Roman"/>
        </w:rPr>
      </w:pPr>
      <w:r>
        <w:rPr>
          <w:rFonts w:ascii="Times New Roman" w:hAnsi="Times New Roman" w:cs="Times New Roman"/>
        </w:rPr>
        <w:t>§2° Para a execução do objeto desta Ata, não será permitida a subcontratação de empresa terceirizada, salvo sob expressa anuência do MUNICÍPIO, a qual deverá ser emitida pelo Gestor deste instrumento.</w:t>
      </w:r>
    </w:p>
    <w:p w14:paraId="348270B2">
      <w:pPr>
        <w:tabs>
          <w:tab w:val="left" w:pos="9460"/>
        </w:tabs>
        <w:spacing w:beforeLines="50" w:after="0" w:line="240" w:lineRule="auto"/>
        <w:jc w:val="both"/>
        <w:rPr>
          <w:rFonts w:ascii="Times New Roman" w:hAnsi="Times New Roman"/>
        </w:rPr>
      </w:pPr>
      <w:r>
        <w:rPr>
          <w:rFonts w:ascii="Times New Roman" w:hAnsi="Times New Roman" w:cs="Times New Roman"/>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14:paraId="001F7F0D">
      <w:pPr>
        <w:tabs>
          <w:tab w:val="left" w:pos="9460"/>
        </w:tabs>
        <w:spacing w:after="0" w:line="240" w:lineRule="auto"/>
        <w:jc w:val="both"/>
        <w:rPr>
          <w:rFonts w:ascii="Times New Roman" w:hAnsi="Times New Roman"/>
        </w:rPr>
      </w:pPr>
    </w:p>
    <w:p w14:paraId="77B82541">
      <w:pPr>
        <w:tabs>
          <w:tab w:val="left" w:pos="9460"/>
        </w:tabs>
        <w:spacing w:after="0" w:line="240" w:lineRule="auto"/>
        <w:jc w:val="both"/>
        <w:rPr>
          <w:rFonts w:ascii="Times New Roman" w:hAnsi="Times New Roman"/>
        </w:rPr>
      </w:pPr>
      <w:r>
        <w:rPr>
          <w:rFonts w:ascii="Times New Roman" w:hAnsi="Times New Roman" w:cs="Times New Roman"/>
          <w:b/>
          <w:bCs/>
        </w:rPr>
        <w:t>CLÁUSULA NONA</w:t>
      </w:r>
      <w:r>
        <w:rPr>
          <w:rFonts w:ascii="Times New Roman" w:hAnsi="Times New Roman" w:cs="Times New Roman"/>
        </w:rPr>
        <w:t xml:space="preserve"> – O MUNICÍPIO obriga-se a:</w:t>
      </w:r>
    </w:p>
    <w:p w14:paraId="5770B43B">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solicitar à DETENTORA, em tempo hábil, os serviços para atender às suas necessidades;</w:t>
      </w:r>
    </w:p>
    <w:p w14:paraId="07E07066">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fiscalizar o cumprimento desta Ata, por intermédio dos servidores designados;</w:t>
      </w:r>
    </w:p>
    <w:p w14:paraId="57DF3DF9">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verificar a conformidade dos serviços prestados com as disposições desta Ata de Registro de Preço, do Edital da Licitação e da proposta da DETENTORA;</w:t>
      </w:r>
    </w:p>
    <w:p w14:paraId="599F4EEC">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efetuar o pagamento à DETENTORA, de acordo com a forma e prazo estabelecidos neste instrumento; e</w:t>
      </w:r>
    </w:p>
    <w:p w14:paraId="2397F218">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comunicar à DETENTORA a ocorrência de quaisquer fatos que, a seu critério, exijam correção por parte desta.</w:t>
      </w:r>
    </w:p>
    <w:p w14:paraId="3E6AE186">
      <w:pPr>
        <w:tabs>
          <w:tab w:val="left" w:pos="9460"/>
        </w:tabs>
        <w:spacing w:beforeLines="50" w:after="0" w:line="240" w:lineRule="auto"/>
        <w:jc w:val="both"/>
        <w:rPr>
          <w:rFonts w:ascii="Times New Roman" w:hAnsi="Times New Roman"/>
        </w:rPr>
      </w:pPr>
      <w:r>
        <w:rPr>
          <w:rFonts w:ascii="Times New Roman" w:hAnsi="Times New Roman" w:cs="Times New Roman"/>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14:paraId="679BD283">
      <w:pPr>
        <w:pStyle w:val="11"/>
        <w:tabs>
          <w:tab w:val="left" w:pos="9460"/>
        </w:tabs>
        <w:spacing w:before="253"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DÉCIMA </w:t>
      </w:r>
      <w:r>
        <w:rPr>
          <w:rFonts w:ascii="Times New Roman" w:hAnsi="Times New Roman" w:cs="Times New Roman"/>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Pr>
          <w:rFonts w:ascii="Times New Roman" w:hAnsi="Times New Roman" w:cs="Times New Roman"/>
          <w:lang w:val="pt-BR"/>
        </w:rPr>
        <w:t xml:space="preserve"> </w:t>
      </w:r>
    </w:p>
    <w:p w14:paraId="42648CDF">
      <w:pPr>
        <w:pStyle w:val="11"/>
        <w:tabs>
          <w:tab w:val="left" w:pos="9460"/>
          <w:tab w:val="left" w:pos="10120"/>
        </w:tabs>
        <w:spacing w:before="253" w:line="240" w:lineRule="auto"/>
        <w:rPr>
          <w:rFonts w:ascii="Times New Roman" w:hAnsi="Times New Roman" w:cs="Times New Roman"/>
          <w:b/>
          <w:lang w:val="pt-BR"/>
        </w:rPr>
      </w:pPr>
      <w:r>
        <w:rPr>
          <w:rFonts w:ascii="Times New Roman" w:hAnsi="Times New Roman" w:cs="Times New Roman"/>
          <w:b/>
          <w:lang w:val="pt-BR"/>
        </w:rPr>
        <w:t xml:space="preserve">CLÁUSULA DÉCIMA PRIMEIRA - </w:t>
      </w:r>
      <w:r>
        <w:rPr>
          <w:rFonts w:ascii="Times New Roman" w:hAnsi="Times New Roman" w:cs="Times New Roman"/>
        </w:rPr>
        <w:t xml:space="preserve"> </w:t>
      </w:r>
      <w:r>
        <w:rPr>
          <w:rFonts w:ascii="Times New Roman" w:hAnsi="Times New Roman" w:eastAsia="ArialMT" w:cs="Times New Roman"/>
        </w:rPr>
        <w:t>A Ata de Registro de Preços poderá ser cancelada pela Administração, de pleno direito</w:t>
      </w:r>
      <w:r>
        <w:rPr>
          <w:rFonts w:ascii="Times New Roman" w:hAnsi="Times New Roman" w:eastAsia="ArialMT" w:cs="Times New Roman"/>
          <w:lang w:val="pt-BR"/>
        </w:rPr>
        <w:t>, quando:</w:t>
      </w:r>
    </w:p>
    <w:p w14:paraId="4AA8E299">
      <w:pPr>
        <w:numPr>
          <w:ilvl w:val="0"/>
          <w:numId w:val="5"/>
        </w:numPr>
        <w:tabs>
          <w:tab w:val="left" w:pos="2268"/>
          <w:tab w:val="left" w:pos="9460"/>
        </w:tabs>
        <w:spacing w:after="0" w:line="240" w:lineRule="auto"/>
        <w:jc w:val="both"/>
        <w:rPr>
          <w:rFonts w:ascii="Times New Roman" w:hAnsi="Times New Roman"/>
        </w:rPr>
      </w:pPr>
      <w:r>
        <w:rPr>
          <w:rFonts w:ascii="Times New Roman" w:hAnsi="Times New Roman" w:cs="Times New Roman"/>
        </w:rPr>
        <w:t>o fornecedor descumprir total ou parcialmente as condições da ata de registro de preços;</w:t>
      </w:r>
    </w:p>
    <w:p w14:paraId="37104F30">
      <w:pPr>
        <w:tabs>
          <w:tab w:val="left" w:pos="9460"/>
        </w:tabs>
        <w:spacing w:after="0" w:line="240" w:lineRule="auto"/>
        <w:jc w:val="both"/>
        <w:rPr>
          <w:rFonts w:ascii="Times New Roman" w:hAnsi="Times New Roman"/>
        </w:rPr>
      </w:pPr>
      <w:r>
        <w:rPr>
          <w:rFonts w:ascii="Times New Roman" w:hAnsi="Times New Roman" w:cs="Times New Roman"/>
        </w:rPr>
        <w:t xml:space="preserve">b) o fornecedor não retirar a nota de empenho, ou instrumento equivalente, no prazo estabelecido pela Administração, sem justificativa aceitável; </w:t>
      </w:r>
    </w:p>
    <w:p w14:paraId="3B682F68">
      <w:pPr>
        <w:tabs>
          <w:tab w:val="left" w:pos="9460"/>
        </w:tabs>
        <w:spacing w:after="0" w:line="240" w:lineRule="auto"/>
        <w:jc w:val="both"/>
        <w:rPr>
          <w:rFonts w:ascii="Times New Roman" w:hAnsi="Times New Roman"/>
        </w:rPr>
      </w:pPr>
      <w:r>
        <w:rPr>
          <w:rFonts w:ascii="Times New Roman" w:hAnsi="Times New Roman" w:cs="Times New Roman"/>
        </w:rPr>
        <w:t xml:space="preserve">c) </w:t>
      </w:r>
      <w:r>
        <w:rPr>
          <w:rFonts w:ascii="Times New Roman" w:hAnsi="Times New Roman" w:eastAsia="SimSun" w:cs="Times New Roman"/>
        </w:rPr>
        <w:t>não aceitar reduzir o seu preço registrado, na hipótese deste se tornar superior àqueles praticados no mercado;</w:t>
      </w:r>
    </w:p>
    <w:p w14:paraId="03D0F867">
      <w:pPr>
        <w:tabs>
          <w:tab w:val="left" w:pos="9460"/>
        </w:tabs>
        <w:spacing w:after="0" w:line="240" w:lineRule="auto"/>
        <w:jc w:val="both"/>
        <w:rPr>
          <w:rFonts w:ascii="Times New Roman" w:hAnsi="Times New Roman"/>
        </w:rPr>
      </w:pPr>
      <w:r>
        <w:rPr>
          <w:rFonts w:ascii="Times New Roman" w:hAnsi="Times New Roman" w:cs="Times New Roman"/>
        </w:rPr>
        <w:t>d) o fornecedor sofrer a sanção prevista nos incisos III ou IV do caput do art. 156 da Lei Federal nº 14.133/2021.</w:t>
      </w:r>
    </w:p>
    <w:p w14:paraId="45DA2E31">
      <w:pPr>
        <w:tabs>
          <w:tab w:val="left" w:pos="9460"/>
        </w:tabs>
        <w:spacing w:after="0" w:line="240" w:lineRule="auto"/>
        <w:jc w:val="both"/>
        <w:rPr>
          <w:rFonts w:ascii="Times New Roman" w:hAnsi="Times New Roman"/>
        </w:rPr>
      </w:pPr>
      <w:r>
        <w:rPr>
          <w:rFonts w:ascii="Times New Roman" w:hAnsi="Times New Roman" w:cs="Times New Roman"/>
        </w:rPr>
        <w:t>e) ocorrer fato superveniente, decorrente de caso fortuito ou força maior, que prejudique o cumprimento da ata, devidamente comprovados e justificados, por razão de interesse público ou a pedido do fornecedor.</w:t>
      </w:r>
    </w:p>
    <w:p w14:paraId="725A7236">
      <w:pPr>
        <w:spacing w:after="0" w:line="240" w:lineRule="auto"/>
        <w:ind w:right="398" w:rightChars="181"/>
        <w:jc w:val="both"/>
        <w:rPr>
          <w:rFonts w:ascii="Times New Roman" w:hAnsi="Times New Roman"/>
        </w:rPr>
      </w:pPr>
    </w:p>
    <w:p w14:paraId="121E2AEC">
      <w:pPr>
        <w:spacing w:after="0" w:line="240" w:lineRule="auto"/>
        <w:jc w:val="both"/>
        <w:rPr>
          <w:rFonts w:ascii="Times New Roman" w:hAnsi="Times New Roman" w:eastAsia="ArialMT"/>
        </w:rPr>
      </w:pPr>
      <w:r>
        <w:rPr>
          <w:rFonts w:ascii="Times New Roman" w:hAnsi="Times New Roman" w:cs="Times New Roman"/>
          <w:b/>
          <w:bCs/>
        </w:rPr>
        <w:t>CLÁUSULA DÉCIMA SEGUNDA</w:t>
      </w:r>
      <w:r>
        <w:rPr>
          <w:rFonts w:ascii="Times New Roman" w:hAnsi="Times New Roman" w:cs="Times New Roman"/>
        </w:rPr>
        <w:t xml:space="preserve"> - </w:t>
      </w:r>
      <w:r>
        <w:rPr>
          <w:rFonts w:ascii="Times New Roman" w:hAnsi="Times New Roman" w:eastAsia="ArialMT" w:cs="Times New Roman"/>
        </w:rPr>
        <w:t>A recusa injustificada da empresa em prestar os serviços descrito na Cláusula Primeira, de conformidade com a proposta classificada na licitação, ensejará a aplicação das penalidades previstas em Edital e no art. 155 da Lei nº 14.133/2021, a critério da Administração, podendo ser aplicada sanção de:</w:t>
      </w:r>
    </w:p>
    <w:p w14:paraId="00E7F960">
      <w:pPr>
        <w:spacing w:after="0" w:line="240" w:lineRule="auto"/>
        <w:jc w:val="both"/>
        <w:rPr>
          <w:rFonts w:ascii="Times New Roman" w:hAnsi="Times New Roman"/>
        </w:rPr>
      </w:pPr>
      <w:r>
        <w:rPr>
          <w:rFonts w:ascii="Times New Roman" w:hAnsi="Times New Roman" w:cs="Times New Roman"/>
        </w:rPr>
        <w:t>a) advertência;</w:t>
      </w:r>
    </w:p>
    <w:p w14:paraId="24F785E5">
      <w:pPr>
        <w:spacing w:after="0" w:line="240" w:lineRule="auto"/>
        <w:jc w:val="both"/>
        <w:rPr>
          <w:rFonts w:ascii="Times New Roman" w:hAnsi="Times New Roman"/>
        </w:rPr>
      </w:pPr>
      <w:bookmarkStart w:id="0" w:name="art156ii"/>
      <w:bookmarkEnd w:id="0"/>
      <w:r>
        <w:rPr>
          <w:rFonts w:ascii="Times New Roman" w:hAnsi="Times New Roman" w:cs="Times New Roman"/>
        </w:rPr>
        <w:t>b) multa de no mínimo 0,5% (cinco décimos por cento) e máximo de 30% (trinta por cento) do valor do objeto licitado ou contratado;</w:t>
      </w:r>
    </w:p>
    <w:p w14:paraId="49EDDC05">
      <w:pPr>
        <w:spacing w:after="0" w:line="240" w:lineRule="auto"/>
        <w:jc w:val="both"/>
        <w:rPr>
          <w:rFonts w:ascii="Times New Roman" w:hAnsi="Times New Roman"/>
        </w:rPr>
      </w:pPr>
      <w:bookmarkStart w:id="1" w:name="art156iii"/>
      <w:bookmarkEnd w:id="1"/>
      <w:r>
        <w:rPr>
          <w:rFonts w:ascii="Times New Roman" w:hAnsi="Times New Roman" w:cs="Times New Roman"/>
        </w:rPr>
        <w:t>c) impedimento de licitar e contratar, no âmbito da Administração Pública direta e indireta do órgão licitante, pelo prazo máximo de 3 (três) anos.</w:t>
      </w:r>
    </w:p>
    <w:p w14:paraId="472660FE">
      <w:pPr>
        <w:spacing w:after="0" w:line="240" w:lineRule="auto"/>
        <w:jc w:val="both"/>
        <w:rPr>
          <w:rFonts w:ascii="Times New Roman" w:hAnsi="Times New Roman"/>
        </w:rPr>
      </w:pPr>
      <w:bookmarkStart w:id="2" w:name="art156iv"/>
      <w:bookmarkEnd w:id="2"/>
      <w:r>
        <w:rPr>
          <w:rFonts w:ascii="Times New Roman" w:hAnsi="Times New Roman" w:cs="Times New Roman"/>
        </w:rPr>
        <w:t>d) declaração de inidoneidade para licitar ou contratar</w:t>
      </w:r>
      <w:bookmarkStart w:id="3" w:name="art156§2"/>
      <w:bookmarkEnd w:id="3"/>
      <w:bookmarkStart w:id="4" w:name="art156§5"/>
      <w:bookmarkEnd w:id="4"/>
      <w:bookmarkStart w:id="5" w:name="art156§1"/>
      <w:bookmarkEnd w:id="5"/>
      <w:r>
        <w:rPr>
          <w:rFonts w:ascii="Times New Roman" w:hAnsi="Times New Roman" w:cs="Times New Roman"/>
        </w:rPr>
        <w:t xml:space="preserve"> no âmbito da Administração Pública direta e indireta de todos os entes federativos, pelo prazo mínimo de 3 (três) anos e máximo de 6 (seis) anos.</w:t>
      </w:r>
    </w:p>
    <w:p w14:paraId="4D8D1BDF">
      <w:pPr>
        <w:spacing w:after="0" w:line="240" w:lineRule="auto"/>
        <w:jc w:val="both"/>
        <w:rPr>
          <w:rFonts w:ascii="Times New Roman" w:hAnsi="Times New Roman"/>
        </w:rPr>
      </w:pPr>
    </w:p>
    <w:p w14:paraId="59AD439D">
      <w:pPr>
        <w:pStyle w:val="11"/>
        <w:tabs>
          <w:tab w:val="left" w:pos="9900"/>
          <w:tab w:val="left" w:pos="10120"/>
        </w:tabs>
        <w:spacing w:before="1" w:line="240" w:lineRule="auto"/>
        <w:rPr>
          <w:rFonts w:ascii="Times New Roman" w:hAnsi="Times New Roman" w:cs="Times New Roman"/>
          <w:bCs/>
          <w:lang w:val="pt-BR"/>
        </w:rPr>
      </w:pPr>
      <w:r>
        <w:rPr>
          <w:rFonts w:ascii="Times New Roman" w:hAnsi="Times New Roman" w:cs="Times New Roman"/>
          <w:b/>
          <w:lang w:val="pt-BR"/>
        </w:rPr>
        <w:t>CL</w:t>
      </w:r>
      <w:r>
        <w:rPr>
          <w:rFonts w:ascii="Times New Roman" w:hAnsi="Times New Roman" w:cs="Times New Roman"/>
          <w:b/>
        </w:rPr>
        <w:t xml:space="preserve">ÁUSULA DÉCIMA </w:t>
      </w:r>
      <w:r>
        <w:rPr>
          <w:rFonts w:ascii="Times New Roman" w:hAnsi="Times New Roman" w:cs="Times New Roman"/>
          <w:b/>
          <w:lang w:val="pt-BR"/>
        </w:rPr>
        <w:t xml:space="preserve">TERCEIRA </w:t>
      </w:r>
      <w:r>
        <w:rPr>
          <w:rFonts w:ascii="Times New Roman" w:hAnsi="Times New Roman" w:cs="Times New Roman"/>
          <w:b/>
        </w:rPr>
        <w:t xml:space="preserve">– </w:t>
      </w:r>
      <w:r>
        <w:rPr>
          <w:rFonts w:ascii="Times New Roman" w:hAnsi="Times New Roman" w:cs="Times New Roman"/>
          <w:bCs/>
        </w:rPr>
        <w:t xml:space="preserve">Da </w:t>
      </w:r>
      <w:r>
        <w:rPr>
          <w:rFonts w:ascii="Times New Roman" w:hAnsi="Times New Roman" w:cs="Times New Roman"/>
          <w:bCs/>
          <w:lang w:val="pt-BR"/>
        </w:rPr>
        <w:t>a</w:t>
      </w:r>
      <w:r>
        <w:rPr>
          <w:rFonts w:ascii="Times New Roman" w:hAnsi="Times New Roman" w:cs="Times New Roman"/>
          <w:bCs/>
        </w:rPr>
        <w:t xml:space="preserve">dequação à Lei Geral </w:t>
      </w:r>
      <w:r>
        <w:rPr>
          <w:rFonts w:ascii="Times New Roman" w:hAnsi="Times New Roman" w:cs="Times New Roman"/>
          <w:bCs/>
          <w:lang w:val="pt-BR"/>
        </w:rPr>
        <w:t>d</w:t>
      </w:r>
      <w:r>
        <w:rPr>
          <w:rFonts w:ascii="Times New Roman" w:hAnsi="Times New Roman" w:cs="Times New Roman"/>
          <w:bCs/>
        </w:rPr>
        <w:t xml:space="preserve">e Proteção </w:t>
      </w:r>
      <w:r>
        <w:rPr>
          <w:rFonts w:ascii="Times New Roman" w:hAnsi="Times New Roman" w:cs="Times New Roman"/>
          <w:bCs/>
          <w:lang w:val="pt-BR"/>
        </w:rPr>
        <w:t>d</w:t>
      </w:r>
      <w:r>
        <w:rPr>
          <w:rFonts w:ascii="Times New Roman" w:hAnsi="Times New Roman" w:cs="Times New Roman"/>
          <w:bCs/>
        </w:rPr>
        <w:t>e Dados Pessoais - Lei Nº 13.709/2018 (L</w:t>
      </w:r>
      <w:r>
        <w:rPr>
          <w:rFonts w:ascii="Times New Roman" w:hAnsi="Times New Roman" w:cs="Times New Roman"/>
          <w:bCs/>
          <w:lang w:val="pt-BR"/>
        </w:rPr>
        <w:t>GPD</w:t>
      </w:r>
      <w:r>
        <w:rPr>
          <w:rFonts w:ascii="Times New Roman" w:hAnsi="Times New Roman" w:cs="Times New Roman"/>
          <w:bCs/>
        </w:rPr>
        <w:t>)</w:t>
      </w:r>
      <w:r>
        <w:rPr>
          <w:rFonts w:ascii="Times New Roman" w:hAnsi="Times New Roman" w:cs="Times New Roman"/>
          <w:bCs/>
          <w:lang w:val="pt-BR"/>
        </w:rPr>
        <w:t>.</w:t>
      </w:r>
    </w:p>
    <w:p w14:paraId="7AAD8922">
      <w:pPr>
        <w:numPr>
          <w:ilvl w:val="0"/>
          <w:numId w:val="6"/>
        </w:numPr>
        <w:tabs>
          <w:tab w:val="left" w:pos="2268"/>
        </w:tabs>
        <w:spacing w:after="0" w:line="240" w:lineRule="auto"/>
        <w:jc w:val="both"/>
        <w:rPr>
          <w:rFonts w:ascii="Times New Roman" w:hAnsi="Times New Roman"/>
        </w:rPr>
      </w:pPr>
      <w:r>
        <w:rPr>
          <w:rFonts w:ascii="Times New Roman" w:hAnsi="Times New Roman" w:cs="Times New Roman"/>
        </w:rPr>
        <w:t>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a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14:paraId="0BB1167B">
      <w:pPr>
        <w:spacing w:after="0" w:line="240" w:lineRule="auto"/>
        <w:jc w:val="both"/>
        <w:rPr>
          <w:rFonts w:ascii="Times New Roman" w:hAnsi="Times New Roman"/>
        </w:rPr>
      </w:pPr>
      <w:r>
        <w:rPr>
          <w:rFonts w:ascii="Times New Roman" w:hAnsi="Times New Roman" w:cs="Times New Roman"/>
        </w:rPr>
        <w:t xml:space="preserve">b) A definição das PARTES enquanto controladores, operadores ou controladores conjuntos será prevista no Relatório de Atividade de Tratamento (RAT), elaborado pelo(s) controlador(es),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14:paraId="17247692">
      <w:pPr>
        <w:spacing w:after="0" w:line="240" w:lineRule="auto"/>
        <w:jc w:val="both"/>
        <w:rPr>
          <w:rFonts w:ascii="Times New Roman" w:hAnsi="Times New Roman"/>
        </w:rPr>
      </w:pPr>
      <w:r>
        <w:rPr>
          <w:rFonts w:ascii="Times New Roman" w:hAnsi="Times New Roman" w:cs="Times New Roman"/>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14:paraId="7DEA2FEF">
      <w:pPr>
        <w:spacing w:after="0" w:line="240" w:lineRule="auto"/>
        <w:jc w:val="both"/>
        <w:rPr>
          <w:rFonts w:ascii="Times New Roman" w:hAnsi="Times New Roman"/>
        </w:rPr>
      </w:pPr>
    </w:p>
    <w:p w14:paraId="1B348D55">
      <w:pPr>
        <w:spacing w:after="0" w:line="240" w:lineRule="auto"/>
        <w:jc w:val="both"/>
        <w:rPr>
          <w:rFonts w:ascii="Times New Roman" w:hAnsi="Times New Roman"/>
        </w:rPr>
      </w:pPr>
      <w:r>
        <w:rPr>
          <w:rFonts w:ascii="Times New Roman" w:hAnsi="Times New Roman" w:cs="Times New Roman"/>
          <w:b/>
          <w:bCs/>
        </w:rPr>
        <w:t>CLÁUSULA DÉCIMA QUARTA</w:t>
      </w:r>
      <w:r>
        <w:rPr>
          <w:rFonts w:ascii="Times New Roman" w:hAnsi="Times New Roman" w:cs="Times New Roman"/>
        </w:rPr>
        <w:t xml:space="preserve"> - Integram este instrumento o Edital no Pregão na Forma Eletrônica nº </w:t>
      </w:r>
      <w:r>
        <w:rPr>
          <w:rFonts w:ascii="Times New Roman" w:hAnsi="Times New Roman"/>
        </w:rPr>
        <w:t>027/2026</w:t>
      </w:r>
      <w:r>
        <w:rPr>
          <w:rFonts w:ascii="Times New Roman" w:hAnsi="Times New Roman" w:cs="Times New Roman"/>
        </w:rPr>
        <w:t xml:space="preserve">, seus anexos, em especial o Termo de Referência, e a proposta da </w:t>
      </w:r>
      <w:r>
        <w:rPr>
          <w:rFonts w:ascii="Times New Roman" w:hAnsi="Times New Roman" w:cs="Times New Roman"/>
          <w:spacing w:val="-2"/>
        </w:rPr>
        <w:t>DETENTORA.</w:t>
      </w:r>
    </w:p>
    <w:p w14:paraId="48379B28">
      <w:pPr>
        <w:spacing w:before="253" w:after="0" w:line="240" w:lineRule="auto"/>
        <w:jc w:val="both"/>
        <w:rPr>
          <w:rFonts w:ascii="Times New Roman" w:hAnsi="Times New Roman"/>
        </w:rPr>
      </w:pPr>
      <w:r>
        <w:rPr>
          <w:rFonts w:ascii="Times New Roman" w:hAnsi="Times New Roman" w:cs="Times New Roman"/>
          <w:b/>
        </w:rPr>
        <w:t xml:space="preserve">CLÁUSULA DÉCIMA QUINTA – </w:t>
      </w:r>
      <w:r>
        <w:rPr>
          <w:rFonts w:ascii="Times New Roman" w:hAnsi="Times New Roman" w:cs="Times New Roman"/>
        </w:rPr>
        <w:t>Fica eleito o Foro da Comarca de Teutônia/RS para as questões resultantes desta Ata.</w:t>
      </w:r>
    </w:p>
    <w:p w14:paraId="56719E05">
      <w:pPr>
        <w:spacing w:after="0" w:line="240" w:lineRule="auto"/>
        <w:ind w:right="398" w:rightChars="181"/>
        <w:rPr>
          <w:rFonts w:ascii="Times New Roman" w:hAnsi="Times New Roman"/>
        </w:rPr>
      </w:pPr>
    </w:p>
    <w:p w14:paraId="25F8C1E3">
      <w:pPr>
        <w:tabs>
          <w:tab w:val="left" w:pos="4253"/>
        </w:tabs>
        <w:spacing w:after="0" w:line="240" w:lineRule="auto"/>
        <w:ind w:right="398" w:rightChars="181"/>
        <w:rPr>
          <w:rFonts w:ascii="Times New Roman" w:hAnsi="Times New Roman"/>
        </w:rPr>
      </w:pPr>
    </w:p>
    <w:p w14:paraId="5AE5F4C5">
      <w:pPr>
        <w:tabs>
          <w:tab w:val="left" w:pos="4253"/>
        </w:tabs>
        <w:spacing w:after="0" w:line="240" w:lineRule="auto"/>
        <w:ind w:right="398" w:rightChars="181"/>
        <w:rPr>
          <w:rFonts w:ascii="Times New Roman" w:hAnsi="Times New Roman"/>
        </w:rPr>
      </w:pPr>
    </w:p>
    <w:p w14:paraId="6EA28339">
      <w:pPr>
        <w:tabs>
          <w:tab w:val="left" w:pos="4253"/>
        </w:tabs>
        <w:spacing w:after="0" w:line="240" w:lineRule="auto"/>
        <w:ind w:right="398" w:rightChars="181" w:firstLine="220" w:firstLineChars="100"/>
        <w:rPr>
          <w:rFonts w:ascii="Times New Roman" w:hAnsi="Times New Roman"/>
        </w:rPr>
      </w:pPr>
      <w:r>
        <w:rPr>
          <w:rFonts w:ascii="Times New Roman" w:hAnsi="Times New Roman" w:cs="Times New Roman"/>
        </w:rPr>
        <w:t>______________________                                                       _________________________</w:t>
      </w:r>
    </w:p>
    <w:p w14:paraId="752326FE">
      <w:pPr>
        <w:tabs>
          <w:tab w:val="left" w:pos="4253"/>
        </w:tabs>
        <w:spacing w:after="0" w:line="240" w:lineRule="auto"/>
        <w:ind w:right="398" w:rightChars="181"/>
        <w:rPr>
          <w:rFonts w:ascii="Times New Roman" w:hAnsi="Times New Roman"/>
        </w:rPr>
      </w:pPr>
      <w:r>
        <w:rPr>
          <w:rFonts w:ascii="Times New Roman" w:hAnsi="Times New Roman" w:cs="Times New Roman"/>
        </w:rPr>
        <w:t>RENATO AIRTON ALTMANN                                                           CONTRATADA</w:t>
      </w:r>
    </w:p>
    <w:p w14:paraId="41963678">
      <w:pPr>
        <w:tabs>
          <w:tab w:val="left" w:pos="4253"/>
        </w:tabs>
        <w:spacing w:after="0" w:line="240" w:lineRule="auto"/>
        <w:ind w:right="398" w:rightChars="181" w:firstLine="440" w:firstLineChars="200"/>
        <w:rPr>
          <w:rFonts w:ascii="Times New Roman" w:hAnsi="Times New Roman"/>
        </w:rPr>
      </w:pPr>
      <w:r>
        <w:rPr>
          <w:rFonts w:ascii="Times New Roman" w:hAnsi="Times New Roman" w:cs="Times New Roman"/>
        </w:rPr>
        <w:t>Prefeito Municipal                                                            Representante da CONTRATADA</w:t>
      </w:r>
    </w:p>
    <w:p w14:paraId="4DFEBFAC">
      <w:pPr>
        <w:rPr>
          <w:szCs w:val="24"/>
        </w:rPr>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Lucida Sans Unicode">
    <w:panose1 w:val="020B0602030504020204"/>
    <w:charset w:val="00"/>
    <w:family w:val="swiss"/>
    <w:pitch w:val="default"/>
    <w:sig w:usb0="80001AFF" w:usb1="0000396B" w:usb2="00000000" w:usb3="00000000" w:csb0="200000BF" w:csb1="D7F70000"/>
  </w:font>
  <w:font w:name="Mangal">
    <w:altName w:val="Segoe Print"/>
    <w:panose1 w:val="00000400000000000000"/>
    <w:charset w:val="01"/>
    <w:family w:val="roman"/>
    <w:pitch w:val="default"/>
    <w:sig w:usb0="00000000" w:usb1="00000000" w:usb2="00000000" w:usb3="00000000" w:csb0="00000000" w:csb1="00000000"/>
  </w:font>
  <w:font w:name="Arial-BoldMT">
    <w:altName w:val="Segoe Print"/>
    <w:panose1 w:val="00000000000000000000"/>
    <w:charset w:val="00"/>
    <w:family w:val="auto"/>
    <w:pitch w:val="default"/>
    <w:sig w:usb0="00000000" w:usb1="00000000" w:usb2="00000000" w:usb3="00000000" w:csb0="00000001" w:csb1="00000000"/>
  </w:font>
  <w:font w:name="ArialMT">
    <w:altName w:val="Times New Roman"/>
    <w:panose1 w:val="00000000000000000000"/>
    <w:charset w:val="00"/>
    <w:family w:val="auto"/>
    <w:pitch w:val="default"/>
    <w:sig w:usb0="00000000" w:usb1="00000000" w:usb2="00000000" w:usb3="00000000" w:csb0="00000001" w:csb1="00000000"/>
  </w:font>
  <w:font w:name="Arial Unicode MS">
    <w:panose1 w:val="020B0604020202020204"/>
    <w:charset w:val="80"/>
    <w:family w:val="swiss"/>
    <w:pitch w:val="default"/>
    <w:sig w:usb0="FFFFFFFF" w:usb1="E9FFFFFF" w:usb2="0000003F" w:usb3="00000000" w:csb0="603F01FF" w:csb1="FFFF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Times New Roman"/>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446E7">
    <w:pPr>
      <w:tabs>
        <w:tab w:val="center" w:pos="4680"/>
        <w:tab w:val="right" w:pos="10050"/>
      </w:tabs>
      <w:spacing w:after="0" w:line="240" w:lineRule="auto"/>
      <w:ind w:left="-992" w:right="-1032"/>
      <w:jc w:val="center"/>
      <w:rPr>
        <w:rFonts w:ascii="Times New Roman" w:hAnsi="Times New Roman" w:eastAsia="Montserrat" w:cs="Times New Roman"/>
        <w:color w:val="1155CC"/>
      </w:rPr>
    </w:pPr>
    <w:r>
      <w:rPr>
        <w:rFonts w:ascii="Times New Roman" w:hAnsi="Times New Roman" w:eastAsia="Montserrat" w:cs="Times New Roman"/>
        <w:color w:val="1155CC"/>
      </w:rPr>
      <w:t xml:space="preserve">Av. 1 Oeste, 878, Bairro Centro Administrativo, Teutônia | RS | (51) 3762-7700  </w:t>
    </w:r>
  </w:p>
  <w:p w14:paraId="19C68602">
    <w:pPr>
      <w:pStyle w:val="15"/>
      <w:jc w:val="center"/>
      <w:rPr>
        <w:rFonts w:ascii="Times New Roman" w:hAnsi="Times New Roman" w:cs="Times New Roman"/>
      </w:rPr>
    </w:pPr>
    <w:r>
      <w:rPr>
        <w:rFonts w:ascii="Times New Roman" w:hAnsi="Times New Roman" w:eastAsia="Montserrat" w:cs="Times New Roman"/>
        <w:color w:val="1155CC"/>
      </w:rPr>
      <w:t>e-mail: contratos@teutonia.rs.gov.br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A8505">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CAE67">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6"/>
      <w:tblW w:w="9090" w:type="dxa"/>
      <w:jc w:val="center"/>
      <w:tblLayout w:type="fixed"/>
      <w:tblCellMar>
        <w:top w:w="0" w:type="dxa"/>
        <w:left w:w="108" w:type="dxa"/>
        <w:bottom w:w="0" w:type="dxa"/>
        <w:right w:w="108" w:type="dxa"/>
      </w:tblCellMar>
    </w:tblPr>
    <w:tblGrid>
      <w:gridCol w:w="9090"/>
    </w:tblGrid>
    <w:tr w14:paraId="5BCAA2AF">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368220A2">
          <w:pP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36967CE2">
    <w:pP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FEA85">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1625E">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06309"/>
    <w:multiLevelType w:val="singleLevel"/>
    <w:tmpl w:val="9AA06309"/>
    <w:lvl w:ilvl="0" w:tentative="0">
      <w:start w:val="1"/>
      <w:numFmt w:val="lowerLetter"/>
      <w:suff w:val="space"/>
      <w:lvlText w:val="%1)"/>
      <w:lvlJc w:val="left"/>
    </w:lvl>
  </w:abstractNum>
  <w:abstractNum w:abstractNumId="1">
    <w:nsid w:val="A9066C10"/>
    <w:multiLevelType w:val="singleLevel"/>
    <w:tmpl w:val="A9066C10"/>
    <w:lvl w:ilvl="0" w:tentative="0">
      <w:start w:val="1"/>
      <w:numFmt w:val="lowerLetter"/>
      <w:suff w:val="space"/>
      <w:lvlText w:val="%1)"/>
      <w:lvlJc w:val="left"/>
    </w:lvl>
  </w:abstractNum>
  <w:abstractNum w:abstractNumId="2">
    <w:nsid w:val="AC2083D9"/>
    <w:multiLevelType w:val="singleLevel"/>
    <w:tmpl w:val="AC2083D9"/>
    <w:lvl w:ilvl="0" w:tentative="0">
      <w:start w:val="1"/>
      <w:numFmt w:val="lowerLetter"/>
      <w:suff w:val="space"/>
      <w:lvlText w:val="%1)"/>
      <w:lvlJc w:val="left"/>
    </w:lvl>
  </w:abstractNum>
  <w:abstractNum w:abstractNumId="3">
    <w:nsid w:val="489D8CFE"/>
    <w:multiLevelType w:val="singleLevel"/>
    <w:tmpl w:val="489D8CFE"/>
    <w:lvl w:ilvl="0" w:tentative="0">
      <w:start w:val="1"/>
      <w:numFmt w:val="lowerLetter"/>
      <w:suff w:val="space"/>
      <w:lvlText w:val="%1)"/>
      <w:lvlJc w:val="left"/>
    </w:lvl>
  </w:abstractNum>
  <w:abstractNum w:abstractNumId="4">
    <w:nsid w:val="7415575B"/>
    <w:multiLevelType w:val="singleLevel"/>
    <w:tmpl w:val="7415575B"/>
    <w:lvl w:ilvl="0" w:tentative="0">
      <w:start w:val="1"/>
      <w:numFmt w:val="lowerLetter"/>
      <w:suff w:val="space"/>
      <w:lvlText w:val="%1)"/>
      <w:lvlJc w:val="left"/>
    </w:lvl>
  </w:abstractNum>
  <w:abstractNum w:abstractNumId="5">
    <w:nsid w:val="75872450"/>
    <w:multiLevelType w:val="singleLevel"/>
    <w:tmpl w:val="75872450"/>
    <w:lvl w:ilvl="0" w:tentative="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characterSpacingControl w:val="doNotCompress"/>
  <w:hdrShapeDefaults>
    <o:shapelayout v:ext="edit">
      <o:idmap v:ext="edit" data="1"/>
    </o:shapelayout>
  </w:hdrShapeDefaults>
  <w:footnotePr>
    <w:footnote w:id="0"/>
    <w:footnote w:id="1"/>
  </w:footnotePr>
  <w:endnotePr>
    <w:endnote w:id="0"/>
    <w:endnote w:id="1"/>
  </w:endnotePr>
  <w:compat>
    <w:compatSetting w:name="compatibilityMode" w:uri="http://schemas.microsoft.com/office/word" w:val="12"/>
  </w:compat>
  <w:rsids>
    <w:rsidRoot w:val="00DD05C7"/>
    <w:rsid w:val="000D30D1"/>
    <w:rsid w:val="00120CA5"/>
    <w:rsid w:val="001361D2"/>
    <w:rsid w:val="00143317"/>
    <w:rsid w:val="0019142F"/>
    <w:rsid w:val="001C6628"/>
    <w:rsid w:val="002017A7"/>
    <w:rsid w:val="00305A3F"/>
    <w:rsid w:val="003A6F98"/>
    <w:rsid w:val="0040361B"/>
    <w:rsid w:val="004245D2"/>
    <w:rsid w:val="004509F5"/>
    <w:rsid w:val="004C2293"/>
    <w:rsid w:val="004D27E2"/>
    <w:rsid w:val="004D2F54"/>
    <w:rsid w:val="00532771"/>
    <w:rsid w:val="0055751E"/>
    <w:rsid w:val="005A7840"/>
    <w:rsid w:val="00707EF1"/>
    <w:rsid w:val="00710BDD"/>
    <w:rsid w:val="00742D45"/>
    <w:rsid w:val="0079516A"/>
    <w:rsid w:val="007D1974"/>
    <w:rsid w:val="0084451C"/>
    <w:rsid w:val="00850783"/>
    <w:rsid w:val="008A7458"/>
    <w:rsid w:val="008F31A1"/>
    <w:rsid w:val="009E6F53"/>
    <w:rsid w:val="00A0182F"/>
    <w:rsid w:val="00A245CA"/>
    <w:rsid w:val="00A25E2D"/>
    <w:rsid w:val="00A77C75"/>
    <w:rsid w:val="00A85D9E"/>
    <w:rsid w:val="00AC3D80"/>
    <w:rsid w:val="00AD0487"/>
    <w:rsid w:val="00B02493"/>
    <w:rsid w:val="00B039BC"/>
    <w:rsid w:val="00BF55EB"/>
    <w:rsid w:val="00C158C7"/>
    <w:rsid w:val="00C31491"/>
    <w:rsid w:val="00C37427"/>
    <w:rsid w:val="00C73FB5"/>
    <w:rsid w:val="00C85173"/>
    <w:rsid w:val="00CF71AA"/>
    <w:rsid w:val="00D470C6"/>
    <w:rsid w:val="00DD05C7"/>
    <w:rsid w:val="00DD4EFA"/>
    <w:rsid w:val="00E278AF"/>
    <w:rsid w:val="00E439EF"/>
    <w:rsid w:val="00E43BFC"/>
    <w:rsid w:val="00EE2C84"/>
    <w:rsid w:val="00F87924"/>
    <w:rsid w:val="00FE709C"/>
    <w:rsid w:val="04E600CB"/>
    <w:rsid w:val="122F2209"/>
    <w:rsid w:val="139B38AF"/>
    <w:rsid w:val="15D10483"/>
    <w:rsid w:val="304624E1"/>
    <w:rsid w:val="36832FFC"/>
    <w:rsid w:val="39487007"/>
    <w:rsid w:val="42DB6A0E"/>
    <w:rsid w:val="684E6EE8"/>
    <w:rsid w:val="691936F4"/>
    <w:rsid w:val="72492579"/>
    <w:rsid w:val="757F321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6"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qFormat/>
    <w:uiPriority w:val="6"/>
    <w:rPr>
      <w:b/>
      <w:bCs/>
    </w:rPr>
  </w:style>
  <w:style w:type="paragraph" w:styleId="11">
    <w:name w:val="Body Text"/>
    <w:basedOn w:val="1"/>
    <w:link w:val="28"/>
    <w:qFormat/>
    <w:uiPriority w:val="1"/>
    <w:pPr>
      <w:tabs>
        <w:tab w:val="left" w:pos="2268"/>
      </w:tabs>
      <w:spacing w:before="120" w:after="120" w:line="360" w:lineRule="auto"/>
      <w:jc w:val="both"/>
    </w:pPr>
    <w:rPr>
      <w:rFonts w:ascii="Arial MT" w:hAnsi="Arial MT" w:eastAsia="Arial MT" w:cs="Arial MT"/>
      <w:lang w:val="pt-PT" w:eastAsia="en-US"/>
    </w:rPr>
  </w:style>
  <w:style w:type="paragraph" w:styleId="12">
    <w:name w:val="Title"/>
    <w:basedOn w:val="1"/>
    <w:next w:val="1"/>
    <w:qFormat/>
    <w:uiPriority w:val="10"/>
    <w:pPr>
      <w:keepNext/>
      <w:keepLines/>
      <w:spacing w:before="480" w:after="120"/>
    </w:pPr>
    <w:rPr>
      <w:b/>
      <w:sz w:val="72"/>
      <w:szCs w:val="72"/>
    </w:rPr>
  </w:style>
  <w:style w:type="paragraph" w:styleId="13">
    <w:name w:val="Normal (Web)"/>
    <w:basedOn w:val="1"/>
    <w:qFormat/>
    <w:uiPriority w:val="0"/>
    <w:pPr>
      <w:tabs>
        <w:tab w:val="left" w:pos="2268"/>
      </w:tabs>
      <w:spacing w:before="280" w:after="280" w:line="360" w:lineRule="auto"/>
      <w:jc w:val="both"/>
    </w:pPr>
    <w:rPr>
      <w:rFonts w:ascii="Arial" w:hAnsi="Arial" w:eastAsia="SimSun" w:cs="Times New Roman"/>
      <w:szCs w:val="20"/>
      <w:lang w:eastAsia="ar-SA"/>
    </w:rPr>
  </w:style>
  <w:style w:type="paragraph" w:styleId="14">
    <w:name w:val="header"/>
    <w:basedOn w:val="1"/>
    <w:link w:val="21"/>
    <w:unhideWhenUsed/>
    <w:qFormat/>
    <w:uiPriority w:val="99"/>
    <w:pPr>
      <w:tabs>
        <w:tab w:val="center" w:pos="4680"/>
        <w:tab w:val="right" w:pos="9360"/>
      </w:tabs>
      <w:spacing w:after="0" w:line="240" w:lineRule="auto"/>
    </w:pPr>
  </w:style>
  <w:style w:type="paragraph" w:styleId="15">
    <w:name w:val="footer"/>
    <w:basedOn w:val="1"/>
    <w:link w:val="22"/>
    <w:unhideWhenUsed/>
    <w:qFormat/>
    <w:uiPriority w:val="99"/>
    <w:pPr>
      <w:tabs>
        <w:tab w:val="center" w:pos="4680"/>
        <w:tab w:val="right" w:pos="9360"/>
      </w:tabs>
      <w:spacing w:after="0" w:line="240" w:lineRule="auto"/>
    </w:pPr>
  </w:style>
  <w:style w:type="paragraph" w:styleId="16">
    <w:name w:val="Body Text Indent 3"/>
    <w:basedOn w:val="1"/>
    <w:link w:val="29"/>
    <w:qFormat/>
    <w:uiPriority w:val="0"/>
    <w:pPr>
      <w:widowControl w:val="0"/>
      <w:tabs>
        <w:tab w:val="left" w:pos="2268"/>
      </w:tabs>
      <w:autoSpaceDE w:val="0"/>
      <w:autoSpaceDN w:val="0"/>
      <w:spacing w:before="120" w:after="120" w:line="360" w:lineRule="auto"/>
      <w:ind w:firstLine="850"/>
      <w:jc w:val="both"/>
    </w:pPr>
    <w:rPr>
      <w:rFonts w:ascii="Courier New" w:hAnsi="Courier New" w:eastAsia="SimSun" w:cs="Times New Roman"/>
      <w:color w:val="000000"/>
      <w:sz w:val="20"/>
      <w:szCs w:val="20"/>
      <w:lang w:eastAsia="ar-SA"/>
    </w:rPr>
  </w:style>
  <w:style w:type="paragraph" w:styleId="17">
    <w:name w:val="Balloon Text"/>
    <w:basedOn w:val="1"/>
    <w:link w:val="27"/>
    <w:semiHidden/>
    <w:unhideWhenUsed/>
    <w:qFormat/>
    <w:uiPriority w:val="99"/>
    <w:pPr>
      <w:spacing w:after="0" w:line="240" w:lineRule="auto"/>
    </w:pPr>
    <w:rPr>
      <w:rFonts w:ascii="Tahoma" w:hAnsi="Tahoma" w:cs="Tahoma"/>
      <w:sz w:val="16"/>
      <w:szCs w:val="16"/>
    </w:rPr>
  </w:style>
  <w:style w:type="paragraph" w:styleId="18">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9">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0">
    <w:name w:val="Table Normal"/>
    <w:qFormat/>
    <w:uiPriority w:val="0"/>
    <w:tblPr>
      <w:tblCellMar>
        <w:top w:w="0" w:type="dxa"/>
        <w:left w:w="0" w:type="dxa"/>
        <w:bottom w:w="0" w:type="dxa"/>
        <w:right w:w="0" w:type="dxa"/>
      </w:tblCellMar>
    </w:tblPr>
  </w:style>
  <w:style w:type="character" w:customStyle="1" w:styleId="21">
    <w:name w:val="Cabeçalho Char"/>
    <w:basedOn w:val="8"/>
    <w:link w:val="14"/>
    <w:qFormat/>
    <w:uiPriority w:val="99"/>
  </w:style>
  <w:style w:type="character" w:customStyle="1" w:styleId="22">
    <w:name w:val="Rodapé Char"/>
    <w:basedOn w:val="8"/>
    <w:link w:val="15"/>
    <w:qFormat/>
    <w:uiPriority w:val="99"/>
  </w:style>
  <w:style w:type="paragraph" w:styleId="23">
    <w:name w:val="List Paragraph"/>
    <w:basedOn w:val="1"/>
    <w:link w:val="32"/>
    <w:qFormat/>
    <w:uiPriority w:val="34"/>
    <w:pPr>
      <w:ind w:left="720"/>
      <w:contextualSpacing/>
    </w:pPr>
  </w:style>
  <w:style w:type="table" w:customStyle="1" w:styleId="24">
    <w:name w:val="Grid Table Light"/>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5">
    <w:name w:val="_Style 20"/>
    <w:basedOn w:val="9"/>
    <w:qFormat/>
    <w:uiPriority w:val="0"/>
    <w:tblPr>
      <w:tblCellMar>
        <w:top w:w="0" w:type="dxa"/>
        <w:left w:w="108" w:type="dxa"/>
        <w:bottom w:w="0" w:type="dxa"/>
        <w:right w:w="108" w:type="dxa"/>
      </w:tblCellMar>
    </w:tblPr>
  </w:style>
  <w:style w:type="table" w:customStyle="1" w:styleId="26">
    <w:name w:val="_Style 21"/>
    <w:basedOn w:val="9"/>
    <w:qFormat/>
    <w:uiPriority w:val="0"/>
    <w:tblPr>
      <w:tblCellMar>
        <w:top w:w="0" w:type="dxa"/>
        <w:left w:w="108" w:type="dxa"/>
        <w:bottom w:w="0" w:type="dxa"/>
        <w:right w:w="108" w:type="dxa"/>
      </w:tblCellMar>
    </w:tblPr>
  </w:style>
  <w:style w:type="character" w:customStyle="1" w:styleId="27">
    <w:name w:val="Texto de balão Char"/>
    <w:basedOn w:val="8"/>
    <w:link w:val="17"/>
    <w:semiHidden/>
    <w:qFormat/>
    <w:uiPriority w:val="99"/>
    <w:rPr>
      <w:rFonts w:ascii="Tahoma" w:hAnsi="Tahoma" w:cs="Tahoma"/>
      <w:sz w:val="16"/>
      <w:szCs w:val="16"/>
    </w:rPr>
  </w:style>
  <w:style w:type="character" w:customStyle="1" w:styleId="28">
    <w:name w:val="Corpo de texto Char"/>
    <w:basedOn w:val="8"/>
    <w:link w:val="11"/>
    <w:qFormat/>
    <w:uiPriority w:val="1"/>
    <w:rPr>
      <w:rFonts w:ascii="Arial MT" w:hAnsi="Arial MT" w:eastAsia="Arial MT" w:cs="Arial MT"/>
      <w:lang w:val="pt-PT" w:eastAsia="en-US"/>
    </w:rPr>
  </w:style>
  <w:style w:type="character" w:customStyle="1" w:styleId="29">
    <w:name w:val="Recuo de corpo de texto 3 Char"/>
    <w:basedOn w:val="8"/>
    <w:link w:val="16"/>
    <w:qFormat/>
    <w:uiPriority w:val="0"/>
    <w:rPr>
      <w:rFonts w:ascii="Courier New" w:hAnsi="Courier New" w:eastAsia="SimSun" w:cs="Times New Roman"/>
      <w:color w:val="000000"/>
      <w:sz w:val="20"/>
      <w:szCs w:val="20"/>
      <w:lang w:eastAsia="ar-SA"/>
    </w:rPr>
  </w:style>
  <w:style w:type="paragraph" w:customStyle="1" w:styleId="30">
    <w:name w:val="Título de tabela"/>
    <w:basedOn w:val="1"/>
    <w:qFormat/>
    <w:uiPriority w:val="0"/>
    <w:pPr>
      <w:widowControl w:val="0"/>
      <w:suppressLineNumbers/>
      <w:tabs>
        <w:tab w:val="left" w:pos="2268"/>
      </w:tabs>
      <w:spacing w:before="120" w:after="120" w:line="360" w:lineRule="auto"/>
      <w:jc w:val="center"/>
    </w:pPr>
    <w:rPr>
      <w:rFonts w:ascii="Arial" w:hAnsi="Arial" w:eastAsia="Lucida Sans Unicode" w:cs="Mangal"/>
      <w:b/>
      <w:i/>
      <w:kern w:val="1"/>
      <w:szCs w:val="20"/>
      <w:lang w:eastAsia="zh-CN" w:bidi="hi-IN"/>
    </w:rPr>
  </w:style>
  <w:style w:type="paragraph" w:customStyle="1" w:styleId="31">
    <w:name w:val="Corpo de texto 21"/>
    <w:basedOn w:val="1"/>
    <w:qFormat/>
    <w:uiPriority w:val="0"/>
    <w:pPr>
      <w:tabs>
        <w:tab w:val="left" w:pos="2268"/>
      </w:tabs>
      <w:overflowPunct w:val="0"/>
      <w:autoSpaceDE w:val="0"/>
      <w:spacing w:before="120" w:after="120" w:line="360" w:lineRule="auto"/>
      <w:ind w:left="360"/>
      <w:jc w:val="both"/>
      <w:textAlignment w:val="baseline"/>
    </w:pPr>
    <w:rPr>
      <w:rFonts w:ascii="Arial" w:hAnsi="Arial" w:eastAsia="SimSun" w:cs="Times New Roman"/>
      <w:szCs w:val="20"/>
      <w:lang w:eastAsia="ar-SA"/>
    </w:rPr>
  </w:style>
  <w:style w:type="character" w:customStyle="1" w:styleId="32">
    <w:name w:val="Parágrafo da Lista Char"/>
    <w:link w:val="23"/>
    <w:qFormat/>
    <w:locked/>
    <w:uiPriority w:val="34"/>
  </w:style>
  <w:style w:type="character" w:customStyle="1" w:styleId="33">
    <w:name w:val="Link da Internet"/>
    <w:unhideWhenUsed/>
    <w:qFormat/>
    <w:uiPriority w:val="99"/>
    <w:rPr>
      <w:color w:val="0563C1"/>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1CCE40-2C3A-43AD-AF60-4D0462B8F229}">
  <ds:schemaRefs/>
</ds:datastoreItem>
</file>

<file path=customXml/itemProps3.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7</Pages>
  <Words>3712</Words>
  <Characters>20050</Characters>
  <Lines>167</Lines>
  <Paragraphs>47</Paragraphs>
  <TotalTime>22</TotalTime>
  <ScaleCrop>false</ScaleCrop>
  <LinksUpToDate>false</LinksUpToDate>
  <CharactersWithSpaces>23715</CharactersWithSpaces>
  <Application>WPS Office_12.2.0.23202_F1E327BC-269C-435d-A152-05C5408002CA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2026-04-09T14:03:00Z</dcterms:created>
  <dc:creator>nicole leyser alves</dc:creator>
  <cp:lastModifiedBy>rafaela.allebrandt</cp:lastModifiedBy>
  <dcterms:modified xsi:type="dcterms:W3CDTF">2026-05-15T11:29:01Z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1046-12.2.0.23202</vt:lpwstr>
  </property>
  <property fmtid="{D5CDD505-2E9C-101B-9397-08002B2CF9AE}" pid="3" name="ICV">
    <vt:lpwstr>A7359C8554784BB6BCE85EAE83E0FD2C_12</vt:lpwstr>
  </property>
</Properties>
</file>