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853" w:rsidRDefault="0098550E">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EDITAL DE </w:t>
      </w:r>
      <w:r w:rsidRPr="007E47AF">
        <w:rPr>
          <w:rFonts w:ascii="Times New Roman" w:hAnsi="Times New Roman" w:cs="Times New Roman"/>
          <w:b/>
          <w:bCs/>
          <w:sz w:val="28"/>
          <w:szCs w:val="28"/>
          <w:u w:val="single"/>
        </w:rPr>
        <w:t>PREGÃO ELETRÔNICO Nº 017/2026</w:t>
      </w:r>
    </w:p>
    <w:p w:rsidR="00BF6853" w:rsidRDefault="00BF6853">
      <w:pPr>
        <w:spacing w:after="0" w:line="276" w:lineRule="auto"/>
        <w:jc w:val="both"/>
        <w:rPr>
          <w:rFonts w:ascii="Times New Roman" w:hAnsi="Times New Roman" w:cs="Times New Roman"/>
          <w:sz w:val="23"/>
          <w:szCs w:val="23"/>
        </w:rPr>
      </w:pPr>
    </w:p>
    <w:p w:rsidR="00BF6853" w:rsidRDefault="0098550E" w:rsidP="00864938">
      <w:pPr>
        <w:spacing w:beforeLines="5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Pregão Eletrônico </w:t>
      </w:r>
      <w:r w:rsidRPr="007E47AF">
        <w:rPr>
          <w:rFonts w:ascii="Times New Roman" w:hAnsi="Times New Roman" w:cs="Times New Roman"/>
          <w:b/>
          <w:bCs/>
          <w:sz w:val="24"/>
          <w:szCs w:val="24"/>
        </w:rPr>
        <w:t>Nº 017/2026</w:t>
      </w:r>
    </w:p>
    <w:p w:rsidR="00BF6853" w:rsidRDefault="0098550E" w:rsidP="00864938">
      <w:pPr>
        <w:spacing w:beforeLines="5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Data</w:t>
      </w:r>
      <w:r w:rsidRPr="007E47AF">
        <w:rPr>
          <w:rFonts w:ascii="Times New Roman" w:hAnsi="Times New Roman" w:cs="Times New Roman"/>
          <w:b/>
          <w:bCs/>
          <w:sz w:val="24"/>
          <w:szCs w:val="24"/>
        </w:rPr>
        <w:t xml:space="preserve">: </w:t>
      </w:r>
      <w:r w:rsidR="007E47AF" w:rsidRPr="007E47AF">
        <w:rPr>
          <w:rFonts w:ascii="Times New Roman" w:hAnsi="Times New Roman" w:cs="Times New Roman"/>
          <w:b/>
          <w:bCs/>
          <w:sz w:val="24"/>
          <w:szCs w:val="24"/>
        </w:rPr>
        <w:t>01/07</w:t>
      </w:r>
      <w:r w:rsidR="003B3CA5" w:rsidRPr="007E47AF">
        <w:rPr>
          <w:rFonts w:ascii="Times New Roman" w:hAnsi="Times New Roman" w:cs="Times New Roman"/>
          <w:b/>
          <w:bCs/>
          <w:sz w:val="24"/>
          <w:szCs w:val="24"/>
        </w:rPr>
        <w:t>/</w:t>
      </w:r>
      <w:r w:rsidRPr="007E47AF">
        <w:rPr>
          <w:rFonts w:ascii="Times New Roman" w:hAnsi="Times New Roman" w:cs="Times New Roman"/>
          <w:b/>
          <w:bCs/>
          <w:sz w:val="24"/>
          <w:szCs w:val="24"/>
        </w:rPr>
        <w:t>2026</w:t>
      </w:r>
    </w:p>
    <w:p w:rsidR="00BF6853" w:rsidRDefault="00CA128F" w:rsidP="00864938">
      <w:pPr>
        <w:spacing w:beforeLines="5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14</w:t>
      </w:r>
      <w:r w:rsidR="0098550E">
        <w:rPr>
          <w:rFonts w:ascii="Times New Roman" w:hAnsi="Times New Roman" w:cs="Times New Roman"/>
          <w:b/>
          <w:bCs/>
          <w:sz w:val="24"/>
          <w:szCs w:val="24"/>
        </w:rPr>
        <w:t>h</w:t>
      </w:r>
    </w:p>
    <w:p w:rsidR="00BF6853" w:rsidRDefault="0098550E" w:rsidP="00864938">
      <w:pPr>
        <w:spacing w:beforeLines="5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Tipo: Menor preço </w:t>
      </w:r>
      <w:r w:rsidR="000F3177">
        <w:rPr>
          <w:rFonts w:ascii="Times New Roman" w:hAnsi="Times New Roman" w:cs="Times New Roman"/>
          <w:b/>
          <w:bCs/>
          <w:sz w:val="24"/>
          <w:szCs w:val="24"/>
        </w:rPr>
        <w:t xml:space="preserve">global </w:t>
      </w:r>
      <w:r>
        <w:rPr>
          <w:rFonts w:ascii="Times New Roman" w:hAnsi="Times New Roman" w:cs="Times New Roman"/>
          <w:b/>
          <w:bCs/>
          <w:sz w:val="24"/>
          <w:szCs w:val="24"/>
        </w:rPr>
        <w:t>mensal</w:t>
      </w:r>
    </w:p>
    <w:p w:rsidR="00BF6853" w:rsidRDefault="0098550E" w:rsidP="00864938">
      <w:pPr>
        <w:spacing w:beforeLines="5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Objeto: Contratação de empresa especializada para a prestação de serviços de controle, tratamento e monitoramento da qualidade de água. </w:t>
      </w:r>
    </w:p>
    <w:p w:rsidR="00BF6853" w:rsidRDefault="0098550E" w:rsidP="00864938">
      <w:pPr>
        <w:spacing w:beforeLines="5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Órgão Requisitante: Secretaria Municipal de Obras, Viação e Transportes</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O </w:t>
      </w:r>
      <w:r w:rsidRPr="00937AE7">
        <w:rPr>
          <w:rFonts w:ascii="Times New Roman" w:eastAsia="Arial" w:hAnsi="Times New Roman" w:cs="Times New Roman"/>
          <w:b/>
          <w:bCs/>
          <w:color w:val="000000"/>
          <w:sz w:val="23"/>
          <w:szCs w:val="23"/>
        </w:rPr>
        <w:t>MUNICÍPIO DE TEUTÔNIA</w:t>
      </w:r>
      <w:r w:rsidRPr="00937AE7">
        <w:rPr>
          <w:rFonts w:ascii="Times New Roman" w:eastAsia="Arial" w:hAnsi="Times New Roman" w:cs="Times New Roman"/>
          <w:color w:val="000000"/>
          <w:sz w:val="23"/>
          <w:szCs w:val="23"/>
        </w:rPr>
        <w:t xml:space="preserve">, pessoa jurídica de direito público interno, inscrito no CNPJ sob nº </w:t>
      </w:r>
      <w:r w:rsidRPr="00937AE7">
        <w:rPr>
          <w:rFonts w:ascii="Times New Roman" w:eastAsia="Arial" w:hAnsi="Times New Roman" w:cs="Times New Roman"/>
          <w:b/>
          <w:bCs/>
          <w:color w:val="000000"/>
          <w:sz w:val="23"/>
          <w:szCs w:val="23"/>
        </w:rPr>
        <w:t>88.661.400/0001-99</w:t>
      </w:r>
      <w:r w:rsidRPr="00937AE7">
        <w:rPr>
          <w:rFonts w:ascii="Times New Roman" w:eastAsia="Arial" w:hAnsi="Times New Roman" w:cs="Times New Roman"/>
          <w:color w:val="000000"/>
          <w:sz w:val="23"/>
          <w:szCs w:val="23"/>
        </w:rPr>
        <w:t xml:space="preserve">, com sede na Avenida 01 Oeste, nº 878, Centro Administrativo, Teutônia/RS, neste ato representado pelo Prefeito Sr. </w:t>
      </w:r>
      <w:r w:rsidRPr="00937AE7">
        <w:rPr>
          <w:rFonts w:ascii="Times New Roman" w:eastAsia="Arial" w:hAnsi="Times New Roman" w:cs="Times New Roman"/>
          <w:b/>
          <w:bCs/>
          <w:color w:val="000000"/>
          <w:sz w:val="23"/>
          <w:szCs w:val="23"/>
        </w:rPr>
        <w:t>Renato Airton Altmann</w:t>
      </w:r>
      <w:r w:rsidRPr="00937AE7">
        <w:rPr>
          <w:rFonts w:ascii="Times New Roman" w:eastAsia="Arial" w:hAnsi="Times New Roman" w:cs="Times New Roman"/>
          <w:color w:val="000000"/>
          <w:sz w:val="23"/>
          <w:szCs w:val="23"/>
        </w:rPr>
        <w:t xml:space="preserve">, no uso de suas atribuições, torna público que a Administração Municipal realizará </w:t>
      </w:r>
      <w:r w:rsidRPr="00937AE7">
        <w:rPr>
          <w:rFonts w:ascii="Times New Roman" w:eastAsia="Arial" w:hAnsi="Times New Roman" w:cs="Times New Roman"/>
          <w:b/>
          <w:bCs/>
          <w:color w:val="000000"/>
          <w:sz w:val="23"/>
          <w:szCs w:val="23"/>
        </w:rPr>
        <w:t>PREGÃO ELETRÔNICO</w:t>
      </w:r>
      <w:r w:rsidRPr="00937AE7">
        <w:rPr>
          <w:rFonts w:ascii="Times New Roman" w:eastAsia="Arial" w:hAnsi="Times New Roman" w:cs="Times New Roman"/>
          <w:color w:val="000000"/>
          <w:sz w:val="23"/>
          <w:szCs w:val="23"/>
        </w:rPr>
        <w:t xml:space="preserve">, do tipo </w:t>
      </w:r>
      <w:r w:rsidRPr="00937AE7">
        <w:rPr>
          <w:rFonts w:ascii="Times New Roman" w:eastAsia="Arial" w:hAnsi="Times New Roman" w:cs="Times New Roman"/>
          <w:b/>
          <w:bCs/>
          <w:color w:val="000000"/>
          <w:sz w:val="23"/>
          <w:szCs w:val="23"/>
        </w:rPr>
        <w:t>menor preço global mensal</w:t>
      </w:r>
      <w:r w:rsidRPr="00937AE7">
        <w:rPr>
          <w:rFonts w:ascii="Times New Roman" w:eastAsia="Arial" w:hAnsi="Times New Roman" w:cs="Times New Roman"/>
          <w:color w:val="000000"/>
          <w:sz w:val="23"/>
          <w:szCs w:val="23"/>
        </w:rPr>
        <w:t xml:space="preserve">, visando à </w:t>
      </w:r>
      <w:r w:rsidRPr="00937AE7">
        <w:rPr>
          <w:rFonts w:ascii="Times New Roman" w:eastAsia="Arial" w:hAnsi="Times New Roman" w:cs="Times New Roman"/>
          <w:b/>
          <w:bCs/>
          <w:color w:val="000000"/>
          <w:sz w:val="23"/>
          <w:szCs w:val="23"/>
        </w:rPr>
        <w:t>contratação de empresa especializada para a prestação de serviços de controle, tratamento e monitoramento da qualidade da água dos bairros Teutônia e Canabarro</w:t>
      </w:r>
      <w:r w:rsidRPr="00937AE7">
        <w:rPr>
          <w:rFonts w:ascii="Times New Roman" w:eastAsia="Arial" w:hAnsi="Times New Roman" w:cs="Times New Roman"/>
          <w:color w:val="000000"/>
          <w:sz w:val="23"/>
          <w:szCs w:val="23"/>
        </w:rPr>
        <w:t xml:space="preserve">, de acordo com este edital e seus anexos, e nos termos da Lei Federal nº </w:t>
      </w:r>
      <w:r w:rsidRPr="00937AE7">
        <w:rPr>
          <w:rFonts w:ascii="Times New Roman" w:eastAsia="Arial" w:hAnsi="Times New Roman" w:cs="Times New Roman"/>
          <w:b/>
          <w:bCs/>
          <w:color w:val="000000"/>
          <w:sz w:val="23"/>
          <w:szCs w:val="23"/>
        </w:rPr>
        <w:t>14.133/2021</w:t>
      </w:r>
      <w:r w:rsidRPr="00937AE7">
        <w:rPr>
          <w:rFonts w:ascii="Times New Roman" w:eastAsia="Arial" w:hAnsi="Times New Roman" w:cs="Times New Roman"/>
          <w:color w:val="000000"/>
          <w:sz w:val="23"/>
          <w:szCs w:val="23"/>
        </w:rPr>
        <w:t xml:space="preserve">, do Decreto Municipal nº </w:t>
      </w:r>
      <w:r w:rsidRPr="00937AE7">
        <w:rPr>
          <w:rFonts w:ascii="Times New Roman" w:eastAsia="Arial" w:hAnsi="Times New Roman" w:cs="Times New Roman"/>
          <w:b/>
          <w:bCs/>
          <w:color w:val="000000"/>
          <w:sz w:val="23"/>
          <w:szCs w:val="23"/>
        </w:rPr>
        <w:t>3.250/2023</w:t>
      </w:r>
      <w:r w:rsidRPr="00937AE7">
        <w:rPr>
          <w:rFonts w:ascii="Times New Roman" w:eastAsia="Arial" w:hAnsi="Times New Roman" w:cs="Times New Roman"/>
          <w:color w:val="000000"/>
          <w:sz w:val="23"/>
          <w:szCs w:val="23"/>
        </w:rPr>
        <w:t xml:space="preserve">, do Protocolo nº </w:t>
      </w:r>
      <w:r w:rsidRPr="00937AE7">
        <w:rPr>
          <w:rFonts w:ascii="Times New Roman" w:eastAsia="Arial" w:hAnsi="Times New Roman" w:cs="Times New Roman"/>
          <w:b/>
          <w:bCs/>
          <w:color w:val="000000"/>
          <w:sz w:val="23"/>
          <w:szCs w:val="23"/>
        </w:rPr>
        <w:t>2025/9162</w:t>
      </w:r>
      <w:r w:rsidRPr="00937AE7">
        <w:rPr>
          <w:rFonts w:ascii="Times New Roman" w:eastAsia="Arial" w:hAnsi="Times New Roman" w:cs="Times New Roman"/>
          <w:color w:val="000000"/>
          <w:sz w:val="23"/>
          <w:szCs w:val="23"/>
        </w:rPr>
        <w:t xml:space="preserve">, bem como das condições a seguir estabelecidas, por meio do site </w:t>
      </w:r>
      <w:r w:rsidRPr="00937AE7">
        <w:rPr>
          <w:rFonts w:ascii="Times New Roman" w:eastAsia="Arial" w:hAnsi="Times New Roman" w:cs="Times New Roman"/>
          <w:b/>
          <w:bCs/>
          <w:color w:val="000000"/>
          <w:sz w:val="23"/>
          <w:szCs w:val="23"/>
        </w:rPr>
        <w:t>www.portaldecompraspublicas.com.br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 DO LOCAL, DATA E HORA DA SESSÃO ELETRÔNICA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1.1. A sessão eletrônica será realizada através do site </w:t>
      </w:r>
      <w:r w:rsidRPr="00937AE7">
        <w:rPr>
          <w:rFonts w:ascii="Times New Roman" w:eastAsia="Arial" w:hAnsi="Times New Roman" w:cs="Times New Roman"/>
          <w:b/>
          <w:bCs/>
          <w:color w:val="000000"/>
          <w:sz w:val="23"/>
          <w:szCs w:val="23"/>
        </w:rPr>
        <w:t>www.portaldecompraspublicas.com.br</w:t>
      </w:r>
      <w:r w:rsidRPr="00937AE7">
        <w:rPr>
          <w:rFonts w:ascii="Times New Roman" w:eastAsia="Arial" w:hAnsi="Times New Roman" w:cs="Times New Roman"/>
          <w:color w:val="000000"/>
          <w:sz w:val="23"/>
          <w:szCs w:val="23"/>
        </w:rPr>
        <w:t xml:space="preserve">, no dia </w:t>
      </w:r>
      <w:r w:rsidR="00CA128F">
        <w:rPr>
          <w:rFonts w:ascii="Times New Roman" w:eastAsia="Arial" w:hAnsi="Times New Roman" w:cs="Times New Roman"/>
          <w:b/>
          <w:bCs/>
          <w:color w:val="000000"/>
          <w:sz w:val="23"/>
          <w:szCs w:val="23"/>
        </w:rPr>
        <w:t>01/07</w:t>
      </w:r>
      <w:r w:rsidRPr="00937AE7">
        <w:rPr>
          <w:rFonts w:ascii="Times New Roman" w:eastAsia="Arial" w:hAnsi="Times New Roman" w:cs="Times New Roman"/>
          <w:b/>
          <w:bCs/>
          <w:color w:val="000000"/>
          <w:sz w:val="23"/>
          <w:szCs w:val="23"/>
        </w:rPr>
        <w:t>/2026</w:t>
      </w:r>
      <w:r w:rsidRPr="00937AE7">
        <w:rPr>
          <w:rFonts w:ascii="Times New Roman" w:eastAsia="Arial" w:hAnsi="Times New Roman" w:cs="Times New Roman"/>
          <w:color w:val="000000"/>
          <w:sz w:val="23"/>
          <w:szCs w:val="23"/>
        </w:rPr>
        <w:t xml:space="preserve">, com início às </w:t>
      </w:r>
      <w:r w:rsidR="00CA128F">
        <w:rPr>
          <w:rFonts w:ascii="Times New Roman" w:eastAsia="Arial" w:hAnsi="Times New Roman" w:cs="Times New Roman"/>
          <w:b/>
          <w:bCs/>
          <w:color w:val="000000"/>
          <w:sz w:val="23"/>
          <w:szCs w:val="23"/>
        </w:rPr>
        <w:t>14</w:t>
      </w:r>
      <w:r w:rsidRPr="00937AE7">
        <w:rPr>
          <w:rFonts w:ascii="Times New Roman" w:eastAsia="Arial" w:hAnsi="Times New Roman" w:cs="Times New Roman"/>
          <w:b/>
          <w:bCs/>
          <w:color w:val="000000"/>
          <w:sz w:val="23"/>
          <w:szCs w:val="23"/>
        </w:rPr>
        <w:t>h</w:t>
      </w:r>
      <w:r w:rsidRPr="00937AE7">
        <w:rPr>
          <w:rFonts w:ascii="Times New Roman" w:eastAsia="Arial" w:hAnsi="Times New Roman" w:cs="Times New Roman"/>
          <w:color w:val="000000"/>
          <w:sz w:val="23"/>
          <w:szCs w:val="23"/>
        </w:rPr>
        <w:t>, horário de Brasília/DF.</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 O horário de encerramento da sessão eletrônica ficará a critério do Pregoeiro, de acordo com as necessidades surgidas no andamento da sessão.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 Somente poderá participar da licitação o licitante que apresentar proposta através do site indicado na subcondição 1.1, antes do início da sessão eletrônica.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1.3.1. O licitante interessado deverá atentar-se de que, para registro da proposta, será exigida a documentação de habilitação, conforme capítulo 11 do presente instrumento convocatório, sob pena de inabilitação.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1.4.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4A36A2" w:rsidRDefault="004A36A2" w:rsidP="004A36A2">
      <w:pPr>
        <w:spacing w:after="0" w:line="276" w:lineRule="auto"/>
        <w:rPr>
          <w:rFonts w:ascii="Times New Roman" w:hAnsi="Times New Roman" w:cs="Times New Roman"/>
          <w:sz w:val="23"/>
          <w:szCs w:val="23"/>
        </w:rPr>
      </w:pPr>
    </w:p>
    <w:p w:rsidR="004A36A2"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lastRenderedPageBreak/>
        <w:t>2. DO OBJETO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2.1. O objeto desta licitação consiste na contratação de empresa especializada para a prestação de serviços de controle, tratamento e monitoramento da qualidade da água distribuída à população através dos Sistemas de Abastecimento dos Bairros Teutônia e Canabarro, no Município de Teutônia/RS, conforme especificações técnicas e condições constantes neste Edital e seus anexos.</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2.1.1. O Sistema de Abastecimento de Água do Bairro Teutônia é composto por 05 (cinco) poços artesianos e 03 (três) reservatórios de água, conforme detalhamento constante do Termo de Referência.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2.1.2. O Sistema de Abastecimento de Água do Bairro Canabarro é composto por 24 (vinte e quatro) poços artesianos e 18 (dezoito) reservatórios de água, conforme detalhamento constante do Termo de Referência.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2.1.3. O valor referencial mensal da contratação é de </w:t>
      </w:r>
      <w:r w:rsidRPr="00937AE7">
        <w:rPr>
          <w:rFonts w:ascii="Times New Roman" w:eastAsia="Arial" w:hAnsi="Times New Roman" w:cs="Times New Roman"/>
          <w:b/>
          <w:bCs/>
          <w:color w:val="000000"/>
          <w:sz w:val="23"/>
          <w:szCs w:val="23"/>
        </w:rPr>
        <w:t>R$ 23.282,31</w:t>
      </w:r>
      <w:r w:rsidRPr="00937AE7">
        <w:rPr>
          <w:rFonts w:ascii="Times New Roman" w:eastAsia="Arial" w:hAnsi="Times New Roman" w:cs="Times New Roman"/>
          <w:color w:val="000000"/>
          <w:sz w:val="23"/>
          <w:szCs w:val="23"/>
        </w:rPr>
        <w:t xml:space="preserve"> (vinte e três mil, duzentos e oitenta e dois reais e trinta e um centavos).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2.2. O tratamento da água destinada ao consumo humano no sistema de abastecimento do Município deverá ser realizado mediante adição de cloro, de forma a garantir a adequada desinfecção da água distribuída.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2.2.1. Os teores de cloro residual livre, aferidos na saída do sistema de tratamento e ao longo de toda a extensão da rede de distribuição, deverão estar em conformidade com os parâmetros estabelecidos na Portaria de Consolidação nº 05/2017 do Ministério da Saúde, ou outra norma que venha a substituí-la.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2.3. Fica vedada a realização de cloração de forma direta nos poços de captação, em razão dos danos que tal prática poderá ocasionar às estruturas do sistema de abastecimento de água.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2.3.1. Atualmente, o sistema de abastecimento de água do Bairro Teutônia possui 05 (cinco) poços, dos quais 03 (três) ainda possuem cloração direta, sendo eles:</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I – Poço 1 – Pedro Schaeffer, localizado na Rua Pedro Schaeffer, nº 1231;</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II – Poço 2 – Fim da Rua Paquetá, localizado na Rua 20 de Setembro, nº 1446;</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III – Poço 5 – Rota do Sol (novo), localizado na ERS-453 – Rota do Sol.</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2.3.2. Os referidos poços deverão ser adequados pela contratada no início da execução contratual, às suas expensas.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2.4. A contratada deverá fornecer todos os insumos e equipamentos necessários ao correto tratamento da água, em quantidades suficientes e adequadas para garantir a potabilidade da água fornecida para consumo humano.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2.5. A contratada será responsável pela manutenção dos equipamentos utilizados no sistema de tratamento da água, bem como, quando necessário, pela substituição de peças e componentes.</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2.5.1. Os dosadores de cloro serão fornecidos pela Administração Municipal, permanecendo sob responsabilidade da contratada a realização da manutenção dos referidos equipamentos durante a execução do contrato.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2.6. Constituem obrigações da licitante vencedora: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2.6.1. Fornecer certificado de limpeza e desinfecção dos reservatórios de água, sempre que realizada a respectiva limpeza.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2.6.2. Realizar a manutenção e, quando necessário, a substituição de equipamentos e peças do sistema de dosagem, incluindo aparelho dosador, mangueiras, válvulas e demais componentes indispensáveis ao adequado funcionamento do sistema de tratamento.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2.6.3. Realizar, com periodicidade anual, a limpeza e desinfecção de todos os reservatórios de água do sistema ou da solução alternativa coletiva de abastecimento, em conformidade com a legislação sanitária aplicável.</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2.6.4. Fornecer relatório técnico-operacional mensal, contendo a descrição das ocorrências verificadas e das ações corretivas e preventivas adotadas.</w:t>
      </w:r>
    </w:p>
    <w:p w:rsidR="004A36A2" w:rsidRPr="009F7CBF"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2.6.5. Prestar assistência técnica permanente, 24 (vinte e quatro) horas por dia, para manutenção dos equipamentos e reposição ou ajuste de insumos necessários ao funcionamento do </w:t>
      </w:r>
      <w:r w:rsidRPr="009F7CBF">
        <w:rPr>
          <w:rFonts w:ascii="Times New Roman" w:eastAsia="Arial" w:hAnsi="Times New Roman" w:cs="Times New Roman"/>
          <w:color w:val="000000"/>
          <w:sz w:val="23"/>
          <w:szCs w:val="23"/>
        </w:rPr>
        <w:t>sistema de tratamento.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F7CBF">
        <w:rPr>
          <w:rFonts w:ascii="Times New Roman" w:eastAsia="Arial" w:hAnsi="Times New Roman" w:cs="Times New Roman"/>
          <w:color w:val="000000"/>
          <w:sz w:val="23"/>
          <w:szCs w:val="23"/>
        </w:rPr>
        <w:t>2.6.6. Registrar visita técnica</w:t>
      </w:r>
      <w:r w:rsidR="00864938" w:rsidRPr="009F7CBF">
        <w:rPr>
          <w:rFonts w:ascii="Times New Roman" w:eastAsia="Arial" w:hAnsi="Times New Roman" w:cs="Times New Roman"/>
          <w:color w:val="000000"/>
          <w:sz w:val="23"/>
          <w:szCs w:val="23"/>
        </w:rPr>
        <w:t xml:space="preserve"> </w:t>
      </w:r>
      <w:r w:rsidR="000E4DE1">
        <w:rPr>
          <w:rFonts w:ascii="Times New Roman" w:eastAsia="Arial" w:hAnsi="Times New Roman" w:cs="Times New Roman"/>
          <w:color w:val="000000"/>
          <w:sz w:val="23"/>
          <w:szCs w:val="23"/>
        </w:rPr>
        <w:t>0</w:t>
      </w:r>
      <w:r w:rsidR="00864938" w:rsidRPr="009F7CBF">
        <w:rPr>
          <w:rFonts w:ascii="Times New Roman" w:eastAsia="Arial" w:hAnsi="Times New Roman" w:cs="Times New Roman"/>
          <w:color w:val="000000"/>
          <w:sz w:val="23"/>
          <w:szCs w:val="23"/>
        </w:rPr>
        <w:t>3 (três) vezes durante a semana</w:t>
      </w:r>
      <w:r w:rsidRPr="009F7CBF">
        <w:rPr>
          <w:rFonts w:ascii="Times New Roman" w:eastAsia="Arial" w:hAnsi="Times New Roman" w:cs="Times New Roman"/>
          <w:color w:val="000000"/>
          <w:sz w:val="23"/>
          <w:szCs w:val="23"/>
        </w:rPr>
        <w:t>, mediante assinatura em planilha própria a ser mantida no interior de cada uma das casas de química localizadas junto aos poços, garantindo o acesso e acompanhamento pela fiscalização municipal.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2.7. A licitante vencedora estará sujeita aos controles de fiscalização e acompanhamento da execução dos serviços, os quais serão realizados pelo Município, através dos fiscais designados.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2.8. A licitante vencedora deverá arcar com todas as despesas, diretas ou indiretas, decorrentes do cumprimento das obrigações assumidas, incluindo transporte, hospedagem e alimentação, quando for o caso.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2.9. A inobservância das regras estabelecidas neste edital sujeitará a licitante vencedora à aplicação das penalidades previstas neste edital e/ou na Lei nº 14.133/2021, observada a ampla defesa e o contraditório.</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3. DA PARTICIPAÇÃO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3.1. Poderá participar do pregão eletrônico quem atender a todas as exigências deste Edital e seus anexos, inclusive quanto à documentação, e estiver devidamente cadastrado junto ao órgão provedor do sistema, através do site </w:t>
      </w:r>
      <w:r w:rsidRPr="00937AE7">
        <w:rPr>
          <w:rFonts w:ascii="Times New Roman" w:eastAsia="Arial" w:hAnsi="Times New Roman" w:cs="Times New Roman"/>
          <w:b/>
          <w:bCs/>
          <w:color w:val="000000"/>
          <w:sz w:val="23"/>
          <w:szCs w:val="23"/>
        </w:rPr>
        <w:t>www.portaldecompraspublicas.com.br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3.2. Como requisito para participação no pregão, em campo próprio do sistema eletrônico, a empresa licitante deverá manifestar pleno conhecimento e atendimento às exigências de habilitação previstas no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3.3. Não poderão disputar licitação ou participar da execução de contrato, direta ou indiretamente:</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pessoa física ou jurídica que se encontre, ao tempo da licitação, impedida de participar em decorrência de sanção que lhe tenha sido imposta;</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aquele que mantenha vínculo de natureza técnica, comercial, econômica, financeira, trabalhista ou civil com dirigente do órgão ou entidade contratante ou com agente público que desempenhe função na licitação, fiscalização ou gestão do contrato, ou que deles seja cônjuge, companheiro ou parente em linha reta, colateral ou por afinidade, até o terceiro grau;</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empresas controladoras, controladas ou coligadas, nos termos da Lei nº 6.404/1976, concorrendo entre si;</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d) pessoa física ou jurídica que, nos 5 (cinco)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e) agente público do órgão licitante, observadas as situações que possam configurar conflito de interesses no exercício ou após o exercício do cargo ou emprego, nos termos da legislação aplicável.</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4. DA IMPUGNAÇÃO AO ATO CONVOCATÓRIO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4.1. A impugnação ao ato convocatório do pregão será recebida até 3 (três) dias úteis antes da data designada para a sessão eletrônica, exclusivamente por meio de formulário eletrônico.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4.2. Qualquer pessoa é parte legítima para impugnar este Edital por irregularidade na aplicação da Lei Federal nº 14.133/2021, devendo protocolar o pedido até 3 (três) dias úteis antes da data da abertura do certame.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4.3. A resposta à impugnação ou ao pedido de esclarecimento será divulgada em sítio eletrônico oficial no prazo de até 3 (três) dias úteis, limitado ao último dia útil anterior à data da abertura do certame.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4.4. A impugnação e o pedido de esclarecimento deverão ser realizados por meio eletrônico, pelo Portal de Compras Públicas, no endereço: </w:t>
      </w:r>
      <w:r w:rsidRPr="00937AE7">
        <w:rPr>
          <w:rFonts w:ascii="Times New Roman" w:eastAsia="Arial" w:hAnsi="Times New Roman" w:cs="Times New Roman"/>
          <w:b/>
          <w:bCs/>
          <w:color w:val="000000"/>
          <w:sz w:val="23"/>
          <w:szCs w:val="23"/>
        </w:rPr>
        <w:t>https://www.portaldecompraspublicas.com.br/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4.5. As impugnações e pedidos de esclarecimentos não suspendem os prazos previstos no certame.</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4.5.1. A concessão de efeito suspensivo à impugnação é medida excepcional e deverá ser motivada pelo agente de contratação e/ou pregoeiro, nos autos do processo de licitação.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4.6. Acolhida a impugnação, será definida e publicada nova data para a realização do certame.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4.7. Os autos deste procedimento licitatório permanecerão franqueados aos interessados junto ao Setor de Licitações, Avenida 01 Oeste, nº 878, sala 26, Bairro Centro Administrativo – Teutônia/RS, CEP 95.890-000, e-mail: </w:t>
      </w:r>
      <w:r w:rsidRPr="00937AE7">
        <w:rPr>
          <w:rFonts w:ascii="Times New Roman" w:eastAsia="Arial" w:hAnsi="Times New Roman" w:cs="Times New Roman"/>
          <w:b/>
          <w:bCs/>
          <w:color w:val="000000"/>
          <w:sz w:val="23"/>
          <w:szCs w:val="23"/>
        </w:rPr>
        <w:t>licita@teutonia.rs.gov.br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4.8. De modo a atender o princípio da transparência, o Edital está disponibilizado nos seguintes endereços eletrônicos:</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a) Portal Nacional de Contratações Públicas (PNCP): </w:t>
      </w:r>
      <w:r w:rsidRPr="00937AE7">
        <w:rPr>
          <w:rFonts w:ascii="Times New Roman" w:eastAsia="Arial" w:hAnsi="Times New Roman" w:cs="Times New Roman"/>
          <w:b/>
          <w:bCs/>
          <w:color w:val="000000"/>
          <w:sz w:val="23"/>
          <w:szCs w:val="23"/>
        </w:rPr>
        <w:t>https://www.gov.br/pncp/pt-br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b) Sistema </w:t>
      </w:r>
      <w:proofErr w:type="spellStart"/>
      <w:r w:rsidRPr="00937AE7">
        <w:rPr>
          <w:rFonts w:ascii="Times New Roman" w:eastAsia="Arial" w:hAnsi="Times New Roman" w:cs="Times New Roman"/>
          <w:color w:val="000000"/>
          <w:sz w:val="23"/>
          <w:szCs w:val="23"/>
        </w:rPr>
        <w:t>Licitacon</w:t>
      </w:r>
      <w:proofErr w:type="spellEnd"/>
      <w:r w:rsidRPr="00937AE7">
        <w:rPr>
          <w:rFonts w:ascii="Times New Roman" w:eastAsia="Arial" w:hAnsi="Times New Roman" w:cs="Times New Roman"/>
          <w:color w:val="000000"/>
          <w:sz w:val="23"/>
          <w:szCs w:val="23"/>
        </w:rPr>
        <w:t xml:space="preserve"> do TCE/RS: </w:t>
      </w:r>
      <w:r w:rsidRPr="00937AE7">
        <w:rPr>
          <w:rFonts w:ascii="Times New Roman" w:eastAsia="Arial" w:hAnsi="Times New Roman" w:cs="Times New Roman"/>
          <w:b/>
          <w:bCs/>
          <w:color w:val="000000"/>
          <w:sz w:val="23"/>
          <w:szCs w:val="23"/>
        </w:rPr>
        <w:t>https://tcers.tc.br/sistemas-de-controle-externo/</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c) Portal de Compras Públicas: </w:t>
      </w:r>
      <w:r w:rsidRPr="00937AE7">
        <w:rPr>
          <w:rFonts w:ascii="Times New Roman" w:eastAsia="Arial" w:hAnsi="Times New Roman" w:cs="Times New Roman"/>
          <w:b/>
          <w:bCs/>
          <w:color w:val="000000"/>
          <w:sz w:val="23"/>
          <w:szCs w:val="23"/>
        </w:rPr>
        <w:t>https://www.portaldecompraspublicas.com.br/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d) Sítio eletrônico oficial do Município de Teutônia: </w:t>
      </w:r>
      <w:r w:rsidRPr="00937AE7">
        <w:rPr>
          <w:rFonts w:ascii="Times New Roman" w:eastAsia="Arial" w:hAnsi="Times New Roman" w:cs="Times New Roman"/>
          <w:b/>
          <w:bCs/>
          <w:color w:val="000000"/>
          <w:sz w:val="23"/>
          <w:szCs w:val="23"/>
        </w:rPr>
        <w:t>https://teutonia.rs.gov.br/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ind w:left="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e) Prefeitura Municipal de Teutônia, situada na Avenida 01 Oeste, nº 878, sala 26, Bairro Centro Administrativo – Teutônia/RS, CEP 95.890-000.</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4.9. Recomenda-se a atenta leitura do Edital e seus anexos, a fim de evitar a prática das condutas previstas no art. 155 da Lei Federal nº 14.133/2021, que poderá acarretar a aplicação das penalidades previstas no art. 156 da mesma Lei, sem prejuízo das demais cominações legais.</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5. DA REPRESENTAÇÃO E CREDENCIAMENTO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5.1. Para participar do pregão, o licitante deverá credenciar-se no sistema eletrônico, através do sítio </w:t>
      </w:r>
      <w:r w:rsidRPr="00937AE7">
        <w:rPr>
          <w:rFonts w:ascii="Times New Roman" w:eastAsia="Arial" w:hAnsi="Times New Roman" w:cs="Times New Roman"/>
          <w:b/>
          <w:bCs/>
          <w:color w:val="000000"/>
          <w:sz w:val="23"/>
          <w:szCs w:val="23"/>
        </w:rPr>
        <w:t>www.portaldecompraspublicas.com.br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5.1.1. O credenciamento dar-se-á pela atribuição de chave de identificação e de senha, pessoal e intransferível, para acesso ao sistema eletrônico.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5.1.2. O credenciamento junto ao provedor do sistema implica responsabilidade legal do licitante ou de seu representante legal, bem como presunção de sua capacidade técnica para a realização das transações inerentes ao pregão eletrônico.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5.2.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5.3. A perda da senha ou quebra de sigilo deverão ser comunicadas imediatamente ao(à) Sr.(a) Pregoeiro(a), para imediato bloqueio de acesso.</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6. DO ENVIO DAS PROPOSTAS DE PREÇOS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6.1. A participação no Pregão Eletrônico dar-se-á por meio de digitação da senha privativa do licitante e subsequente encaminhamento de proposta, contendo os preços unitário e total de todos os itens que compõem o objeto da proposta, bem como dos documentos </w:t>
      </w:r>
      <w:proofErr w:type="spellStart"/>
      <w:r w:rsidRPr="00937AE7">
        <w:rPr>
          <w:rFonts w:ascii="Times New Roman" w:eastAsia="Arial" w:hAnsi="Times New Roman" w:cs="Times New Roman"/>
          <w:color w:val="000000"/>
          <w:sz w:val="23"/>
          <w:szCs w:val="23"/>
        </w:rPr>
        <w:t>habilitatórios</w:t>
      </w:r>
      <w:proofErr w:type="spellEnd"/>
      <w:r w:rsidRPr="00937AE7">
        <w:rPr>
          <w:rFonts w:ascii="Times New Roman" w:eastAsia="Arial" w:hAnsi="Times New Roman" w:cs="Times New Roman"/>
          <w:color w:val="000000"/>
          <w:sz w:val="23"/>
          <w:szCs w:val="23"/>
        </w:rPr>
        <w:t>, na forma estipulada neste edital, até quinze (15) minutos antes do início da sessão eletrônica.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6.1.1. A proposta de preço deverá ser enviada em formulário específico, exclusivamente por meio do sistema eletrônico.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6.1.2. A licitante se responsabilizará por todas as transações que forem efetuadas em seu nome no sistema eletrônico, assumindo como firmes e verdadeiras suas propostas, assim como os lances inseridos durante a sessão eletrônica.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6.1.3. Incumbirá à licitante acompanhar as operações no sistema eletrônico durante a sessão, ficando responsável pelos ônus decorrentes da perda de negócios diante da inobservância de qualquer mensagem emitida pelo sistema ou de sua desconexão.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6.1.4. A proposta eletrônica deverá apresentar preços unitários e totais por item/lote.</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6.1.4.1. Os preços deverão ser expressos em moeda corrente nacional, em algarismos, com no máximo 2 (duas) casas decimais após a vírgula. Nos preços propostos deverão estar incluídos, além do lucro, todas as despesas e custos, quer diretos, quer indiretos, como transportes, fretes, tributos e demais encargos relacionados com a execução do objeto.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6.1.4.2. Da mesma forma, a proposta eletrônica deve contemplar a descrição completa do serviço ofertado, bem como o prazo de validade da proposta, igual ou superior a 90 (noventa) dias, contados da sessão eletrônica.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6.2. Os licitantes poderão retirar ou substituir a proposta até a abertura da sessão pública.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6.3. Todas as especificações do objeto contidas na proposta vinculam a contratada e, havendo divergência entre as condições da proposta e as cláusulas deste Edital, incluindo seus anexos, prevalecerão as últimas.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6.4. Os preços ofertados, tanto na proposta inicial quanto na etapa de lances, serão de exclusiva responsabilidade do licitante, não lhe assistindo o direito de pleitear qualquer alteração, sob alegação de erro, omissão ou qualquer outro pretexto.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6.5. A licitante melhor classificada deverá enviar ao Pregoeiro a proposta ajustada ao último preço/lance enviado por meio eletrônico e assinada pelo representante legal da empresa, no prazo estipulado pelo Pregoeiro.</w:t>
      </w:r>
    </w:p>
    <w:p w:rsidR="004A36A2" w:rsidRPr="00937AE7" w:rsidRDefault="004A36A2" w:rsidP="004A36A2">
      <w:pPr>
        <w:spacing w:after="0" w:line="276" w:lineRule="auto"/>
        <w:ind w:left="414" w:firstLine="720"/>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6.5.1. A via da proposta ajustada deverá indicar ainda: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6.5.1.1. Quantidade e preço unitário do(s) item(</w:t>
      </w:r>
      <w:proofErr w:type="spellStart"/>
      <w:r w:rsidRPr="00937AE7">
        <w:rPr>
          <w:rFonts w:ascii="Times New Roman" w:eastAsia="Arial" w:hAnsi="Times New Roman" w:cs="Times New Roman"/>
          <w:color w:val="000000"/>
          <w:sz w:val="23"/>
          <w:szCs w:val="23"/>
        </w:rPr>
        <w:t>ns</w:t>
      </w:r>
      <w:proofErr w:type="spellEnd"/>
      <w:r w:rsidRPr="00937AE7">
        <w:rPr>
          <w:rFonts w:ascii="Times New Roman" w:eastAsia="Arial" w:hAnsi="Times New Roman" w:cs="Times New Roman"/>
          <w:color w:val="000000"/>
          <w:sz w:val="23"/>
          <w:szCs w:val="23"/>
        </w:rPr>
        <w:t>)/lote(s) que compõe(m) o objeto;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6.5.1.2. Prazo de validade da proposta igual ou superior a 90 (noventa) dias, a contar da data da sessão eletrônica;</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6.5.1.3. Endereço da sede da empresa, endereço eletrônico, telefone de contato atualizado da licitante, dados bancários e nome completo do representante legal da empresa, com a devida qualificação;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6.5.1.4. Nome completo do representante legal da empresa, com a devida qualificação, inclusive nacionalidade, estado civil, profissão, nº do CPF, nº da cédula de identidade, endereço residencial e telefone.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6.6.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serviços ser prestados sem ônus adicionais aos preços da proposta.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6.7. A apresentação das propostas implicará plena aceitação, por parte das empresas participantes do Pregão Eletrônico, de todas as condições estabelecidas neste Edital e seus Anexos.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6.8. Serão desclassificadas as Propostas de Preços que desatenderem às especificações e exigências deste Edital e de seus Anexos, bem assim aquelas que apresentarem omissões, irregularidades ou defeitos que possam impedir ou dificultar o julgamento.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6.9. Poderá ser admitido pelo Pregoeiro erro de natureza formal, desde que não comprometa o interesse público e da Administração.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6.10. No cadastramento da proposta inicial, o licitante declarará, em campo próprio do sistema, que:</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6.10.1.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6.10.2. Não emprega menor de 18 (dezoito) anos em trabalho noturno, perigoso ou insalubre e não emprega menor de 16 (dezesseis) anos, salvo menor, a partir de 14 (quatorze) anos, na condição de aprendiz, nos termos do artigo 7º, XXXIII, da Constituição;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6.10.3. Não possui empregados executando trabalho degradante ou forçado, observando o disposto nos incisos III e IV do art. 1º e no inciso III do art. 5º da Constituição Federal;</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6.10.4. Cumpre as exigências de reserva de cargos para pessoa com deficiência e para reabilitado da Previdência Social, previstas em lei e em outras normas específicas.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6.11. O licitante organizado em cooperativa deverá declarar, ainda, em campo próprio do sistema eletrônico, que cumpre os requisitos estabelecidos no art. 16 da Lei Federal nº 14.133/2021.</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6.12. O fornecedor enquadrado como microempresa, empresa de pequeno porte ou sociedade cooperativa deverá declarar, ainda, em campo próprio do sistema eletrônico, que cumpre os requisitos estabelecidos no art. 3º da Lei Complementar nº 123/2006, estando apto a usufruir do tratamento favorecido estabelecido nos arts. 42 a 49, observado o disposto nos §§ 1º ao 3º do art. 4º da Lei Federal nº 14.133/2021.</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6.12.1. No item exclusivo para participação de microempresas e empresas de pequeno porte, a assinalação do campo “não” impedirá o prosseguimento no certame, para aquele item/lote.</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6.12.2.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6.13. Qualquer elemento que possa identificar o licitante importará na desclassificação da proposta, razão pela qual os licitantes não poderão encaminhar documentos com timbre ou logomarca da empresa, assinatura ou carimbo de sócios ou outra informação que possa levar à sua identificação, até que se encerre a etapa de lances.</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7. DA ABERTURA DA SESSÃO PÚBLICA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7.1. No dia e hora indicados no preâmbulo, o Pregoeiro abrirá a sessão pública, mediante a utilização de sua chave e senha.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7.2.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7.3. A comunicação entre o Pregoeiro e os licitantes ocorrerá mediante troca de mensagens em campo próprio do sistema eletrônico.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7.4. Iniciada a sessão, as propostas de preços contendo a descrição do objeto e do valor estarão disponíveis na internet.</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8. DA CLASSIFICAÇÃO INICIAL DAS PROPOSTAS E FORMULAÇÃO DE LANCES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 O Pregoeiro verificará as propostas apresentadas e desclassificará fundamentadamente aquelas que não estejam em conformidade com os requisitos estabelecidos no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8.2. Serão desclassificadas as propostas que:</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contiverem vícios insanáveis;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não obedecerem às especificações técnicas pormenorizadas no edital;</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apresentarem preços inexequíveis;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d) não tiverem sua exequibilidade demonstrada, quando exigido pela Administração;</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e) apresentarem desconformidade com quaisquer outras exigências do edital, desde que insanável.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8.3. A verificação da conformidade das propostas poderá ser feita exclusivamente em relação à proposta mais bem classificada.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8.4. Quaisquer inserções na proposta que visem modificar, extinguir ou criar direitos, sem previsão no edital, serão tidas como inexistentes, aproveitando-se a proposta no que não for conflitante com o instrumento convocatório.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8.5. As propostas classificadas serão ordenadas pelo sistema e o Pregoeiro dará início à fase competitiva, oportunidade em que os licitantes poderão encaminhar lances exclusivamente por meio do sistema eletrônico.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8.6. Somente poderão participar da fase competitiva os autores das propostas classificadas.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8.7. Os licitantes poderão oferecer lances sucessivos e serão informados, em tempo real, do valor do menor lance registrado, vedada a identificação do seu autor, observando o horário fixado para duração da etapa competitiva.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8.8. O lance deverá ser ofertado pelo valor global mensal.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8.9. Os licitantes poderão oferecer lances sucessivos, observado o horário fixado e as regras de aceitação dos mesmos.</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8.9.1. Só serão aceitos os lances cujos valores forem inferiores ao último lance que tenha sido anteriormente registrado no sistema.</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8.10. O intervalo mínimo de diferença de valores entre os lances, que incidirá tanto em relação aos lances intermediários quanto em relação à proposta que cobrir a melhor oferta, deverá ser de </w:t>
      </w:r>
      <w:r w:rsidRPr="00937AE7">
        <w:rPr>
          <w:rFonts w:ascii="Times New Roman" w:eastAsia="Arial" w:hAnsi="Times New Roman" w:cs="Times New Roman"/>
          <w:b/>
          <w:bCs/>
          <w:color w:val="000000"/>
          <w:sz w:val="23"/>
          <w:szCs w:val="23"/>
        </w:rPr>
        <w:t>R$ 1,00 (um real)</w:t>
      </w:r>
      <w:r w:rsidRPr="00937AE7">
        <w:rPr>
          <w:rFonts w:ascii="Times New Roman" w:eastAsia="Arial" w:hAnsi="Times New Roman" w:cs="Times New Roman"/>
          <w:color w:val="000000"/>
          <w:sz w:val="23"/>
          <w:szCs w:val="23"/>
        </w:rPr>
        <w:t>.</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8.11. Será adotado para o envio de lances no pregão eletrônico o modo de disputa “ABERTO”, em que os licitantes apresentarão lances públicos e sucessivos, com prorrogações.</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8.12. A etapa de lances da sessão pública terá duração de dez minutos e, após isso, será prorrogada automaticamente pelo sistema quando houver lance ofertado nos últimos dois minutos do período de duração da sessão pública.</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8.13. A prorrogação automática da etapa de lances, de que trata o item anterior, será de dois minutos e ocorrerá sucessivamente sempre que houver lances enviados nesse período de prorrogação, inclusive no caso de lances intermediários.</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8.14. Não havendo novos lances na forma estabelecida nos itens anteriores, a sessão pública encerrar-se-á automaticamente.</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8.15. Encerrada a fase competitiva sem que haja a prorrogação automática pelo sistema, poderá o Pregoeiro, assessorado pela equipe de apoio, justificadamente, admitir o reinício da sessão pública de lances, em prol da consecução do melhor preço.</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8.16. Não serão aceitos dois ou mais lances de mesmo valor, prevalecendo aquele que for recebido e registrado em primeiro lugar.</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8.17. Durante o transcurso da sessão pública, os licitantes serão informados, em tempo real, do valor do menor lance registrado, vedada a identificação do licitante.</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8.18. No caso de desconexão com o Pregoeiro, no decorrer da etapa competitiva do Pregão, o sistema eletrônico poderá permanecer acessível aos licitantes para a recepção dos lances.</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8.19. O critério de julgamento adotado será o menor preço global mensal, conforme definido neste Edital e seus anexos.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8.20. Caso a licitante não apresente lances, concorrerá com o valor de sua proposta.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8.21.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8.22. A negociação será realizada por meio do sistema, podendo ser acompanhada pelos demais licitantes.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8.23. O Pregoeiro solicitará ao licitante melhor classificado que, no prazo de até 02 (duas)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8.23.1. A não apresentação da integralidade dos documentos exigidos na habilitação, quando do cadastramento da proposta, poderá implicar na inabilitação da empresa, sendo que no prazo do item 8.23 somente poderão ser apresentados documentos complementares solicitados pelo Pregoeiro.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8.24. Após a negociação do preço, o Pregoeiro iniciará a fase de aceitação e julgamento da proposta.</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9. DA NEGOCIAÇÃO E JULGAMENTO DAS PROPOSTAS</w:t>
      </w:r>
    </w:p>
    <w:p w:rsidR="004A36A2" w:rsidRPr="00937AE7" w:rsidRDefault="004A36A2" w:rsidP="004A36A2">
      <w:pPr>
        <w:spacing w:after="0" w:line="276" w:lineRule="auto"/>
        <w:jc w:val="both"/>
        <w:rPr>
          <w:rFonts w:ascii="Times New Roman" w:hAnsi="Times New Roman" w:cs="Times New Roman"/>
          <w:sz w:val="23"/>
          <w:szCs w:val="23"/>
        </w:rPr>
      </w:pPr>
      <w:r>
        <w:rPr>
          <w:rFonts w:ascii="Times New Roman" w:eastAsia="Arial" w:hAnsi="Times New Roman" w:cs="Times New Roman"/>
          <w:color w:val="000000"/>
          <w:sz w:val="23"/>
          <w:szCs w:val="23"/>
        </w:rPr>
        <w:t>9</w:t>
      </w:r>
      <w:r w:rsidRPr="00937AE7">
        <w:rPr>
          <w:rFonts w:ascii="Times New Roman" w:eastAsia="Arial" w:hAnsi="Times New Roman" w:cs="Times New Roman"/>
          <w:color w:val="000000"/>
          <w:sz w:val="23"/>
          <w:szCs w:val="23"/>
        </w:rPr>
        <w:t>.1.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9.2. A resposta à contraproposta e o envio de documentos complementares, necessários ao julgamento da aceitabilidade da proposta, inclusive a sua adequação ao último lance ofertado, que sejam solicitados pelo Pregoeiro, deverão ser encaminhados no prazo fixado no item 8.23 deste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9.3. Encerrada a etapa de negociação, será examinada a proposta classificada em primeiro lugar quanto à adequação ao objeto e à compatibilidade do preço em relação ao valor de referência da Administração.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9.4. Não serão consideradas, para julgamento das propostas, vantagens não previstas no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9.5. Na hipótese de necessidade de suspensão da sessão pública para a realização de diligências, com vistas ao saneamento das propostas, a sessão pública poderá ser reiniciada mediante aviso prévio no sistema e a ocorrência será registrada em ata.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9.6. A verificação da conformidade das propostas poderá ser feita exclusivamente em relação à proposta mais bem classificada.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9.7. A Administração poderá realizar diligências para aferir a exequibilidade das propostas ou exigir dos licitantes que ela seja demonstrada, conforme disposto na alínea “c” do item 8.2.</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9.8. Será realizada a análise de exequibilidade, bem como de sobrepreço, que, neste caso, se dará pela superação do valor estimado.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9.9.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9.10. Se houver indícios de inexequibilidade da proposta de preço, ou em caso de necessidade de esclarecimentos complementares, poderão ser efetuadas diligências, para que a empresa comprove a exequibilidade da proposta.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9.11.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ela elaborada, com os respectivos valores adequados ao valor final da sua proposta, sob pena de não aceitação da proposta.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9.12. Erros no preenchimento da planilha não constituem motivo para a desclassificação da proposta. A planilha poderá ser ajustada pelo fornecedor, no prazo indicado pelo sistema, desde que não haja majoração do preço e que se comprove que este é suficiente para arcar com todos os custos da contratação.</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9.12.1. O ajuste de que trata este dispositivo se limita a sanar erros ou falhas que não alterem a substância das propostas.</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9.12.2. Considera-se erro no preenchimento da planilha passível de correção a indicação de recolhimento de impostos e contribuições na forma do Simples Nacional, quando não cabível esse regime.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9.13. Para fins de análise da proposta quanto ao cumprimento das especificações do objeto, poderá ser solicitada a manifestação escrita do setor requisitante do serviço ou da área especializada no objeto.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9.14. Definido o resultado do julgamento, a Administração poderá negociar condições mais vantajosas com o primeiro colocado.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9.15.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9.16. A proposta final deverá ser documentada nos autos e será levada em consideração no decorrer da execução do contrato e aplicação de eventual sanção à licitante, se for o caso.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9.17. Todas as especificações do objeto contidas na proposta vinculam a licitante vencedora.</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10. DAS CONDIÇÕES DE DESEMPATE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10.1. Encerrada 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6.10 deste Edital.</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10.1.1. Entende-se como empate, para fins da Lei Complementar nº 123/2006, aquelas situações em que as propostas apresentadas pelas beneficiárias sejam iguais ou superiores em até 5% (cinco por cento) à proposta de menor valor.</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10.1.2. Ocorrendo o empate, na forma do subitem anterior, proceder-se-á da seguinte forma:</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a beneficiária detentora da proposta de menor valor será convocada via sistema para apresentar, no prazo de 5 (cinco) minutos, nova proposta inferior àquela considerada, até então, de menor preço, situação em que será declarada vencedora do certame;</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anterior.</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10.1.3. O disposto no item 10.1.2 não se aplica às hipóteses em que a proposta de menor valor inicial tiver sido apresentada por beneficiária da Lei Complementar nº 123/2006.</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10.2. Se não houver licitante que atenda ao item 10.1 e seus subitens, serão utilizados os seguintes critérios de desempate, nesta ordem:</w:t>
      </w:r>
    </w:p>
    <w:p w:rsidR="004A36A2" w:rsidRPr="00937AE7" w:rsidRDefault="004A36A2" w:rsidP="004A36A2">
      <w:pPr>
        <w:spacing w:after="0" w:line="276" w:lineRule="auto"/>
        <w:ind w:left="720"/>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disputa final, hipótese em que os licitantes empatados poderão apresentar nova proposta em ato contínuo à classificação;</w:t>
      </w:r>
    </w:p>
    <w:p w:rsidR="004A36A2" w:rsidRPr="00937AE7" w:rsidRDefault="004A36A2" w:rsidP="004A36A2">
      <w:pPr>
        <w:spacing w:after="0" w:line="276" w:lineRule="auto"/>
        <w:ind w:left="720"/>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b) avaliação do desempenho contratual prévio dos licitantes, para a qual serão utilizados registros cadastrais para efeito de atesto de cumprimento de obrigações decorrentes de outras contratações;</w:t>
      </w:r>
    </w:p>
    <w:p w:rsidR="004A36A2" w:rsidRPr="00937AE7" w:rsidRDefault="004A36A2" w:rsidP="004A36A2">
      <w:pPr>
        <w:spacing w:after="0" w:line="276" w:lineRule="auto"/>
        <w:ind w:left="720"/>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desenvolvimento pelo licitante de programa de integridade, conforme orientações dos órgãos de controle.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10.3. Em igualdade de condições, se não houver desempate, será assegurada preferência, sucessivamente, aos bens e serviços produzidos ou prestados por:</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empresas estabelecidas no território do Estado do Rio Grande do Sul;</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empresas brasileiras;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empresas que invistam em pesquisa e no desenvolvimento de tecnologia no País;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d) empresas que comprovem a prática de mitigação, nos termos da Lei nº 12.187/2009.</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11. DA HABILITAÇÃO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consulta aos documentos inseridos no portal de compras públicas.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11.2. Constatada a existência de sanção, o Pregoeiro reputará o licitante inabilitado, por falta de condição de participação.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11.3. Caso atendidas as condições de participação, a habilitação dos licitantes será verificada por meio do PORTAL DE COMPRAS PÚBLICAS, em relação à habilitação jurídica, à regularidade fiscal e trabalhista, à qualificação econômico-financeira e à habilitação técnica.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11.3.1. É dever do licitante atualizar previamente as comprovações constantes do PORTAL DE COMPRAS PÚBLICAS, para que estejam vigentes na data da abertura da sessão pública, ou encaminhar, em conjunto com a apresentação da proposta, a respectiva documentação atualizada.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11.3.2. O descumprimento do subitem acima implicará a inabilitação do licitante, exceto se a consulta aos sítios eletrônicos oficiais emissores de certidões feita pelo Pregoeiro lograr êxito em encontrar a(s) certidão(</w:t>
      </w:r>
      <w:proofErr w:type="spellStart"/>
      <w:r w:rsidRPr="00937AE7">
        <w:rPr>
          <w:rFonts w:ascii="Times New Roman" w:eastAsia="Arial" w:hAnsi="Times New Roman" w:cs="Times New Roman"/>
          <w:color w:val="000000"/>
          <w:sz w:val="23"/>
          <w:szCs w:val="23"/>
        </w:rPr>
        <w:t>ões</w:t>
      </w:r>
      <w:proofErr w:type="spellEnd"/>
      <w:r w:rsidRPr="00937AE7">
        <w:rPr>
          <w:rFonts w:ascii="Times New Roman" w:eastAsia="Arial" w:hAnsi="Times New Roman" w:cs="Times New Roman"/>
          <w:color w:val="000000"/>
          <w:sz w:val="23"/>
          <w:szCs w:val="23"/>
        </w:rPr>
        <w:t>) válida(s).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11.4. Havendo a necessidade de envio de documentos de habilitação complementares, necessários à confirmação daqueles exigidos neste Edital e já apresentados, o licitante será convocado a encaminhá-los, em formato digital, via sistema, no prazo de até 02 (duas) horas, sob pena de inabilitação.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11.5. Somente haverá a necessidade de comprovação do preenchimento de requisitos mediante apresentação dos documentos originais não digitais quando houver dúvida em relação à integridade do documento digital.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11.6. Não serão aceitos documentos de habilitação com indicação de CNPJ/CPF diferentes, salvo aqueles legalmente permitidos.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11.7. Se o licitante for a matriz, todos os documentos deverão estar em nome da matriz, e se o licitante for a filial, todos os documentos deverão estar em nome da filial, exceto aqueles que, pela própria natureza, comprovadamente, forem emitidos somente em nome da matriz.</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11.7.1. Serão aceitos registros de CNPJ de licitante matriz e filial com diferenças de números de documentos pertinentes ao CND e ao CRF/FGTS, quando for comprovada a centralização do recolhimento dessas contribuições.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11.8. O Pregoeiro, após a fase de lances, solicitará, na forma eletrônica e por diligência, no prazo de até 02 (duas) horas, o envio dos documentos complementares, se for o caso, relativos à habilitação, abaixo relacionados, da licitante vencedora. O prazo estabelecido poderá ser prorrogado pelo Pregoeiro, mediante solicitação escrita e justificada do licitante via chat no sistema, formulada antes de findo o prazo, e formalmente aceita pelo Pregoeiro.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11.9. O licitante detentor do menor preço deverá apresentar toda a documentação exigida para efeito de comprovação de regularidade fiscal, mesmo que esta apresente alguma restrição, sob pena de inabilitação.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Observação:</w:t>
      </w:r>
      <w:r w:rsidRPr="00937AE7">
        <w:rPr>
          <w:rFonts w:ascii="Times New Roman" w:eastAsia="Arial" w:hAnsi="Times New Roman" w:cs="Times New Roman"/>
          <w:color w:val="000000"/>
          <w:sz w:val="23"/>
          <w:szCs w:val="23"/>
        </w:rPr>
        <w:t xml:space="preserve"> os documentos de habilitação exigidos neste rol deverão obrigatoriamente ser anexados conjuntamente ao registro da proposta.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11.9.1. Habilitação jurídica: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cópia do registro comercial, no caso de empresa individual;</w:t>
      </w:r>
    </w:p>
    <w:p w:rsidR="004A36A2"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cópia do ato constitutivo, estatuto ou contrato social em vigor, devidamente registrado, em se tratando de sociedades comerciais, e, no caso de sociedade por ações, acompanhado de documentos de eleição de seus administradores; e/ou</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cópia do decreto de autorização, em se tratando de empresa ou sociedade estrangeira em funcionamento no País, e ato de registro ou autorização para funcionamento expedido pelo órgão competente, quando a atividade assim o exigir.</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11.9.2. Habilitação fiscal, social e trabalhista: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prova de inscrição no Cadastro Nacional da Pessoa Jurídica – CNPJ, extraída via internet;</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comprovante de inscrição no cadastro de contribuintes estadual e/ou municipal, relativo ao domicílio ou sede do licitante, pertinente ao seu ramo de atividade e compatível com o objeto contratual;</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prova de regularidade perante a Fazenda Federal, Estadual e Municipal do domicílio ou sede do licitante, ou outra equivalente, na forma da lei;</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d) prova de regularidade relativa à Seguridade Social e ao FGTS, que demonstre cumprimento dos encargos sociais instituídos por lei; e</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e) prova de regularidade perante a Justiça do Trabalho (CNDT).</w:t>
      </w:r>
    </w:p>
    <w:p w:rsidR="004A36A2" w:rsidRPr="00937AE7" w:rsidRDefault="004A36A2" w:rsidP="004A36A2">
      <w:pPr>
        <w:spacing w:after="0" w:line="276" w:lineRule="auto"/>
        <w:ind w:firstLine="851"/>
        <w:rPr>
          <w:rFonts w:ascii="Times New Roman" w:hAnsi="Times New Roman" w:cs="Times New Roman"/>
          <w:sz w:val="23"/>
          <w:szCs w:val="23"/>
        </w:rPr>
      </w:pPr>
    </w:p>
    <w:p w:rsidR="004A36A2" w:rsidRPr="004A36A2" w:rsidRDefault="004A36A2" w:rsidP="004A36A2">
      <w:pPr>
        <w:spacing w:after="0" w:line="276" w:lineRule="auto"/>
        <w:ind w:firstLine="851"/>
        <w:jc w:val="both"/>
        <w:rPr>
          <w:rFonts w:ascii="Times New Roman" w:hAnsi="Times New Roman" w:cs="Times New Roman"/>
          <w:b/>
          <w:bCs/>
          <w:sz w:val="23"/>
          <w:szCs w:val="23"/>
        </w:rPr>
      </w:pPr>
      <w:r w:rsidRPr="004A36A2">
        <w:rPr>
          <w:rFonts w:ascii="Times New Roman" w:eastAsia="Arial" w:hAnsi="Times New Roman" w:cs="Times New Roman"/>
          <w:b/>
          <w:bCs/>
          <w:color w:val="000000"/>
          <w:sz w:val="23"/>
          <w:szCs w:val="23"/>
        </w:rPr>
        <w:t>11.9.3. Habilitação econômico-financeira: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certidão negativa de falência, recuperação judicial e extrajudicial expedida pelo distribuidor da sede da empresa licitante, com data de emissão não superior a 90 dias da data da abertura do certame.</w:t>
      </w:r>
    </w:p>
    <w:p w:rsidR="004A36A2" w:rsidRPr="00937AE7" w:rsidRDefault="004A36A2" w:rsidP="004A36A2">
      <w:pPr>
        <w:spacing w:after="0" w:line="276" w:lineRule="auto"/>
        <w:ind w:firstLine="851"/>
        <w:rPr>
          <w:rFonts w:ascii="Times New Roman" w:hAnsi="Times New Roman" w:cs="Times New Roman"/>
          <w:sz w:val="23"/>
          <w:szCs w:val="23"/>
        </w:rPr>
      </w:pPr>
    </w:p>
    <w:p w:rsidR="004A36A2" w:rsidRPr="004A36A2" w:rsidRDefault="004A36A2" w:rsidP="004A36A2">
      <w:pPr>
        <w:spacing w:after="0" w:line="276" w:lineRule="auto"/>
        <w:ind w:firstLine="851"/>
        <w:jc w:val="both"/>
        <w:rPr>
          <w:rFonts w:ascii="Times New Roman" w:hAnsi="Times New Roman" w:cs="Times New Roman"/>
          <w:b/>
          <w:bCs/>
          <w:sz w:val="23"/>
          <w:szCs w:val="23"/>
        </w:rPr>
      </w:pPr>
      <w:r w:rsidRPr="004A36A2">
        <w:rPr>
          <w:rFonts w:ascii="Times New Roman" w:eastAsia="Arial" w:hAnsi="Times New Roman" w:cs="Times New Roman"/>
          <w:b/>
          <w:bCs/>
          <w:color w:val="000000"/>
          <w:sz w:val="23"/>
          <w:szCs w:val="23"/>
        </w:rPr>
        <w:t>11.9.4. Qualificação técnica: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Alvará Sanitário e Alvará de Localização e Funcionamento válidos, constando o código ou descrição da atividade econômica permitida compatível com o objeto da licitação;</w:t>
      </w:r>
    </w:p>
    <w:p w:rsidR="004A36A2" w:rsidRPr="00937AE7" w:rsidRDefault="004A36A2" w:rsidP="004A36A2">
      <w:pPr>
        <w:spacing w:after="0" w:line="276" w:lineRule="auto"/>
        <w:ind w:firstLine="851"/>
        <w:rPr>
          <w:rFonts w:ascii="Times New Roman" w:hAnsi="Times New Roman" w:cs="Times New Roman"/>
          <w:sz w:val="23"/>
          <w:szCs w:val="23"/>
        </w:rPr>
      </w:pP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b) certidão de regularidade da empresa licitante e do(s) profissional(is) responsável(is) junto ao Conselho Regional de Química – CRQ ou ao Conselho Regional de Engenharia e Agronomia – CREA/RS, com data de expedição não superior a 60 (sessenta) dias;</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apresentação de, no mínimo, 01 (um) atestado de capacidade técnica, devidamente registrado ou visado pelo Conselho Regional de Química – CRQ ou pelo Conselho Regional de Engenharia e Agronomia – CREA, fornecido por pessoa jurídica de direito público ou privado, que comprove que a licitante já executou serviços pertinentes e compatíveis com o objeto da licitação;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d) Licença de Operação expedida pela FEPAM para a atividade de transporte de produtos químicos perigosos, tais como hipoclorito de sódio, ácido </w:t>
      </w:r>
      <w:proofErr w:type="spellStart"/>
      <w:r w:rsidRPr="00937AE7">
        <w:rPr>
          <w:rFonts w:ascii="Times New Roman" w:eastAsia="Arial" w:hAnsi="Times New Roman" w:cs="Times New Roman"/>
          <w:color w:val="000000"/>
          <w:sz w:val="23"/>
          <w:szCs w:val="23"/>
        </w:rPr>
        <w:t>fluorsilícico</w:t>
      </w:r>
      <w:proofErr w:type="spellEnd"/>
      <w:r w:rsidRPr="00937AE7">
        <w:rPr>
          <w:rFonts w:ascii="Times New Roman" w:eastAsia="Arial" w:hAnsi="Times New Roman" w:cs="Times New Roman"/>
          <w:color w:val="000000"/>
          <w:sz w:val="23"/>
          <w:szCs w:val="23"/>
        </w:rPr>
        <w:t xml:space="preserve"> ou </w:t>
      </w:r>
      <w:proofErr w:type="spellStart"/>
      <w:r w:rsidRPr="00937AE7">
        <w:rPr>
          <w:rFonts w:ascii="Times New Roman" w:eastAsia="Arial" w:hAnsi="Times New Roman" w:cs="Times New Roman"/>
          <w:color w:val="000000"/>
          <w:sz w:val="23"/>
          <w:szCs w:val="23"/>
        </w:rPr>
        <w:t>fluossilicato</w:t>
      </w:r>
      <w:proofErr w:type="spellEnd"/>
      <w:r w:rsidRPr="00937AE7">
        <w:rPr>
          <w:rFonts w:ascii="Times New Roman" w:eastAsia="Arial" w:hAnsi="Times New Roman" w:cs="Times New Roman"/>
          <w:color w:val="000000"/>
          <w:sz w:val="23"/>
          <w:szCs w:val="23"/>
        </w:rPr>
        <w:t xml:space="preserve"> de sódio, caracterizados como fontes móveis de poluição, em nome da empresa licitante;</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e) Licença de Operação expedida pelo órgão ambiental estadual ou municipal competente para a atividade de serviços de limpeza e desinfecção de reservatórios de água, em nome da empresa licitante;</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f) comprovante de destinação das embalagens de produtos químicos utilizados na atividade, classificados como resíduo classe I, em nome da empresa licitante, emitido por aterro industrial devidamente licenciado pela FEPAM;</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g) comprovação de que a licitante possui vínculo com profissional de nível técnico habilitado como Técnico em Química ou Técnico em Meio Ambiente, que será responsável pela execução operacional dos serviços de tratamento da água, com carga horária mínima de 20 (vinte) horas semanais, mediante apresentação de cópia do contrato de trabalho e da CTPS, ou outro documento equivalente que comprove o vínculo trabalhista, e comprovação de que o profissional indicado possui habilitação para exercer a atividade, mediante apresentação de certificado, diploma ou carteira do conselho emitido pelo órgão competente;</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h) certificados de treinamento em nome dos colaboradores da empresa licitante, comprovando que possuem qualificação técnica nos cursos NR 35 – Trabalho em Altura e NR 33 – Segurança e Saúde em Espaços Confinados;</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i) Laudos de Atendimento aos Requisitos da Saúde (LARS) dos produtos químicos utilizados no tratamento da água, bem como a Comprovação de Baixo Risco à Saúde (CBRS), em conformidade com a norma técnica ABNT NBR 15784:2023, conforme modelos estabelecidos na Nota Informativa nº 157/DSAST/SVS/MS/2014;</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j) caso a empresa licitante não possua laboratório próprio, deverá apresentar declaração assinada pelo responsável técnico do laboratório analítico que realizará as análises laboratoriais de controle do sistema ou da solução alternativa coletiva de abastecimento de água para consumo humano;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j.1) o laboratório analítico responsável pelas análises deverá atender às exigências do artigo 21 do Anexo XX da Portaria de Consolidação nº 05, de 03 de outubro de 2017, possuindo as respectivas licenças ambientais necessárias, alvará sanitário expedido pela Vigilância Sanitária Estadual e Certificado de Registro junto à FEPAM.</w:t>
      </w:r>
    </w:p>
    <w:p w:rsidR="004A36A2" w:rsidRPr="00937AE7" w:rsidRDefault="004A36A2" w:rsidP="004A36A2">
      <w:pPr>
        <w:spacing w:after="0" w:line="276" w:lineRule="auto"/>
        <w:ind w:firstLine="851"/>
        <w:rPr>
          <w:rFonts w:ascii="Times New Roman" w:hAnsi="Times New Roman" w:cs="Times New Roman"/>
          <w:sz w:val="23"/>
          <w:szCs w:val="23"/>
        </w:rPr>
      </w:pPr>
    </w:p>
    <w:p w:rsidR="004A36A2" w:rsidRPr="004A36A2" w:rsidRDefault="004A36A2" w:rsidP="004A36A2">
      <w:pPr>
        <w:spacing w:after="0" w:line="276" w:lineRule="auto"/>
        <w:ind w:firstLine="851"/>
        <w:jc w:val="both"/>
        <w:rPr>
          <w:rFonts w:ascii="Times New Roman" w:hAnsi="Times New Roman" w:cs="Times New Roman"/>
          <w:b/>
          <w:bCs/>
          <w:sz w:val="23"/>
          <w:szCs w:val="23"/>
        </w:rPr>
      </w:pPr>
      <w:r w:rsidRPr="004A36A2">
        <w:rPr>
          <w:rFonts w:ascii="Times New Roman" w:eastAsia="Arial" w:hAnsi="Times New Roman" w:cs="Times New Roman"/>
          <w:b/>
          <w:bCs/>
          <w:color w:val="000000"/>
          <w:sz w:val="23"/>
          <w:szCs w:val="23"/>
        </w:rPr>
        <w:t>11.9.5. Declarações:</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a) declaração firmada por contador ou técnico em contabilidade indicando o seu registro no Conselho Regional de Contabilidade – CRC, de que a licitante ostenta a condição de Microempresa, Empresa de Pequeno Porte, Microempreendedor Individual e/ou outro </w:t>
      </w:r>
      <w:r w:rsidRPr="00937AE7">
        <w:rPr>
          <w:rFonts w:ascii="Times New Roman" w:eastAsia="Arial" w:hAnsi="Times New Roman" w:cs="Times New Roman"/>
          <w:color w:val="000000"/>
          <w:sz w:val="23"/>
          <w:szCs w:val="23"/>
        </w:rPr>
        <w:lastRenderedPageBreak/>
        <w:t>enquadramento correspondente, conforme modelo constante no Anexo IV deste Edital ou Certidão da Junta Comercial de Enquadramento de Microempresa ou Empresa de Pequeno Porte, ambas emitida/firmada no prazo de até 90 (noventa) dias contados da data de abertura do Pregão;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declaração geral conjunta para habilitação, conforme modelo proposto no Anexo V deste Edital;</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declaração formal de conhecimento das obrigações, de possuir pessoal técnico adequado e disponível para a realização do objeto da licitação, conforme modelo constante no Anexo III deste Edital.</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11.9.5.1. A habilitação poderá ser realizada por processo eletrônico de comunicação a distância, anexando a devida documentação no portal </w:t>
      </w:r>
      <w:r w:rsidRPr="00937AE7">
        <w:rPr>
          <w:rFonts w:ascii="Times New Roman" w:eastAsia="Arial" w:hAnsi="Times New Roman" w:cs="Times New Roman"/>
          <w:b/>
          <w:bCs/>
          <w:color w:val="000000"/>
          <w:sz w:val="23"/>
          <w:szCs w:val="23"/>
        </w:rPr>
        <w:t>https://www.portaldecompraspublicas.com.br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11.10. Após a entrega dos documentos para habilitação, não será permitida a substituição ou a apresentação de novos documentos, salvo em sede de diligência, para: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11.10.1. complementação de informações acerca dos documentos já apresentados pelos licitantes e desde que necessária para apurar fatos existentes à época da abertura do certame;</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11.10.2. atualização de documentos cuja validade tenha expirado após a data de recebimento das propostas.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11.11. Havendo a necessidade de envio de documentos de habilitação complementares, necessários à confirmação daqueles exigidos neste Edital e já apresentados, o licitante será convocado a encaminhá-los, em formato digital, via sistema, no prazo de até 2 (duas) horas.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11.12.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11.13. A microempresa e a empresa de pequeno porte ou cooperativa, declarada vencedora que possuir restrição em qualquer dos documentos de regularidade fiscal e trabalhista, conforme arts. 42 e 43 da Lei Complementar nº 123/2006, terá sua habilitação condicionada à apresentação de nova documentação, que comprove sua regularidade, em 05 (cinco) dias úteis, a contar da data em que for declarada vencedora do certame, podendo ser prorrogado uma única vez, por igual período, a critério da Administração, desde que seja requerido pelo interessado, de forma motivada e durante o transcurso do respectivo prazo.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11.13.1. O benefício de que trata o item anterior não eximirá a microempresa ou a empresa de pequeno porte da apresentação de todos os documentos, ainda que apresentem alguma restrição.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11.13.2. A não regularização da documentação no prazo fixado implicará a inabilitação do licitante, sem prejuízo das penalidades previstas neste edital, sendo facultado à Administração convocar os licitantes remanescentes, na ordem de classificação, para a assinatura do contrato, ou revogar a licitação.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11.13.3. Se, na ordem de classificação, seguir-se outra microempresa, empresa de pequeno porte ou sociedade cooperativa com alguma restrição na documentação fiscal e trabalhista, será concedido o mesmo prazo para regularização.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11.14. Havendo necessidade de analisar minuciosamente os documentos exigidos, o Pregoeiro suspenderá a sessão, informando no chat a nova data e horário para a continuidade da mesma.</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11.15. Será inabilitado o licitante que não comprovar sua habilitação, seja por não apresentar quaisquer dos documentos exigidos, ou apresentá-los em desacordo com o estabelecido neste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11.16.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11.17. Não havendo a comprovação cumulativa dos requisitos de habilitação, a inabilitação recairá sobre o(s) item(</w:t>
      </w:r>
      <w:proofErr w:type="spellStart"/>
      <w:r w:rsidRPr="00937AE7">
        <w:rPr>
          <w:rFonts w:ascii="Times New Roman" w:eastAsia="Arial" w:hAnsi="Times New Roman" w:cs="Times New Roman"/>
          <w:color w:val="000000"/>
          <w:sz w:val="23"/>
          <w:szCs w:val="23"/>
        </w:rPr>
        <w:t>ns</w:t>
      </w:r>
      <w:proofErr w:type="spellEnd"/>
      <w:r w:rsidRPr="00937AE7">
        <w:rPr>
          <w:rFonts w:ascii="Times New Roman" w:eastAsia="Arial" w:hAnsi="Times New Roman" w:cs="Times New Roman"/>
          <w:color w:val="000000"/>
          <w:sz w:val="23"/>
          <w:szCs w:val="23"/>
        </w:rPr>
        <w:t>) de menor(</w:t>
      </w:r>
      <w:proofErr w:type="spellStart"/>
      <w:r w:rsidRPr="00937AE7">
        <w:rPr>
          <w:rFonts w:ascii="Times New Roman" w:eastAsia="Arial" w:hAnsi="Times New Roman" w:cs="Times New Roman"/>
          <w:color w:val="000000"/>
          <w:sz w:val="23"/>
          <w:szCs w:val="23"/>
        </w:rPr>
        <w:t>es</w:t>
      </w:r>
      <w:proofErr w:type="spellEnd"/>
      <w:r w:rsidRPr="00937AE7">
        <w:rPr>
          <w:rFonts w:ascii="Times New Roman" w:eastAsia="Arial" w:hAnsi="Times New Roman" w:cs="Times New Roman"/>
          <w:color w:val="000000"/>
          <w:sz w:val="23"/>
          <w:szCs w:val="23"/>
        </w:rPr>
        <w:t>) valor(</w:t>
      </w:r>
      <w:proofErr w:type="spellStart"/>
      <w:r w:rsidRPr="00937AE7">
        <w:rPr>
          <w:rFonts w:ascii="Times New Roman" w:eastAsia="Arial" w:hAnsi="Times New Roman" w:cs="Times New Roman"/>
          <w:color w:val="000000"/>
          <w:sz w:val="23"/>
          <w:szCs w:val="23"/>
        </w:rPr>
        <w:t>es</w:t>
      </w:r>
      <w:proofErr w:type="spellEnd"/>
      <w:r w:rsidRPr="00937AE7">
        <w:rPr>
          <w:rFonts w:ascii="Times New Roman" w:eastAsia="Arial" w:hAnsi="Times New Roman" w:cs="Times New Roman"/>
          <w:color w:val="000000"/>
          <w:sz w:val="23"/>
          <w:szCs w:val="23"/>
        </w:rPr>
        <w:t>) cuja retirada(s) seja(m) suficiente(s) para a habilitação do licitante nos remanescentes.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11.18. Se a licitante for matriz, todos os documentos deverão estar em nome da matriz.</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11.18.1. Se a licitante for filial, todos os documentos deverão estar em nome da filial, exceto aqueles que, pela própria natureza, comprovadamente, forem emitidos somente em nome da matriz.</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11.19. Os documentos que dependam de prazo de validade e que não contenham esse prazo especificado no próprio corpo, em lei ou neste processo, devem ter sido expedidos em no máximo 90 (noventa) dias anteriores à data determinada para a sessão pública para abertura das propostas.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11.20. Constatado o atendimento às exigências de habilitação fixadas no Edital, o licitante será declarado vencedor.</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11.21. Não serão aceitos protocolos de entrega ou solicitação de documento, em substituição aos documentos requeridos no presente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11.22. A empresa licitante que, convocada, deixar de entregar a documentação, entregar documentação falsa ou não mantiver sua proposta ficará passível da aplicação de multa pecuniária de até 10% sobre o valor total de sua proposta, assim como da suspensão temporária do direito de participar de licitações deflagradas pelo Município de Teutônia, bem como do impedimento de contratar com o mesmo, pelo período de até 03 (três) anos.</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12. DO ENCAMINHAMENTO DA PROPOSTA VENCEDORA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12.1. A proposta final do licitante declarado vencedor deverá ser encaminhada no prazo de até 02 (duas) horas, a contar da solicitação do Pregoeiro no sistema eletrônico, e deverá:</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12.1.1. Ser redigida em língua portuguesa, digitada, em uma via, sem emendas, rasuras, entrelinhas ou ressalvas, devendo a última folha ser assinada e as demais rubricadas pelo licitante ou seu representante legal.</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12.1.2. Conter a indicação da instituição financeira, número da conta e agência do licitante vencedor, para fins de pagamento.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12.2. A proposta final deverá ser documentada nos autos e será levada em consideração no decorrer da execução do contrato e aplicação de eventual sanção à licitante, se for o caso.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12.3. Todas as especificações do objeto contidas na proposta, tais como marca, modelo, tipo, fabricante e procedência, vinculam a contratada, quando compatíveis com o serviço ofertado.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12.4. Os preços deverão ser expressos em moeda corrente nacional, o valor unitário em algarismos e o valor global em algarismos e por extenso.</w:t>
      </w:r>
    </w:p>
    <w:p w:rsidR="004A36A2" w:rsidRPr="00937AE7" w:rsidRDefault="004A36A2" w:rsidP="004A36A2">
      <w:pPr>
        <w:spacing w:after="0" w:line="276" w:lineRule="auto"/>
        <w:ind w:firstLine="1134"/>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12.4.1. Ocorrendo divergência entre os preços unitários e o preço global, prevalecerão os primeiros; no caso de divergência entre os valores numéricos e os valores expressos por extenso, prevalecerão estes últimos.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12.5. A oferta deverá ser firme e precisa, limitada, rigorosamente, ao objeto deste Edital, sem conter alternativas de preço ou de qualquer outra condição que induza o julgamento a mais de um resultado, sob pena de desclassificação.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12.6. A proposta deverá obedecer aos termos deste Edital, não sendo considerada aquela que não corresponda às especificações ali contidas ou que estabeleça vínculo à proposta de outro licitante.</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13. DO RECURSO ADMINISTRATIVO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13.1. Caberá recurso, no prazo de 3 (três) dias úteis, contado da data de intimação ou de lavratura da ata, em face de:</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ato que defira ou indefira pedido de pré-qualificação de interessado ou de inscrição em registro cadastral, sua alteração ou cancelamento;</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julgamento das propostas;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ato de habilitação ou inabilitação de licitante;</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d) anulação ou revogação da licitação.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13.2. O prazo para apresentação de contrarrazões será o mesmo do recurso e terá início na data de intimação pessoal ou de divulgação da interposição do recurso.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13.3. Quanto ao recurso apresentado em virtude do disposto nas alíneas “b” e “c” do item 13.1 do presente Edital, serão observadas as seguintes disposições: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a intenção de recorrer deverá ser manifestada imediatamente, sob pena de preclusão, e o prazo para apresentação das razões recursais será iniciado na data de intimação ou de lavratura da ata de habilitação ou inabilitação;</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a apreciação dar-se-á em fase única.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13.4. O recurso será dirigido à autoridade que tiver editado o ato ou proferido a decisão recorrida, que, se não reconsiderar o ato ou a decisão no prazo de 3 (três) dias úteis, encaminhará o recurso com sua motivação à autoridade superior, a qual deverá proferir sua decisão no prazo máximo de 10 (dez) dias úteis, contado do recebimento dos autos.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13.5. O acolhimento do recurso implicará invalidação apenas de ato insuscetível de aproveitamento.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13.6. O recurso interposto dará efeito suspensivo ao ato ou à decisão recorrida, até que sobrevenha decisão final da autoridade competente.</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14. DA REABERTURA DA SESSÃO PÚBLICA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14.1. A sessão pública poderá ser reaberta:</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14.1.1. Nas hipóteses de provimento de recurso que leve à anulação de atos anteriores à realização da sessão pública precedente ou em que seja anulada a própria sessão pública, situação em que serão repetidos os atos anulados e os que deles dependam.</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14.1.2.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lastRenderedPageBreak/>
        <w:t>15. DO ENCERRAMENTO DA LICITAÇÃO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15.1. Encerradas as fases de julgamento e habilitação, e exauridos os recursos administrativos, o processo licitatório será encaminhado à autoridade superior, que poderá:</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determinar o retorno dos autos para saneamento de irregularidades;</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revogar a licitação por motivo de conveniência e oportunidade;</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c) proceder à anulação da licitação, de ofício ou mediante provocação de terceiros, sempre que presente ilegalidade insanável;</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d) adjudicar o objeto e homologar a licitação.</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16. CONDIÇÕES DE CONTRATAÇÃO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16.1. O licitante vencedor será convocado para assinar o contrato, dentro do prazo de 5 (cinco) dias úteis, sob pena de decair o direito à contratação, sem prejuízo das sanções previstas neste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16.2. O prazo de convocação poderá ser prorrogado 1 (uma) vez, por igual período, mediante solicitação da parte, durante seu transcurso, devidamente justificada, e desde que o motivo apresentado seja aceito pela Administração.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16.3.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16.4. Decorrido o prazo de validade da proposta indicado no item 6.1.4.2 deste Edital, sem convocação para a contratação, ficarão os licitantes liberados dos compromissos assumidos.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16.5. Na hipótese de nenhum dos licitantes aceitar a contratação, nos termos do 16.3 deste Edital, a Administração, observados o valor estimado e sua eventual atualização nos termos do edital, poderá:</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a) convocar os licitantes remanescentes para negociação, na ordem de classificação, com vistas à obtenção de preço melhor, mesmo que acima do preço do adjudicatário;</w:t>
      </w:r>
    </w:p>
    <w:p w:rsidR="004A36A2" w:rsidRPr="00937AE7" w:rsidRDefault="004A36A2" w:rsidP="004A36A2">
      <w:pPr>
        <w:spacing w:after="0" w:line="276" w:lineRule="auto"/>
        <w:ind w:left="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b) adjudicar e celebrar o contrato nas condições ofertadas pelos licitantes remanescentes, atendida a ordem classificatória, quando frustrada a negociação de melhor condição.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16.6. A recusa injustificada do adjudicatário em assinar o contrato no prazo estabelecido pela Administração caracterizará o descumprimento total da obrigação assumida e o sujeitará às penalidades legalmente estabelecidas, previstas neste edital, sem prejuízo das demais sanções cabíveis.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16.7. Se esgotado o prazo e o licitante vencedor não apresentar a documentação constante no subitem anterior, a licitante será desclassificada e serão convocados os licitantes remanescentes, na ordem de classificação, em igual prazo e nas mesmas condições propostas pelo primeiro convocado, inclusive quanto aos preços e critérios previstos neste edital.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16.8. Assistirá à Contratante o direito de rejeitar qualquer empregado da Contratada e solicitar a sua substituição, caso o mesmo não apresente comportamento condizente com suas funções e com as normas estabelecidas, obrigando-se esta a respeitar e acatar as decisões da Contratante.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16.9. No ato da assinatura do contrato, a empresa vencedora deverá apresentar a Anotação de Responsabilidade Técnica (ART) ou Anotação de Função Técnica (AFT), contendo a descrição detalhada das atividades pelas quais o profissional será responsável, em conformidade com o contrato de prestação de serviços.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16.10. A ART ou AFT deverá ser mantida válida e atualizada durante toda a vigência contratual. A não apresentação do referido documento no momento da assinatura do contrato implicará a desclassificação da empresa.</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17. DA VIGÊNCIA DO CONTRATO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17.1. O contrato decorrente da presente licitação terá o prazo de vigência de 12 (doze) meses, a contar da data de assinatura deste, podendo ser prorrogado, sucessivamente, por iguais períodos, respeitada a vigência máxima decenal, a critério da Administração, e se a contratada mantiver a idoneidade e se os serviços prestados satisfizerem a Administração.</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17.1.1. Havendo a prorrogação do prazo de vigência do contrato a ser formalizado, os valores pactuados poderão ser reajustados, adotando-se o índice do IPCA ou outro que vier a substituí-lo, considerando o valor acumulado nos 12 meses anteriores à prorrogação.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17.2. A contratada se obriga a manter, durante toda a vigência do contrato, em compatibilidade com as obrigações por ela assumidas, as condições básicas de habilitação e qualificação exigidas.</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18. DA EXECUÇÃO DO CONTRATO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18.1. A execução dos serviços deverá observar, obrigatoriamente, os planos mínimos de amostragem estabelecidos na Portaria de Consolidação nº 5/2017 do Ministério da Saúde e demais normativas aplicáveis à matéria.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18.2. Para cada poço tubular integrante do sistema, a contratada deverá realizar as coletas e análises laboratoriais de acordo com o número mínimo de amostras e a frequência especificados no Termo de Referência.</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18.3. A contratada deverá apresentar, até o 10º (décimo) dia do mês subsequente, os laudos das análises realizadas pelo laboratório analítico, acompanhados dos dados referentes ao resumo do controle devidamente preenchido, conforme modelo a ser definido pelo responsável pelo Programa VIGIAGUA do Município.</w:t>
      </w:r>
    </w:p>
    <w:p w:rsidR="004A36A2" w:rsidRPr="00937AE7" w:rsidRDefault="004A36A2" w:rsidP="004A36A2">
      <w:pPr>
        <w:spacing w:after="0" w:line="276" w:lineRule="auto"/>
        <w:rPr>
          <w:rFonts w:ascii="Times New Roman" w:hAnsi="Times New Roman" w:cs="Times New Roman"/>
          <w:sz w:val="23"/>
          <w:szCs w:val="23"/>
        </w:rPr>
      </w:pP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19. DA FISCALIZAÇÃO</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 xml:space="preserve">19.1. O acompanhamento e fiscalização deste contrato será realizado pelos servidores públicos </w:t>
      </w:r>
      <w:r w:rsidRPr="00937AE7">
        <w:rPr>
          <w:rFonts w:ascii="Times New Roman" w:eastAsia="Arial" w:hAnsi="Times New Roman" w:cs="Times New Roman"/>
          <w:b/>
          <w:bCs/>
          <w:color w:val="000000"/>
          <w:sz w:val="23"/>
          <w:szCs w:val="23"/>
        </w:rPr>
        <w:t xml:space="preserve">Ivo João </w:t>
      </w:r>
      <w:proofErr w:type="spellStart"/>
      <w:r w:rsidRPr="00937AE7">
        <w:rPr>
          <w:rFonts w:ascii="Times New Roman" w:eastAsia="Arial" w:hAnsi="Times New Roman" w:cs="Times New Roman"/>
          <w:b/>
          <w:bCs/>
          <w:color w:val="000000"/>
          <w:sz w:val="23"/>
          <w:szCs w:val="23"/>
        </w:rPr>
        <w:t>Freisleben</w:t>
      </w:r>
      <w:proofErr w:type="spellEnd"/>
      <w:r w:rsidRPr="00937AE7">
        <w:rPr>
          <w:rFonts w:ascii="Times New Roman" w:eastAsia="Arial" w:hAnsi="Times New Roman" w:cs="Times New Roman"/>
          <w:color w:val="000000"/>
          <w:sz w:val="23"/>
          <w:szCs w:val="23"/>
        </w:rPr>
        <w:t xml:space="preserve"> e </w:t>
      </w:r>
      <w:r w:rsidRPr="00937AE7">
        <w:rPr>
          <w:rFonts w:ascii="Times New Roman" w:eastAsia="Arial" w:hAnsi="Times New Roman" w:cs="Times New Roman"/>
          <w:b/>
          <w:bCs/>
          <w:color w:val="000000"/>
          <w:sz w:val="23"/>
          <w:szCs w:val="23"/>
        </w:rPr>
        <w:t>Evandro do Canto Borba</w:t>
      </w:r>
      <w:r w:rsidRPr="00937AE7">
        <w:rPr>
          <w:rFonts w:ascii="Times New Roman" w:eastAsia="Arial" w:hAnsi="Times New Roman" w:cs="Times New Roman"/>
          <w:color w:val="000000"/>
          <w:sz w:val="23"/>
          <w:szCs w:val="23"/>
        </w:rPr>
        <w:t xml:space="preserve">, e ainda pela Secretaria Municipal de Obras, Viação e Transportes, a qual atuará como gestora do contrato. Para fins de contato, disponibilizam-se o telefone </w:t>
      </w:r>
      <w:r w:rsidRPr="00937AE7">
        <w:rPr>
          <w:rFonts w:ascii="Times New Roman" w:eastAsia="Arial" w:hAnsi="Times New Roman" w:cs="Times New Roman"/>
          <w:b/>
          <w:bCs/>
          <w:color w:val="000000"/>
          <w:sz w:val="23"/>
          <w:szCs w:val="23"/>
        </w:rPr>
        <w:t>(51) 3762-7700, ramal 5105</w:t>
      </w:r>
      <w:r w:rsidRPr="00937AE7">
        <w:rPr>
          <w:rFonts w:ascii="Times New Roman" w:eastAsia="Arial" w:hAnsi="Times New Roman" w:cs="Times New Roman"/>
          <w:color w:val="000000"/>
          <w:sz w:val="23"/>
          <w:szCs w:val="23"/>
        </w:rPr>
        <w:t xml:space="preserve">, e o e-mail </w:t>
      </w:r>
      <w:r w:rsidRPr="00937AE7">
        <w:rPr>
          <w:rFonts w:ascii="Times New Roman" w:eastAsia="Arial" w:hAnsi="Times New Roman" w:cs="Times New Roman"/>
          <w:b/>
          <w:bCs/>
          <w:color w:val="000000"/>
          <w:sz w:val="23"/>
          <w:szCs w:val="23"/>
        </w:rPr>
        <w:t>obras@teutonia.rs.gov.br</w:t>
      </w:r>
      <w:r w:rsidRPr="00937AE7">
        <w:rPr>
          <w:rFonts w:ascii="Times New Roman" w:eastAsia="Arial" w:hAnsi="Times New Roman" w:cs="Times New Roman"/>
          <w:color w:val="000000"/>
          <w:sz w:val="23"/>
          <w:szCs w:val="23"/>
        </w:rPr>
        <w:t>.</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19.2. Todos os atos de fiscalização serão formalizados com a empresa licitante vencedora, mediante comunicação eletrônica para endereço eletrônico a ser indicado pela mesma. A comunicação por endereço eletrônico não afasta a possibilidade de realizar comunicação concomitante por meio de telefone e/ou aplicativo de mensagens.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19.3. Será realizada com a licitante vencedora reunião inicial de alinhamento com o objetivo de nivelar os entendimentos acerca das condições estabelecidas neste Edital, no Contrato e demais anexos, e esclarecer possíveis dúvidas acerca da execução dos serviços.</w:t>
      </w:r>
    </w:p>
    <w:p w:rsidR="004A36A2" w:rsidRPr="00937AE7" w:rsidRDefault="004A36A2" w:rsidP="004A36A2">
      <w:pPr>
        <w:spacing w:after="0" w:line="276" w:lineRule="auto"/>
        <w:ind w:firstLine="851"/>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19.3.1. Na reunião inicial, a licitante vencedora deverá apresentar o Preposto da empresa, por intermédio de carta de apresentação contendo, no mínimo, nome completo e CPF do funcionário designado para acompanhar a execução do contrato e atuar como interlocutor principal junto ao CONTRATANTE.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lastRenderedPageBreak/>
        <w:t>19.4. Poderá haver a nomeação de gestor e/ou fiscal substituto que atuará como titular do contrato na ausência e nos impedimentos eventuais e regulamentares do titular.</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19.5. As decisões e providências que ultrapassarem a competência do Gestor do Contrato serão submetidas à apreciação da autoridade competente do CONTRATANTE, para adoção das medidas cabíveis.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19.6. É direito da Fiscalização rejeitar quaisquer serviços quando entender que sua execução esteja fora dos padrões técnicos e de qualidade definidos neste Edital, no Contrato e nos demais anexos, devendo a CONTRATADA reparar, corrigir ou substituir os serviços e peças rejeitados pela fiscalização, nos termos da Lei nº 14.133/2021.</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19.7. A fiscalização do contrato será auxiliada pelos órgãos de assessoramento jurídico e de controle interno da Administração, que deverão dirimir dúvidas e subsidiá-la com informações relevantes para prevenir riscos na execução contratual.</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19.8. Quaisquer exigências da fiscalização, inerentes ao objeto do Contrato, deverão ser prontamente atendidas pela CONTRATADA sem ônus para o CONTRATANTE.</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19.9.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4A36A2" w:rsidRPr="00937AE7" w:rsidRDefault="004A36A2" w:rsidP="004A36A2">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19.10. A CONTRATADA será responsável pelos danos causados diretamente à Administração ou a terceiros em razão da execução do contrato, e não excluirá nem reduzirá essa responsabilidade a fiscalização ou o acompanhamento pelo CONTRATANTE.</w:t>
      </w:r>
    </w:p>
    <w:p w:rsidR="004A36A2" w:rsidRPr="00937AE7" w:rsidRDefault="004A36A2" w:rsidP="0090421E">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color w:val="000000"/>
          <w:sz w:val="23"/>
          <w:szCs w:val="23"/>
        </w:rPr>
        <w:t>19.11. A comunicação entre o CONTRATANTE e a CONTRATADA será realizada por meio eletrônico, via e-mail, aplicativo de mensagens, telefone e via correspondência, encaminhada aos endereços ou telefone indicado pelo Gestor e/ou Fiscal do contrato.</w:t>
      </w:r>
    </w:p>
    <w:p w:rsidR="004A36A2" w:rsidRPr="00937AE7" w:rsidRDefault="004A36A2" w:rsidP="004A36A2">
      <w:pPr>
        <w:spacing w:after="0" w:line="276" w:lineRule="auto"/>
        <w:rPr>
          <w:rFonts w:ascii="Times New Roman" w:hAnsi="Times New Roman" w:cs="Times New Roman"/>
          <w:sz w:val="23"/>
          <w:szCs w:val="23"/>
        </w:rPr>
      </w:pPr>
    </w:p>
    <w:p w:rsidR="003B1095" w:rsidRDefault="004A36A2" w:rsidP="003B1095">
      <w:pPr>
        <w:spacing w:after="0" w:line="276" w:lineRule="auto"/>
        <w:jc w:val="both"/>
        <w:rPr>
          <w:rFonts w:ascii="Times New Roman" w:hAnsi="Times New Roman" w:cs="Times New Roman"/>
          <w:sz w:val="23"/>
          <w:szCs w:val="23"/>
        </w:rPr>
      </w:pPr>
      <w:r w:rsidRPr="00937AE7">
        <w:rPr>
          <w:rFonts w:ascii="Times New Roman" w:eastAsia="Arial" w:hAnsi="Times New Roman" w:cs="Times New Roman"/>
          <w:b/>
          <w:bCs/>
          <w:color w:val="000000"/>
          <w:sz w:val="23"/>
          <w:szCs w:val="23"/>
        </w:rPr>
        <w:t>20. DAS CONDIÇÕES DE PAGAMENTO E DOTAÇÕES ORÇAMENTÁRIAS</w:t>
      </w:r>
      <w:r w:rsidR="00957E92" w:rsidRPr="00957E92">
        <w:rPr>
          <w:rFonts w:ascii="Times New Roman" w:hAnsi="Times New Roman" w:cs="Times New Roman"/>
          <w:sz w:val="23"/>
          <w:szCs w:val="23"/>
        </w:rPr>
        <w:br/>
        <w:t>20.1. O Município pagará mensalmente à CONTRATADA os serviços prestados no mês correspondente, de acordo com a proposta de preços acordada em licitação, devendo apresentar nota fiscal e relatório mensal dos serviços prestados.</w:t>
      </w:r>
      <w:r w:rsidR="00957E92" w:rsidRPr="00957E92">
        <w:rPr>
          <w:rFonts w:ascii="Times New Roman" w:hAnsi="Times New Roman" w:cs="Times New Roman"/>
          <w:sz w:val="23"/>
          <w:szCs w:val="23"/>
        </w:rPr>
        <w:br/>
      </w:r>
      <w:r w:rsidR="00957E92">
        <w:rPr>
          <w:rFonts w:ascii="Times New Roman" w:hAnsi="Times New Roman" w:cs="Times New Roman"/>
          <w:sz w:val="23"/>
          <w:szCs w:val="23"/>
        </w:rPr>
        <w:tab/>
      </w:r>
      <w:r w:rsidR="00957E92" w:rsidRPr="00957E92">
        <w:rPr>
          <w:rFonts w:ascii="Times New Roman" w:hAnsi="Times New Roman" w:cs="Times New Roman"/>
          <w:sz w:val="23"/>
          <w:szCs w:val="23"/>
        </w:rPr>
        <w:t>20.1.1. As notas fiscais deverão ser enviadas dentro do mês de competência para os e-mails </w:t>
      </w:r>
      <w:r w:rsidR="00957E92" w:rsidRPr="00957E92">
        <w:rPr>
          <w:rFonts w:ascii="Times New Roman" w:hAnsi="Times New Roman" w:cs="Times New Roman"/>
          <w:b/>
          <w:bCs/>
          <w:sz w:val="23"/>
          <w:szCs w:val="23"/>
        </w:rPr>
        <w:t>compras1@teutonia.rs.gov.br</w:t>
      </w:r>
      <w:r w:rsidR="00957E92" w:rsidRPr="00957E92">
        <w:rPr>
          <w:rFonts w:ascii="Times New Roman" w:hAnsi="Times New Roman" w:cs="Times New Roman"/>
          <w:sz w:val="23"/>
          <w:szCs w:val="23"/>
        </w:rPr>
        <w:t> e </w:t>
      </w:r>
      <w:r w:rsidR="00957E92" w:rsidRPr="00957E92">
        <w:rPr>
          <w:rFonts w:ascii="Times New Roman" w:hAnsi="Times New Roman" w:cs="Times New Roman"/>
          <w:b/>
          <w:bCs/>
          <w:sz w:val="23"/>
          <w:szCs w:val="23"/>
        </w:rPr>
        <w:t>obras@teutonia.rs.gov.br</w:t>
      </w:r>
      <w:r w:rsidR="00957E92" w:rsidRPr="00957E92">
        <w:rPr>
          <w:rFonts w:ascii="Times New Roman" w:hAnsi="Times New Roman" w:cs="Times New Roman"/>
          <w:sz w:val="23"/>
          <w:szCs w:val="23"/>
        </w:rPr>
        <w:t>, e deverão ser emitidas contendo os dados da Prefeitura Municipal de Teutônia, inscrita no CNPJ sob nº </w:t>
      </w:r>
      <w:r w:rsidR="00957E92" w:rsidRPr="00957E92">
        <w:rPr>
          <w:rFonts w:ascii="Times New Roman" w:hAnsi="Times New Roman" w:cs="Times New Roman"/>
          <w:b/>
          <w:bCs/>
          <w:sz w:val="23"/>
          <w:szCs w:val="23"/>
        </w:rPr>
        <w:t>88.661.400/0001-99</w:t>
      </w:r>
      <w:r w:rsidR="00957E92" w:rsidRPr="00957E92">
        <w:rPr>
          <w:rFonts w:ascii="Times New Roman" w:hAnsi="Times New Roman" w:cs="Times New Roman"/>
          <w:sz w:val="23"/>
          <w:szCs w:val="23"/>
        </w:rPr>
        <w:t>.</w:t>
      </w:r>
      <w:r w:rsidR="00957E92" w:rsidRPr="00957E92">
        <w:rPr>
          <w:rFonts w:ascii="Times New Roman" w:hAnsi="Times New Roman" w:cs="Times New Roman"/>
          <w:sz w:val="23"/>
          <w:szCs w:val="23"/>
        </w:rPr>
        <w:br/>
      </w:r>
      <w:r w:rsidR="00957E92">
        <w:rPr>
          <w:rFonts w:ascii="Times New Roman" w:hAnsi="Times New Roman" w:cs="Times New Roman"/>
          <w:sz w:val="23"/>
          <w:szCs w:val="23"/>
        </w:rPr>
        <w:tab/>
      </w:r>
      <w:r w:rsidR="00957E92" w:rsidRPr="00957E92">
        <w:rPr>
          <w:rFonts w:ascii="Times New Roman" w:hAnsi="Times New Roman" w:cs="Times New Roman"/>
          <w:sz w:val="23"/>
          <w:szCs w:val="23"/>
        </w:rPr>
        <w:t>20.1.2. O pagamento será feito pelo Contratante até o 10º (décimo) dia útil do mês subsequente ao da realização do serviço, através de transferência bancária ou boleto, mediante apresentação da competente Nota Fiscal ou Fatura, uma vez satisfeitas as condições estabelecidas neste instrumento convocatório e ateste do fiscal do contrato.</w:t>
      </w:r>
      <w:r w:rsidR="00957E92" w:rsidRPr="00957E92">
        <w:rPr>
          <w:rFonts w:ascii="Times New Roman" w:hAnsi="Times New Roman" w:cs="Times New Roman"/>
          <w:sz w:val="23"/>
          <w:szCs w:val="23"/>
        </w:rPr>
        <w:br/>
        <w:t>20.2. A nota fiscal/fatura emitida pelo fornecedor deverá conter, em local de fácil visualização, a indicação do número do pregão eletrônico e do contrato, a fim de se acelerar a liberação do documento fiscal para pagamento.</w:t>
      </w:r>
      <w:r w:rsidR="00957E92" w:rsidRPr="00957E92">
        <w:rPr>
          <w:rFonts w:ascii="Times New Roman" w:hAnsi="Times New Roman" w:cs="Times New Roman"/>
          <w:sz w:val="23"/>
          <w:szCs w:val="23"/>
        </w:rPr>
        <w:br/>
        <w:t>20.3. A critério do contratante poderão ser utilizados os pagamentos devidos para cobrir dívidas de responsabilidade da contratada para com ele, relativas a multas que lhe tenham sido aplicadas em decorrência da irregular execução contratual.</w:t>
      </w:r>
      <w:r w:rsidR="00957E92" w:rsidRPr="00957E92">
        <w:rPr>
          <w:rFonts w:ascii="Times New Roman" w:hAnsi="Times New Roman" w:cs="Times New Roman"/>
          <w:sz w:val="23"/>
          <w:szCs w:val="23"/>
        </w:rPr>
        <w:br/>
        <w:t xml:space="preserve">20.4. A nota fiscal/fatura deverá ser emitida pela própria contratada, obrigatoriamente com o </w:t>
      </w:r>
      <w:r w:rsidR="00957E92" w:rsidRPr="00957E92">
        <w:rPr>
          <w:rFonts w:ascii="Times New Roman" w:hAnsi="Times New Roman" w:cs="Times New Roman"/>
          <w:sz w:val="23"/>
          <w:szCs w:val="23"/>
        </w:rPr>
        <w:lastRenderedPageBreak/>
        <w:t xml:space="preserve">número de inscrição no CNPJ apresentado nos documentos de habilitação e das propostas de preços, bem como da Nota de Empenho, não se admitindo notas fiscais/faturas emitidas com outros </w:t>
      </w:r>
      <w:proofErr w:type="spellStart"/>
      <w:r w:rsidR="00957E92" w:rsidRPr="00957E92">
        <w:rPr>
          <w:rFonts w:ascii="Times New Roman" w:hAnsi="Times New Roman" w:cs="Times New Roman"/>
          <w:sz w:val="23"/>
          <w:szCs w:val="23"/>
        </w:rPr>
        <w:t>CNPJs</w:t>
      </w:r>
      <w:proofErr w:type="spellEnd"/>
      <w:r w:rsidR="00957E92" w:rsidRPr="00957E92">
        <w:rPr>
          <w:rFonts w:ascii="Times New Roman" w:hAnsi="Times New Roman" w:cs="Times New Roman"/>
          <w:sz w:val="23"/>
          <w:szCs w:val="23"/>
        </w:rPr>
        <w:t>.</w:t>
      </w:r>
      <w:r w:rsidR="00957E92" w:rsidRPr="00957E92">
        <w:rPr>
          <w:rFonts w:ascii="Times New Roman" w:hAnsi="Times New Roman" w:cs="Times New Roman"/>
          <w:sz w:val="23"/>
          <w:szCs w:val="23"/>
        </w:rPr>
        <w:br/>
        <w:t>20.5. Além da nota fiscal eletrônica e/ou fatura dos serviços prestados, a empresa deverá apresentar e manter atualizados, durante a vigência contratual, os seguintes documentos:</w:t>
      </w:r>
      <w:r w:rsidR="00957E92" w:rsidRPr="00957E92">
        <w:rPr>
          <w:rFonts w:ascii="Times New Roman" w:hAnsi="Times New Roman" w:cs="Times New Roman"/>
          <w:sz w:val="23"/>
          <w:szCs w:val="23"/>
        </w:rPr>
        <w:br/>
        <w:t>a) regularidade com o FGTS (CRF);</w:t>
      </w:r>
      <w:r w:rsidR="00957E92" w:rsidRPr="00957E92">
        <w:rPr>
          <w:rFonts w:ascii="Times New Roman" w:hAnsi="Times New Roman" w:cs="Times New Roman"/>
          <w:sz w:val="23"/>
          <w:szCs w:val="23"/>
        </w:rPr>
        <w:br/>
        <w:t>b) prova de regularidade para com a Fazenda Federal;</w:t>
      </w:r>
      <w:r w:rsidR="00957E92" w:rsidRPr="00957E92">
        <w:rPr>
          <w:rFonts w:ascii="Times New Roman" w:hAnsi="Times New Roman" w:cs="Times New Roman"/>
          <w:sz w:val="23"/>
          <w:szCs w:val="23"/>
        </w:rPr>
        <w:br/>
        <w:t>c) prova de regularidade referente aos tributos estaduais e municipais, sendo o último da sede da licitante.</w:t>
      </w:r>
      <w:r w:rsidR="00957E92" w:rsidRPr="00957E92">
        <w:rPr>
          <w:rFonts w:ascii="Times New Roman" w:hAnsi="Times New Roman" w:cs="Times New Roman"/>
          <w:sz w:val="23"/>
          <w:szCs w:val="23"/>
        </w:rPr>
        <w:br/>
        <w:t>20.6. Serão processadas as retenções tributárias e previdenciárias nos termos da legislação que regula a matéria.</w:t>
      </w:r>
      <w:r w:rsidR="00957E92" w:rsidRPr="00957E92">
        <w:rPr>
          <w:rFonts w:ascii="Times New Roman" w:hAnsi="Times New Roman" w:cs="Times New Roman"/>
          <w:sz w:val="23"/>
          <w:szCs w:val="23"/>
        </w:rPr>
        <w:br/>
        <w:t>20.7. Ocorrendo atraso no pagamento, os valores serão corrigidos monetariamente pelo Índice Nacional de Preços ao Consumidor Amplo (IPCA) do período, e a Administração compensará a contratada com juros de 0,5% ao mês, pro rata.</w:t>
      </w:r>
      <w:r w:rsidR="00957E92" w:rsidRPr="00957E92">
        <w:rPr>
          <w:rFonts w:ascii="Times New Roman" w:hAnsi="Times New Roman" w:cs="Times New Roman"/>
          <w:sz w:val="23"/>
          <w:szCs w:val="23"/>
        </w:rPr>
        <w:br/>
        <w:t>20.8. As despesas correrão nas seguintes dotações orçamentárias:</w:t>
      </w:r>
      <w:r w:rsidR="00957E92" w:rsidRPr="00957E92">
        <w:rPr>
          <w:rFonts w:ascii="Times New Roman" w:hAnsi="Times New Roman" w:cs="Times New Roman"/>
          <w:sz w:val="23"/>
          <w:szCs w:val="23"/>
        </w:rPr>
        <w:br/>
        <w:t>03 – Secretaria Municipal de Obras, Viação e Transportes</w:t>
      </w:r>
      <w:r w:rsidR="00957E92" w:rsidRPr="00957E92">
        <w:rPr>
          <w:rFonts w:ascii="Times New Roman" w:hAnsi="Times New Roman" w:cs="Times New Roman"/>
          <w:sz w:val="23"/>
          <w:szCs w:val="23"/>
        </w:rPr>
        <w:br/>
        <w:t>04 – Setor de Abastecimento de Água</w:t>
      </w:r>
      <w:r w:rsidR="00957E92" w:rsidRPr="00957E92">
        <w:rPr>
          <w:rFonts w:ascii="Times New Roman" w:hAnsi="Times New Roman" w:cs="Times New Roman"/>
          <w:sz w:val="23"/>
          <w:szCs w:val="23"/>
        </w:rPr>
        <w:br/>
        <w:t>17.512.0060-2015 – Manut. das Atividades do Setor</w:t>
      </w:r>
      <w:r w:rsidR="00957E92" w:rsidRPr="00957E92">
        <w:rPr>
          <w:rFonts w:ascii="Times New Roman" w:hAnsi="Times New Roman" w:cs="Times New Roman"/>
          <w:sz w:val="23"/>
          <w:szCs w:val="23"/>
        </w:rPr>
        <w:br/>
        <w:t>3.3.3.9.0.3900000000 – Outros Serviços de Terceiros - PJ – 584</w:t>
      </w:r>
      <w:r w:rsidR="00957E92" w:rsidRPr="00957E92">
        <w:rPr>
          <w:rFonts w:ascii="Times New Roman" w:hAnsi="Times New Roman" w:cs="Times New Roman"/>
          <w:sz w:val="23"/>
          <w:szCs w:val="23"/>
        </w:rPr>
        <w:br/>
      </w:r>
      <w:r w:rsidR="00957E92" w:rsidRPr="00957E92">
        <w:rPr>
          <w:rFonts w:ascii="Times New Roman" w:hAnsi="Times New Roman" w:cs="Times New Roman"/>
          <w:sz w:val="23"/>
          <w:szCs w:val="23"/>
        </w:rPr>
        <w:br/>
      </w:r>
      <w:r w:rsidR="00957E92" w:rsidRPr="00957E92">
        <w:rPr>
          <w:rFonts w:ascii="Times New Roman" w:hAnsi="Times New Roman" w:cs="Times New Roman"/>
          <w:b/>
          <w:bCs/>
          <w:sz w:val="23"/>
          <w:szCs w:val="23"/>
        </w:rPr>
        <w:t>21. SANÇÕES ADMINISTRATIVAS</w:t>
      </w:r>
      <w:r w:rsidR="00957E92" w:rsidRPr="00957E92">
        <w:rPr>
          <w:rFonts w:ascii="Times New Roman" w:hAnsi="Times New Roman" w:cs="Times New Roman"/>
          <w:b/>
          <w:bCs/>
          <w:sz w:val="23"/>
          <w:szCs w:val="23"/>
        </w:rPr>
        <w:br/>
      </w:r>
      <w:r w:rsidR="00957E92" w:rsidRPr="00957E92">
        <w:rPr>
          <w:rFonts w:ascii="Times New Roman" w:hAnsi="Times New Roman" w:cs="Times New Roman"/>
          <w:sz w:val="23"/>
          <w:szCs w:val="23"/>
        </w:rPr>
        <w:t>21.1. O licitante ou o contratado será responsabilizado administrativamente pelas seguintes infrações:</w:t>
      </w:r>
      <w:r w:rsidR="00957E92" w:rsidRPr="00957E92">
        <w:rPr>
          <w:rFonts w:ascii="Times New Roman" w:hAnsi="Times New Roman" w:cs="Times New Roman"/>
          <w:sz w:val="23"/>
          <w:szCs w:val="23"/>
        </w:rPr>
        <w:br/>
        <w:t>a) dar causa à inexecução parcial do contrato;</w:t>
      </w:r>
      <w:r w:rsidR="00957E92" w:rsidRPr="00957E92">
        <w:rPr>
          <w:rFonts w:ascii="Times New Roman" w:hAnsi="Times New Roman" w:cs="Times New Roman"/>
          <w:sz w:val="23"/>
          <w:szCs w:val="23"/>
        </w:rPr>
        <w:br/>
        <w:t>b) dar causa à inexecução parcial do contrato que cause grave dano à Administração, ao funcionamento dos serviços públicos ou ao interesse coletivo;</w:t>
      </w:r>
      <w:r w:rsidR="00957E92" w:rsidRPr="00957E92">
        <w:rPr>
          <w:rFonts w:ascii="Times New Roman" w:hAnsi="Times New Roman" w:cs="Times New Roman"/>
          <w:sz w:val="23"/>
          <w:szCs w:val="23"/>
        </w:rPr>
        <w:br/>
        <w:t>c) dar causa à inexecução total do contrato;</w:t>
      </w:r>
      <w:r w:rsidR="00957E92" w:rsidRPr="00957E92">
        <w:rPr>
          <w:rFonts w:ascii="Times New Roman" w:hAnsi="Times New Roman" w:cs="Times New Roman"/>
          <w:sz w:val="23"/>
          <w:szCs w:val="23"/>
        </w:rPr>
        <w:br/>
        <w:t>d) deixar de entregar a documentação exigida para o certame;</w:t>
      </w:r>
      <w:r w:rsidR="00957E92" w:rsidRPr="00957E92">
        <w:rPr>
          <w:rFonts w:ascii="Times New Roman" w:hAnsi="Times New Roman" w:cs="Times New Roman"/>
          <w:sz w:val="23"/>
          <w:szCs w:val="23"/>
        </w:rPr>
        <w:br/>
        <w:t>e) não manter a proposta, salvo em decorrência de fato superveniente devidamente justificado;</w:t>
      </w:r>
      <w:r w:rsidR="00957E92" w:rsidRPr="00957E92">
        <w:rPr>
          <w:rFonts w:ascii="Times New Roman" w:hAnsi="Times New Roman" w:cs="Times New Roman"/>
          <w:sz w:val="23"/>
          <w:szCs w:val="23"/>
        </w:rPr>
        <w:br/>
        <w:t>f) não celebrar o contrato ou não entregar a documentação exigida para a contratação, quando convocado dentro do prazo de validade de sua proposta;</w:t>
      </w:r>
      <w:r w:rsidR="00957E92" w:rsidRPr="00957E92">
        <w:rPr>
          <w:rFonts w:ascii="Times New Roman" w:hAnsi="Times New Roman" w:cs="Times New Roman"/>
          <w:sz w:val="23"/>
          <w:szCs w:val="23"/>
        </w:rPr>
        <w:br/>
        <w:t>g) ensejar o retardamento da execução ou da entrega do objeto da licitação sem motivo justificado;</w:t>
      </w:r>
      <w:r w:rsidR="00957E92" w:rsidRPr="00957E92">
        <w:rPr>
          <w:rFonts w:ascii="Times New Roman" w:hAnsi="Times New Roman" w:cs="Times New Roman"/>
          <w:sz w:val="23"/>
          <w:szCs w:val="23"/>
        </w:rPr>
        <w:br/>
        <w:t>h) apresentar declaração ou documentação falsa exigida para o certame ou prestar declaração falsa durante a licitação ou a execução do contrato;</w:t>
      </w:r>
      <w:r w:rsidR="00957E92" w:rsidRPr="00957E92">
        <w:rPr>
          <w:rFonts w:ascii="Times New Roman" w:hAnsi="Times New Roman" w:cs="Times New Roman"/>
          <w:sz w:val="23"/>
          <w:szCs w:val="23"/>
        </w:rPr>
        <w:br/>
        <w:t>i) fraudar a licitação ou praticar ato fraudulento na execução do contrato;</w:t>
      </w:r>
      <w:r w:rsidR="00957E92" w:rsidRPr="00957E92">
        <w:rPr>
          <w:rFonts w:ascii="Times New Roman" w:hAnsi="Times New Roman" w:cs="Times New Roman"/>
          <w:sz w:val="23"/>
          <w:szCs w:val="23"/>
        </w:rPr>
        <w:br/>
        <w:t>j) comportar-se de modo inidôneo ou cometer fraude de qualquer natureza;</w:t>
      </w:r>
      <w:r w:rsidR="00957E92" w:rsidRPr="00957E92">
        <w:rPr>
          <w:rFonts w:ascii="Times New Roman" w:hAnsi="Times New Roman" w:cs="Times New Roman"/>
          <w:sz w:val="23"/>
          <w:szCs w:val="23"/>
        </w:rPr>
        <w:br/>
        <w:t>l) praticar atos ilícitos com vistas a frustrar os objetivos da licitação;</w:t>
      </w:r>
      <w:r w:rsidR="00957E92" w:rsidRPr="00957E92">
        <w:rPr>
          <w:rFonts w:ascii="Times New Roman" w:hAnsi="Times New Roman" w:cs="Times New Roman"/>
          <w:sz w:val="23"/>
          <w:szCs w:val="23"/>
        </w:rPr>
        <w:br/>
        <w:t>m) praticar ato lesivo previsto no art. 5º da Lei nº 12.846/2013.</w:t>
      </w:r>
      <w:r w:rsidR="00957E92" w:rsidRPr="00957E92">
        <w:rPr>
          <w:rFonts w:ascii="Times New Roman" w:hAnsi="Times New Roman" w:cs="Times New Roman"/>
          <w:sz w:val="23"/>
          <w:szCs w:val="23"/>
        </w:rPr>
        <w:br/>
        <w:t>21.2. Serão aplicadas ao responsável pelas infrações administrativas previstas no item 21.1 deste edital as seguintes sanções:</w:t>
      </w:r>
      <w:r w:rsidR="00957E92" w:rsidRPr="00957E92">
        <w:rPr>
          <w:rFonts w:ascii="Times New Roman" w:hAnsi="Times New Roman" w:cs="Times New Roman"/>
          <w:sz w:val="23"/>
          <w:szCs w:val="23"/>
        </w:rPr>
        <w:br/>
        <w:t>a) advertência;</w:t>
      </w:r>
      <w:r w:rsidR="00957E92" w:rsidRPr="00957E92">
        <w:rPr>
          <w:rFonts w:ascii="Times New Roman" w:hAnsi="Times New Roman" w:cs="Times New Roman"/>
          <w:sz w:val="23"/>
          <w:szCs w:val="23"/>
        </w:rPr>
        <w:br/>
        <w:t>b) multa de no mínimo 0,5% (cinco décimos por cento) e máximo de 30% (trinta por cento) do valor do objeto licitado ou contratado;</w:t>
      </w:r>
      <w:r w:rsidR="00957E92" w:rsidRPr="00957E92">
        <w:rPr>
          <w:rFonts w:ascii="Times New Roman" w:hAnsi="Times New Roman" w:cs="Times New Roman"/>
          <w:sz w:val="23"/>
          <w:szCs w:val="23"/>
        </w:rPr>
        <w:br/>
      </w:r>
      <w:r w:rsidR="00957E92" w:rsidRPr="00957E92">
        <w:rPr>
          <w:rFonts w:ascii="Times New Roman" w:hAnsi="Times New Roman" w:cs="Times New Roman"/>
          <w:sz w:val="23"/>
          <w:szCs w:val="23"/>
        </w:rPr>
        <w:lastRenderedPageBreak/>
        <w:t>c) impedimento de licitar e contratar, no âmbito da Administração Pública direta e indireta do órgão licitante, pelo prazo máximo de 3 (três) anos;</w:t>
      </w:r>
      <w:r w:rsidR="00957E92" w:rsidRPr="00957E92">
        <w:rPr>
          <w:rFonts w:ascii="Times New Roman" w:hAnsi="Times New Roman" w:cs="Times New Roman"/>
          <w:sz w:val="23"/>
          <w:szCs w:val="23"/>
        </w:rPr>
        <w:br/>
        <w:t>d) declaração de inidoneidade para licitar ou contratar no âmbito da Administração Pública direta e indireta de todos os entes federativos, pelo prazo mínimo de 3 (três) anos e máximo de 6 (seis) anos.</w:t>
      </w:r>
      <w:r w:rsidR="00957E92" w:rsidRPr="00957E92">
        <w:rPr>
          <w:rFonts w:ascii="Times New Roman" w:hAnsi="Times New Roman" w:cs="Times New Roman"/>
          <w:sz w:val="23"/>
          <w:szCs w:val="23"/>
        </w:rPr>
        <w:br/>
        <w:t>21.3. As sanções previstas nas alíneas “a”, “c” e “d” do item 21.2 do presente Edital poderão ser aplicadas cumulativamente com a prevista na alínea “b” do mesmo item.</w:t>
      </w:r>
      <w:r w:rsidR="00957E92" w:rsidRPr="00957E92">
        <w:rPr>
          <w:rFonts w:ascii="Times New Roman" w:hAnsi="Times New Roman" w:cs="Times New Roman"/>
          <w:sz w:val="23"/>
          <w:szCs w:val="23"/>
        </w:rPr>
        <w:br/>
        <w:t>21.4. A aplicação de multa de mora não impedirá que a Administração a converta em compensatória e promova a extinção unilateral do contrato com a aplicação cumulada de outras sanções, conforme previsto no item 21.2 do presente Edital.</w:t>
      </w:r>
      <w:r w:rsidR="00957E92" w:rsidRPr="00957E92">
        <w:rPr>
          <w:rFonts w:ascii="Times New Roman" w:hAnsi="Times New Roman" w:cs="Times New Roman"/>
          <w:sz w:val="23"/>
          <w:szCs w:val="23"/>
        </w:rPr>
        <w:br/>
        <w:t>21.5. Se a multa aplicada e as indenizações cabíveis forem superiores ao valor de pagamento eventualmente devido pela Administração ao contratado, além da perda desse valor, a diferença será descontada da garantia prestada ou será cobrada judicialmente.</w:t>
      </w:r>
      <w:r w:rsidR="00957E92" w:rsidRPr="00957E92">
        <w:rPr>
          <w:rFonts w:ascii="Times New Roman" w:hAnsi="Times New Roman" w:cs="Times New Roman"/>
          <w:sz w:val="23"/>
          <w:szCs w:val="23"/>
        </w:rPr>
        <w:br/>
        <w:t>21.6. A aplicação das sanções previstas no item 21.2 deste Edital não exclui, em hipótese alguma, a obrigação de reparação integral do dano causado à Administração Pública.</w:t>
      </w:r>
      <w:r w:rsidR="00957E92" w:rsidRPr="00957E92">
        <w:rPr>
          <w:rFonts w:ascii="Times New Roman" w:hAnsi="Times New Roman" w:cs="Times New Roman"/>
          <w:sz w:val="23"/>
          <w:szCs w:val="23"/>
        </w:rPr>
        <w:br/>
        <w:t>21.7. Na aplicação da sanção prevista no item 21.2, alínea “b”, do presente Edital, será facultada a defesa do interessado no prazo de 15 (quinze) dias úteis, contado da data de sua intimação.</w:t>
      </w:r>
      <w:r w:rsidR="00957E92" w:rsidRPr="00957E92">
        <w:rPr>
          <w:rFonts w:ascii="Times New Roman" w:hAnsi="Times New Roman" w:cs="Times New Roman"/>
          <w:sz w:val="23"/>
          <w:szCs w:val="23"/>
        </w:rPr>
        <w:br/>
        <w:t>21.8. 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r w:rsidR="00957E92" w:rsidRPr="00957E92">
        <w:rPr>
          <w:rFonts w:ascii="Times New Roman" w:hAnsi="Times New Roman" w:cs="Times New Roman"/>
          <w:sz w:val="23"/>
          <w:szCs w:val="23"/>
        </w:rPr>
        <w:br/>
        <w:t>21.9.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957E92" w:rsidRPr="00957E92">
        <w:rPr>
          <w:rFonts w:ascii="Times New Roman" w:hAnsi="Times New Roman" w:cs="Times New Roman"/>
          <w:sz w:val="23"/>
          <w:szCs w:val="23"/>
        </w:rPr>
        <w:br/>
        <w:t>21.10. Serão indeferidas pela comissão, mediante decisão fundamentada, provas ilícitas, impertinentes, desnecessárias, protelatórias ou intempestivas.</w:t>
      </w:r>
      <w:r w:rsidR="00957E92" w:rsidRPr="00957E92">
        <w:rPr>
          <w:rFonts w:ascii="Times New Roman" w:hAnsi="Times New Roman" w:cs="Times New Roman"/>
          <w:sz w:val="23"/>
          <w:szCs w:val="23"/>
        </w:rPr>
        <w:br/>
        <w:t>21.11.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r w:rsidR="00957E92" w:rsidRPr="00957E92">
        <w:rPr>
          <w:rFonts w:ascii="Times New Roman" w:hAnsi="Times New Roman" w:cs="Times New Roman"/>
          <w:sz w:val="23"/>
          <w:szCs w:val="23"/>
        </w:rPr>
        <w:br/>
        <w:t>21.12. É admitida a reabilitação do licitante ou contratado perante a própria autoridade que aplicou a penalidade, exigidos, cumulativamente:</w:t>
      </w:r>
      <w:r w:rsidR="00957E92" w:rsidRPr="00957E92">
        <w:rPr>
          <w:rFonts w:ascii="Times New Roman" w:hAnsi="Times New Roman" w:cs="Times New Roman"/>
          <w:sz w:val="23"/>
          <w:szCs w:val="23"/>
        </w:rPr>
        <w:br/>
        <w:t>a) reparação integral do dano causado à Administração Pública;</w:t>
      </w:r>
      <w:r w:rsidR="00957E92" w:rsidRPr="00957E92">
        <w:rPr>
          <w:rFonts w:ascii="Times New Roman" w:hAnsi="Times New Roman" w:cs="Times New Roman"/>
          <w:sz w:val="23"/>
          <w:szCs w:val="23"/>
        </w:rPr>
        <w:br/>
        <w:t>b) pagamento da multa;</w:t>
      </w:r>
      <w:r w:rsidR="00957E92" w:rsidRPr="00957E92">
        <w:rPr>
          <w:rFonts w:ascii="Times New Roman" w:hAnsi="Times New Roman" w:cs="Times New Roman"/>
          <w:sz w:val="23"/>
          <w:szCs w:val="23"/>
        </w:rPr>
        <w:br/>
        <w:t>c) transcurso do prazo mínimo de 1 (um) ano da aplicação da penalidade, no caso de impedimento de licitar e contratar, ou de 3 (três) anos da aplicação da penalidade, no caso de declaração de inidoneidade;</w:t>
      </w:r>
      <w:r w:rsidR="00957E92" w:rsidRPr="00957E92">
        <w:rPr>
          <w:rFonts w:ascii="Times New Roman" w:hAnsi="Times New Roman" w:cs="Times New Roman"/>
          <w:sz w:val="23"/>
          <w:szCs w:val="23"/>
        </w:rPr>
        <w:br/>
        <w:t>d) cumprimento das condições de reabilitação definidas no ato punitivo;</w:t>
      </w:r>
      <w:r w:rsidR="00957E92" w:rsidRPr="00957E92">
        <w:rPr>
          <w:rFonts w:ascii="Times New Roman" w:hAnsi="Times New Roman" w:cs="Times New Roman"/>
          <w:sz w:val="23"/>
          <w:szCs w:val="23"/>
        </w:rPr>
        <w:br/>
        <w:t>e) análise jurídica prévia, com posicionamento conclusivo quanto ao cumprimento dos requisitos definidos neste artigo.</w:t>
      </w:r>
      <w:r w:rsidR="00957E92" w:rsidRPr="00957E92">
        <w:rPr>
          <w:rFonts w:ascii="Times New Roman" w:hAnsi="Times New Roman" w:cs="Times New Roman"/>
          <w:sz w:val="23"/>
          <w:szCs w:val="23"/>
        </w:rPr>
        <w:br/>
      </w:r>
      <w:r w:rsidR="00957E92" w:rsidRPr="00957E92">
        <w:rPr>
          <w:rFonts w:ascii="Times New Roman" w:hAnsi="Times New Roman" w:cs="Times New Roman"/>
          <w:sz w:val="23"/>
          <w:szCs w:val="23"/>
        </w:rPr>
        <w:br/>
      </w:r>
      <w:r w:rsidR="00957E92" w:rsidRPr="00957E92">
        <w:rPr>
          <w:rFonts w:ascii="Times New Roman" w:hAnsi="Times New Roman" w:cs="Times New Roman"/>
          <w:sz w:val="23"/>
          <w:szCs w:val="23"/>
        </w:rPr>
        <w:lastRenderedPageBreak/>
        <w:t>21.13. A sanção pelas infrações previstas nas alíneas “h” e “m” do item 21.2 do presente Edital exigirá, como condição de reabilitação do licitante ou contratado, a implantação ou aperfeiçoamento de programa de integridade pelo responsável.</w:t>
      </w:r>
      <w:r w:rsidR="00957E92" w:rsidRPr="00957E92">
        <w:rPr>
          <w:rFonts w:ascii="Times New Roman" w:hAnsi="Times New Roman" w:cs="Times New Roman"/>
          <w:sz w:val="23"/>
          <w:szCs w:val="23"/>
        </w:rPr>
        <w:br/>
      </w:r>
      <w:r w:rsidR="00957E92" w:rsidRPr="00957E92">
        <w:rPr>
          <w:rFonts w:ascii="Times New Roman" w:hAnsi="Times New Roman" w:cs="Times New Roman"/>
          <w:sz w:val="23"/>
          <w:szCs w:val="23"/>
        </w:rPr>
        <w:br/>
      </w:r>
      <w:r w:rsidR="00957E92" w:rsidRPr="003B1095">
        <w:rPr>
          <w:rFonts w:ascii="Times New Roman" w:hAnsi="Times New Roman" w:cs="Times New Roman"/>
          <w:b/>
          <w:bCs/>
          <w:sz w:val="23"/>
          <w:szCs w:val="23"/>
        </w:rPr>
        <w:t>22. DAS DISPOSIÇÕES GERAIS</w:t>
      </w:r>
      <w:r w:rsidR="00957E92" w:rsidRPr="003B1095">
        <w:rPr>
          <w:rFonts w:ascii="Times New Roman" w:hAnsi="Times New Roman" w:cs="Times New Roman"/>
          <w:b/>
          <w:bCs/>
          <w:sz w:val="23"/>
          <w:szCs w:val="23"/>
        </w:rPr>
        <w:br/>
      </w:r>
      <w:r w:rsidR="00957E92" w:rsidRPr="00957E92">
        <w:rPr>
          <w:rFonts w:ascii="Times New Roman" w:hAnsi="Times New Roman" w:cs="Times New Roman"/>
          <w:sz w:val="23"/>
          <w:szCs w:val="23"/>
        </w:rPr>
        <w:t>22.1. 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contrato.</w:t>
      </w:r>
      <w:r w:rsidR="00957E92" w:rsidRPr="00957E92">
        <w:rPr>
          <w:rFonts w:ascii="Times New Roman" w:hAnsi="Times New Roman" w:cs="Times New Roman"/>
          <w:sz w:val="23"/>
          <w:szCs w:val="23"/>
        </w:rPr>
        <w:br/>
        <w:t>22.2. Após a apresentação da proposta, não caberá desistência, salvo por motivo justo decorrente de fato superveniente e aceito pelo Pregoeiro.</w:t>
      </w:r>
      <w:r w:rsidR="00957E92" w:rsidRPr="00957E92">
        <w:rPr>
          <w:rFonts w:ascii="Times New Roman" w:hAnsi="Times New Roman" w:cs="Times New Roman"/>
          <w:sz w:val="23"/>
          <w:szCs w:val="23"/>
        </w:rPr>
        <w:br/>
        <w:t>22.3. A Administração tem a prerrogativa de fiscalizar o cumprimento satisfatório do objeto da presente licitação, por meio de agente designado para tal função, conforme o disposto na Lei Federal nº 14.133/2021.</w:t>
      </w:r>
      <w:r w:rsidR="00957E92" w:rsidRPr="00957E92">
        <w:rPr>
          <w:rFonts w:ascii="Times New Roman" w:hAnsi="Times New Roman" w:cs="Times New Roman"/>
          <w:sz w:val="23"/>
          <w:szCs w:val="23"/>
        </w:rPr>
        <w:br/>
        <w:t>22.4. As normas disciplinadoras da licitação serão sempre interpretadas em favor da ampliação da disputa entre os interessados, desde que não comprometam o interesse da Administração, o princípio da isonomia, a finalidade e a segurança da contratação.</w:t>
      </w:r>
      <w:r w:rsidR="00957E92" w:rsidRPr="00957E92">
        <w:rPr>
          <w:rFonts w:ascii="Times New Roman" w:hAnsi="Times New Roman" w:cs="Times New Roman"/>
          <w:sz w:val="23"/>
          <w:szCs w:val="23"/>
        </w:rPr>
        <w:br/>
        <w:t>22.5. Os licitantes assumem todos os custos de preparação e apresentação de suas propostas e a Administração não será, em nenhum caso, responsável por esses custos, independentemente da condução ou do resultado do processo licitatório.</w:t>
      </w:r>
      <w:r w:rsidR="00957E92" w:rsidRPr="00957E92">
        <w:rPr>
          <w:rFonts w:ascii="Times New Roman" w:hAnsi="Times New Roman" w:cs="Times New Roman"/>
          <w:sz w:val="23"/>
          <w:szCs w:val="23"/>
        </w:rPr>
        <w:br/>
        <w:t>22.6. Na contagem dos prazos estabelecidos neste Edital e seus Anexos, excluir-se-á o dia do início e incluir-se-á o do vencimento. Só se iniciam e vencem os prazos em dias de expediente na Administração.</w:t>
      </w:r>
      <w:r w:rsidR="00957E92" w:rsidRPr="00957E92">
        <w:rPr>
          <w:rFonts w:ascii="Times New Roman" w:hAnsi="Times New Roman" w:cs="Times New Roman"/>
          <w:sz w:val="23"/>
          <w:szCs w:val="23"/>
        </w:rPr>
        <w:br/>
        <w:t>22.7. O desatendimento de exigências formais não essenciais não importará o afastamento do licitante, desde que seja possível o aproveitamento do ato, observados os princípios da isonomia e do interesse público.</w:t>
      </w:r>
      <w:r w:rsidR="00957E92" w:rsidRPr="00957E92">
        <w:rPr>
          <w:rFonts w:ascii="Times New Roman" w:hAnsi="Times New Roman" w:cs="Times New Roman"/>
          <w:sz w:val="23"/>
          <w:szCs w:val="23"/>
        </w:rPr>
        <w:br/>
        <w:t>22.8. Em caso de divergência entre disposições deste Edital e de seus anexos ou demais peças que compõem o processo, prevalecerão as deste Edital.</w:t>
      </w:r>
      <w:r w:rsidR="00957E92" w:rsidRPr="00957E92">
        <w:rPr>
          <w:rFonts w:ascii="Times New Roman" w:hAnsi="Times New Roman" w:cs="Times New Roman"/>
          <w:sz w:val="23"/>
          <w:szCs w:val="23"/>
        </w:rPr>
        <w:br/>
        <w:t>22.9.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957E92" w:rsidRPr="00957E92">
        <w:rPr>
          <w:rFonts w:ascii="Times New Roman" w:hAnsi="Times New Roman" w:cs="Times New Roman"/>
          <w:sz w:val="23"/>
          <w:szCs w:val="23"/>
        </w:rPr>
        <w:br/>
        <w:t>22.10. Fica eleito o Foro da Comarca de Teutônia para dirimir quaisquer litígios oriundos da licitação e do contrato dela decorrente, com expressa renúncia a outro qualquer, por mais privilegiado que seja.</w:t>
      </w:r>
      <w:r w:rsidR="00957E92" w:rsidRPr="00957E92">
        <w:rPr>
          <w:rFonts w:ascii="Times New Roman" w:hAnsi="Times New Roman" w:cs="Times New Roman"/>
          <w:sz w:val="23"/>
          <w:szCs w:val="23"/>
        </w:rPr>
        <w:br/>
        <w:t>22.11. Os questionamentos ou dúvidas deverão ser preferencialmente formalizados na plataforma do Portal de Compras Públicas, pelo endereço eletrônico: </w:t>
      </w:r>
      <w:r w:rsidR="00957E92" w:rsidRPr="00957E92">
        <w:rPr>
          <w:rFonts w:ascii="Times New Roman" w:hAnsi="Times New Roman" w:cs="Times New Roman"/>
          <w:b/>
          <w:bCs/>
          <w:sz w:val="23"/>
          <w:szCs w:val="23"/>
        </w:rPr>
        <w:t>https://www.portaldecompraspublicas.com.br/</w:t>
      </w:r>
      <w:r w:rsidR="00957E92" w:rsidRPr="00957E92">
        <w:rPr>
          <w:rFonts w:ascii="Times New Roman" w:hAnsi="Times New Roman" w:cs="Times New Roman"/>
          <w:sz w:val="23"/>
          <w:szCs w:val="23"/>
        </w:rPr>
        <w:t>, a fim de registrar o questionamento e possibilitar a visualização da resposta aos demais licitantes participantes.</w:t>
      </w:r>
      <w:r w:rsidR="00957E92" w:rsidRPr="00957E92">
        <w:rPr>
          <w:rFonts w:ascii="Times New Roman" w:hAnsi="Times New Roman" w:cs="Times New Roman"/>
          <w:sz w:val="23"/>
          <w:szCs w:val="23"/>
        </w:rPr>
        <w:br/>
        <w:t>22.12. São partes integrantes deste Edital os seguintes anexos:</w:t>
      </w:r>
      <w:r w:rsidR="00957E92" w:rsidRPr="00957E92">
        <w:rPr>
          <w:rFonts w:ascii="Times New Roman" w:hAnsi="Times New Roman" w:cs="Times New Roman"/>
          <w:sz w:val="23"/>
          <w:szCs w:val="23"/>
        </w:rPr>
        <w:br/>
        <w:t>Anexo I – Termo de Referência;</w:t>
      </w:r>
      <w:r w:rsidR="00957E92" w:rsidRPr="00957E92">
        <w:rPr>
          <w:rFonts w:ascii="Times New Roman" w:hAnsi="Times New Roman" w:cs="Times New Roman"/>
          <w:sz w:val="23"/>
          <w:szCs w:val="23"/>
        </w:rPr>
        <w:br/>
        <w:t>Anexo II – Modelo sugerido de Proposta;</w:t>
      </w:r>
      <w:r w:rsidR="00957E92" w:rsidRPr="00957E92">
        <w:rPr>
          <w:rFonts w:ascii="Times New Roman" w:hAnsi="Times New Roman" w:cs="Times New Roman"/>
          <w:sz w:val="23"/>
          <w:szCs w:val="23"/>
        </w:rPr>
        <w:br/>
        <w:t>Anexo III – Declaração de Conhecimento das Obrigações;</w:t>
      </w:r>
      <w:r w:rsidR="00957E92" w:rsidRPr="00957E92">
        <w:rPr>
          <w:rFonts w:ascii="Times New Roman" w:hAnsi="Times New Roman" w:cs="Times New Roman"/>
          <w:sz w:val="23"/>
          <w:szCs w:val="23"/>
        </w:rPr>
        <w:br/>
      </w:r>
      <w:r w:rsidR="00957E92" w:rsidRPr="00957E92">
        <w:rPr>
          <w:rFonts w:ascii="Times New Roman" w:hAnsi="Times New Roman" w:cs="Times New Roman"/>
          <w:sz w:val="23"/>
          <w:szCs w:val="23"/>
        </w:rPr>
        <w:lastRenderedPageBreak/>
        <w:t>Anexo IV – Declaração do Contador de ME/EPP;</w:t>
      </w:r>
      <w:r w:rsidR="00957E92" w:rsidRPr="00957E92">
        <w:rPr>
          <w:rFonts w:ascii="Times New Roman" w:hAnsi="Times New Roman" w:cs="Times New Roman"/>
          <w:sz w:val="23"/>
          <w:szCs w:val="23"/>
        </w:rPr>
        <w:br/>
        <w:t>Anexo V – Declaração Conjunta para Habilitação;</w:t>
      </w:r>
      <w:r w:rsidR="00957E92" w:rsidRPr="00957E92">
        <w:rPr>
          <w:rFonts w:ascii="Times New Roman" w:hAnsi="Times New Roman" w:cs="Times New Roman"/>
          <w:sz w:val="23"/>
          <w:szCs w:val="23"/>
        </w:rPr>
        <w:br/>
        <w:t>Anexo VI – Minuta de Contrato.</w:t>
      </w:r>
      <w:r w:rsidR="00957E92" w:rsidRPr="00957E92">
        <w:rPr>
          <w:rFonts w:ascii="Times New Roman" w:hAnsi="Times New Roman" w:cs="Times New Roman"/>
          <w:sz w:val="23"/>
          <w:szCs w:val="23"/>
        </w:rPr>
        <w:br/>
      </w:r>
    </w:p>
    <w:p w:rsidR="003B1095" w:rsidRDefault="003B1095" w:rsidP="00CA128F">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sidR="00957E92" w:rsidRPr="00CA128F">
        <w:rPr>
          <w:rFonts w:ascii="Times New Roman" w:hAnsi="Times New Roman" w:cs="Times New Roman"/>
          <w:sz w:val="23"/>
          <w:szCs w:val="23"/>
        </w:rPr>
        <w:t xml:space="preserve">Teutônia, </w:t>
      </w:r>
      <w:r w:rsidR="00CA128F" w:rsidRPr="00CA128F">
        <w:rPr>
          <w:rFonts w:ascii="Times New Roman" w:hAnsi="Times New Roman" w:cs="Times New Roman"/>
          <w:sz w:val="23"/>
          <w:szCs w:val="23"/>
        </w:rPr>
        <w:t>16</w:t>
      </w:r>
      <w:r w:rsidRPr="00CA128F">
        <w:rPr>
          <w:rFonts w:ascii="Times New Roman" w:hAnsi="Times New Roman" w:cs="Times New Roman"/>
          <w:sz w:val="23"/>
          <w:szCs w:val="23"/>
        </w:rPr>
        <w:t xml:space="preserve"> de junho</w:t>
      </w:r>
      <w:r w:rsidR="00957E92" w:rsidRPr="00CA128F">
        <w:rPr>
          <w:rFonts w:ascii="Times New Roman" w:hAnsi="Times New Roman" w:cs="Times New Roman"/>
          <w:sz w:val="23"/>
          <w:szCs w:val="23"/>
        </w:rPr>
        <w:t xml:space="preserve"> de 2026.</w:t>
      </w:r>
    </w:p>
    <w:p w:rsidR="00CA128F" w:rsidRDefault="00CA128F" w:rsidP="003B1095">
      <w:pPr>
        <w:spacing w:after="0" w:line="276" w:lineRule="auto"/>
        <w:jc w:val="center"/>
        <w:rPr>
          <w:rFonts w:ascii="Times New Roman" w:hAnsi="Times New Roman" w:cs="Times New Roman"/>
          <w:sz w:val="23"/>
          <w:szCs w:val="23"/>
        </w:rPr>
      </w:pPr>
    </w:p>
    <w:p w:rsidR="00957E92" w:rsidRPr="00957E92" w:rsidRDefault="00957E92" w:rsidP="003B1095">
      <w:pPr>
        <w:spacing w:after="0" w:line="276" w:lineRule="auto"/>
        <w:jc w:val="center"/>
        <w:rPr>
          <w:rFonts w:ascii="Times New Roman" w:hAnsi="Times New Roman" w:cs="Times New Roman"/>
          <w:sz w:val="23"/>
          <w:szCs w:val="23"/>
        </w:rPr>
      </w:pPr>
      <w:r w:rsidRPr="00957E92">
        <w:rPr>
          <w:rFonts w:ascii="Times New Roman" w:hAnsi="Times New Roman" w:cs="Times New Roman"/>
          <w:sz w:val="23"/>
          <w:szCs w:val="23"/>
        </w:rPr>
        <w:br/>
      </w:r>
      <w:r w:rsidRPr="00957E92">
        <w:rPr>
          <w:rFonts w:ascii="Times New Roman" w:hAnsi="Times New Roman" w:cs="Times New Roman"/>
          <w:b/>
          <w:bCs/>
          <w:sz w:val="23"/>
          <w:szCs w:val="23"/>
        </w:rPr>
        <w:t>RENATO AIRTON ALTMANN</w:t>
      </w:r>
      <w:r w:rsidRPr="00957E92">
        <w:rPr>
          <w:rFonts w:ascii="Times New Roman" w:hAnsi="Times New Roman" w:cs="Times New Roman"/>
          <w:sz w:val="23"/>
          <w:szCs w:val="23"/>
        </w:rPr>
        <w:br/>
        <w:t>Prefeito Municipal</w:t>
      </w:r>
    </w:p>
    <w:p w:rsidR="004A36A2" w:rsidRDefault="004A36A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957E92" w:rsidRDefault="00957E92" w:rsidP="00864938">
      <w:pPr>
        <w:spacing w:beforeLines="50" w:after="0" w:line="276" w:lineRule="auto"/>
        <w:jc w:val="both"/>
        <w:rPr>
          <w:rFonts w:ascii="Times New Roman" w:hAnsi="Times New Roman" w:cs="Times New Roman"/>
          <w:b/>
          <w:bCs/>
          <w:sz w:val="24"/>
          <w:szCs w:val="24"/>
        </w:rPr>
      </w:pPr>
    </w:p>
    <w:p w:rsidR="00BF6853" w:rsidRDefault="00BF6853">
      <w:pPr>
        <w:tabs>
          <w:tab w:val="left" w:pos="729"/>
        </w:tabs>
        <w:spacing w:after="0" w:line="276" w:lineRule="auto"/>
        <w:jc w:val="center"/>
        <w:rPr>
          <w:rFonts w:ascii="Times New Roman" w:hAnsi="Times New Roman" w:cs="Times New Roman"/>
          <w:b/>
          <w:bCs/>
          <w:sz w:val="24"/>
          <w:szCs w:val="24"/>
          <w:u w:val="single"/>
        </w:rPr>
      </w:pPr>
    </w:p>
    <w:p w:rsidR="00BF6853" w:rsidRDefault="00BF6853">
      <w:pPr>
        <w:tabs>
          <w:tab w:val="left" w:pos="729"/>
        </w:tabs>
        <w:spacing w:after="0" w:line="276" w:lineRule="auto"/>
        <w:jc w:val="center"/>
        <w:rPr>
          <w:rFonts w:ascii="Times New Roman" w:hAnsi="Times New Roman" w:cs="Times New Roman"/>
          <w:b/>
          <w:bCs/>
          <w:sz w:val="28"/>
          <w:szCs w:val="28"/>
          <w:u w:val="single"/>
        </w:rPr>
      </w:pPr>
    </w:p>
    <w:p w:rsidR="00BF6853" w:rsidRDefault="00BF6853"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3B1095" w:rsidRDefault="003B1095" w:rsidP="00072034">
      <w:pPr>
        <w:tabs>
          <w:tab w:val="left" w:pos="729"/>
        </w:tabs>
        <w:spacing w:after="0" w:line="276" w:lineRule="auto"/>
        <w:rPr>
          <w:rFonts w:ascii="Times New Roman" w:hAnsi="Times New Roman" w:cs="Times New Roman"/>
          <w:b/>
          <w:bCs/>
          <w:sz w:val="28"/>
          <w:szCs w:val="28"/>
          <w:u w:val="single"/>
        </w:rPr>
      </w:pPr>
    </w:p>
    <w:p w:rsidR="00072034" w:rsidRDefault="00072034" w:rsidP="00072034">
      <w:pPr>
        <w:tabs>
          <w:tab w:val="left" w:pos="729"/>
        </w:tabs>
        <w:spacing w:after="0" w:line="276" w:lineRule="auto"/>
        <w:rPr>
          <w:rFonts w:ascii="Times New Roman" w:hAnsi="Times New Roman" w:cs="Times New Roman"/>
          <w:b/>
          <w:bCs/>
          <w:sz w:val="28"/>
          <w:szCs w:val="28"/>
          <w:u w:val="single"/>
        </w:rPr>
      </w:pPr>
    </w:p>
    <w:p w:rsidR="00BF6853" w:rsidRDefault="0098550E">
      <w:pPr>
        <w:tabs>
          <w:tab w:val="left" w:pos="729"/>
        </w:tabs>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ANEXO I</w:t>
      </w:r>
    </w:p>
    <w:p w:rsidR="00BF6853" w:rsidRDefault="00BF6853">
      <w:pPr>
        <w:tabs>
          <w:tab w:val="left" w:pos="729"/>
        </w:tabs>
        <w:spacing w:after="0" w:line="276" w:lineRule="auto"/>
        <w:jc w:val="center"/>
        <w:rPr>
          <w:rFonts w:ascii="Times New Roman" w:hAnsi="Times New Roman" w:cs="Times New Roman"/>
          <w:b/>
          <w:bCs/>
          <w:u w:val="single"/>
        </w:rPr>
      </w:pPr>
    </w:p>
    <w:p w:rsidR="00BF6853" w:rsidRDefault="0098550E">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b/>
          <w:sz w:val="24"/>
          <w:szCs w:val="32"/>
        </w:rPr>
      </w:pPr>
      <w:r>
        <w:rPr>
          <w:rFonts w:ascii="Times New Roman" w:hAnsi="Times New Roman" w:cs="Times New Roman"/>
          <w:b/>
          <w:sz w:val="24"/>
          <w:szCs w:val="32"/>
        </w:rPr>
        <w:t>TERMO DE REFERÊNCIA – TR</w:t>
      </w:r>
    </w:p>
    <w:p w:rsidR="00BF6853" w:rsidRDefault="00BF685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sz w:val="24"/>
          <w:szCs w:val="32"/>
        </w:rPr>
      </w:pPr>
    </w:p>
    <w:p w:rsidR="00BF6853" w:rsidRPr="0075724F" w:rsidRDefault="0098550E" w:rsidP="0075724F">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3"/>
          <w:szCs w:val="23"/>
        </w:rPr>
      </w:pPr>
      <w:r w:rsidRPr="0075724F">
        <w:rPr>
          <w:rFonts w:ascii="Times New Roman" w:hAnsi="Times New Roman" w:cs="Times New Roman"/>
          <w:b/>
          <w:bCs/>
          <w:sz w:val="23"/>
          <w:szCs w:val="23"/>
        </w:rPr>
        <w:t xml:space="preserve">PROCESSO ADMINISTRATIVO </w:t>
      </w:r>
    </w:p>
    <w:p w:rsidR="00BF6853" w:rsidRPr="0075724F" w:rsidRDefault="0098550E" w:rsidP="0075724F">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Município de Teutônia</w:t>
      </w:r>
    </w:p>
    <w:p w:rsidR="00BF6853" w:rsidRPr="0075724F" w:rsidRDefault="0098550E"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 xml:space="preserve">Secretaria Municipal de Obras, Viação e Transporte </w:t>
      </w:r>
    </w:p>
    <w:p w:rsidR="00072034" w:rsidRPr="0075724F" w:rsidRDefault="0098550E"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 xml:space="preserve">Necessidade da Administração: </w:t>
      </w:r>
      <w:r w:rsidR="004B5BD2" w:rsidRPr="0075724F">
        <w:rPr>
          <w:rFonts w:ascii="Times New Roman" w:hAnsi="Times New Roman" w:cs="Times New Roman"/>
          <w:sz w:val="23"/>
          <w:szCs w:val="23"/>
        </w:rPr>
        <w:t>contratação de empresa especializada para prestação de serviços de controle, tratamento e monitoramento da qualidade da água.</w:t>
      </w:r>
    </w:p>
    <w:p w:rsidR="004B5BD2" w:rsidRPr="00072034" w:rsidRDefault="004B5BD2" w:rsidP="00072034">
      <w:pPr>
        <w:spacing w:after="0" w:line="360" w:lineRule="auto"/>
        <w:jc w:val="both"/>
        <w:rPr>
          <w:rFonts w:ascii="Times New Roman" w:hAnsi="Times New Roman" w:cs="Times New Roman"/>
          <w:sz w:val="24"/>
          <w:szCs w:val="24"/>
        </w:rPr>
      </w:pPr>
    </w:p>
    <w:p w:rsidR="00072034" w:rsidRPr="00072034" w:rsidRDefault="00072034" w:rsidP="00072034">
      <w:pPr>
        <w:pStyle w:val="NormalWeb"/>
        <w:spacing w:before="0" w:after="0" w:line="312" w:lineRule="auto"/>
        <w:jc w:val="both"/>
        <w:rPr>
          <w:b/>
          <w:bCs/>
          <w:color w:val="000000"/>
        </w:rPr>
      </w:pPr>
      <w:r w:rsidRPr="00072034">
        <w:rPr>
          <w:b/>
          <w:bCs/>
          <w:color w:val="000000"/>
        </w:rPr>
        <w:t>1. DEFINIÇÃO DO OBJETO</w:t>
      </w:r>
    </w:p>
    <w:p w:rsidR="00072034" w:rsidRPr="00072034" w:rsidRDefault="004B5BD2" w:rsidP="004B5BD2">
      <w:pPr>
        <w:spacing w:after="0" w:line="276" w:lineRule="auto"/>
        <w:jc w:val="both"/>
        <w:rPr>
          <w:rFonts w:ascii="Times New Roman" w:hAnsi="Times New Roman" w:cs="Times New Roman"/>
          <w:sz w:val="24"/>
          <w:szCs w:val="24"/>
          <w:lang w:eastAsia="en-US"/>
        </w:rPr>
      </w:pPr>
      <w:r w:rsidRPr="004B5BD2">
        <w:rPr>
          <w:rFonts w:ascii="Times New Roman" w:hAnsi="Times New Roman" w:cs="Times New Roman"/>
          <w:color w:val="000000"/>
          <w:sz w:val="24"/>
          <w:szCs w:val="24"/>
        </w:rPr>
        <w:t>1.1. O presente Termo de Referência tem por objeto a contratação de empresa especializada para a prestação de serviços de controle, tratamento e monitoramento da qualidade da água distribuída à população por meio dos Sistemas de Abastecimento dos Bairros Teutônia e Canabarro, no Município de Teutônia/RS.</w:t>
      </w:r>
      <w:r w:rsidRPr="004B5BD2">
        <w:rPr>
          <w:rFonts w:ascii="Times New Roman" w:hAnsi="Times New Roman" w:cs="Times New Roman"/>
          <w:color w:val="000000"/>
          <w:sz w:val="24"/>
          <w:szCs w:val="24"/>
        </w:rPr>
        <w:br/>
        <w:t>1.2. O objeto compreende a execução contínua dos serviços de tratamento da água, monitoramento da qualidade, coleta e análise laboratorial, manutenção operacional dos equipamentos, fornecimento de insumos necessários ao tratamento, emissão de relatórios técnicos e demais atividades correlatas indispensáveis à manutenção da potabilidade da água distribuída à população.</w:t>
      </w:r>
      <w:r w:rsidRPr="004B5BD2">
        <w:rPr>
          <w:rFonts w:ascii="Times New Roman" w:hAnsi="Times New Roman" w:cs="Times New Roman"/>
          <w:color w:val="000000"/>
          <w:sz w:val="24"/>
          <w:szCs w:val="24"/>
        </w:rPr>
        <w:br/>
        <w:t xml:space="preserve">1.3. Integram o objeto todos os materiais, insumos, equipamentos, ferramentas, utensílios, mão de obra, transporte, encargos sociais, tributos, taxas, licenças, alvarás, </w:t>
      </w:r>
      <w:proofErr w:type="spellStart"/>
      <w:r w:rsidRPr="004B5BD2">
        <w:rPr>
          <w:rFonts w:ascii="Times New Roman" w:hAnsi="Times New Roman" w:cs="Times New Roman"/>
          <w:color w:val="000000"/>
          <w:sz w:val="24"/>
          <w:szCs w:val="24"/>
        </w:rPr>
        <w:t>EPIs</w:t>
      </w:r>
      <w:proofErr w:type="spellEnd"/>
      <w:r w:rsidRPr="004B5BD2">
        <w:rPr>
          <w:rFonts w:ascii="Times New Roman" w:hAnsi="Times New Roman" w:cs="Times New Roman"/>
          <w:color w:val="000000"/>
          <w:sz w:val="24"/>
          <w:szCs w:val="24"/>
        </w:rPr>
        <w:t xml:space="preserve">, </w:t>
      </w:r>
      <w:proofErr w:type="spellStart"/>
      <w:r w:rsidRPr="004B5BD2">
        <w:rPr>
          <w:rFonts w:ascii="Times New Roman" w:hAnsi="Times New Roman" w:cs="Times New Roman"/>
          <w:color w:val="000000"/>
          <w:sz w:val="24"/>
          <w:szCs w:val="24"/>
        </w:rPr>
        <w:t>EPCs</w:t>
      </w:r>
      <w:proofErr w:type="spellEnd"/>
      <w:r w:rsidRPr="004B5BD2">
        <w:rPr>
          <w:rFonts w:ascii="Times New Roman" w:hAnsi="Times New Roman" w:cs="Times New Roman"/>
          <w:color w:val="000000"/>
          <w:sz w:val="24"/>
          <w:szCs w:val="24"/>
        </w:rPr>
        <w:t xml:space="preserve"> e demais despesas necessárias à integral execução dos serviços, sem ônus adicional ao Município, salvo previsão expressa em contrário neste Termo de Referência ou no Edital.</w:t>
      </w:r>
    </w:p>
    <w:p w:rsidR="00072034" w:rsidRPr="00072034" w:rsidRDefault="00072034" w:rsidP="004B5BD2">
      <w:pPr>
        <w:pStyle w:val="NormalWeb"/>
        <w:spacing w:before="0" w:after="0" w:line="276" w:lineRule="auto"/>
        <w:jc w:val="both"/>
        <w:rPr>
          <w:rFonts w:eastAsia="Calibri"/>
          <w:lang w:eastAsia="en-US"/>
        </w:rPr>
      </w:pPr>
      <w:r w:rsidRPr="00072034">
        <w:rPr>
          <w:rFonts w:eastAsia="Calibri"/>
          <w:lang w:eastAsia="en-US"/>
        </w:rPr>
        <w:t>O Sistema de Abastecimento de Água do Bairro Teutônia possui as seguintes especificações: é composto por 05 (cinco) poços artesianos e 03 (três) reservatórios de água, conforme tabelas abaixo: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94"/>
        <w:gridCol w:w="2205"/>
        <w:gridCol w:w="3119"/>
        <w:gridCol w:w="1185"/>
        <w:gridCol w:w="1036"/>
      </w:tblGrid>
      <w:tr w:rsidR="00072034" w:rsidRPr="00072034" w:rsidTr="00072034">
        <w:trPr>
          <w:jc w:val="center"/>
        </w:trPr>
        <w:tc>
          <w:tcPr>
            <w:tcW w:w="1294" w:type="dxa"/>
            <w:tcBorders>
              <w:top w:val="single" w:sz="4" w:space="0" w:color="auto"/>
              <w:left w:val="single" w:sz="4" w:space="0" w:color="auto"/>
              <w:bottom w:val="single" w:sz="4" w:space="0" w:color="auto"/>
              <w:right w:val="single" w:sz="4" w:space="0" w:color="auto"/>
            </w:tcBorders>
            <w:shd w:val="clear" w:color="auto" w:fill="D9D9D9"/>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b/>
              </w:rPr>
              <w:t>N.º POÇO</w:t>
            </w:r>
          </w:p>
        </w:tc>
        <w:tc>
          <w:tcPr>
            <w:tcW w:w="2205" w:type="dxa"/>
            <w:tcBorders>
              <w:top w:val="single" w:sz="4" w:space="0" w:color="auto"/>
              <w:left w:val="single" w:sz="4" w:space="0" w:color="auto"/>
              <w:bottom w:val="single" w:sz="4" w:space="0" w:color="auto"/>
              <w:right w:val="single" w:sz="4" w:space="0" w:color="auto"/>
            </w:tcBorders>
            <w:shd w:val="clear" w:color="auto" w:fill="D9D9D9"/>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b/>
              </w:rPr>
              <w:t>IDENTIFICAÇÃO</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b/>
              </w:rPr>
              <w:t>LOCALIZAÇÃO</w:t>
            </w:r>
          </w:p>
        </w:tc>
        <w:tc>
          <w:tcPr>
            <w:tcW w:w="1185" w:type="dxa"/>
            <w:tcBorders>
              <w:top w:val="single" w:sz="4" w:space="0" w:color="auto"/>
              <w:left w:val="single" w:sz="4" w:space="0" w:color="auto"/>
              <w:bottom w:val="single" w:sz="4" w:space="0" w:color="auto"/>
              <w:right w:val="single" w:sz="4" w:space="0" w:color="auto"/>
            </w:tcBorders>
            <w:shd w:val="clear" w:color="auto" w:fill="D9D9D9"/>
            <w:vAlign w:val="center"/>
          </w:tcPr>
          <w:p w:rsidR="00072034" w:rsidRPr="00072034" w:rsidRDefault="00072034" w:rsidP="00072034">
            <w:pPr>
              <w:spacing w:after="0" w:line="312" w:lineRule="auto"/>
              <w:jc w:val="center"/>
              <w:rPr>
                <w:rFonts w:ascii="Times New Roman" w:hAnsi="Times New Roman" w:cs="Times New Roman"/>
                <w:b/>
              </w:rPr>
            </w:pPr>
            <w:r w:rsidRPr="00072034">
              <w:rPr>
                <w:rFonts w:ascii="Times New Roman" w:hAnsi="Times New Roman" w:cs="Times New Roman"/>
                <w:b/>
              </w:rPr>
              <w:t>QUADRA</w:t>
            </w:r>
          </w:p>
        </w:tc>
        <w:tc>
          <w:tcPr>
            <w:tcW w:w="1036" w:type="dxa"/>
            <w:tcBorders>
              <w:top w:val="single" w:sz="4" w:space="0" w:color="auto"/>
              <w:left w:val="single" w:sz="4" w:space="0" w:color="auto"/>
              <w:bottom w:val="single" w:sz="4" w:space="0" w:color="auto"/>
              <w:right w:val="single" w:sz="4" w:space="0" w:color="auto"/>
            </w:tcBorders>
            <w:shd w:val="clear" w:color="auto" w:fill="D9D9D9"/>
            <w:vAlign w:val="center"/>
          </w:tcPr>
          <w:p w:rsidR="00072034" w:rsidRPr="00072034" w:rsidRDefault="00072034" w:rsidP="00072034">
            <w:pPr>
              <w:spacing w:after="0" w:line="312" w:lineRule="auto"/>
              <w:jc w:val="center"/>
              <w:rPr>
                <w:rFonts w:ascii="Times New Roman" w:hAnsi="Times New Roman" w:cs="Times New Roman"/>
                <w:b/>
              </w:rPr>
            </w:pPr>
            <w:r w:rsidRPr="00072034">
              <w:rPr>
                <w:rFonts w:ascii="Times New Roman" w:hAnsi="Times New Roman" w:cs="Times New Roman"/>
                <w:b/>
              </w:rPr>
              <w:t>LOTE</w:t>
            </w:r>
          </w:p>
        </w:tc>
      </w:tr>
      <w:tr w:rsidR="00072034" w:rsidRPr="00072034" w:rsidTr="00072034">
        <w:trPr>
          <w:jc w:val="center"/>
        </w:trPr>
        <w:tc>
          <w:tcPr>
            <w:tcW w:w="1294"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01</w:t>
            </w:r>
          </w:p>
        </w:tc>
        <w:tc>
          <w:tcPr>
            <w:tcW w:w="2205"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Pedro Schaeffer</w:t>
            </w:r>
          </w:p>
        </w:tc>
        <w:tc>
          <w:tcPr>
            <w:tcW w:w="3119"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Rua Pedro Schaeffer, nº 1231</w:t>
            </w:r>
          </w:p>
        </w:tc>
        <w:tc>
          <w:tcPr>
            <w:tcW w:w="1185"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51</w:t>
            </w:r>
          </w:p>
        </w:tc>
        <w:tc>
          <w:tcPr>
            <w:tcW w:w="103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1</w:t>
            </w:r>
          </w:p>
        </w:tc>
      </w:tr>
      <w:tr w:rsidR="00072034" w:rsidRPr="00072034" w:rsidTr="00072034">
        <w:trPr>
          <w:jc w:val="center"/>
        </w:trPr>
        <w:tc>
          <w:tcPr>
            <w:tcW w:w="1294"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02</w:t>
            </w:r>
          </w:p>
        </w:tc>
        <w:tc>
          <w:tcPr>
            <w:tcW w:w="2205"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 xml:space="preserve">Fim Rua Paquetá </w:t>
            </w:r>
          </w:p>
        </w:tc>
        <w:tc>
          <w:tcPr>
            <w:tcW w:w="3119"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Rua 20 de Setembro, nº 1446</w:t>
            </w:r>
          </w:p>
        </w:tc>
        <w:tc>
          <w:tcPr>
            <w:tcW w:w="1185"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61</w:t>
            </w:r>
          </w:p>
        </w:tc>
        <w:tc>
          <w:tcPr>
            <w:tcW w:w="103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16</w:t>
            </w:r>
          </w:p>
        </w:tc>
      </w:tr>
      <w:tr w:rsidR="00072034" w:rsidRPr="00072034" w:rsidTr="00072034">
        <w:trPr>
          <w:jc w:val="center"/>
        </w:trPr>
        <w:tc>
          <w:tcPr>
            <w:tcW w:w="1294"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03</w:t>
            </w:r>
          </w:p>
        </w:tc>
        <w:tc>
          <w:tcPr>
            <w:tcW w:w="2205"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Gaúcho</w:t>
            </w:r>
          </w:p>
        </w:tc>
        <w:tc>
          <w:tcPr>
            <w:tcW w:w="3119"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Rua Albino Schneider, n° 967</w:t>
            </w:r>
          </w:p>
        </w:tc>
        <w:tc>
          <w:tcPr>
            <w:tcW w:w="1185"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38</w:t>
            </w:r>
          </w:p>
        </w:tc>
        <w:tc>
          <w:tcPr>
            <w:tcW w:w="103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2</w:t>
            </w:r>
          </w:p>
        </w:tc>
      </w:tr>
      <w:tr w:rsidR="00072034" w:rsidRPr="00072034" w:rsidTr="00072034">
        <w:trPr>
          <w:jc w:val="center"/>
        </w:trPr>
        <w:tc>
          <w:tcPr>
            <w:tcW w:w="1294"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04</w:t>
            </w:r>
          </w:p>
        </w:tc>
        <w:tc>
          <w:tcPr>
            <w:tcW w:w="2205"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Rota do Sol</w:t>
            </w:r>
          </w:p>
        </w:tc>
        <w:tc>
          <w:tcPr>
            <w:tcW w:w="3119"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 453 – Rota do Sol</w:t>
            </w:r>
          </w:p>
        </w:tc>
        <w:tc>
          <w:tcPr>
            <w:tcW w:w="1185"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66</w:t>
            </w:r>
          </w:p>
        </w:tc>
        <w:tc>
          <w:tcPr>
            <w:tcW w:w="103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8</w:t>
            </w:r>
          </w:p>
        </w:tc>
      </w:tr>
      <w:tr w:rsidR="00072034" w:rsidRPr="00072034" w:rsidTr="00072034">
        <w:trPr>
          <w:jc w:val="center"/>
        </w:trPr>
        <w:tc>
          <w:tcPr>
            <w:tcW w:w="1294"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05</w:t>
            </w:r>
          </w:p>
        </w:tc>
        <w:tc>
          <w:tcPr>
            <w:tcW w:w="2205"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Rota do Sol – Novo</w:t>
            </w:r>
          </w:p>
        </w:tc>
        <w:tc>
          <w:tcPr>
            <w:tcW w:w="3119" w:type="dxa"/>
            <w:tcBorders>
              <w:top w:val="single" w:sz="4" w:space="0" w:color="auto"/>
              <w:left w:val="single" w:sz="4" w:space="0" w:color="auto"/>
              <w:bottom w:val="single" w:sz="4" w:space="0" w:color="auto"/>
              <w:right w:val="single" w:sz="4" w:space="0" w:color="auto"/>
            </w:tcBorders>
          </w:tcPr>
          <w:p w:rsidR="00072034" w:rsidRPr="00072034" w:rsidRDefault="00072034" w:rsidP="00072034">
            <w:pPr>
              <w:spacing w:after="0" w:line="312" w:lineRule="auto"/>
              <w:rPr>
                <w:rFonts w:ascii="Times New Roman" w:hAnsi="Times New Roman" w:cs="Times New Roman"/>
              </w:rPr>
            </w:pPr>
            <w:r w:rsidRPr="00072034">
              <w:rPr>
                <w:rFonts w:ascii="Times New Roman" w:hAnsi="Times New Roman" w:cs="Times New Roman"/>
              </w:rPr>
              <w:t>R. 453 – Rota do Sol</w:t>
            </w:r>
          </w:p>
        </w:tc>
        <w:tc>
          <w:tcPr>
            <w:tcW w:w="1185"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p>
        </w:tc>
        <w:tc>
          <w:tcPr>
            <w:tcW w:w="103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p>
        </w:tc>
      </w:tr>
    </w:tbl>
    <w:p w:rsidR="00072034" w:rsidRPr="00072034" w:rsidRDefault="00072034" w:rsidP="00072034">
      <w:pPr>
        <w:pStyle w:val="NormalWeb"/>
        <w:spacing w:before="0" w:after="0" w:line="312" w:lineRule="auto"/>
        <w:jc w:val="both"/>
        <w:rPr>
          <w:color w:val="000000"/>
        </w:rPr>
      </w:pPr>
    </w:p>
    <w:tbl>
      <w:tblPr>
        <w:tblpPr w:leftFromText="141" w:rightFromText="141" w:vertAnchor="text" w:horzAnchor="margin" w:tblpX="253" w:tblpY="-203"/>
        <w:tblOverlap w:val="never"/>
        <w:tblW w:w="0" w:type="auto"/>
        <w:tblBorders>
          <w:top w:val="single" w:sz="4" w:space="0" w:color="auto"/>
          <w:left w:val="single" w:sz="4" w:space="0" w:color="auto"/>
          <w:bottom w:val="single" w:sz="4" w:space="0" w:color="auto"/>
          <w:right w:val="single" w:sz="4" w:space="0" w:color="auto"/>
        </w:tblBorders>
        <w:tblLook w:val="04A0"/>
      </w:tblPr>
      <w:tblGrid>
        <w:gridCol w:w="3187"/>
        <w:gridCol w:w="2476"/>
        <w:gridCol w:w="3268"/>
      </w:tblGrid>
      <w:tr w:rsidR="00072034" w:rsidRPr="00072034" w:rsidTr="00072034">
        <w:tc>
          <w:tcPr>
            <w:tcW w:w="3187" w:type="dxa"/>
            <w:tcBorders>
              <w:top w:val="single" w:sz="4" w:space="0" w:color="auto"/>
              <w:left w:val="single" w:sz="4" w:space="0" w:color="auto"/>
              <w:bottom w:val="single" w:sz="4" w:space="0" w:color="auto"/>
              <w:right w:val="single" w:sz="4" w:space="0" w:color="auto"/>
            </w:tcBorders>
            <w:shd w:val="clear" w:color="auto" w:fill="E7E6E6" w:themeFill="background2"/>
          </w:tcPr>
          <w:p w:rsidR="00072034" w:rsidRPr="00072034" w:rsidRDefault="00072034" w:rsidP="00072034">
            <w:pPr>
              <w:spacing w:after="0" w:line="312" w:lineRule="auto"/>
              <w:jc w:val="center"/>
              <w:rPr>
                <w:rFonts w:ascii="Times New Roman" w:hAnsi="Times New Roman" w:cs="Times New Roman"/>
              </w:rPr>
            </w:pPr>
            <w:bookmarkStart w:id="0" w:name="art6xxiiib"/>
            <w:bookmarkEnd w:id="0"/>
            <w:r w:rsidRPr="00072034">
              <w:rPr>
                <w:rFonts w:ascii="Times New Roman" w:hAnsi="Times New Roman" w:cs="Times New Roman"/>
                <w:b/>
              </w:rPr>
              <w:t>LOCALIZAÇÃO (nome popular)</w:t>
            </w:r>
          </w:p>
        </w:tc>
        <w:tc>
          <w:tcPr>
            <w:tcW w:w="2476" w:type="dxa"/>
            <w:tcBorders>
              <w:top w:val="single" w:sz="4" w:space="0" w:color="auto"/>
              <w:left w:val="single" w:sz="4" w:space="0" w:color="auto"/>
              <w:bottom w:val="single" w:sz="4" w:space="0" w:color="auto"/>
              <w:right w:val="single" w:sz="4" w:space="0" w:color="auto"/>
            </w:tcBorders>
            <w:shd w:val="clear" w:color="auto" w:fill="E7E6E6" w:themeFill="background2"/>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b/>
              </w:rPr>
              <w:t>TIPO DE ESTRUTURA</w:t>
            </w:r>
          </w:p>
        </w:tc>
        <w:tc>
          <w:tcPr>
            <w:tcW w:w="3268" w:type="dxa"/>
            <w:tcBorders>
              <w:top w:val="single" w:sz="4" w:space="0" w:color="auto"/>
              <w:left w:val="single" w:sz="4" w:space="0" w:color="auto"/>
              <w:bottom w:val="single" w:sz="4" w:space="0" w:color="auto"/>
              <w:right w:val="single" w:sz="4" w:space="0" w:color="auto"/>
            </w:tcBorders>
            <w:shd w:val="clear" w:color="auto" w:fill="E7E6E6" w:themeFill="background2"/>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b/>
              </w:rPr>
              <w:t>CAPACIDADE MÁXIMA</w:t>
            </w:r>
          </w:p>
        </w:tc>
      </w:tr>
      <w:tr w:rsidR="00072034" w:rsidRPr="00072034" w:rsidTr="00072034">
        <w:tc>
          <w:tcPr>
            <w:tcW w:w="3187"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Teutônia</w:t>
            </w:r>
          </w:p>
        </w:tc>
        <w:tc>
          <w:tcPr>
            <w:tcW w:w="247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Alvenaria</w:t>
            </w:r>
          </w:p>
        </w:tc>
        <w:tc>
          <w:tcPr>
            <w:tcW w:w="3268"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100 m</w:t>
            </w:r>
            <w:r w:rsidRPr="00072034">
              <w:rPr>
                <w:rFonts w:ascii="Times New Roman" w:hAnsi="Times New Roman" w:cs="Times New Roman"/>
                <w:vertAlign w:val="superscript"/>
              </w:rPr>
              <w:t>3</w:t>
            </w:r>
          </w:p>
        </w:tc>
      </w:tr>
      <w:tr w:rsidR="00072034" w:rsidRPr="00072034" w:rsidTr="00072034">
        <w:tc>
          <w:tcPr>
            <w:tcW w:w="3187"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Teutônia</w:t>
            </w:r>
          </w:p>
        </w:tc>
        <w:tc>
          <w:tcPr>
            <w:tcW w:w="247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Alvenaria</w:t>
            </w:r>
          </w:p>
        </w:tc>
        <w:tc>
          <w:tcPr>
            <w:tcW w:w="3268"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240 m</w:t>
            </w:r>
            <w:r w:rsidRPr="00072034">
              <w:rPr>
                <w:rFonts w:ascii="Times New Roman" w:hAnsi="Times New Roman" w:cs="Times New Roman"/>
                <w:vertAlign w:val="superscript"/>
              </w:rPr>
              <w:t>3</w:t>
            </w:r>
          </w:p>
        </w:tc>
      </w:tr>
      <w:tr w:rsidR="00072034" w:rsidRPr="00072034" w:rsidTr="00072034">
        <w:tc>
          <w:tcPr>
            <w:tcW w:w="3187"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Teutônia (novo)</w:t>
            </w:r>
          </w:p>
        </w:tc>
        <w:tc>
          <w:tcPr>
            <w:tcW w:w="2476"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Inox</w:t>
            </w:r>
          </w:p>
        </w:tc>
        <w:tc>
          <w:tcPr>
            <w:tcW w:w="3268" w:type="dxa"/>
            <w:tcBorders>
              <w:top w:val="single" w:sz="4" w:space="0" w:color="auto"/>
              <w:left w:val="single" w:sz="4" w:space="0" w:color="auto"/>
              <w:bottom w:val="single" w:sz="4" w:space="0" w:color="auto"/>
              <w:right w:val="single" w:sz="4" w:space="0" w:color="auto"/>
            </w:tcBorders>
            <w:vAlign w:val="center"/>
          </w:tcPr>
          <w:p w:rsidR="00072034" w:rsidRPr="00072034" w:rsidRDefault="00072034" w:rsidP="00072034">
            <w:pPr>
              <w:spacing w:after="0" w:line="312" w:lineRule="auto"/>
              <w:jc w:val="center"/>
              <w:rPr>
                <w:rFonts w:ascii="Times New Roman" w:hAnsi="Times New Roman" w:cs="Times New Roman"/>
              </w:rPr>
            </w:pPr>
            <w:r w:rsidRPr="00072034">
              <w:rPr>
                <w:rFonts w:ascii="Times New Roman" w:hAnsi="Times New Roman" w:cs="Times New Roman"/>
              </w:rPr>
              <w:t>170m³</w:t>
            </w:r>
          </w:p>
        </w:tc>
      </w:tr>
    </w:tbl>
    <w:p w:rsidR="00072034" w:rsidRPr="00072034" w:rsidRDefault="00072034" w:rsidP="00072034">
      <w:pPr>
        <w:widowControl w:val="0"/>
        <w:tabs>
          <w:tab w:val="left" w:pos="855"/>
        </w:tabs>
        <w:spacing w:after="0" w:line="312" w:lineRule="auto"/>
        <w:jc w:val="both"/>
        <w:rPr>
          <w:rFonts w:ascii="Times New Roman" w:hAnsi="Times New Roman" w:cs="Times New Roman"/>
          <w:sz w:val="24"/>
          <w:szCs w:val="24"/>
          <w:lang w:eastAsia="zh-CN"/>
        </w:rPr>
      </w:pPr>
      <w:r w:rsidRPr="00072034">
        <w:rPr>
          <w:rFonts w:ascii="Times New Roman" w:hAnsi="Times New Roman" w:cs="Times New Roman"/>
          <w:sz w:val="24"/>
          <w:szCs w:val="24"/>
          <w:lang w:eastAsia="zh-CN"/>
        </w:rPr>
        <w:lastRenderedPageBreak/>
        <w:t>Já o Sistema de Abastecimento de Água do Bairro Canabarro é composto por 24 (vinte e quatro) poços artesianos e 18 (dezoito) reservatórios de água, conforme tabelas abaixo:</w:t>
      </w:r>
    </w:p>
    <w:p w:rsidR="00072034" w:rsidRDefault="00072034" w:rsidP="00072034">
      <w:pPr>
        <w:widowControl w:val="0"/>
        <w:tabs>
          <w:tab w:val="left" w:pos="855"/>
        </w:tabs>
        <w:spacing w:after="0" w:line="312" w:lineRule="auto"/>
        <w:jc w:val="both"/>
        <w:rPr>
          <w:rFonts w:ascii="Times New Roman" w:hAnsi="Times New Roman" w:cs="Times New Roman"/>
          <w:sz w:val="24"/>
          <w:szCs w:val="24"/>
          <w:lang w:eastAsia="zh-CN"/>
        </w:rPr>
      </w:pPr>
    </w:p>
    <w:p w:rsidR="00072034" w:rsidRPr="00072034" w:rsidRDefault="00072034" w:rsidP="00072034">
      <w:pPr>
        <w:widowControl w:val="0"/>
        <w:tabs>
          <w:tab w:val="left" w:pos="855"/>
        </w:tabs>
        <w:spacing w:after="0" w:line="312" w:lineRule="auto"/>
        <w:jc w:val="both"/>
        <w:rPr>
          <w:rFonts w:ascii="Times New Roman" w:hAnsi="Times New Roman" w:cs="Times New Roman"/>
          <w:sz w:val="24"/>
          <w:szCs w:val="24"/>
          <w:lang w:eastAsia="zh-CN"/>
        </w:rPr>
      </w:pPr>
    </w:p>
    <w:tbl>
      <w:tblPr>
        <w:tblW w:w="8930" w:type="dxa"/>
        <w:tblInd w:w="212" w:type="dxa"/>
        <w:tblLayout w:type="fixed"/>
        <w:tblCellMar>
          <w:left w:w="70" w:type="dxa"/>
          <w:right w:w="70" w:type="dxa"/>
        </w:tblCellMar>
        <w:tblLook w:val="04A0"/>
      </w:tblPr>
      <w:tblGrid>
        <w:gridCol w:w="1079"/>
        <w:gridCol w:w="2172"/>
        <w:gridCol w:w="3198"/>
        <w:gridCol w:w="1170"/>
        <w:gridCol w:w="1311"/>
      </w:tblGrid>
      <w:tr w:rsidR="00072034" w:rsidRPr="00072034" w:rsidTr="00072034">
        <w:trPr>
          <w:trHeight w:val="362"/>
        </w:trPr>
        <w:tc>
          <w:tcPr>
            <w:tcW w:w="1079" w:type="dxa"/>
            <w:tcBorders>
              <w:top w:val="single" w:sz="4" w:space="0" w:color="auto"/>
              <w:left w:val="single" w:sz="4" w:space="0" w:color="auto"/>
              <w:bottom w:val="single" w:sz="4" w:space="0" w:color="auto"/>
              <w:right w:val="single" w:sz="4" w:space="0" w:color="auto"/>
            </w:tcBorders>
            <w:shd w:val="clear" w:color="DDDDDD"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Nº POÇO</w:t>
            </w:r>
          </w:p>
        </w:tc>
        <w:tc>
          <w:tcPr>
            <w:tcW w:w="2172" w:type="dxa"/>
            <w:tcBorders>
              <w:top w:val="single" w:sz="4" w:space="0" w:color="auto"/>
              <w:left w:val="nil"/>
              <w:bottom w:val="single" w:sz="4" w:space="0" w:color="auto"/>
              <w:right w:val="single" w:sz="4" w:space="0" w:color="auto"/>
            </w:tcBorders>
            <w:shd w:val="clear" w:color="DDDDDD"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IDENTIFICAÇÃO</w:t>
            </w:r>
          </w:p>
        </w:tc>
        <w:tc>
          <w:tcPr>
            <w:tcW w:w="3198" w:type="dxa"/>
            <w:tcBorders>
              <w:top w:val="single" w:sz="4" w:space="0" w:color="auto"/>
              <w:left w:val="nil"/>
              <w:bottom w:val="single" w:sz="4" w:space="0" w:color="auto"/>
              <w:right w:val="single" w:sz="4" w:space="0" w:color="auto"/>
            </w:tcBorders>
            <w:shd w:val="clear" w:color="DDDDDD"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LOCALIZAÇÃO</w:t>
            </w:r>
          </w:p>
        </w:tc>
        <w:tc>
          <w:tcPr>
            <w:tcW w:w="1170" w:type="dxa"/>
            <w:tcBorders>
              <w:top w:val="single" w:sz="4" w:space="0" w:color="auto"/>
              <w:left w:val="nil"/>
              <w:bottom w:val="single" w:sz="4" w:space="0" w:color="auto"/>
              <w:right w:val="single" w:sz="4" w:space="0" w:color="auto"/>
            </w:tcBorders>
            <w:shd w:val="clear" w:color="DDDDDD"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QUADRA</w:t>
            </w:r>
          </w:p>
        </w:tc>
        <w:tc>
          <w:tcPr>
            <w:tcW w:w="1311" w:type="dxa"/>
            <w:tcBorders>
              <w:top w:val="single" w:sz="4" w:space="0" w:color="auto"/>
              <w:left w:val="nil"/>
              <w:bottom w:val="single" w:sz="4" w:space="0" w:color="auto"/>
              <w:right w:val="single" w:sz="4" w:space="0" w:color="auto"/>
            </w:tcBorders>
            <w:shd w:val="clear" w:color="DDDDDD"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LOTE</w:t>
            </w:r>
          </w:p>
        </w:tc>
      </w:tr>
      <w:tr w:rsidR="00072034" w:rsidRPr="00072034" w:rsidTr="00072034">
        <w:trPr>
          <w:trHeight w:val="9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01</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Pelé</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Dom Pedro II, 2333</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26</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10</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02</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Cuia</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Dom Pedro II, 1778</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222</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03</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Super </w:t>
            </w:r>
            <w:proofErr w:type="spellStart"/>
            <w:r w:rsidRPr="00072034">
              <w:rPr>
                <w:rFonts w:ascii="Times New Roman" w:hAnsi="Times New Roman" w:cs="Times New Roman"/>
                <w:color w:val="000000"/>
              </w:rPr>
              <w:t>Languiru</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7 de Setembro, 746</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176</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12</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04</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Super </w:t>
            </w:r>
            <w:proofErr w:type="spellStart"/>
            <w:r w:rsidRPr="00072034">
              <w:rPr>
                <w:rFonts w:ascii="Times New Roman" w:hAnsi="Times New Roman" w:cs="Times New Roman"/>
                <w:color w:val="000000"/>
              </w:rPr>
              <w:t>Languiru</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7 de Setembro, 747</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176</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12</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05</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proofErr w:type="spellStart"/>
            <w:r w:rsidRPr="00072034">
              <w:rPr>
                <w:rFonts w:ascii="Times New Roman" w:hAnsi="Times New Roman" w:cs="Times New Roman"/>
                <w:color w:val="000000"/>
              </w:rPr>
              <w:t>Xex</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Do Parque, 319</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99</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15</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06</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Do Beco</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Ernani Júlio </w:t>
            </w:r>
            <w:proofErr w:type="spellStart"/>
            <w:r w:rsidRPr="00072034">
              <w:rPr>
                <w:rFonts w:ascii="Times New Roman" w:hAnsi="Times New Roman" w:cs="Times New Roman"/>
                <w:color w:val="000000"/>
              </w:rPr>
              <w:t>Sippel</w:t>
            </w:r>
            <w:proofErr w:type="spellEnd"/>
            <w:r w:rsidRPr="00072034">
              <w:rPr>
                <w:rFonts w:ascii="Times New Roman" w:hAnsi="Times New Roman" w:cs="Times New Roman"/>
                <w:color w:val="000000"/>
              </w:rPr>
              <w:t>, 261</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116</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6</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07</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Urbano</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Edmundo Carlos </w:t>
            </w:r>
            <w:proofErr w:type="spellStart"/>
            <w:r w:rsidRPr="00072034">
              <w:rPr>
                <w:rFonts w:ascii="Times New Roman" w:hAnsi="Times New Roman" w:cs="Times New Roman"/>
                <w:color w:val="000000"/>
              </w:rPr>
              <w:t>Berwig</w:t>
            </w:r>
            <w:proofErr w:type="spellEnd"/>
            <w:r w:rsidRPr="00072034">
              <w:rPr>
                <w:rFonts w:ascii="Times New Roman" w:hAnsi="Times New Roman" w:cs="Times New Roman"/>
                <w:color w:val="000000"/>
              </w:rPr>
              <w:t>, 370</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186</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23</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08</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Loteamento 8</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w:t>
            </w:r>
            <w:proofErr w:type="spellStart"/>
            <w:r w:rsidRPr="00072034">
              <w:rPr>
                <w:rFonts w:ascii="Times New Roman" w:hAnsi="Times New Roman" w:cs="Times New Roman"/>
                <w:color w:val="000000"/>
              </w:rPr>
              <w:t>Erni</w:t>
            </w:r>
            <w:proofErr w:type="spellEnd"/>
            <w:r w:rsidRPr="00072034">
              <w:rPr>
                <w:rFonts w:ascii="Times New Roman" w:hAnsi="Times New Roman" w:cs="Times New Roman"/>
                <w:color w:val="000000"/>
              </w:rPr>
              <w:t xml:space="preserve"> </w:t>
            </w:r>
            <w:proofErr w:type="spellStart"/>
            <w:r w:rsidRPr="00072034">
              <w:rPr>
                <w:rFonts w:ascii="Times New Roman" w:hAnsi="Times New Roman" w:cs="Times New Roman"/>
                <w:color w:val="000000"/>
              </w:rPr>
              <w:t>Huckriede</w:t>
            </w:r>
            <w:proofErr w:type="spellEnd"/>
            <w:r w:rsidRPr="00072034">
              <w:rPr>
                <w:rFonts w:ascii="Times New Roman" w:hAnsi="Times New Roman" w:cs="Times New Roman"/>
                <w:color w:val="000000"/>
              </w:rPr>
              <w:t>, 678</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167</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09</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Da Fazenda - Alencar</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Leopoldo </w:t>
            </w:r>
            <w:proofErr w:type="spellStart"/>
            <w:r w:rsidRPr="00072034">
              <w:rPr>
                <w:rFonts w:ascii="Times New Roman" w:hAnsi="Times New Roman" w:cs="Times New Roman"/>
                <w:color w:val="000000"/>
              </w:rPr>
              <w:t>Tiggemann</w:t>
            </w:r>
            <w:proofErr w:type="spellEnd"/>
            <w:r w:rsidRPr="00072034">
              <w:rPr>
                <w:rFonts w:ascii="Times New Roman" w:hAnsi="Times New Roman" w:cs="Times New Roman"/>
                <w:color w:val="000000"/>
              </w:rPr>
              <w:t>, 306</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231</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61</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10</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da Vila Popular</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Leopoldo Schneider, 190</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29</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25</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11</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Centro Administrativo</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Avenida 1 Oeste, 665</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108</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12</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proofErr w:type="spellStart"/>
            <w:r w:rsidRPr="00072034">
              <w:rPr>
                <w:rFonts w:ascii="Times New Roman" w:hAnsi="Times New Roman" w:cs="Times New Roman"/>
                <w:color w:val="000000"/>
              </w:rPr>
              <w:t>Schefinha</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Guilherme Roloff, 242</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82</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63</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13</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proofErr w:type="spellStart"/>
            <w:r w:rsidRPr="00072034">
              <w:rPr>
                <w:rFonts w:ascii="Times New Roman" w:hAnsi="Times New Roman" w:cs="Times New Roman"/>
                <w:color w:val="000000"/>
              </w:rPr>
              <w:t>Kicha</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Ernani Júlio </w:t>
            </w:r>
            <w:proofErr w:type="spellStart"/>
            <w:r w:rsidRPr="00072034">
              <w:rPr>
                <w:rFonts w:ascii="Times New Roman" w:hAnsi="Times New Roman" w:cs="Times New Roman"/>
                <w:color w:val="000000"/>
              </w:rPr>
              <w:t>Sippel</w:t>
            </w:r>
            <w:proofErr w:type="spellEnd"/>
            <w:r w:rsidRPr="00072034">
              <w:rPr>
                <w:rFonts w:ascii="Times New Roman" w:hAnsi="Times New Roman" w:cs="Times New Roman"/>
                <w:color w:val="000000"/>
              </w:rPr>
              <w:t>, 500</w:t>
            </w:r>
          </w:p>
        </w:tc>
        <w:tc>
          <w:tcPr>
            <w:tcW w:w="2481" w:type="dxa"/>
            <w:gridSpan w:val="2"/>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14</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Vila Esperança</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João Paulo II, 238</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289</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15</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15</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da Germana</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Duque De Caxias, 1375</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291</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31</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16</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Posses</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69, 740</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298</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29</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17</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Travessão</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20 De Maio, 1543</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299</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54</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18</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Darci Corrêa</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Guilherme </w:t>
            </w:r>
            <w:proofErr w:type="spellStart"/>
            <w:r w:rsidRPr="00072034">
              <w:rPr>
                <w:rFonts w:ascii="Times New Roman" w:hAnsi="Times New Roman" w:cs="Times New Roman"/>
                <w:color w:val="000000"/>
              </w:rPr>
              <w:t>Trennepohl</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230</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6</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19</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Ribeiro</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194</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380</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1</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20</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L. Catarina Alta</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L. Catarina Alta</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r>
      <w:tr w:rsidR="00072034" w:rsidRPr="00072034" w:rsidTr="00072034">
        <w:trPr>
          <w:trHeight w:val="300"/>
        </w:trPr>
        <w:tc>
          <w:tcPr>
            <w:tcW w:w="1079" w:type="dxa"/>
            <w:tcBorders>
              <w:top w:val="nil"/>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21</w:t>
            </w:r>
          </w:p>
        </w:tc>
        <w:tc>
          <w:tcPr>
            <w:tcW w:w="2172" w:type="dxa"/>
            <w:tcBorders>
              <w:top w:val="nil"/>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Coxilha Verde</w:t>
            </w:r>
          </w:p>
        </w:tc>
        <w:tc>
          <w:tcPr>
            <w:tcW w:w="3198"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Linha São Jacó</w:t>
            </w:r>
          </w:p>
        </w:tc>
        <w:tc>
          <w:tcPr>
            <w:tcW w:w="1170"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c>
          <w:tcPr>
            <w:tcW w:w="1311" w:type="dxa"/>
            <w:tcBorders>
              <w:top w:val="nil"/>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r>
      <w:tr w:rsidR="00072034" w:rsidRPr="00072034" w:rsidTr="00072034">
        <w:trPr>
          <w:trHeight w:val="300"/>
        </w:trPr>
        <w:tc>
          <w:tcPr>
            <w:tcW w:w="1079" w:type="dxa"/>
            <w:tcBorders>
              <w:top w:val="single" w:sz="4" w:space="0" w:color="auto"/>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22</w:t>
            </w:r>
          </w:p>
        </w:tc>
        <w:tc>
          <w:tcPr>
            <w:tcW w:w="2172" w:type="dxa"/>
            <w:tcBorders>
              <w:top w:val="single" w:sz="4" w:space="0" w:color="auto"/>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Estrada Velha</w:t>
            </w:r>
          </w:p>
        </w:tc>
        <w:tc>
          <w:tcPr>
            <w:tcW w:w="3198"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R. Reinaldo A. Augustin</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c>
          <w:tcPr>
            <w:tcW w:w="1311"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w:t>
            </w:r>
          </w:p>
        </w:tc>
      </w:tr>
      <w:tr w:rsidR="00072034" w:rsidRPr="00072034" w:rsidTr="00072034">
        <w:trPr>
          <w:trHeight w:val="300"/>
        </w:trPr>
        <w:tc>
          <w:tcPr>
            <w:tcW w:w="1079" w:type="dxa"/>
            <w:tcBorders>
              <w:top w:val="single" w:sz="4" w:space="0" w:color="auto"/>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23</w:t>
            </w:r>
          </w:p>
        </w:tc>
        <w:tc>
          <w:tcPr>
            <w:tcW w:w="2172" w:type="dxa"/>
            <w:tcBorders>
              <w:top w:val="single" w:sz="4" w:space="0" w:color="auto"/>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Novo </w:t>
            </w:r>
            <w:proofErr w:type="spellStart"/>
            <w:r w:rsidRPr="00072034">
              <w:rPr>
                <w:rFonts w:ascii="Times New Roman" w:hAnsi="Times New Roman" w:cs="Times New Roman"/>
                <w:color w:val="000000"/>
              </w:rPr>
              <w:t>Lot</w:t>
            </w:r>
            <w:proofErr w:type="spellEnd"/>
            <w:r w:rsidRPr="00072034">
              <w:rPr>
                <w:rFonts w:ascii="Times New Roman" w:hAnsi="Times New Roman" w:cs="Times New Roman"/>
                <w:color w:val="000000"/>
              </w:rPr>
              <w:t>. 8</w:t>
            </w:r>
          </w:p>
        </w:tc>
        <w:tc>
          <w:tcPr>
            <w:tcW w:w="3198"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Rubem </w:t>
            </w:r>
            <w:proofErr w:type="spellStart"/>
            <w:r w:rsidRPr="00072034">
              <w:rPr>
                <w:rFonts w:ascii="Times New Roman" w:hAnsi="Times New Roman" w:cs="Times New Roman"/>
                <w:color w:val="000000"/>
              </w:rPr>
              <w:t>Lindemann</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w:t>
            </w:r>
          </w:p>
        </w:tc>
        <w:tc>
          <w:tcPr>
            <w:tcW w:w="1311"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w:t>
            </w:r>
          </w:p>
        </w:tc>
      </w:tr>
      <w:tr w:rsidR="00072034" w:rsidRPr="00072034" w:rsidTr="00072034">
        <w:trPr>
          <w:trHeight w:val="300"/>
        </w:trPr>
        <w:tc>
          <w:tcPr>
            <w:tcW w:w="1079" w:type="dxa"/>
            <w:tcBorders>
              <w:top w:val="single" w:sz="4" w:space="0" w:color="auto"/>
              <w:left w:val="single" w:sz="4" w:space="0" w:color="auto"/>
              <w:bottom w:val="single" w:sz="4" w:space="0" w:color="auto"/>
              <w:right w:val="single" w:sz="4" w:space="0" w:color="auto"/>
            </w:tcBorders>
            <w:shd w:val="clear" w:color="DDDDDD"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24</w:t>
            </w:r>
          </w:p>
        </w:tc>
        <w:tc>
          <w:tcPr>
            <w:tcW w:w="2172" w:type="dxa"/>
            <w:tcBorders>
              <w:top w:val="single" w:sz="4" w:space="0" w:color="auto"/>
              <w:left w:val="nil"/>
              <w:bottom w:val="single" w:sz="4" w:space="0" w:color="auto"/>
              <w:right w:val="single" w:sz="4" w:space="0" w:color="auto"/>
            </w:tcBorders>
            <w:shd w:val="clear" w:color="000000" w:fill="FFFFFF"/>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Bruno </w:t>
            </w:r>
            <w:proofErr w:type="spellStart"/>
            <w:r w:rsidRPr="00072034">
              <w:rPr>
                <w:rFonts w:ascii="Times New Roman" w:hAnsi="Times New Roman" w:cs="Times New Roman"/>
                <w:color w:val="000000"/>
              </w:rPr>
              <w:t>Driemeyer</w:t>
            </w:r>
            <w:proofErr w:type="spellEnd"/>
          </w:p>
        </w:tc>
        <w:tc>
          <w:tcPr>
            <w:tcW w:w="3198"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 Bruno </w:t>
            </w:r>
            <w:proofErr w:type="spellStart"/>
            <w:r w:rsidRPr="00072034">
              <w:rPr>
                <w:rFonts w:ascii="Times New Roman" w:hAnsi="Times New Roman" w:cs="Times New Roman"/>
                <w:color w:val="000000"/>
              </w:rPr>
              <w:t>Driemeyer</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w:t>
            </w:r>
          </w:p>
        </w:tc>
        <w:tc>
          <w:tcPr>
            <w:tcW w:w="1311" w:type="dxa"/>
            <w:tcBorders>
              <w:top w:val="single" w:sz="4" w:space="0" w:color="auto"/>
              <w:left w:val="nil"/>
              <w:bottom w:val="single" w:sz="4" w:space="0" w:color="auto"/>
              <w:right w:val="single" w:sz="4" w:space="0" w:color="auto"/>
            </w:tcBorders>
            <w:shd w:val="clear" w:color="auto" w:fill="auto"/>
            <w:noWrap/>
            <w:vAlign w:val="bottom"/>
          </w:tcPr>
          <w:p w:rsidR="00072034" w:rsidRPr="00072034" w:rsidRDefault="00072034" w:rsidP="00864938">
            <w:pPr>
              <w:spacing w:beforeLines="30" w:after="0" w:line="312" w:lineRule="auto"/>
              <w:jc w:val="center"/>
              <w:rPr>
                <w:rFonts w:ascii="Times New Roman" w:hAnsi="Times New Roman" w:cs="Times New Roman"/>
                <w:color w:val="000000"/>
              </w:rPr>
            </w:pPr>
            <w:r w:rsidRPr="00072034">
              <w:rPr>
                <w:rFonts w:ascii="Times New Roman" w:hAnsi="Times New Roman" w:cs="Times New Roman"/>
                <w:color w:val="000000"/>
              </w:rPr>
              <w:t>-</w:t>
            </w:r>
          </w:p>
        </w:tc>
      </w:tr>
    </w:tbl>
    <w:p w:rsidR="00072034" w:rsidRPr="00072034" w:rsidRDefault="00072034" w:rsidP="00072034">
      <w:pPr>
        <w:widowControl w:val="0"/>
        <w:tabs>
          <w:tab w:val="left" w:pos="855"/>
        </w:tabs>
        <w:spacing w:after="0" w:line="312" w:lineRule="auto"/>
        <w:jc w:val="both"/>
        <w:rPr>
          <w:rFonts w:ascii="Times New Roman" w:eastAsia="Times New Roman" w:hAnsi="Times New Roman" w:cs="Times New Roman"/>
          <w:sz w:val="24"/>
          <w:szCs w:val="24"/>
          <w:lang w:eastAsia="zh-CN"/>
        </w:rPr>
      </w:pPr>
    </w:p>
    <w:tbl>
      <w:tblPr>
        <w:tblW w:w="4774" w:type="pct"/>
        <w:tblInd w:w="212" w:type="dxa"/>
        <w:tblLayout w:type="fixed"/>
        <w:tblCellMar>
          <w:left w:w="70" w:type="dxa"/>
          <w:right w:w="70" w:type="dxa"/>
        </w:tblCellMar>
        <w:tblLook w:val="04A0"/>
      </w:tblPr>
      <w:tblGrid>
        <w:gridCol w:w="1975"/>
        <w:gridCol w:w="1900"/>
        <w:gridCol w:w="1790"/>
        <w:gridCol w:w="3265"/>
      </w:tblGrid>
      <w:tr w:rsidR="00072034" w:rsidRPr="00072034" w:rsidTr="00072034">
        <w:trPr>
          <w:trHeight w:val="405"/>
        </w:trPr>
        <w:tc>
          <w:tcPr>
            <w:tcW w:w="1106"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RESERVATÓRIO</w:t>
            </w:r>
          </w:p>
        </w:tc>
        <w:tc>
          <w:tcPr>
            <w:tcW w:w="1064" w:type="pct"/>
            <w:tcBorders>
              <w:top w:val="single" w:sz="4" w:space="0" w:color="auto"/>
              <w:left w:val="nil"/>
              <w:bottom w:val="single" w:sz="4" w:space="0" w:color="auto"/>
              <w:right w:val="single" w:sz="4" w:space="0" w:color="auto"/>
            </w:tcBorders>
            <w:shd w:val="clear" w:color="auto"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CAPACIDADE</w:t>
            </w:r>
          </w:p>
        </w:tc>
        <w:tc>
          <w:tcPr>
            <w:tcW w:w="1002" w:type="pct"/>
            <w:tcBorders>
              <w:top w:val="single" w:sz="4" w:space="0" w:color="auto"/>
              <w:left w:val="nil"/>
              <w:bottom w:val="single" w:sz="4" w:space="0" w:color="auto"/>
              <w:right w:val="single" w:sz="4" w:space="0" w:color="auto"/>
            </w:tcBorders>
            <w:shd w:val="clear" w:color="auto"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ESTRUTURA</w:t>
            </w:r>
          </w:p>
        </w:tc>
        <w:tc>
          <w:tcPr>
            <w:tcW w:w="1828"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rsidR="00072034" w:rsidRPr="00072034" w:rsidRDefault="00072034" w:rsidP="00072034">
            <w:pPr>
              <w:spacing w:after="0" w:line="312" w:lineRule="auto"/>
              <w:jc w:val="center"/>
              <w:rPr>
                <w:rFonts w:ascii="Times New Roman" w:hAnsi="Times New Roman" w:cs="Times New Roman"/>
                <w:b/>
                <w:bCs/>
                <w:color w:val="000000"/>
              </w:rPr>
            </w:pPr>
            <w:r w:rsidRPr="00072034">
              <w:rPr>
                <w:rFonts w:ascii="Times New Roman" w:hAnsi="Times New Roman" w:cs="Times New Roman"/>
                <w:b/>
                <w:bCs/>
                <w:color w:val="000000"/>
              </w:rPr>
              <w:t>ENDEREÇO</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proofErr w:type="spellStart"/>
            <w:r w:rsidRPr="00072034">
              <w:rPr>
                <w:rFonts w:ascii="Times New Roman" w:hAnsi="Times New Roman" w:cs="Times New Roman"/>
                <w:color w:val="000000"/>
              </w:rPr>
              <w:t>Languiru</w:t>
            </w:r>
            <w:proofErr w:type="spellEnd"/>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7 de Setembro</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proofErr w:type="spellStart"/>
            <w:r w:rsidRPr="00072034">
              <w:rPr>
                <w:rFonts w:ascii="Times New Roman" w:hAnsi="Times New Roman" w:cs="Times New Roman"/>
                <w:color w:val="000000"/>
              </w:rPr>
              <w:lastRenderedPageBreak/>
              <w:t>Languiru</w:t>
            </w:r>
            <w:proofErr w:type="spellEnd"/>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7 de Setembro</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proofErr w:type="spellStart"/>
            <w:r w:rsidRPr="00072034">
              <w:rPr>
                <w:rFonts w:ascii="Times New Roman" w:hAnsi="Times New Roman" w:cs="Times New Roman"/>
                <w:color w:val="000000"/>
              </w:rPr>
              <w:t>Languiru</w:t>
            </w:r>
            <w:proofErr w:type="spellEnd"/>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Concreto</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7 de Setembro</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Beco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Ernani Júlio </w:t>
            </w:r>
            <w:proofErr w:type="spellStart"/>
            <w:r w:rsidRPr="00072034">
              <w:rPr>
                <w:rFonts w:ascii="Times New Roman" w:hAnsi="Times New Roman" w:cs="Times New Roman"/>
                <w:color w:val="000000"/>
              </w:rPr>
              <w:t>Sippel</w:t>
            </w:r>
            <w:proofErr w:type="spellEnd"/>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Oito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w:t>
            </w:r>
            <w:proofErr w:type="spellStart"/>
            <w:r w:rsidRPr="00072034">
              <w:rPr>
                <w:rFonts w:ascii="Times New Roman" w:hAnsi="Times New Roman" w:cs="Times New Roman"/>
                <w:color w:val="000000"/>
              </w:rPr>
              <w:t>Erni</w:t>
            </w:r>
            <w:proofErr w:type="spellEnd"/>
            <w:r w:rsidRPr="00072034">
              <w:rPr>
                <w:rFonts w:ascii="Times New Roman" w:hAnsi="Times New Roman" w:cs="Times New Roman"/>
                <w:color w:val="000000"/>
              </w:rPr>
              <w:t xml:space="preserve"> </w:t>
            </w:r>
            <w:proofErr w:type="spellStart"/>
            <w:r w:rsidRPr="00072034">
              <w:rPr>
                <w:rFonts w:ascii="Times New Roman" w:hAnsi="Times New Roman" w:cs="Times New Roman"/>
                <w:color w:val="000000"/>
              </w:rPr>
              <w:t>Huckriede</w:t>
            </w:r>
            <w:proofErr w:type="spellEnd"/>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Oito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w:t>
            </w:r>
            <w:proofErr w:type="spellStart"/>
            <w:r w:rsidRPr="00072034">
              <w:rPr>
                <w:rFonts w:ascii="Times New Roman" w:hAnsi="Times New Roman" w:cs="Times New Roman"/>
                <w:color w:val="000000"/>
              </w:rPr>
              <w:t>Erni</w:t>
            </w:r>
            <w:proofErr w:type="spellEnd"/>
            <w:r w:rsidRPr="00072034">
              <w:rPr>
                <w:rFonts w:ascii="Times New Roman" w:hAnsi="Times New Roman" w:cs="Times New Roman"/>
                <w:color w:val="000000"/>
              </w:rPr>
              <w:t xml:space="preserve"> </w:t>
            </w:r>
            <w:proofErr w:type="spellStart"/>
            <w:r w:rsidRPr="00072034">
              <w:rPr>
                <w:rFonts w:ascii="Times New Roman" w:hAnsi="Times New Roman" w:cs="Times New Roman"/>
                <w:color w:val="000000"/>
              </w:rPr>
              <w:t>Huckriede</w:t>
            </w:r>
            <w:proofErr w:type="spellEnd"/>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Popular</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Alexandre </w:t>
            </w:r>
            <w:proofErr w:type="spellStart"/>
            <w:r w:rsidRPr="00072034">
              <w:rPr>
                <w:rFonts w:ascii="Times New Roman" w:hAnsi="Times New Roman" w:cs="Times New Roman"/>
                <w:color w:val="000000"/>
              </w:rPr>
              <w:t>Hauenstein</w:t>
            </w:r>
            <w:proofErr w:type="spellEnd"/>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Germano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Metálica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w:t>
            </w:r>
            <w:proofErr w:type="spellStart"/>
            <w:r w:rsidRPr="00072034">
              <w:rPr>
                <w:rFonts w:ascii="Times New Roman" w:hAnsi="Times New Roman" w:cs="Times New Roman"/>
                <w:color w:val="000000"/>
              </w:rPr>
              <w:t>Otterno</w:t>
            </w:r>
            <w:proofErr w:type="spellEnd"/>
            <w:r w:rsidRPr="00072034">
              <w:rPr>
                <w:rFonts w:ascii="Times New Roman" w:hAnsi="Times New Roman" w:cs="Times New Roman"/>
                <w:color w:val="000000"/>
              </w:rPr>
              <w:t xml:space="preserve"> </w:t>
            </w:r>
            <w:proofErr w:type="spellStart"/>
            <w:r w:rsidRPr="00072034">
              <w:rPr>
                <w:rFonts w:ascii="Times New Roman" w:hAnsi="Times New Roman" w:cs="Times New Roman"/>
                <w:color w:val="000000"/>
              </w:rPr>
              <w:t>Schaeffer</w:t>
            </w:r>
            <w:proofErr w:type="spellEnd"/>
            <w:r w:rsidRPr="00072034">
              <w:rPr>
                <w:rFonts w:ascii="Times New Roman" w:hAnsi="Times New Roman" w:cs="Times New Roman"/>
                <w:color w:val="000000"/>
              </w:rPr>
              <w:t xml:space="preserve"> esq. Edmundo </w:t>
            </w:r>
            <w:proofErr w:type="spellStart"/>
            <w:r w:rsidRPr="00072034">
              <w:rPr>
                <w:rFonts w:ascii="Times New Roman" w:hAnsi="Times New Roman" w:cs="Times New Roman"/>
                <w:color w:val="000000"/>
              </w:rPr>
              <w:t>Hauenstein</w:t>
            </w:r>
            <w:proofErr w:type="spellEnd"/>
          </w:p>
        </w:tc>
      </w:tr>
      <w:tr w:rsidR="00072034" w:rsidRPr="00072034" w:rsidTr="00072034">
        <w:trPr>
          <w:trHeight w:val="183"/>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Germano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96.000l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Inox</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w:t>
            </w:r>
            <w:proofErr w:type="spellStart"/>
            <w:r w:rsidRPr="00072034">
              <w:rPr>
                <w:rFonts w:ascii="Times New Roman" w:hAnsi="Times New Roman" w:cs="Times New Roman"/>
                <w:color w:val="000000"/>
              </w:rPr>
              <w:t>Otterno</w:t>
            </w:r>
            <w:proofErr w:type="spellEnd"/>
            <w:r w:rsidRPr="00072034">
              <w:rPr>
                <w:rFonts w:ascii="Times New Roman" w:hAnsi="Times New Roman" w:cs="Times New Roman"/>
                <w:color w:val="000000"/>
              </w:rPr>
              <w:t xml:space="preserve"> </w:t>
            </w:r>
            <w:proofErr w:type="spellStart"/>
            <w:r w:rsidRPr="00072034">
              <w:rPr>
                <w:rFonts w:ascii="Times New Roman" w:hAnsi="Times New Roman" w:cs="Times New Roman"/>
                <w:color w:val="000000"/>
              </w:rPr>
              <w:t>Schaeffer</w:t>
            </w:r>
            <w:proofErr w:type="spellEnd"/>
            <w:r w:rsidRPr="00072034">
              <w:rPr>
                <w:rFonts w:ascii="Times New Roman" w:hAnsi="Times New Roman" w:cs="Times New Roman"/>
                <w:color w:val="000000"/>
              </w:rPr>
              <w:t xml:space="preserve"> esq. Edmundo </w:t>
            </w:r>
            <w:proofErr w:type="spellStart"/>
            <w:r w:rsidRPr="00072034">
              <w:rPr>
                <w:rFonts w:ascii="Times New Roman" w:hAnsi="Times New Roman" w:cs="Times New Roman"/>
                <w:color w:val="000000"/>
              </w:rPr>
              <w:t>Hauenstein</w:t>
            </w:r>
            <w:proofErr w:type="spellEnd"/>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Germano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96.000l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Inox</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 xml:space="preserve">Rua </w:t>
            </w:r>
            <w:proofErr w:type="spellStart"/>
            <w:r w:rsidRPr="00072034">
              <w:rPr>
                <w:rFonts w:ascii="Times New Roman" w:hAnsi="Times New Roman" w:cs="Times New Roman"/>
                <w:color w:val="000000"/>
              </w:rPr>
              <w:t>Otterno</w:t>
            </w:r>
            <w:proofErr w:type="spellEnd"/>
            <w:r w:rsidRPr="00072034">
              <w:rPr>
                <w:rFonts w:ascii="Times New Roman" w:hAnsi="Times New Roman" w:cs="Times New Roman"/>
                <w:color w:val="000000"/>
              </w:rPr>
              <w:t xml:space="preserve"> </w:t>
            </w:r>
            <w:proofErr w:type="spellStart"/>
            <w:r w:rsidRPr="00072034">
              <w:rPr>
                <w:rFonts w:ascii="Times New Roman" w:hAnsi="Times New Roman" w:cs="Times New Roman"/>
                <w:color w:val="000000"/>
              </w:rPr>
              <w:t>Schaeffer</w:t>
            </w:r>
            <w:proofErr w:type="spellEnd"/>
            <w:r w:rsidRPr="00072034">
              <w:rPr>
                <w:rFonts w:ascii="Times New Roman" w:hAnsi="Times New Roman" w:cs="Times New Roman"/>
                <w:color w:val="000000"/>
              </w:rPr>
              <w:t xml:space="preserve"> esq. Edmundo </w:t>
            </w:r>
            <w:proofErr w:type="spellStart"/>
            <w:r w:rsidRPr="00072034">
              <w:rPr>
                <w:rFonts w:ascii="Times New Roman" w:hAnsi="Times New Roman" w:cs="Times New Roman"/>
                <w:color w:val="000000"/>
              </w:rPr>
              <w:t>Hauenstein</w:t>
            </w:r>
            <w:proofErr w:type="spellEnd"/>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Ribeiro</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Inox</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194</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Estrada Velha</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150.000l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Inox</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Reinaldo A. Augustin</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 Catarina Alta</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25.000l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Fibra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Linha Catarina Alta</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 Catarina Alta</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5.000l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Fibra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Linha Catarina Alta</w:t>
            </w:r>
          </w:p>
        </w:tc>
      </w:tr>
      <w:tr w:rsidR="00072034" w:rsidRPr="00072034" w:rsidTr="00072034">
        <w:trPr>
          <w:trHeight w:val="300"/>
        </w:trPr>
        <w:tc>
          <w:tcPr>
            <w:tcW w:w="1106" w:type="pct"/>
            <w:tcBorders>
              <w:top w:val="nil"/>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 Catarina Alta</w:t>
            </w:r>
          </w:p>
        </w:tc>
        <w:tc>
          <w:tcPr>
            <w:tcW w:w="1064"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Fibra</w:t>
            </w:r>
          </w:p>
        </w:tc>
        <w:tc>
          <w:tcPr>
            <w:tcW w:w="1828" w:type="pct"/>
            <w:tcBorders>
              <w:top w:val="nil"/>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Linha Catarina Alta</w:t>
            </w:r>
          </w:p>
        </w:tc>
      </w:tr>
      <w:tr w:rsidR="00072034" w:rsidRPr="00072034" w:rsidTr="00072034">
        <w:trPr>
          <w:trHeight w:val="300"/>
        </w:trPr>
        <w:tc>
          <w:tcPr>
            <w:tcW w:w="11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Alencar</w:t>
            </w:r>
          </w:p>
        </w:tc>
        <w:tc>
          <w:tcPr>
            <w:tcW w:w="1064"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170.000l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Inox</w:t>
            </w:r>
          </w:p>
        </w:tc>
        <w:tc>
          <w:tcPr>
            <w:tcW w:w="1828"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Felipe Jacobs</w:t>
            </w:r>
          </w:p>
        </w:tc>
      </w:tr>
      <w:tr w:rsidR="00072034" w:rsidRPr="00072034" w:rsidTr="00072034">
        <w:trPr>
          <w:trHeight w:val="300"/>
        </w:trPr>
        <w:tc>
          <w:tcPr>
            <w:tcW w:w="11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Canabarro</w:t>
            </w:r>
          </w:p>
        </w:tc>
        <w:tc>
          <w:tcPr>
            <w:tcW w:w="1064"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170.000l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Inox</w:t>
            </w:r>
          </w:p>
        </w:tc>
        <w:tc>
          <w:tcPr>
            <w:tcW w:w="1828"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Rua Everaldo de Oliveira Rodrigues</w:t>
            </w:r>
          </w:p>
        </w:tc>
      </w:tr>
      <w:tr w:rsidR="00072034" w:rsidRPr="00072034" w:rsidTr="00072034">
        <w:trPr>
          <w:trHeight w:val="300"/>
        </w:trPr>
        <w:tc>
          <w:tcPr>
            <w:tcW w:w="1106" w:type="pct"/>
            <w:tcBorders>
              <w:top w:val="single" w:sz="4" w:space="0" w:color="auto"/>
              <w:left w:val="single" w:sz="4" w:space="0" w:color="auto"/>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Coxilha Verde</w:t>
            </w:r>
          </w:p>
        </w:tc>
        <w:tc>
          <w:tcPr>
            <w:tcW w:w="1064"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10.000l</w:t>
            </w:r>
          </w:p>
        </w:tc>
        <w:tc>
          <w:tcPr>
            <w:tcW w:w="1002"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Fibra</w:t>
            </w:r>
          </w:p>
        </w:tc>
        <w:tc>
          <w:tcPr>
            <w:tcW w:w="1828" w:type="pct"/>
            <w:tcBorders>
              <w:top w:val="single" w:sz="4" w:space="0" w:color="auto"/>
              <w:left w:val="nil"/>
              <w:bottom w:val="single" w:sz="4" w:space="0" w:color="auto"/>
              <w:right w:val="single" w:sz="4" w:space="0" w:color="auto"/>
            </w:tcBorders>
            <w:shd w:val="clear" w:color="auto" w:fill="auto"/>
            <w:noWrap/>
            <w:vAlign w:val="center"/>
          </w:tcPr>
          <w:p w:rsidR="00072034" w:rsidRPr="00072034" w:rsidRDefault="00072034" w:rsidP="00864938">
            <w:pPr>
              <w:spacing w:beforeLines="30" w:afterLines="30" w:line="312" w:lineRule="auto"/>
              <w:jc w:val="center"/>
              <w:rPr>
                <w:rFonts w:ascii="Times New Roman" w:hAnsi="Times New Roman" w:cs="Times New Roman"/>
                <w:color w:val="000000"/>
              </w:rPr>
            </w:pPr>
            <w:r w:rsidRPr="00072034">
              <w:rPr>
                <w:rFonts w:ascii="Times New Roman" w:hAnsi="Times New Roman" w:cs="Times New Roman"/>
                <w:color w:val="000000"/>
              </w:rPr>
              <w:t>Linha São Jacó Loteamento</w:t>
            </w:r>
          </w:p>
        </w:tc>
      </w:tr>
    </w:tbl>
    <w:p w:rsidR="00072034" w:rsidRPr="0075724F" w:rsidRDefault="00072034" w:rsidP="0075724F">
      <w:pPr>
        <w:pStyle w:val="NormalWeb"/>
        <w:spacing w:before="0" w:after="0" w:line="276" w:lineRule="auto"/>
        <w:jc w:val="both"/>
        <w:rPr>
          <w:b/>
          <w:bCs/>
          <w:color w:val="000000"/>
          <w:sz w:val="23"/>
          <w:szCs w:val="23"/>
        </w:rPr>
      </w:pPr>
    </w:p>
    <w:p w:rsidR="00072034" w:rsidRPr="0075724F" w:rsidRDefault="00072034" w:rsidP="0075724F">
      <w:pPr>
        <w:pStyle w:val="NormalWeb"/>
        <w:spacing w:before="0" w:after="0" w:line="276" w:lineRule="auto"/>
        <w:jc w:val="both"/>
        <w:rPr>
          <w:rFonts w:eastAsia="Calibri"/>
          <w:sz w:val="23"/>
          <w:szCs w:val="23"/>
        </w:rPr>
      </w:pPr>
      <w:r w:rsidRPr="0075724F">
        <w:rPr>
          <w:rFonts w:eastAsia="Calibri"/>
          <w:sz w:val="23"/>
          <w:szCs w:val="23"/>
        </w:rPr>
        <w:t>Assim, em sua totalidade, o Município possui 29 (vinte e nove) poços artesianos e 21 (vinte e um) reservatórios de água.</w:t>
      </w:r>
    </w:p>
    <w:p w:rsidR="00072034" w:rsidRPr="0075724F" w:rsidRDefault="00072034" w:rsidP="0075724F">
      <w:pPr>
        <w:pStyle w:val="NormalWeb"/>
        <w:spacing w:before="0" w:after="0" w:line="276" w:lineRule="auto"/>
        <w:jc w:val="both"/>
        <w:rPr>
          <w:rFonts w:eastAsia="Calibri"/>
          <w:sz w:val="23"/>
          <w:szCs w:val="23"/>
        </w:rPr>
      </w:pPr>
    </w:p>
    <w:p w:rsidR="00072034" w:rsidRPr="0075724F" w:rsidRDefault="00072034" w:rsidP="0075724F">
      <w:pPr>
        <w:pStyle w:val="NormalWeb"/>
        <w:spacing w:before="0" w:after="0" w:line="276" w:lineRule="auto"/>
        <w:jc w:val="both"/>
        <w:rPr>
          <w:b/>
          <w:bCs/>
          <w:color w:val="000000"/>
          <w:sz w:val="23"/>
          <w:szCs w:val="23"/>
        </w:rPr>
      </w:pPr>
      <w:r w:rsidRPr="0075724F">
        <w:rPr>
          <w:b/>
          <w:bCs/>
          <w:color w:val="000000"/>
          <w:sz w:val="23"/>
          <w:szCs w:val="23"/>
        </w:rPr>
        <w:t>2. FUNDAMENTAÇÃO DA CONTRATAÇÃO</w:t>
      </w:r>
    </w:p>
    <w:p w:rsidR="00D153DC" w:rsidRPr="0075724F" w:rsidRDefault="00D153DC" w:rsidP="0075724F">
      <w:pPr>
        <w:pStyle w:val="NormalWeb"/>
        <w:spacing w:before="0" w:after="0" w:line="276" w:lineRule="auto"/>
        <w:jc w:val="both"/>
        <w:rPr>
          <w:rFonts w:eastAsia="Calibri"/>
          <w:b/>
          <w:bCs/>
          <w:sz w:val="23"/>
          <w:szCs w:val="23"/>
          <w:lang w:eastAsia="pt-BR"/>
        </w:rPr>
      </w:pPr>
      <w:bookmarkStart w:id="1" w:name="art6xxiiic"/>
      <w:bookmarkEnd w:id="1"/>
      <w:r w:rsidRPr="0075724F">
        <w:rPr>
          <w:rFonts w:eastAsia="Calibri"/>
          <w:sz w:val="23"/>
          <w:szCs w:val="23"/>
          <w:lang w:eastAsia="pt-BR"/>
        </w:rPr>
        <w:t>2.1. A contratação é necessária para assegurar o fornecimento de água potável, tratada e com qualidade sanitária adequada à população atendida pelos sistemas de abastecimento dos Bairros Teutônia e Canabarro.</w:t>
      </w:r>
      <w:r w:rsidRPr="0075724F">
        <w:rPr>
          <w:rFonts w:eastAsia="Calibri"/>
          <w:sz w:val="23"/>
          <w:szCs w:val="23"/>
          <w:lang w:eastAsia="pt-BR"/>
        </w:rPr>
        <w:br/>
        <w:t>2.2. A medida busca atender às exigências sanitárias aplicáveis ao controle da qualidade da água para consumo humano, bem como garantir a continuidade do serviço público essencial, prevenindo riscos à saúde coletiva e assegurando a adequada operação dos sistemas de abastecimento.</w:t>
      </w:r>
      <w:r w:rsidRPr="0075724F">
        <w:rPr>
          <w:rFonts w:eastAsia="Calibri"/>
          <w:sz w:val="23"/>
          <w:szCs w:val="23"/>
          <w:lang w:eastAsia="pt-BR"/>
        </w:rPr>
        <w:br/>
        <w:t xml:space="preserve">2.3. A contratação também se justifica pela necessidade de manutenção dos padrões mínimos de </w:t>
      </w:r>
      <w:r w:rsidRPr="0075724F">
        <w:rPr>
          <w:rFonts w:eastAsia="Calibri"/>
          <w:sz w:val="23"/>
          <w:szCs w:val="23"/>
          <w:lang w:eastAsia="pt-BR"/>
        </w:rPr>
        <w:lastRenderedPageBreak/>
        <w:t>vigilância e controle da qualidade da água, observadas as normas federais, estaduais e municipais aplicáveis, especialmente as disposições da Portaria de Consolidação GM/MS nº 5/2017 e demais atos normativos pertinentes.</w:t>
      </w:r>
      <w:r w:rsidRPr="0075724F">
        <w:rPr>
          <w:rFonts w:eastAsia="Calibri"/>
          <w:sz w:val="23"/>
          <w:szCs w:val="23"/>
          <w:lang w:eastAsia="pt-BR"/>
        </w:rPr>
        <w:br/>
        <w:t>2.4. Considerando a natureza contínua e indispensável do serviço, a contratação deverá ser formalizada de modo a permitir sua execução ininterrupta, com adequada fiscalização e monitoramento pela Administração Pública.</w:t>
      </w:r>
      <w:r w:rsidRPr="0075724F">
        <w:rPr>
          <w:rFonts w:eastAsia="Calibri"/>
          <w:b/>
          <w:bCs/>
          <w:sz w:val="23"/>
          <w:szCs w:val="23"/>
          <w:lang w:eastAsia="pt-BR"/>
        </w:rPr>
        <w:t xml:space="preserve"> </w:t>
      </w:r>
    </w:p>
    <w:p w:rsidR="00D153DC" w:rsidRPr="0075724F" w:rsidRDefault="00D153DC" w:rsidP="0075724F">
      <w:pPr>
        <w:pStyle w:val="NormalWeb"/>
        <w:spacing w:before="0" w:after="0" w:line="276" w:lineRule="auto"/>
        <w:jc w:val="both"/>
        <w:rPr>
          <w:rFonts w:eastAsia="Calibri"/>
          <w:b/>
          <w:bCs/>
          <w:sz w:val="23"/>
          <w:szCs w:val="23"/>
          <w:lang w:eastAsia="pt-BR"/>
        </w:rPr>
      </w:pPr>
    </w:p>
    <w:p w:rsidR="00072034" w:rsidRPr="0075724F" w:rsidRDefault="00072034" w:rsidP="0075724F">
      <w:pPr>
        <w:pStyle w:val="NormalWeb"/>
        <w:spacing w:before="0" w:after="0" w:line="276" w:lineRule="auto"/>
        <w:jc w:val="both"/>
        <w:rPr>
          <w:b/>
          <w:bCs/>
          <w:color w:val="000000"/>
          <w:sz w:val="23"/>
          <w:szCs w:val="23"/>
        </w:rPr>
      </w:pPr>
      <w:r w:rsidRPr="0075724F">
        <w:rPr>
          <w:b/>
          <w:bCs/>
          <w:color w:val="000000"/>
          <w:sz w:val="23"/>
          <w:szCs w:val="23"/>
        </w:rPr>
        <w:t>3. DESCRIÇÃO DA SOLUÇÃO COMO UM TODO</w:t>
      </w:r>
    </w:p>
    <w:p w:rsidR="00072034" w:rsidRPr="0075724F" w:rsidRDefault="00D153DC" w:rsidP="0075724F">
      <w:pPr>
        <w:pStyle w:val="NormalWeb"/>
        <w:spacing w:before="0" w:after="0" w:line="276" w:lineRule="auto"/>
        <w:jc w:val="both"/>
        <w:rPr>
          <w:rFonts w:eastAsia="Calibri"/>
          <w:sz w:val="23"/>
          <w:szCs w:val="23"/>
          <w:lang w:eastAsia="pt-BR"/>
        </w:rPr>
      </w:pPr>
      <w:r w:rsidRPr="0075724F">
        <w:rPr>
          <w:rFonts w:eastAsia="Calibri"/>
          <w:sz w:val="23"/>
          <w:szCs w:val="23"/>
          <w:lang w:eastAsia="pt-BR"/>
        </w:rPr>
        <w:t>3.1. A solução proposta consiste na contratação de empresa especializada para prestar serviços de controle, tratamento e monitoramento da qualidade da água, abrangendo, entre outras atividades:</w:t>
      </w:r>
      <w:r w:rsidRPr="0075724F">
        <w:rPr>
          <w:rFonts w:eastAsia="Calibri"/>
          <w:sz w:val="23"/>
          <w:szCs w:val="23"/>
          <w:lang w:eastAsia="pt-BR"/>
        </w:rPr>
        <w:br/>
        <w:t>I – tratamento químico da água por meio de cloração;</w:t>
      </w:r>
      <w:r w:rsidRPr="0075724F">
        <w:rPr>
          <w:rFonts w:eastAsia="Calibri"/>
          <w:sz w:val="23"/>
          <w:szCs w:val="23"/>
          <w:lang w:eastAsia="pt-BR"/>
        </w:rPr>
        <w:br/>
        <w:t>II – controle e monitoramento dos níveis de cloro residual livre;</w:t>
      </w:r>
      <w:r w:rsidRPr="0075724F">
        <w:rPr>
          <w:rFonts w:eastAsia="Calibri"/>
          <w:sz w:val="23"/>
          <w:szCs w:val="23"/>
          <w:lang w:eastAsia="pt-BR"/>
        </w:rPr>
        <w:br/>
        <w:t>III – realização de coletas e análises laboratoriais em pontos definidos;</w:t>
      </w:r>
      <w:r w:rsidRPr="0075724F">
        <w:rPr>
          <w:rFonts w:eastAsia="Calibri"/>
          <w:sz w:val="23"/>
          <w:szCs w:val="23"/>
          <w:lang w:eastAsia="pt-BR"/>
        </w:rPr>
        <w:br/>
        <w:t>IV – manutenção preventiva e corretiva dos equipamentos de tratamento;</w:t>
      </w:r>
      <w:r w:rsidRPr="0075724F">
        <w:rPr>
          <w:rFonts w:eastAsia="Calibri"/>
          <w:sz w:val="23"/>
          <w:szCs w:val="23"/>
          <w:lang w:eastAsia="pt-BR"/>
        </w:rPr>
        <w:br/>
        <w:t>V – limpeza e desinfecção periódica dos reservatórios;</w:t>
      </w:r>
      <w:r w:rsidRPr="0075724F">
        <w:rPr>
          <w:rFonts w:eastAsia="Calibri"/>
          <w:sz w:val="23"/>
          <w:szCs w:val="23"/>
          <w:lang w:eastAsia="pt-BR"/>
        </w:rPr>
        <w:br/>
        <w:t>VI – emissão de laudos, relatórios e registros operacionais;</w:t>
      </w:r>
      <w:r w:rsidRPr="0075724F">
        <w:rPr>
          <w:rFonts w:eastAsia="Calibri"/>
          <w:sz w:val="23"/>
          <w:szCs w:val="23"/>
          <w:lang w:eastAsia="pt-BR"/>
        </w:rPr>
        <w:br/>
        <w:t>VII – apoio técnico permanente para garantia da regularidade operacional do sistema.</w:t>
      </w:r>
      <w:r w:rsidRPr="0075724F">
        <w:rPr>
          <w:rFonts w:eastAsia="Calibri"/>
          <w:sz w:val="23"/>
          <w:szCs w:val="23"/>
          <w:lang w:eastAsia="pt-BR"/>
        </w:rPr>
        <w:br/>
        <w:t>3.2. A contratação visa garantir solução integrada e contínua para a manutenção da potabilidade da água distribuída nos sistemas municipais, com observância dos parâmetros técnicos e sanitários exigidos pela legislação.</w:t>
      </w:r>
    </w:p>
    <w:p w:rsidR="00D153DC" w:rsidRPr="0075724F" w:rsidRDefault="00D153DC" w:rsidP="0075724F">
      <w:pPr>
        <w:pStyle w:val="NormalWeb"/>
        <w:spacing w:before="0" w:after="0" w:line="276" w:lineRule="auto"/>
        <w:jc w:val="both"/>
        <w:rPr>
          <w:b/>
          <w:bCs/>
          <w:color w:val="000000"/>
          <w:sz w:val="23"/>
          <w:szCs w:val="23"/>
        </w:rPr>
      </w:pPr>
    </w:p>
    <w:p w:rsidR="00072034" w:rsidRPr="0075724F" w:rsidRDefault="00072034" w:rsidP="0075724F">
      <w:pPr>
        <w:pStyle w:val="NormalWeb"/>
        <w:spacing w:before="0" w:after="0" w:line="276" w:lineRule="auto"/>
        <w:jc w:val="both"/>
        <w:rPr>
          <w:b/>
          <w:bCs/>
          <w:color w:val="000000"/>
          <w:sz w:val="23"/>
          <w:szCs w:val="23"/>
        </w:rPr>
      </w:pPr>
      <w:bookmarkStart w:id="2" w:name="art6xxiiid"/>
      <w:bookmarkEnd w:id="2"/>
      <w:r w:rsidRPr="0075724F">
        <w:rPr>
          <w:b/>
          <w:bCs/>
          <w:color w:val="000000"/>
          <w:sz w:val="23"/>
          <w:szCs w:val="23"/>
        </w:rPr>
        <w:t>4. REQUISITOS DA CONTRATAÇÃO</w:t>
      </w:r>
    </w:p>
    <w:p w:rsidR="00072034" w:rsidRPr="0075724F" w:rsidRDefault="00D153DC" w:rsidP="0075724F">
      <w:pPr>
        <w:spacing w:after="0" w:line="276" w:lineRule="auto"/>
        <w:jc w:val="both"/>
        <w:rPr>
          <w:rFonts w:ascii="Times New Roman" w:hAnsi="Times New Roman" w:cs="Times New Roman"/>
          <w:sz w:val="23"/>
          <w:szCs w:val="23"/>
        </w:rPr>
      </w:pPr>
      <w:bookmarkStart w:id="3" w:name="art6xxiiie"/>
      <w:bookmarkEnd w:id="3"/>
      <w:r w:rsidRPr="0075724F">
        <w:rPr>
          <w:rFonts w:ascii="Times New Roman" w:hAnsi="Times New Roman" w:cs="Times New Roman"/>
          <w:b/>
          <w:bCs/>
          <w:sz w:val="23"/>
          <w:szCs w:val="23"/>
        </w:rPr>
        <w:t>4.1. Natureza do serviço</w:t>
      </w:r>
      <w:r w:rsidRPr="0075724F">
        <w:rPr>
          <w:rFonts w:ascii="Times New Roman" w:hAnsi="Times New Roman" w:cs="Times New Roman"/>
          <w:b/>
          <w:bCs/>
          <w:sz w:val="23"/>
          <w:szCs w:val="23"/>
        </w:rPr>
        <w:br/>
      </w:r>
      <w:r w:rsidRPr="0075724F">
        <w:rPr>
          <w:rFonts w:ascii="Times New Roman" w:hAnsi="Times New Roman" w:cs="Times New Roman"/>
          <w:sz w:val="23"/>
          <w:szCs w:val="23"/>
        </w:rPr>
        <w:t>4.1.1. Os serviços objeto desta contratação possuem natureza de serviço comum, uma vez que seus padrões de desempenho e qualidade podem ser objetivamente definidos por meio de especificações usuais de mercado e parâmetros técnicos previamente estabelecidos.</w:t>
      </w:r>
    </w:p>
    <w:p w:rsidR="00D153DC" w:rsidRPr="0075724F" w:rsidRDefault="00D153DC" w:rsidP="0075724F">
      <w:pPr>
        <w:spacing w:after="0" w:line="276" w:lineRule="auto"/>
        <w:jc w:val="both"/>
        <w:rPr>
          <w:rFonts w:ascii="Times New Roman" w:hAnsi="Times New Roman" w:cs="Times New Roman"/>
          <w:sz w:val="23"/>
          <w:szCs w:val="23"/>
        </w:rPr>
      </w:pPr>
    </w:p>
    <w:p w:rsidR="00072034" w:rsidRPr="0075724F" w:rsidRDefault="00072034" w:rsidP="0075724F">
      <w:pPr>
        <w:spacing w:after="0" w:line="276" w:lineRule="auto"/>
        <w:jc w:val="both"/>
        <w:rPr>
          <w:rFonts w:ascii="Times New Roman" w:hAnsi="Times New Roman" w:cs="Times New Roman"/>
          <w:b/>
          <w:bCs/>
          <w:sz w:val="23"/>
          <w:szCs w:val="23"/>
        </w:rPr>
      </w:pPr>
      <w:r w:rsidRPr="0075724F">
        <w:rPr>
          <w:rFonts w:ascii="Times New Roman" w:hAnsi="Times New Roman" w:cs="Times New Roman"/>
          <w:b/>
          <w:bCs/>
          <w:sz w:val="23"/>
          <w:szCs w:val="23"/>
        </w:rPr>
        <w:t xml:space="preserve">4.2 </w:t>
      </w:r>
      <w:r w:rsidR="00D153DC" w:rsidRPr="0075724F">
        <w:rPr>
          <w:rFonts w:ascii="Times New Roman" w:hAnsi="Times New Roman" w:cs="Times New Roman"/>
          <w:b/>
          <w:bCs/>
          <w:sz w:val="23"/>
          <w:szCs w:val="23"/>
        </w:rPr>
        <w:t>Especificações do serviço</w:t>
      </w:r>
    </w:p>
    <w:p w:rsidR="00072034" w:rsidRPr="0075724F" w:rsidRDefault="00D153DC"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4.2.1. O tratamento da água deverá ser realizado mediante adição de cloro, de forma a garantir a adequada desinfecção da água distribuída.</w:t>
      </w:r>
      <w:r w:rsidRPr="0075724F">
        <w:rPr>
          <w:rFonts w:ascii="Times New Roman" w:hAnsi="Times New Roman" w:cs="Times New Roman"/>
          <w:sz w:val="23"/>
          <w:szCs w:val="23"/>
        </w:rPr>
        <w:br/>
        <w:t>4.2.2. Os teores de cloro residual livre, aferidos na saída do sistema de tratamento e ao longo de toda a rede de distribuição, deverão permanecer em conformidade com os parâmetros estabelecidos na Portaria de Consolidação GM/MS nº 5/2017 ou norma superveniente que venha a substituí-la.</w:t>
      </w:r>
      <w:r w:rsidRPr="0075724F">
        <w:rPr>
          <w:rFonts w:ascii="Times New Roman" w:hAnsi="Times New Roman" w:cs="Times New Roman"/>
          <w:sz w:val="23"/>
          <w:szCs w:val="23"/>
        </w:rPr>
        <w:br/>
        <w:t>4.2.3. Fica vedada a cloração direta nos poços de captação, em razão dos danos que tal prática pode ocasionar às estruturas do sistema de abastecimento de água.</w:t>
      </w:r>
      <w:r w:rsidRPr="0075724F">
        <w:rPr>
          <w:rFonts w:ascii="Times New Roman" w:hAnsi="Times New Roman" w:cs="Times New Roman"/>
          <w:sz w:val="23"/>
          <w:szCs w:val="23"/>
        </w:rPr>
        <w:br/>
        <w:t>4.2.4. Atualmente, o Sistema de Abastecimento de Água do Bairro Teutônia possui 05 (cinco) poços, dos quais 03 (três) ainda operam com cloração direta, a saber:</w:t>
      </w:r>
    </w:p>
    <w:p w:rsidR="00D153DC" w:rsidRPr="0075724F" w:rsidRDefault="00D153DC" w:rsidP="0075724F">
      <w:pPr>
        <w:spacing w:after="0" w:line="276" w:lineRule="auto"/>
        <w:ind w:left="720"/>
        <w:jc w:val="both"/>
        <w:rPr>
          <w:rFonts w:ascii="Times New Roman" w:hAnsi="Times New Roman" w:cs="Times New Roman"/>
          <w:sz w:val="23"/>
          <w:szCs w:val="23"/>
        </w:rPr>
      </w:pPr>
      <w:r w:rsidRPr="0075724F">
        <w:rPr>
          <w:rFonts w:ascii="Times New Roman" w:hAnsi="Times New Roman" w:cs="Times New Roman"/>
          <w:sz w:val="23"/>
          <w:szCs w:val="23"/>
        </w:rPr>
        <w:t>I – Poço 1 – Pedro Schaeffer, localizado na Rua Pedro Schaeffer, nº 1231;</w:t>
      </w:r>
      <w:r w:rsidRPr="0075724F">
        <w:rPr>
          <w:rFonts w:ascii="Times New Roman" w:hAnsi="Times New Roman" w:cs="Times New Roman"/>
          <w:sz w:val="23"/>
          <w:szCs w:val="23"/>
        </w:rPr>
        <w:br/>
        <w:t>II – Poço 2 – Fim da Rua Paquetá, localizado na Rua 20 de Setembro, nº 1446;</w:t>
      </w:r>
      <w:r w:rsidRPr="0075724F">
        <w:rPr>
          <w:rFonts w:ascii="Times New Roman" w:hAnsi="Times New Roman" w:cs="Times New Roman"/>
          <w:sz w:val="23"/>
          <w:szCs w:val="23"/>
        </w:rPr>
        <w:br/>
        <w:t>III – Poço 5 – Rota do Sol (novo), localizado na ERS-453 – Rota do Sol.</w:t>
      </w:r>
    </w:p>
    <w:p w:rsidR="00072034" w:rsidRPr="0075724F" w:rsidRDefault="00D153DC"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4.2.5. Os referidos poços deverão ser adequados pela contratada no início da execução contratual, às suas expensas, observadas as exigências técnicas pertinentes.</w:t>
      </w:r>
      <w:r w:rsidRPr="0075724F">
        <w:rPr>
          <w:rFonts w:ascii="Times New Roman" w:hAnsi="Times New Roman" w:cs="Times New Roman"/>
          <w:sz w:val="23"/>
          <w:szCs w:val="23"/>
        </w:rPr>
        <w:br/>
        <w:t xml:space="preserve">4.2.6. A contratada deverá fornecer todos os insumos e equipamentos necessários ao correto </w:t>
      </w:r>
      <w:r w:rsidRPr="0075724F">
        <w:rPr>
          <w:rFonts w:ascii="Times New Roman" w:hAnsi="Times New Roman" w:cs="Times New Roman"/>
          <w:sz w:val="23"/>
          <w:szCs w:val="23"/>
        </w:rPr>
        <w:lastRenderedPageBreak/>
        <w:t>tratamento da água, em quantidades adequadas e suficientes para garantir a potabilidade da água fornecida à população.</w:t>
      </w:r>
    </w:p>
    <w:p w:rsidR="00072034" w:rsidRPr="0075724F" w:rsidRDefault="00D153DC"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4.2.7. A contratada será responsável pela manutenção dos equipamentos utilizados no sistema de tratamento da água, inclusive pela substituição de peças e componentes quando necessário, ressalvados os dosadores de cloro, que serão fornecidos pela Administração Municipal, permanecendo sob responsabilidade da contratada a respectiva manutenção durante a vigência contratual.</w:t>
      </w:r>
    </w:p>
    <w:p w:rsidR="00D153DC" w:rsidRPr="0075724F" w:rsidRDefault="00D153DC" w:rsidP="0075724F">
      <w:pPr>
        <w:spacing w:after="0" w:line="276" w:lineRule="auto"/>
        <w:jc w:val="both"/>
        <w:rPr>
          <w:rFonts w:ascii="Times New Roman" w:hAnsi="Times New Roman" w:cs="Times New Roman"/>
          <w:sz w:val="23"/>
          <w:szCs w:val="23"/>
        </w:rPr>
      </w:pPr>
    </w:p>
    <w:p w:rsidR="00072034" w:rsidRPr="0075724F" w:rsidRDefault="00D153DC" w:rsidP="0075724F">
      <w:pPr>
        <w:spacing w:after="0" w:line="276" w:lineRule="auto"/>
        <w:jc w:val="both"/>
        <w:rPr>
          <w:rFonts w:ascii="Times New Roman" w:hAnsi="Times New Roman" w:cs="Times New Roman"/>
          <w:b/>
          <w:bCs/>
          <w:sz w:val="23"/>
          <w:szCs w:val="23"/>
        </w:rPr>
      </w:pPr>
      <w:r w:rsidRPr="0075724F">
        <w:rPr>
          <w:rFonts w:ascii="Times New Roman" w:hAnsi="Times New Roman" w:cs="Times New Roman"/>
          <w:b/>
          <w:bCs/>
          <w:sz w:val="23"/>
          <w:szCs w:val="23"/>
        </w:rPr>
        <w:t>4.3 Obrigações da contratada</w:t>
      </w:r>
    </w:p>
    <w:p w:rsidR="00072034" w:rsidRPr="0075724F" w:rsidRDefault="00D153DC"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4.3.1. Fornecer certificado de limpeza e desinfecção dos reservatórios de água sempre que realizada a respectiva limpeza.</w:t>
      </w:r>
      <w:r w:rsidRPr="0075724F">
        <w:rPr>
          <w:rFonts w:ascii="Times New Roman" w:hAnsi="Times New Roman" w:cs="Times New Roman"/>
          <w:sz w:val="23"/>
          <w:szCs w:val="23"/>
        </w:rPr>
        <w:br/>
        <w:t>4.3.2. Realizar a manutenção e, quando necessário, a substituição de equipamentos e peças do sistema de dosagem, incluindo aparelho dosador, mangueiras, válvulas e demais componentes indispensáveis ao adequado funcionamento do sistema de tratamento.</w:t>
      </w:r>
      <w:r w:rsidRPr="0075724F">
        <w:rPr>
          <w:rFonts w:ascii="Times New Roman" w:hAnsi="Times New Roman" w:cs="Times New Roman"/>
          <w:sz w:val="23"/>
          <w:szCs w:val="23"/>
        </w:rPr>
        <w:br/>
        <w:t>4.3.3. Realizar, com periodicidade anual, a limpeza e desinfecção de todos os reservatórios de água do sistema ou da solução alternativa coletiva de abastecimento, em conformidade com a legislação sanitária aplicável.</w:t>
      </w:r>
      <w:r w:rsidRPr="0075724F">
        <w:rPr>
          <w:rFonts w:ascii="Times New Roman" w:hAnsi="Times New Roman" w:cs="Times New Roman"/>
          <w:sz w:val="23"/>
          <w:szCs w:val="23"/>
        </w:rPr>
        <w:br/>
        <w:t>4.3.4. Fornecer relatório técnico-operacional mensal, contendo a descrição das ocorrências verificadas e das ações corretivas e preventivas adotadas.</w:t>
      </w:r>
      <w:r w:rsidRPr="0075724F">
        <w:rPr>
          <w:rFonts w:ascii="Times New Roman" w:hAnsi="Times New Roman" w:cs="Times New Roman"/>
          <w:sz w:val="23"/>
          <w:szCs w:val="23"/>
        </w:rPr>
        <w:br/>
        <w:t>4.3.5. Prestar assistência técnica permanente, 24 (vinte e quatro) horas por dia, para manutenção dos equipamentos e reposição ou ajuste de insumos necessários ao funcionamento do sistema de tratamento.</w:t>
      </w:r>
      <w:r w:rsidRPr="0075724F">
        <w:rPr>
          <w:rFonts w:ascii="Times New Roman" w:hAnsi="Times New Roman" w:cs="Times New Roman"/>
          <w:sz w:val="23"/>
          <w:szCs w:val="23"/>
        </w:rPr>
        <w:br/>
        <w:t xml:space="preserve">4.3.6. </w:t>
      </w:r>
      <w:r w:rsidR="009F7CBF" w:rsidRPr="009F7CBF">
        <w:rPr>
          <w:rFonts w:ascii="Times New Roman" w:eastAsia="Arial" w:hAnsi="Times New Roman" w:cs="Times New Roman"/>
          <w:color w:val="000000"/>
          <w:sz w:val="23"/>
          <w:szCs w:val="23"/>
        </w:rPr>
        <w:t>Registrar visita técnica 03 (três) vezes durante a semana, mediante assinatura em planilha própria a ser mantida no interior de cada uma das casas de química localizadas junto aos poços, garantindo o acesso e acompanhamento pela fiscalização municipal.</w:t>
      </w:r>
      <w:r w:rsidRPr="0075724F">
        <w:rPr>
          <w:rFonts w:ascii="Times New Roman" w:hAnsi="Times New Roman" w:cs="Times New Roman"/>
          <w:sz w:val="23"/>
          <w:szCs w:val="23"/>
        </w:rPr>
        <w:br/>
        <w:t>4.3.7. Manter atualizados todos os registros, laudos, comprovantes, relatórios e documentos técnicos exigidos pela fiscalização e pela legislação aplicável.</w:t>
      </w:r>
    </w:p>
    <w:p w:rsidR="00D153DC" w:rsidRPr="0075724F" w:rsidRDefault="00D153DC" w:rsidP="0075724F">
      <w:pPr>
        <w:spacing w:after="0" w:line="276" w:lineRule="auto"/>
        <w:jc w:val="both"/>
        <w:rPr>
          <w:rFonts w:ascii="Times New Roman" w:hAnsi="Times New Roman" w:cs="Times New Roman"/>
          <w:sz w:val="23"/>
          <w:szCs w:val="23"/>
        </w:rPr>
      </w:pPr>
    </w:p>
    <w:p w:rsidR="00D153DC" w:rsidRPr="0075724F" w:rsidRDefault="00D153DC" w:rsidP="0075724F">
      <w:pPr>
        <w:spacing w:after="0" w:line="276" w:lineRule="auto"/>
        <w:jc w:val="both"/>
        <w:rPr>
          <w:rFonts w:ascii="Times New Roman" w:hAnsi="Times New Roman" w:cs="Times New Roman"/>
          <w:b/>
          <w:bCs/>
          <w:sz w:val="23"/>
          <w:szCs w:val="23"/>
        </w:rPr>
      </w:pPr>
      <w:r w:rsidRPr="0075724F">
        <w:rPr>
          <w:rFonts w:ascii="Times New Roman" w:hAnsi="Times New Roman" w:cs="Times New Roman"/>
          <w:b/>
          <w:bCs/>
          <w:sz w:val="23"/>
          <w:szCs w:val="23"/>
        </w:rPr>
        <w:t xml:space="preserve">4.4 Habilitação </w:t>
      </w:r>
    </w:p>
    <w:p w:rsidR="00D153DC" w:rsidRPr="0075724F" w:rsidRDefault="00D153DC"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Para prestação dos serviços pretendidos, os interessados deverão comprovar que atuam em ramo de atividade compatível com o objeto da licitação e apresentar os documentos de habilitação exigidos no Edital, sem prejuízo dos documentos complementares indicados neste Termo de Referência.</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4.4.1. Habilitação jurídica</w:t>
      </w:r>
      <w:r w:rsidRPr="0075724F">
        <w:rPr>
          <w:rFonts w:ascii="Times New Roman" w:hAnsi="Times New Roman" w:cs="Times New Roman"/>
          <w:b/>
          <w:bCs/>
          <w:sz w:val="23"/>
          <w:szCs w:val="23"/>
        </w:rPr>
        <w:br/>
      </w:r>
      <w:r w:rsidRPr="0075724F">
        <w:rPr>
          <w:rFonts w:ascii="Times New Roman" w:hAnsi="Times New Roman" w:cs="Times New Roman"/>
          <w:sz w:val="23"/>
          <w:szCs w:val="23"/>
        </w:rPr>
        <w:t>I – inscrição no Cadastro Nacional da Pessoa Jurídica – CNPJ;</w:t>
      </w:r>
      <w:r w:rsidRPr="0075724F">
        <w:rPr>
          <w:rFonts w:ascii="Times New Roman" w:hAnsi="Times New Roman" w:cs="Times New Roman"/>
          <w:sz w:val="23"/>
          <w:szCs w:val="23"/>
        </w:rPr>
        <w:br/>
        <w:t>II – contrato social, estatuto ou ato constitutivo, com as respectivas alterações, que comprove a aptidão da empresa para a execução do objeto licitado;</w:t>
      </w:r>
      <w:r w:rsidRPr="0075724F">
        <w:rPr>
          <w:rFonts w:ascii="Times New Roman" w:hAnsi="Times New Roman" w:cs="Times New Roman"/>
          <w:sz w:val="23"/>
          <w:szCs w:val="23"/>
        </w:rPr>
        <w:br/>
        <w:t>III – documentos de identificação dos representantes legais, quando exigidos pelo Edital.</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4.4.2. Regularidade fiscal, social e trabalhista</w:t>
      </w:r>
      <w:r w:rsidRPr="0075724F">
        <w:rPr>
          <w:rFonts w:ascii="Times New Roman" w:hAnsi="Times New Roman" w:cs="Times New Roman"/>
          <w:b/>
          <w:bCs/>
          <w:sz w:val="23"/>
          <w:szCs w:val="23"/>
        </w:rPr>
        <w:br/>
      </w:r>
      <w:r w:rsidRPr="0075724F">
        <w:rPr>
          <w:rFonts w:ascii="Times New Roman" w:hAnsi="Times New Roman" w:cs="Times New Roman"/>
          <w:sz w:val="23"/>
          <w:szCs w:val="23"/>
        </w:rPr>
        <w:t>I – prova de regularidade perante a Fazenda Federal, inclusive quanto aos tributos administrados pela Receita Federal do Brasil e à Dívida Ativa da União;</w:t>
      </w:r>
      <w:r w:rsidRPr="0075724F">
        <w:rPr>
          <w:rFonts w:ascii="Times New Roman" w:hAnsi="Times New Roman" w:cs="Times New Roman"/>
          <w:sz w:val="23"/>
          <w:szCs w:val="23"/>
        </w:rPr>
        <w:br/>
        <w:t>II – prova de regularidade perante a Fazenda Estadual;</w:t>
      </w:r>
      <w:r w:rsidRPr="0075724F">
        <w:rPr>
          <w:rFonts w:ascii="Times New Roman" w:hAnsi="Times New Roman" w:cs="Times New Roman"/>
          <w:sz w:val="23"/>
          <w:szCs w:val="23"/>
        </w:rPr>
        <w:br/>
      </w:r>
      <w:r w:rsidRPr="0075724F">
        <w:rPr>
          <w:rFonts w:ascii="Times New Roman" w:hAnsi="Times New Roman" w:cs="Times New Roman"/>
          <w:sz w:val="23"/>
          <w:szCs w:val="23"/>
        </w:rPr>
        <w:lastRenderedPageBreak/>
        <w:t>III – prova de regularidade perante a Fazenda Municipal do domicílio ou sede da licitante;</w:t>
      </w:r>
      <w:r w:rsidRPr="0075724F">
        <w:rPr>
          <w:rFonts w:ascii="Times New Roman" w:hAnsi="Times New Roman" w:cs="Times New Roman"/>
          <w:sz w:val="23"/>
          <w:szCs w:val="23"/>
        </w:rPr>
        <w:br/>
        <w:t>IV – prova de regularidade relativa à Seguridade Social e ao FGTS;</w:t>
      </w:r>
      <w:r w:rsidRPr="0075724F">
        <w:rPr>
          <w:rFonts w:ascii="Times New Roman" w:hAnsi="Times New Roman" w:cs="Times New Roman"/>
          <w:sz w:val="23"/>
          <w:szCs w:val="23"/>
        </w:rPr>
        <w:br/>
        <w:t>V – Certidão Negativa de Débitos Trabalhistas – CNDT.</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4.4.3. Qualificação econômico-financeira</w:t>
      </w:r>
      <w:r w:rsidRPr="0075724F">
        <w:rPr>
          <w:rFonts w:ascii="Times New Roman" w:hAnsi="Times New Roman" w:cs="Times New Roman"/>
          <w:b/>
          <w:bCs/>
          <w:sz w:val="23"/>
          <w:szCs w:val="23"/>
        </w:rPr>
        <w:br/>
      </w:r>
      <w:r w:rsidRPr="0075724F">
        <w:rPr>
          <w:rFonts w:ascii="Times New Roman" w:hAnsi="Times New Roman" w:cs="Times New Roman"/>
          <w:sz w:val="23"/>
          <w:szCs w:val="23"/>
        </w:rPr>
        <w:t>I – certidão negativa de falência, recuperação judicial e extrajudicial, expedida pelo distribuidor da sede da licitante, com data de emissão não superior a 90 (noventa) dias da data da abertura do certame.</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4.4.4. Qualificação técnica</w:t>
      </w:r>
      <w:r w:rsidRPr="0075724F">
        <w:rPr>
          <w:rFonts w:ascii="Times New Roman" w:hAnsi="Times New Roman" w:cs="Times New Roman"/>
          <w:b/>
          <w:bCs/>
          <w:sz w:val="23"/>
          <w:szCs w:val="23"/>
        </w:rPr>
        <w:br/>
      </w:r>
      <w:r w:rsidRPr="0075724F">
        <w:rPr>
          <w:rFonts w:ascii="Times New Roman" w:hAnsi="Times New Roman" w:cs="Times New Roman"/>
          <w:sz w:val="23"/>
          <w:szCs w:val="23"/>
        </w:rPr>
        <w:t>I – Alvará Sanitário e Alvará de Localização e Funcionamento válidos, constando atividade econômica compatível com captação, tratamento e distribuição de água;</w:t>
      </w:r>
      <w:r w:rsidRPr="0075724F">
        <w:rPr>
          <w:rFonts w:ascii="Times New Roman" w:hAnsi="Times New Roman" w:cs="Times New Roman"/>
          <w:sz w:val="23"/>
          <w:szCs w:val="23"/>
        </w:rPr>
        <w:br/>
        <w:t>II – certidão de regularidade da empresa licitante e do(s) profissional(is) responsável(is) junto ao Conselho Regional de Química – CRQ ou ao Conselho Regional de Engenharia e Agronomia – CREA/RS, com data de expedição não superior a 60 (sessenta) dias;</w:t>
      </w:r>
      <w:r w:rsidRPr="0075724F">
        <w:rPr>
          <w:rFonts w:ascii="Times New Roman" w:hAnsi="Times New Roman" w:cs="Times New Roman"/>
          <w:sz w:val="23"/>
          <w:szCs w:val="23"/>
        </w:rPr>
        <w:br/>
        <w:t>III – apresentação de, no mínimo, 01 (um) atestado de capacidade técnica, devidamente registrado ou visado pelo CRQ ou pelo CREA, fornecido por pessoa jurídica de direito público ou privado, que comprove a execução de serviços pertinentes e compatíveis com o objeto da contratação;</w:t>
      </w:r>
      <w:r w:rsidRPr="0075724F">
        <w:rPr>
          <w:rFonts w:ascii="Times New Roman" w:hAnsi="Times New Roman" w:cs="Times New Roman"/>
          <w:sz w:val="23"/>
          <w:szCs w:val="23"/>
        </w:rPr>
        <w:br/>
        <w:t xml:space="preserve">IV – licença de operação expedida pela FEPAM para a atividade de transporte de produtos químicos perigosos, tais como hipoclorito de sódio, ácido </w:t>
      </w:r>
      <w:proofErr w:type="spellStart"/>
      <w:r w:rsidRPr="0075724F">
        <w:rPr>
          <w:rFonts w:ascii="Times New Roman" w:hAnsi="Times New Roman" w:cs="Times New Roman"/>
          <w:sz w:val="23"/>
          <w:szCs w:val="23"/>
        </w:rPr>
        <w:t>fluorsilícico</w:t>
      </w:r>
      <w:proofErr w:type="spellEnd"/>
      <w:r w:rsidRPr="0075724F">
        <w:rPr>
          <w:rFonts w:ascii="Times New Roman" w:hAnsi="Times New Roman" w:cs="Times New Roman"/>
          <w:sz w:val="23"/>
          <w:szCs w:val="23"/>
        </w:rPr>
        <w:t xml:space="preserve"> ou </w:t>
      </w:r>
      <w:proofErr w:type="spellStart"/>
      <w:r w:rsidRPr="0075724F">
        <w:rPr>
          <w:rFonts w:ascii="Times New Roman" w:hAnsi="Times New Roman" w:cs="Times New Roman"/>
          <w:sz w:val="23"/>
          <w:szCs w:val="23"/>
        </w:rPr>
        <w:t>fluossilicato</w:t>
      </w:r>
      <w:proofErr w:type="spellEnd"/>
      <w:r w:rsidRPr="0075724F">
        <w:rPr>
          <w:rFonts w:ascii="Times New Roman" w:hAnsi="Times New Roman" w:cs="Times New Roman"/>
          <w:sz w:val="23"/>
          <w:szCs w:val="23"/>
        </w:rPr>
        <w:t xml:space="preserve"> de sódio, em nome da empresa licitante;</w:t>
      </w:r>
      <w:r w:rsidRPr="0075724F">
        <w:rPr>
          <w:rFonts w:ascii="Times New Roman" w:hAnsi="Times New Roman" w:cs="Times New Roman"/>
          <w:sz w:val="23"/>
          <w:szCs w:val="23"/>
        </w:rPr>
        <w:br/>
        <w:t>V – licença de operação expedida pelo órgão ambiental estadual ou municipal competente para a atividade de serviços de limpeza e desinfecção de reservatórios de água, em nome da empresa licitante;</w:t>
      </w:r>
      <w:r w:rsidRPr="0075724F">
        <w:rPr>
          <w:rFonts w:ascii="Times New Roman" w:hAnsi="Times New Roman" w:cs="Times New Roman"/>
          <w:sz w:val="23"/>
          <w:szCs w:val="23"/>
        </w:rPr>
        <w:br/>
        <w:t>VI – comprovante de destinação das embalagens de produtos químicos utilizados na atividade, classificados como resíduo classe I, em nome da empresa licitante, emitido por aterro industrial devidamente licenciado pela FEPAM;</w:t>
      </w:r>
      <w:r w:rsidRPr="0075724F">
        <w:rPr>
          <w:rFonts w:ascii="Times New Roman" w:hAnsi="Times New Roman" w:cs="Times New Roman"/>
          <w:sz w:val="23"/>
          <w:szCs w:val="23"/>
        </w:rPr>
        <w:br/>
        <w:t>VII – comprovação de vínculo com profissional de nível técnico habilitado como Técnico em Química ou Técnico em Meio Ambiente, que será responsável pela execução operacional dos serviços de tratamento da água, mediante apresentação de contrato de trabalho, CTPS ou outro documento equivalente, bem como comprovação da respectiva habilitação profissional;</w:t>
      </w:r>
      <w:r w:rsidRPr="0075724F">
        <w:rPr>
          <w:rFonts w:ascii="Times New Roman" w:hAnsi="Times New Roman" w:cs="Times New Roman"/>
          <w:sz w:val="23"/>
          <w:szCs w:val="23"/>
        </w:rPr>
        <w:br/>
        <w:t>VIII – certificados de treinamento em nome dos colaboradores da empresa licitante, comprovando qualificação técnica nos cursos NR 35 – Trabalho em Altura e NR 33 – Segurança e Saúde em Espaços Confinados;</w:t>
      </w:r>
      <w:r w:rsidRPr="0075724F">
        <w:rPr>
          <w:rFonts w:ascii="Times New Roman" w:hAnsi="Times New Roman" w:cs="Times New Roman"/>
          <w:sz w:val="23"/>
          <w:szCs w:val="23"/>
        </w:rPr>
        <w:br/>
        <w:t>IX – Laudos de Atendimento aos Requisitos da Saúde – LARS dos produtos químicos utilizados no tratamento da água, bem como a Comprovação de Baixo Risco à Saúde – CBRS, em conformidade com a ABNT NBR 15784:2023, conforme modelos estabelecidos na Nota Informativa nº 157/DSAST/SVS/MS/2014;</w:t>
      </w:r>
      <w:r w:rsidRPr="0075724F">
        <w:rPr>
          <w:rFonts w:ascii="Times New Roman" w:hAnsi="Times New Roman" w:cs="Times New Roman"/>
          <w:sz w:val="23"/>
          <w:szCs w:val="23"/>
        </w:rPr>
        <w:br/>
        <w:t>X – caso a empresa licitante não possua laboratório próprio, deverá apresentar declaração assinada pelo responsável técnico do laboratório analítico que realizará as análises laboratoriais de controle do sistema ou da solução alternativa coletiva de abastecimento de água para consumo humano;</w:t>
      </w:r>
      <w:r w:rsidRPr="0075724F">
        <w:rPr>
          <w:rFonts w:ascii="Times New Roman" w:hAnsi="Times New Roman" w:cs="Times New Roman"/>
          <w:sz w:val="23"/>
          <w:szCs w:val="23"/>
        </w:rPr>
        <w:br/>
        <w:t xml:space="preserve">XI – o laboratório analítico responsável pelas análises deverá atender às exigências do artigo 21 do Anexo XX da Portaria de Consolidação GM/MS nº 5/2017, possuindo as licenças ambientais </w:t>
      </w:r>
      <w:r w:rsidRPr="0075724F">
        <w:rPr>
          <w:rFonts w:ascii="Times New Roman" w:hAnsi="Times New Roman" w:cs="Times New Roman"/>
          <w:sz w:val="23"/>
          <w:szCs w:val="23"/>
        </w:rPr>
        <w:lastRenderedPageBreak/>
        <w:t>necessárias, alvará sanitário expedido pela Vigilância Sanitária competente e certificado de registro junto à FEPAM, quando aplicável.</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4.4.5. Declarações</w:t>
      </w:r>
      <w:r w:rsidRPr="0075724F">
        <w:rPr>
          <w:rFonts w:ascii="Times New Roman" w:hAnsi="Times New Roman" w:cs="Times New Roman"/>
          <w:b/>
          <w:bCs/>
          <w:sz w:val="23"/>
          <w:szCs w:val="23"/>
        </w:rPr>
        <w:br/>
      </w:r>
      <w:r w:rsidRPr="0075724F">
        <w:rPr>
          <w:rFonts w:ascii="Times New Roman" w:hAnsi="Times New Roman" w:cs="Times New Roman"/>
          <w:sz w:val="23"/>
          <w:szCs w:val="23"/>
        </w:rPr>
        <w:t>I – declaração firmada por contador ou técnico em contabilidade, com indicação de seu registro no CRC, de que a licitante ostenta condição de Microempresa, Empresa de Pequeno Porte, Microempreendedor Individual e/ou outro enquadramento correspondente, conforme modelo constante no Edital, ou certidão da Junta Comercial de enquadramento, emitida/firmada no prazo de até 90 (noventa) dias contados da data de abertura do certame;</w:t>
      </w:r>
      <w:r w:rsidRPr="0075724F">
        <w:rPr>
          <w:rFonts w:ascii="Times New Roman" w:hAnsi="Times New Roman" w:cs="Times New Roman"/>
          <w:sz w:val="23"/>
          <w:szCs w:val="23"/>
        </w:rPr>
        <w:br/>
        <w:t>II – declaração conjunta para habilitação, conforme modelo do Edital;</w:t>
      </w:r>
      <w:r w:rsidRPr="0075724F">
        <w:rPr>
          <w:rFonts w:ascii="Times New Roman" w:hAnsi="Times New Roman" w:cs="Times New Roman"/>
          <w:sz w:val="23"/>
          <w:szCs w:val="23"/>
        </w:rPr>
        <w:br/>
        <w:t>III – declaração formal de conhecimento das obrigações e de posse de pessoal técnico adequado e disponível para a realização do objeto da licitação.</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4.4.6. Responsabilidade técnica</w:t>
      </w:r>
      <w:r w:rsidRPr="0075724F">
        <w:rPr>
          <w:rFonts w:ascii="Times New Roman" w:hAnsi="Times New Roman" w:cs="Times New Roman"/>
          <w:sz w:val="23"/>
          <w:szCs w:val="23"/>
        </w:rPr>
        <w:br/>
        <w:t>No ato da assinatura do contrato, a empresa vencedora deverá apresentar a Anotação de Responsabilidade Técnica – ART ou a Anotação de Função Técnica – AFT, contendo descrição detalhada das atividades pelas quais o profissional será responsável, em conformidade com o contrato de prestação de serviços.</w:t>
      </w:r>
      <w:r w:rsidRPr="0075724F">
        <w:rPr>
          <w:rFonts w:ascii="Times New Roman" w:hAnsi="Times New Roman" w:cs="Times New Roman"/>
          <w:sz w:val="23"/>
          <w:szCs w:val="23"/>
        </w:rPr>
        <w:br/>
        <w:t>4.4.6.1. A ART ou AFT deverá ser mantida válida e atualizada durante toda a vigência contratual.</w:t>
      </w:r>
      <w:r w:rsidRPr="0075724F">
        <w:rPr>
          <w:rFonts w:ascii="Times New Roman" w:hAnsi="Times New Roman" w:cs="Times New Roman"/>
          <w:sz w:val="23"/>
          <w:szCs w:val="23"/>
        </w:rPr>
        <w:br/>
        <w:t>4.4.6.2. A não apresentação do referido documento no momento da assinatura do contrato implicará a desclassificação da empresa vencedora.</w:t>
      </w:r>
      <w:r w:rsidRPr="0075724F">
        <w:rPr>
          <w:rFonts w:ascii="Times New Roman" w:hAnsi="Times New Roman" w:cs="Times New Roman"/>
          <w:sz w:val="23"/>
          <w:szCs w:val="23"/>
        </w:rPr>
        <w:br/>
      </w:r>
      <w:r w:rsidRPr="0075724F">
        <w:rPr>
          <w:rFonts w:ascii="Times New Roman" w:hAnsi="Times New Roman" w:cs="Times New Roman"/>
          <w:sz w:val="23"/>
          <w:szCs w:val="23"/>
        </w:rPr>
        <w:br/>
      </w:r>
      <w:r w:rsidRPr="0075724F">
        <w:rPr>
          <w:rFonts w:ascii="Times New Roman" w:hAnsi="Times New Roman" w:cs="Times New Roman"/>
          <w:b/>
          <w:bCs/>
          <w:sz w:val="23"/>
          <w:szCs w:val="23"/>
        </w:rPr>
        <w:t>4.5. Condições complementares</w:t>
      </w:r>
      <w:r w:rsidRPr="0075724F">
        <w:rPr>
          <w:rFonts w:ascii="Times New Roman" w:hAnsi="Times New Roman" w:cs="Times New Roman"/>
          <w:sz w:val="23"/>
          <w:szCs w:val="23"/>
        </w:rPr>
        <w:br/>
        <w:t>4.5.1. O contrato poderá ser rescindido ou extinto nas hipóteses previstas em lei e no instrumento convocatório, especialmente em caso de descumprimento das condições de contratação, inexecução total ou parcial do objeto, ou desatendimento às notificações da fiscalização.</w:t>
      </w:r>
      <w:r w:rsidRPr="0075724F">
        <w:rPr>
          <w:rFonts w:ascii="Times New Roman" w:hAnsi="Times New Roman" w:cs="Times New Roman"/>
          <w:sz w:val="23"/>
          <w:szCs w:val="23"/>
        </w:rPr>
        <w:br/>
        <w:t>4.5.2. A empresa licitante que deixar de entregar a documentação exigida, entregar documentação falsa ou não mantiver sua proposta ficará sujeita às penalidades previstas no Edital, sem prejuízo das demais cominações legais.</w:t>
      </w:r>
    </w:p>
    <w:p w:rsidR="00072034" w:rsidRPr="0075724F" w:rsidRDefault="00072034" w:rsidP="0075724F">
      <w:pPr>
        <w:pStyle w:val="NormalWeb"/>
        <w:spacing w:before="0" w:after="0" w:line="276" w:lineRule="auto"/>
        <w:jc w:val="both"/>
        <w:rPr>
          <w:b/>
          <w:bCs/>
          <w:color w:val="000000"/>
          <w:sz w:val="23"/>
          <w:szCs w:val="23"/>
        </w:rPr>
      </w:pPr>
    </w:p>
    <w:p w:rsidR="00072034" w:rsidRPr="0075724F" w:rsidRDefault="00072034" w:rsidP="0075724F">
      <w:pPr>
        <w:pStyle w:val="NormalWeb"/>
        <w:spacing w:before="0" w:after="0" w:line="276" w:lineRule="auto"/>
        <w:jc w:val="both"/>
        <w:rPr>
          <w:b/>
          <w:bCs/>
          <w:color w:val="000000"/>
          <w:sz w:val="23"/>
          <w:szCs w:val="23"/>
        </w:rPr>
      </w:pPr>
      <w:r w:rsidRPr="0075724F">
        <w:rPr>
          <w:b/>
          <w:bCs/>
          <w:color w:val="000000"/>
          <w:sz w:val="23"/>
          <w:szCs w:val="23"/>
        </w:rPr>
        <w:t>5. MODELO DE EXECUÇÃO DO OBJETO</w:t>
      </w:r>
    </w:p>
    <w:p w:rsidR="00D153DC" w:rsidRPr="0075724F" w:rsidRDefault="00D153DC"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b/>
          <w:bCs/>
          <w:sz w:val="23"/>
          <w:szCs w:val="23"/>
        </w:rPr>
        <w:t>5.1. Da amostragem</w:t>
      </w:r>
      <w:r w:rsidRPr="0075724F">
        <w:rPr>
          <w:rFonts w:ascii="Times New Roman" w:hAnsi="Times New Roman" w:cs="Times New Roman"/>
          <w:b/>
          <w:bCs/>
          <w:sz w:val="23"/>
          <w:szCs w:val="23"/>
        </w:rPr>
        <w:br/>
      </w:r>
      <w:r w:rsidRPr="0075724F">
        <w:rPr>
          <w:rFonts w:ascii="Times New Roman" w:hAnsi="Times New Roman" w:cs="Times New Roman"/>
          <w:sz w:val="23"/>
          <w:szCs w:val="23"/>
        </w:rPr>
        <w:t>5.1.1. A execução dos serviços deverá observar, obrigatoriamente, os planos mínimos de amostragem estabelecidos na Portaria de Consolidação GM/MS nº 5/2017 e demais normativas aplicáveis.</w:t>
      </w:r>
      <w:r w:rsidRPr="0075724F">
        <w:rPr>
          <w:rFonts w:ascii="Times New Roman" w:hAnsi="Times New Roman" w:cs="Times New Roman"/>
          <w:sz w:val="23"/>
          <w:szCs w:val="23"/>
        </w:rPr>
        <w:br/>
        <w:t>5.1.2. Para cada poço tubular integrante do sistema, a contratada deverá realizar as coletas e análises laboratoriais de acordo com o número mínimo de amostras e a frequência abaixo especificados:</w:t>
      </w:r>
      <w:r w:rsidRPr="0075724F">
        <w:rPr>
          <w:rFonts w:ascii="Times New Roman" w:hAnsi="Times New Roman" w:cs="Times New Roman"/>
          <w:sz w:val="23"/>
          <w:szCs w:val="23"/>
        </w:rPr>
        <w:br/>
      </w:r>
      <w:r w:rsidRPr="0075724F">
        <w:rPr>
          <w:rFonts w:ascii="Times New Roman" w:hAnsi="Times New Roman" w:cs="Times New Roman"/>
          <w:b/>
          <w:bCs/>
          <w:sz w:val="23"/>
          <w:szCs w:val="23"/>
        </w:rPr>
        <w:t>a) Cloro residual livre</w:t>
      </w:r>
      <w:r w:rsidRPr="0075724F">
        <w:rPr>
          <w:rFonts w:ascii="Times New Roman" w:hAnsi="Times New Roman" w:cs="Times New Roman"/>
          <w:sz w:val="23"/>
          <w:szCs w:val="23"/>
        </w:rPr>
        <w:br/>
        <w:t>- saída do tratamento: 01 (uma) análise diária;</w:t>
      </w:r>
      <w:r w:rsidRPr="0075724F">
        <w:rPr>
          <w:rFonts w:ascii="Times New Roman" w:hAnsi="Times New Roman" w:cs="Times New Roman"/>
          <w:sz w:val="23"/>
          <w:szCs w:val="23"/>
        </w:rPr>
        <w:br/>
        <w:t>- rede de distribuição: 01 (uma) análise diária.</w:t>
      </w:r>
      <w:r w:rsidRPr="0075724F">
        <w:rPr>
          <w:rFonts w:ascii="Times New Roman" w:hAnsi="Times New Roman" w:cs="Times New Roman"/>
          <w:sz w:val="23"/>
          <w:szCs w:val="23"/>
        </w:rPr>
        <w:br/>
      </w:r>
      <w:r w:rsidRPr="0075724F">
        <w:rPr>
          <w:rFonts w:ascii="Times New Roman" w:hAnsi="Times New Roman" w:cs="Times New Roman"/>
          <w:b/>
          <w:bCs/>
          <w:sz w:val="23"/>
          <w:szCs w:val="23"/>
        </w:rPr>
        <w:t>b) Coliformes totais e Escherichia coli</w:t>
      </w:r>
      <w:r w:rsidRPr="0075724F">
        <w:rPr>
          <w:rFonts w:ascii="Times New Roman" w:hAnsi="Times New Roman" w:cs="Times New Roman"/>
          <w:sz w:val="23"/>
          <w:szCs w:val="23"/>
        </w:rPr>
        <w:br/>
        <w:t>- saída do tratamento: 01 (uma) análise mensal;</w:t>
      </w:r>
      <w:r w:rsidRPr="0075724F">
        <w:rPr>
          <w:rFonts w:ascii="Times New Roman" w:hAnsi="Times New Roman" w:cs="Times New Roman"/>
          <w:sz w:val="23"/>
          <w:szCs w:val="23"/>
        </w:rPr>
        <w:br/>
      </w:r>
      <w:r w:rsidRPr="0075724F">
        <w:rPr>
          <w:rFonts w:ascii="Times New Roman" w:hAnsi="Times New Roman" w:cs="Times New Roman"/>
          <w:sz w:val="23"/>
          <w:szCs w:val="23"/>
        </w:rPr>
        <w:lastRenderedPageBreak/>
        <w:t>- rede de distribuição: 01 (uma) análise mensal.</w:t>
      </w:r>
      <w:r w:rsidRPr="0075724F">
        <w:rPr>
          <w:rFonts w:ascii="Times New Roman" w:hAnsi="Times New Roman" w:cs="Times New Roman"/>
          <w:sz w:val="23"/>
          <w:szCs w:val="23"/>
        </w:rPr>
        <w:br/>
      </w:r>
      <w:r w:rsidRPr="0075724F">
        <w:rPr>
          <w:rFonts w:ascii="Times New Roman" w:hAnsi="Times New Roman" w:cs="Times New Roman"/>
          <w:b/>
          <w:bCs/>
          <w:sz w:val="23"/>
          <w:szCs w:val="23"/>
        </w:rPr>
        <w:t>c) Cor, turbidez e pH</w:t>
      </w:r>
      <w:r w:rsidRPr="0075724F">
        <w:rPr>
          <w:rFonts w:ascii="Times New Roman" w:hAnsi="Times New Roman" w:cs="Times New Roman"/>
          <w:sz w:val="23"/>
          <w:szCs w:val="23"/>
        </w:rPr>
        <w:br/>
        <w:t>- saída do tratamento: 01 (uma) análise mensal;</w:t>
      </w:r>
      <w:r w:rsidRPr="0075724F">
        <w:rPr>
          <w:rFonts w:ascii="Times New Roman" w:hAnsi="Times New Roman" w:cs="Times New Roman"/>
          <w:sz w:val="23"/>
          <w:szCs w:val="23"/>
        </w:rPr>
        <w:br/>
        <w:t>- rede de distribuição: 01 (uma) análise mensal.</w:t>
      </w:r>
      <w:r w:rsidRPr="0075724F">
        <w:rPr>
          <w:rFonts w:ascii="Times New Roman" w:hAnsi="Times New Roman" w:cs="Times New Roman"/>
          <w:sz w:val="23"/>
          <w:szCs w:val="23"/>
        </w:rPr>
        <w:br/>
      </w:r>
      <w:r w:rsidRPr="0075724F">
        <w:rPr>
          <w:rFonts w:ascii="Times New Roman" w:hAnsi="Times New Roman" w:cs="Times New Roman"/>
          <w:b/>
          <w:bCs/>
          <w:sz w:val="23"/>
          <w:szCs w:val="23"/>
        </w:rPr>
        <w:t>d) Sólidos totais dissolvidos, nitrato, Escherichia coli, fluoreto, pH, turbidez e condutividade elétrica</w:t>
      </w:r>
      <w:r w:rsidRPr="0075724F">
        <w:rPr>
          <w:rFonts w:ascii="Times New Roman" w:hAnsi="Times New Roman" w:cs="Times New Roman"/>
          <w:sz w:val="23"/>
          <w:szCs w:val="23"/>
        </w:rPr>
        <w:br/>
        <w:t>- água bruta: 01 (uma) análise semestral.</w:t>
      </w:r>
      <w:r w:rsidRPr="0075724F">
        <w:rPr>
          <w:rFonts w:ascii="Times New Roman" w:hAnsi="Times New Roman" w:cs="Times New Roman"/>
          <w:sz w:val="23"/>
          <w:szCs w:val="23"/>
        </w:rPr>
        <w:br/>
      </w:r>
      <w:r w:rsidRPr="0075724F">
        <w:rPr>
          <w:rFonts w:ascii="Times New Roman" w:hAnsi="Times New Roman" w:cs="Times New Roman"/>
          <w:b/>
          <w:bCs/>
          <w:sz w:val="23"/>
          <w:szCs w:val="23"/>
        </w:rPr>
        <w:t>e) Outros parâmetros conforme estabelecido no Anexo 7 do Anexo XX da Portaria de Consolidação GM/MS nº 5/2017 e na Portaria SES nº 320/2014 do Estado do Rio Grande do Sul</w:t>
      </w:r>
      <w:r w:rsidRPr="0075724F">
        <w:rPr>
          <w:rFonts w:ascii="Times New Roman" w:hAnsi="Times New Roman" w:cs="Times New Roman"/>
          <w:sz w:val="23"/>
          <w:szCs w:val="23"/>
        </w:rPr>
        <w:br/>
        <w:t>- saída do tratamento: 01 (uma) análise anual.</w:t>
      </w:r>
      <w:r w:rsidRPr="0075724F">
        <w:rPr>
          <w:rFonts w:ascii="Times New Roman" w:hAnsi="Times New Roman" w:cs="Times New Roman"/>
          <w:sz w:val="23"/>
          <w:szCs w:val="23"/>
        </w:rPr>
        <w:br/>
      </w:r>
      <w:r w:rsidRPr="0075724F">
        <w:rPr>
          <w:rFonts w:ascii="Times New Roman" w:hAnsi="Times New Roman" w:cs="Times New Roman"/>
          <w:b/>
          <w:bCs/>
          <w:sz w:val="23"/>
          <w:szCs w:val="23"/>
        </w:rPr>
        <w:t>f) Parâmetros previstos no Anexo I da Resolução CONAMA nº 396/2008</w:t>
      </w:r>
      <w:r w:rsidRPr="0075724F">
        <w:rPr>
          <w:rFonts w:ascii="Times New Roman" w:hAnsi="Times New Roman" w:cs="Times New Roman"/>
          <w:sz w:val="23"/>
          <w:szCs w:val="23"/>
        </w:rPr>
        <w:br/>
        <w:t>- água bruta: 01 (uma) análise a cada 5 (cinco) anos, devendo a primeira ser realizada obrigatoriamente dentro do primeiro ano de vigência do contrato.</w:t>
      </w:r>
      <w:r w:rsidRPr="0075724F">
        <w:rPr>
          <w:rFonts w:ascii="Times New Roman" w:hAnsi="Times New Roman" w:cs="Times New Roman"/>
          <w:sz w:val="23"/>
          <w:szCs w:val="23"/>
        </w:rPr>
        <w:br/>
        <w:t>5.1.3. A contratada deverá apresentar, até o 10º (décimo) dia do mês subsequente, os laudos das análises realizadas pelo laboratório analítico, acompanhados dos dados referentes ao resumo do controle devidamente preenchido, conforme modelo a ser definido pelo responsável pelo Programa VIGIAGUA do Município.</w:t>
      </w:r>
    </w:p>
    <w:p w:rsidR="00072034" w:rsidRPr="0075724F" w:rsidRDefault="00072034" w:rsidP="0075724F">
      <w:pPr>
        <w:pStyle w:val="NormalWeb"/>
        <w:spacing w:before="0" w:after="0" w:line="276" w:lineRule="auto"/>
        <w:jc w:val="both"/>
        <w:rPr>
          <w:color w:val="000000"/>
          <w:sz w:val="23"/>
          <w:szCs w:val="23"/>
        </w:rPr>
      </w:pPr>
    </w:p>
    <w:p w:rsidR="00072034" w:rsidRPr="0075724F" w:rsidRDefault="00072034" w:rsidP="0075724F">
      <w:pPr>
        <w:pStyle w:val="NormalWeb"/>
        <w:spacing w:before="0" w:after="0" w:line="276" w:lineRule="auto"/>
        <w:jc w:val="both"/>
        <w:rPr>
          <w:b/>
          <w:bCs/>
          <w:color w:val="000000"/>
          <w:sz w:val="23"/>
          <w:szCs w:val="23"/>
        </w:rPr>
      </w:pPr>
      <w:bookmarkStart w:id="4" w:name="art6xxiiif"/>
      <w:bookmarkEnd w:id="4"/>
      <w:r w:rsidRPr="0075724F">
        <w:rPr>
          <w:b/>
          <w:bCs/>
          <w:color w:val="000000"/>
          <w:sz w:val="23"/>
          <w:szCs w:val="23"/>
        </w:rPr>
        <w:t>6. MODELO DE GESTÃO DO CONTRATO</w:t>
      </w:r>
    </w:p>
    <w:p w:rsidR="00D153DC" w:rsidRPr="0075724F" w:rsidRDefault="00D153DC" w:rsidP="0075724F">
      <w:pPr>
        <w:pStyle w:val="NormalWeb"/>
        <w:spacing w:before="0" w:after="0" w:line="276" w:lineRule="auto"/>
        <w:jc w:val="both"/>
        <w:rPr>
          <w:color w:val="000000"/>
          <w:sz w:val="23"/>
          <w:szCs w:val="23"/>
        </w:rPr>
      </w:pPr>
      <w:r w:rsidRPr="0075724F">
        <w:rPr>
          <w:color w:val="000000"/>
          <w:sz w:val="23"/>
          <w:szCs w:val="23"/>
        </w:rPr>
        <w:t>6.1. A gestão e a fiscalização do objeto contratado serão realizadas conforme o disposto na Lei nº 14.133/2021 e no Decreto Municipal nº 3.250, de 30 de maio de 2023, que regulamenta as funções do agente de contratação, da equipe de apoio, da comissão de contratação, a fiscalização e a gestão dos contratos no âmbito do Município de Teutônia.</w:t>
      </w:r>
      <w:r w:rsidRPr="0075724F">
        <w:rPr>
          <w:color w:val="000000"/>
          <w:sz w:val="23"/>
          <w:szCs w:val="23"/>
        </w:rPr>
        <w:br/>
        <w:t>6.2. A fiscalização caberá aos servidores </w:t>
      </w:r>
      <w:r w:rsidRPr="0075724F">
        <w:rPr>
          <w:b/>
          <w:bCs/>
          <w:color w:val="000000"/>
          <w:sz w:val="23"/>
          <w:szCs w:val="23"/>
        </w:rPr>
        <w:t xml:space="preserve">Ivo João </w:t>
      </w:r>
      <w:proofErr w:type="spellStart"/>
      <w:r w:rsidRPr="0075724F">
        <w:rPr>
          <w:b/>
          <w:bCs/>
          <w:color w:val="000000"/>
          <w:sz w:val="23"/>
          <w:szCs w:val="23"/>
        </w:rPr>
        <w:t>Freisleben</w:t>
      </w:r>
      <w:proofErr w:type="spellEnd"/>
      <w:r w:rsidRPr="0075724F">
        <w:rPr>
          <w:color w:val="000000"/>
          <w:sz w:val="23"/>
          <w:szCs w:val="23"/>
        </w:rPr>
        <w:t> e </w:t>
      </w:r>
      <w:r w:rsidRPr="0075724F">
        <w:rPr>
          <w:b/>
          <w:bCs/>
          <w:color w:val="000000"/>
          <w:sz w:val="23"/>
          <w:szCs w:val="23"/>
        </w:rPr>
        <w:t>Evandro do Canto Borba</w:t>
      </w:r>
      <w:r w:rsidRPr="0075724F">
        <w:rPr>
          <w:color w:val="000000"/>
          <w:sz w:val="23"/>
          <w:szCs w:val="23"/>
        </w:rPr>
        <w:t>, cabendo à Secretaria Municipal de Obras, Viação e Transportes a gestão do contrato.</w:t>
      </w:r>
      <w:r w:rsidRPr="0075724F">
        <w:rPr>
          <w:color w:val="000000"/>
          <w:sz w:val="23"/>
          <w:szCs w:val="23"/>
        </w:rPr>
        <w:br/>
        <w:t>6.3. A fiscalização do contrato poderá ser auxiliada pelos órgãos de assessoramento jurídico e de controle interno da Administração, quando necessário.</w:t>
      </w:r>
      <w:r w:rsidRPr="0075724F">
        <w:rPr>
          <w:color w:val="000000"/>
          <w:sz w:val="23"/>
          <w:szCs w:val="23"/>
        </w:rPr>
        <w:br/>
        <w:t>6.4. A contratada deverá atender prontamente às exigências da fiscalização, sem ônus para o Município, sempre que tais exigências estiverem relacionadas ao objeto contratado.</w:t>
      </w:r>
      <w:r w:rsidRPr="0075724F">
        <w:rPr>
          <w:color w:val="000000"/>
          <w:sz w:val="23"/>
          <w:szCs w:val="23"/>
        </w:rPr>
        <w:br/>
        <w:t>6.5. A fiscalização exercida no interesse da Administração não exclui nem reduz a responsabilidade da contratada, inclusive perante terceiros.</w:t>
      </w:r>
      <w:r w:rsidRPr="0075724F">
        <w:rPr>
          <w:color w:val="000000"/>
          <w:sz w:val="23"/>
          <w:szCs w:val="23"/>
        </w:rPr>
        <w:br/>
        <w:t>6.6. A contratada será responsável pelos danos causados diretamente à Administração ou a terceiros em razão da execução do contrato.</w:t>
      </w:r>
    </w:p>
    <w:p w:rsidR="00072034" w:rsidRPr="0075724F" w:rsidRDefault="00072034" w:rsidP="0075724F">
      <w:pPr>
        <w:pStyle w:val="NormalWeb"/>
        <w:spacing w:before="0" w:after="0" w:line="276" w:lineRule="auto"/>
        <w:jc w:val="both"/>
        <w:rPr>
          <w:color w:val="000000"/>
          <w:sz w:val="23"/>
          <w:szCs w:val="23"/>
        </w:rPr>
      </w:pPr>
      <w:bookmarkStart w:id="5" w:name="art6xxiiig"/>
      <w:bookmarkEnd w:id="5"/>
    </w:p>
    <w:p w:rsidR="00072034" w:rsidRPr="0075724F" w:rsidRDefault="00072034" w:rsidP="0075724F">
      <w:pPr>
        <w:pStyle w:val="NormalWeb"/>
        <w:spacing w:before="0" w:after="0" w:line="276" w:lineRule="auto"/>
        <w:jc w:val="both"/>
        <w:rPr>
          <w:b/>
          <w:bCs/>
          <w:color w:val="000000"/>
          <w:sz w:val="23"/>
          <w:szCs w:val="23"/>
        </w:rPr>
      </w:pPr>
      <w:r w:rsidRPr="0075724F">
        <w:rPr>
          <w:b/>
          <w:bCs/>
          <w:color w:val="000000"/>
          <w:sz w:val="23"/>
          <w:szCs w:val="23"/>
        </w:rPr>
        <w:t>7. CRITÉRIOS DE MEDIÇÃO E DE PAGAMENTO</w:t>
      </w:r>
    </w:p>
    <w:p w:rsidR="00D153DC" w:rsidRPr="0075724F" w:rsidRDefault="00D153DC" w:rsidP="0075724F">
      <w:pPr>
        <w:spacing w:after="0" w:line="276" w:lineRule="auto"/>
        <w:jc w:val="both"/>
        <w:rPr>
          <w:rFonts w:ascii="Times New Roman" w:hAnsi="Times New Roman" w:cs="Times New Roman"/>
          <w:color w:val="000000"/>
          <w:sz w:val="23"/>
          <w:szCs w:val="23"/>
          <w:shd w:val="clear" w:color="auto" w:fill="FFFFFF"/>
        </w:rPr>
      </w:pPr>
      <w:r w:rsidRPr="0075724F">
        <w:rPr>
          <w:rFonts w:ascii="Times New Roman" w:hAnsi="Times New Roman" w:cs="Times New Roman"/>
          <w:color w:val="000000"/>
          <w:sz w:val="23"/>
          <w:szCs w:val="23"/>
          <w:shd w:val="clear" w:color="auto" w:fill="FFFFFF"/>
        </w:rPr>
        <w:t>7.1. O pagamento ocorrerá mensalmente, após a entrega da nota fiscal/fatura e do relatório dos serviços prestados, devidamente atestados pela fiscalização designada.</w:t>
      </w:r>
      <w:r w:rsidRPr="0075724F">
        <w:rPr>
          <w:rFonts w:ascii="Times New Roman" w:hAnsi="Times New Roman" w:cs="Times New Roman"/>
          <w:color w:val="000000"/>
          <w:sz w:val="23"/>
          <w:szCs w:val="23"/>
          <w:shd w:val="clear" w:color="auto" w:fill="FFFFFF"/>
        </w:rPr>
        <w:br/>
        <w:t>7.2. A contratada deverá encaminhar a nota fiscal dentro do mês de competência, observadas as orientações da Secretaria requisitante.</w:t>
      </w:r>
      <w:r w:rsidRPr="0075724F">
        <w:rPr>
          <w:rFonts w:ascii="Times New Roman" w:hAnsi="Times New Roman" w:cs="Times New Roman"/>
          <w:color w:val="000000"/>
          <w:sz w:val="23"/>
          <w:szCs w:val="23"/>
          <w:shd w:val="clear" w:color="auto" w:fill="FFFFFF"/>
        </w:rPr>
        <w:br/>
        <w:t>7.3. O pagamento será efetuado até o 10º (décimo) dia útil do mês subsequente ao da prestação dos serviços, após o ateste da fiscalização e a regular liquidação da despesa.</w:t>
      </w:r>
      <w:r w:rsidRPr="0075724F">
        <w:rPr>
          <w:rFonts w:ascii="Times New Roman" w:hAnsi="Times New Roman" w:cs="Times New Roman"/>
          <w:color w:val="000000"/>
          <w:sz w:val="23"/>
          <w:szCs w:val="23"/>
          <w:shd w:val="clear" w:color="auto" w:fill="FFFFFF"/>
        </w:rPr>
        <w:br/>
        <w:t xml:space="preserve">7.4. Havendo erro na apresentação da nota fiscal ou circunstância que impeça a liquidação da </w:t>
      </w:r>
      <w:r w:rsidRPr="0075724F">
        <w:rPr>
          <w:rFonts w:ascii="Times New Roman" w:hAnsi="Times New Roman" w:cs="Times New Roman"/>
          <w:color w:val="000000"/>
          <w:sz w:val="23"/>
          <w:szCs w:val="23"/>
          <w:shd w:val="clear" w:color="auto" w:fill="FFFFFF"/>
        </w:rPr>
        <w:lastRenderedPageBreak/>
        <w:t>despesa, o prazo para pagamento ficará suspenso até a devida regularização, sem qualquer ônus ao Município.</w:t>
      </w:r>
      <w:r w:rsidRPr="0075724F">
        <w:rPr>
          <w:rFonts w:ascii="Times New Roman" w:hAnsi="Times New Roman" w:cs="Times New Roman"/>
          <w:color w:val="000000"/>
          <w:sz w:val="23"/>
          <w:szCs w:val="23"/>
          <w:shd w:val="clear" w:color="auto" w:fill="FFFFFF"/>
        </w:rPr>
        <w:br/>
        <w:t>7.5. Juntamente com a nota fiscal/fatura, a contratada deverá apresentar os relatórios, laudos e demais documentos comprobatórios da execução dos serviços no período correspondente, quando exigidos pela fiscalização.</w:t>
      </w:r>
    </w:p>
    <w:p w:rsidR="00072034" w:rsidRPr="0075724F" w:rsidRDefault="00072034" w:rsidP="0075724F">
      <w:pPr>
        <w:pStyle w:val="NormalWeb"/>
        <w:spacing w:before="0" w:after="0" w:line="276" w:lineRule="auto"/>
        <w:jc w:val="both"/>
        <w:rPr>
          <w:color w:val="000000"/>
          <w:sz w:val="23"/>
          <w:szCs w:val="23"/>
        </w:rPr>
      </w:pPr>
    </w:p>
    <w:p w:rsidR="00072034" w:rsidRPr="0075724F" w:rsidRDefault="00072034" w:rsidP="0075724F">
      <w:pPr>
        <w:pStyle w:val="NormalWeb"/>
        <w:spacing w:before="0" w:after="0" w:line="276" w:lineRule="auto"/>
        <w:jc w:val="both"/>
        <w:rPr>
          <w:b/>
          <w:bCs/>
          <w:color w:val="000000"/>
          <w:sz w:val="23"/>
          <w:szCs w:val="23"/>
        </w:rPr>
      </w:pPr>
      <w:r w:rsidRPr="0075724F">
        <w:rPr>
          <w:b/>
          <w:bCs/>
          <w:color w:val="000000"/>
          <w:sz w:val="23"/>
          <w:szCs w:val="23"/>
        </w:rPr>
        <w:t>8. ESTIMATIVA DO VALOR DA CONTRATAÇÃO</w:t>
      </w:r>
      <w:bookmarkStart w:id="6" w:name="art6xxiiij"/>
      <w:bookmarkEnd w:id="6"/>
    </w:p>
    <w:p w:rsidR="00072034" w:rsidRPr="0075724F" w:rsidRDefault="0075724F" w:rsidP="0075724F">
      <w:pPr>
        <w:spacing w:after="0" w:line="276" w:lineRule="auto"/>
        <w:jc w:val="both"/>
        <w:rPr>
          <w:rFonts w:ascii="Times New Roman" w:hAnsi="Times New Roman" w:cs="Times New Roman"/>
          <w:sz w:val="23"/>
          <w:szCs w:val="23"/>
        </w:rPr>
      </w:pPr>
      <w:r w:rsidRPr="0075724F">
        <w:rPr>
          <w:rFonts w:ascii="Times New Roman" w:hAnsi="Times New Roman" w:cs="Times New Roman"/>
          <w:sz w:val="23"/>
          <w:szCs w:val="23"/>
        </w:rPr>
        <w:t>8.1. Estima-se para a contratação o valor total anual de </w:t>
      </w:r>
      <w:r w:rsidRPr="0075724F">
        <w:rPr>
          <w:rFonts w:ascii="Times New Roman" w:hAnsi="Times New Roman" w:cs="Times New Roman"/>
          <w:b/>
          <w:bCs/>
          <w:sz w:val="23"/>
          <w:szCs w:val="23"/>
        </w:rPr>
        <w:t>R$ 73.211,28</w:t>
      </w:r>
      <w:r w:rsidRPr="0075724F">
        <w:rPr>
          <w:rFonts w:ascii="Times New Roman" w:hAnsi="Times New Roman" w:cs="Times New Roman"/>
          <w:sz w:val="23"/>
          <w:szCs w:val="23"/>
        </w:rPr>
        <w:t> para o abastecimento do Bairro Teutônia e de </w:t>
      </w:r>
      <w:r w:rsidRPr="0075724F">
        <w:rPr>
          <w:rFonts w:ascii="Times New Roman" w:hAnsi="Times New Roman" w:cs="Times New Roman"/>
          <w:b/>
          <w:bCs/>
          <w:sz w:val="23"/>
          <w:szCs w:val="23"/>
        </w:rPr>
        <w:t>R$ 206.176,44</w:t>
      </w:r>
      <w:r w:rsidRPr="0075724F">
        <w:rPr>
          <w:rFonts w:ascii="Times New Roman" w:hAnsi="Times New Roman" w:cs="Times New Roman"/>
          <w:sz w:val="23"/>
          <w:szCs w:val="23"/>
        </w:rPr>
        <w:t> para o abastecimento do Bairro Canabarro, totalizando o montante anual de </w:t>
      </w:r>
      <w:r w:rsidRPr="0075724F">
        <w:rPr>
          <w:rFonts w:ascii="Times New Roman" w:hAnsi="Times New Roman" w:cs="Times New Roman"/>
          <w:b/>
          <w:bCs/>
          <w:sz w:val="23"/>
          <w:szCs w:val="23"/>
        </w:rPr>
        <w:t>R$ 279.387,72</w:t>
      </w:r>
      <w:r w:rsidRPr="0075724F">
        <w:rPr>
          <w:rFonts w:ascii="Times New Roman" w:hAnsi="Times New Roman" w:cs="Times New Roman"/>
          <w:sz w:val="23"/>
          <w:szCs w:val="23"/>
        </w:rPr>
        <w:t>.</w:t>
      </w:r>
      <w:r w:rsidRPr="0075724F">
        <w:rPr>
          <w:rFonts w:ascii="Times New Roman" w:hAnsi="Times New Roman" w:cs="Times New Roman"/>
          <w:sz w:val="23"/>
          <w:szCs w:val="23"/>
        </w:rPr>
        <w:br/>
        <w:t>8.2. O valor estimado decorre de pesquisa de mercado realizada pelo setor competente do Município, com observância dos parâmetros legais aplicáveis à estimativa de preços e à formação do valor de referência.</w:t>
      </w:r>
    </w:p>
    <w:p w:rsidR="00072034" w:rsidRPr="0075724F" w:rsidRDefault="00072034" w:rsidP="0075724F">
      <w:pPr>
        <w:pStyle w:val="NormalWeb"/>
        <w:spacing w:before="0" w:after="0" w:line="276" w:lineRule="auto"/>
        <w:jc w:val="both"/>
        <w:rPr>
          <w:b/>
          <w:bCs/>
          <w:color w:val="000000"/>
          <w:sz w:val="23"/>
          <w:szCs w:val="23"/>
        </w:rPr>
      </w:pPr>
    </w:p>
    <w:p w:rsidR="00072034" w:rsidRPr="0075724F" w:rsidRDefault="00072034" w:rsidP="0075724F">
      <w:pPr>
        <w:pStyle w:val="NormalWeb"/>
        <w:spacing w:before="0" w:after="0" w:line="276" w:lineRule="auto"/>
        <w:jc w:val="both"/>
        <w:rPr>
          <w:b/>
          <w:bCs/>
          <w:sz w:val="23"/>
          <w:szCs w:val="23"/>
        </w:rPr>
      </w:pPr>
      <w:r w:rsidRPr="0075724F">
        <w:rPr>
          <w:b/>
          <w:bCs/>
          <w:color w:val="000000"/>
          <w:sz w:val="23"/>
          <w:szCs w:val="23"/>
        </w:rPr>
        <w:t>9. ADEQUAÇÃO ORÇAMENTÁRIA</w:t>
      </w:r>
    </w:p>
    <w:p w:rsidR="00072034" w:rsidRPr="0075724F" w:rsidRDefault="0075724F" w:rsidP="0075724F">
      <w:pPr>
        <w:spacing w:after="0" w:line="276" w:lineRule="auto"/>
        <w:rPr>
          <w:rFonts w:ascii="Times New Roman" w:hAnsi="Times New Roman" w:cs="Times New Roman"/>
          <w:sz w:val="23"/>
          <w:szCs w:val="23"/>
          <w:lang w:eastAsia="en-US"/>
        </w:rPr>
      </w:pPr>
      <w:r w:rsidRPr="0075724F">
        <w:rPr>
          <w:rFonts w:ascii="Times New Roman" w:hAnsi="Times New Roman" w:cs="Times New Roman"/>
          <w:sz w:val="23"/>
          <w:szCs w:val="23"/>
        </w:rPr>
        <w:t>9.1. O dispêndio financeiro decorrente da contratação ora pretendida correrá à conta da seguinte dotação orçamentária:</w:t>
      </w:r>
      <w:r w:rsidRPr="0075724F">
        <w:rPr>
          <w:rFonts w:ascii="Times New Roman" w:hAnsi="Times New Roman" w:cs="Times New Roman"/>
          <w:sz w:val="23"/>
          <w:szCs w:val="23"/>
        </w:rPr>
        <w:br/>
      </w:r>
      <w:r w:rsidRPr="0075724F">
        <w:rPr>
          <w:rFonts w:ascii="Times New Roman" w:hAnsi="Times New Roman" w:cs="Times New Roman"/>
          <w:b/>
          <w:bCs/>
          <w:sz w:val="23"/>
          <w:szCs w:val="23"/>
        </w:rPr>
        <w:t>03 – Secretaria Municipal de Obras, Viação e Transportes</w:t>
      </w:r>
      <w:r w:rsidRPr="0075724F">
        <w:rPr>
          <w:rFonts w:ascii="Times New Roman" w:hAnsi="Times New Roman" w:cs="Times New Roman"/>
          <w:sz w:val="23"/>
          <w:szCs w:val="23"/>
        </w:rPr>
        <w:br/>
      </w:r>
      <w:r w:rsidRPr="0075724F">
        <w:rPr>
          <w:rFonts w:ascii="Times New Roman" w:hAnsi="Times New Roman" w:cs="Times New Roman"/>
          <w:b/>
          <w:bCs/>
          <w:sz w:val="23"/>
          <w:szCs w:val="23"/>
        </w:rPr>
        <w:t>04 – Setor de Abastecimento de Água</w:t>
      </w:r>
      <w:r w:rsidRPr="0075724F">
        <w:rPr>
          <w:rFonts w:ascii="Times New Roman" w:hAnsi="Times New Roman" w:cs="Times New Roman"/>
          <w:sz w:val="23"/>
          <w:szCs w:val="23"/>
        </w:rPr>
        <w:br/>
      </w:r>
      <w:r w:rsidRPr="0075724F">
        <w:rPr>
          <w:rFonts w:ascii="Times New Roman" w:hAnsi="Times New Roman" w:cs="Times New Roman"/>
          <w:b/>
          <w:bCs/>
          <w:sz w:val="23"/>
          <w:szCs w:val="23"/>
        </w:rPr>
        <w:t>17.512.0060.2015 – Manutenção das Atividades do Setor</w:t>
      </w:r>
      <w:r w:rsidRPr="0075724F">
        <w:rPr>
          <w:rFonts w:ascii="Times New Roman" w:hAnsi="Times New Roman" w:cs="Times New Roman"/>
          <w:sz w:val="23"/>
          <w:szCs w:val="23"/>
        </w:rPr>
        <w:br/>
      </w:r>
      <w:r w:rsidRPr="0075724F">
        <w:rPr>
          <w:rFonts w:ascii="Times New Roman" w:hAnsi="Times New Roman" w:cs="Times New Roman"/>
          <w:b/>
          <w:bCs/>
          <w:sz w:val="23"/>
          <w:szCs w:val="23"/>
        </w:rPr>
        <w:t>3.3.3.90.39.00.00.00.00 – Outros Serviços de Terceiros – Pessoa Jurídica – 584</w:t>
      </w:r>
    </w:p>
    <w:p w:rsidR="00072034" w:rsidRPr="0075724F" w:rsidRDefault="00072034" w:rsidP="0075724F">
      <w:pPr>
        <w:spacing w:after="0" w:line="276" w:lineRule="auto"/>
        <w:rPr>
          <w:rFonts w:ascii="Times New Roman" w:hAnsi="Times New Roman" w:cs="Times New Roman"/>
          <w:sz w:val="23"/>
          <w:szCs w:val="23"/>
          <w:lang w:eastAsia="en-US"/>
        </w:rPr>
      </w:pPr>
    </w:p>
    <w:p w:rsidR="00072034" w:rsidRPr="0075724F" w:rsidRDefault="00072034" w:rsidP="0075724F">
      <w:pPr>
        <w:spacing w:after="0" w:line="276" w:lineRule="auto"/>
        <w:jc w:val="right"/>
        <w:rPr>
          <w:rFonts w:ascii="Times New Roman" w:hAnsi="Times New Roman" w:cs="Times New Roman"/>
          <w:sz w:val="23"/>
          <w:szCs w:val="23"/>
        </w:rPr>
      </w:pPr>
      <w:r w:rsidRPr="0075724F">
        <w:rPr>
          <w:rFonts w:ascii="Times New Roman" w:hAnsi="Times New Roman" w:cs="Times New Roman"/>
          <w:sz w:val="23"/>
          <w:szCs w:val="23"/>
        </w:rPr>
        <w:t>Teutônia, 30 de abril de 2026.</w:t>
      </w:r>
    </w:p>
    <w:p w:rsidR="00072034" w:rsidRPr="0075724F" w:rsidRDefault="00072034" w:rsidP="0075724F">
      <w:pPr>
        <w:spacing w:after="0" w:line="276" w:lineRule="auto"/>
        <w:rPr>
          <w:rFonts w:ascii="Times New Roman" w:hAnsi="Times New Roman" w:cs="Times New Roman"/>
          <w:sz w:val="23"/>
          <w:szCs w:val="23"/>
          <w:lang w:eastAsia="en-US"/>
        </w:rPr>
      </w:pPr>
    </w:p>
    <w:tbl>
      <w:tblPr>
        <w:tblpPr w:leftFromText="180" w:rightFromText="180" w:vertAnchor="text" w:horzAnchor="page" w:tblpX="1885" w:tblpY="647"/>
        <w:tblOverlap w:val="never"/>
        <w:tblW w:w="8771" w:type="dxa"/>
        <w:tblLayout w:type="fixed"/>
        <w:tblLook w:val="04A0"/>
      </w:tblPr>
      <w:tblGrid>
        <w:gridCol w:w="4127"/>
        <w:gridCol w:w="4644"/>
      </w:tblGrid>
      <w:tr w:rsidR="00072034" w:rsidRPr="0075724F" w:rsidTr="00072034">
        <w:tc>
          <w:tcPr>
            <w:tcW w:w="4127" w:type="dxa"/>
            <w:tcBorders>
              <w:top w:val="nil"/>
              <w:left w:val="nil"/>
              <w:bottom w:val="nil"/>
              <w:right w:val="nil"/>
            </w:tcBorders>
          </w:tcPr>
          <w:p w:rsidR="00072034" w:rsidRPr="0075724F" w:rsidRDefault="00072034" w:rsidP="0075724F">
            <w:pPr>
              <w:spacing w:after="0" w:line="276" w:lineRule="auto"/>
              <w:jc w:val="both"/>
              <w:rPr>
                <w:rFonts w:ascii="Times New Roman" w:eastAsia="Times New Roman" w:hAnsi="Times New Roman" w:cs="Times New Roman"/>
                <w:color w:val="000000"/>
                <w:sz w:val="23"/>
                <w:szCs w:val="23"/>
                <w:lang w:eastAsia="zh-CN"/>
              </w:rPr>
            </w:pPr>
            <w:r w:rsidRPr="0075724F">
              <w:rPr>
                <w:rFonts w:ascii="Times New Roman" w:eastAsia="Times New Roman" w:hAnsi="Times New Roman" w:cs="Times New Roman"/>
                <w:color w:val="000000"/>
                <w:sz w:val="23"/>
                <w:szCs w:val="23"/>
                <w:lang w:eastAsia="zh-CN"/>
              </w:rPr>
              <w:t xml:space="preserve">Rafaela </w:t>
            </w:r>
            <w:proofErr w:type="spellStart"/>
            <w:r w:rsidRPr="0075724F">
              <w:rPr>
                <w:rFonts w:ascii="Times New Roman" w:eastAsia="Times New Roman" w:hAnsi="Times New Roman" w:cs="Times New Roman"/>
                <w:color w:val="000000"/>
                <w:sz w:val="23"/>
                <w:szCs w:val="23"/>
                <w:lang w:eastAsia="zh-CN"/>
              </w:rPr>
              <w:t>Allebrandt</w:t>
            </w:r>
            <w:proofErr w:type="spellEnd"/>
          </w:p>
          <w:p w:rsidR="00072034" w:rsidRPr="0075724F" w:rsidRDefault="00072034" w:rsidP="0075724F">
            <w:pPr>
              <w:spacing w:after="0" w:line="276" w:lineRule="auto"/>
              <w:jc w:val="both"/>
              <w:rPr>
                <w:rFonts w:ascii="Times New Roman" w:hAnsi="Times New Roman" w:cs="Times New Roman"/>
                <w:color w:val="000000"/>
                <w:sz w:val="23"/>
                <w:szCs w:val="23"/>
                <w:lang w:val="en-US"/>
              </w:rPr>
            </w:pPr>
            <w:r w:rsidRPr="0075724F">
              <w:rPr>
                <w:rFonts w:ascii="Times New Roman" w:eastAsia="Times New Roman" w:hAnsi="Times New Roman" w:cs="Times New Roman"/>
                <w:color w:val="000000"/>
                <w:sz w:val="23"/>
                <w:szCs w:val="23"/>
              </w:rPr>
              <w:t>Agente Administrativa</w:t>
            </w:r>
            <w:r w:rsidRPr="0075724F">
              <w:rPr>
                <w:rFonts w:ascii="Times New Roman" w:eastAsia="Times New Roman" w:hAnsi="Times New Roman" w:cs="Times New Roman"/>
                <w:color w:val="000000"/>
                <w:sz w:val="23"/>
                <w:szCs w:val="23"/>
                <w:lang w:val="en-US"/>
              </w:rPr>
              <w:t xml:space="preserve"> - </w:t>
            </w:r>
            <w:proofErr w:type="spellStart"/>
            <w:r w:rsidRPr="0075724F">
              <w:rPr>
                <w:rFonts w:ascii="Times New Roman" w:eastAsia="Times New Roman" w:hAnsi="Times New Roman" w:cs="Times New Roman"/>
                <w:color w:val="000000"/>
                <w:sz w:val="23"/>
                <w:szCs w:val="23"/>
                <w:lang w:val="en-US"/>
              </w:rPr>
              <w:t>redatora</w:t>
            </w:r>
            <w:proofErr w:type="spellEnd"/>
            <w:r w:rsidRPr="0075724F">
              <w:rPr>
                <w:rFonts w:ascii="Times New Roman" w:eastAsia="Times New Roman" w:hAnsi="Times New Roman" w:cs="Times New Roman"/>
                <w:color w:val="000000"/>
                <w:sz w:val="23"/>
                <w:szCs w:val="23"/>
                <w:lang w:val="en-US"/>
              </w:rPr>
              <w:t xml:space="preserve"> do TR</w:t>
            </w:r>
          </w:p>
        </w:tc>
        <w:tc>
          <w:tcPr>
            <w:tcW w:w="4644" w:type="dxa"/>
            <w:tcBorders>
              <w:top w:val="nil"/>
              <w:left w:val="nil"/>
              <w:bottom w:val="nil"/>
              <w:right w:val="nil"/>
            </w:tcBorders>
          </w:tcPr>
          <w:p w:rsidR="00072034" w:rsidRPr="0075724F" w:rsidRDefault="00072034" w:rsidP="0075724F">
            <w:pPr>
              <w:spacing w:after="0" w:line="276" w:lineRule="auto"/>
              <w:jc w:val="both"/>
              <w:rPr>
                <w:rFonts w:ascii="Times New Roman" w:hAnsi="Times New Roman" w:cs="Times New Roman"/>
                <w:color w:val="000000"/>
                <w:sz w:val="23"/>
                <w:szCs w:val="23"/>
              </w:rPr>
            </w:pPr>
            <w:proofErr w:type="spellStart"/>
            <w:r w:rsidRPr="0075724F">
              <w:rPr>
                <w:rFonts w:ascii="Times New Roman" w:hAnsi="Times New Roman" w:cs="Times New Roman"/>
                <w:color w:val="000000"/>
                <w:sz w:val="23"/>
                <w:szCs w:val="23"/>
              </w:rPr>
              <w:t>Ariberto</w:t>
            </w:r>
            <w:proofErr w:type="spellEnd"/>
            <w:r w:rsidRPr="0075724F">
              <w:rPr>
                <w:rFonts w:ascii="Times New Roman" w:hAnsi="Times New Roman" w:cs="Times New Roman"/>
                <w:color w:val="000000"/>
                <w:sz w:val="23"/>
                <w:szCs w:val="23"/>
              </w:rPr>
              <w:t xml:space="preserve"> </w:t>
            </w:r>
            <w:proofErr w:type="spellStart"/>
            <w:r w:rsidRPr="0075724F">
              <w:rPr>
                <w:rFonts w:ascii="Times New Roman" w:hAnsi="Times New Roman" w:cs="Times New Roman"/>
                <w:color w:val="000000"/>
                <w:sz w:val="23"/>
                <w:szCs w:val="23"/>
              </w:rPr>
              <w:t>Magedanz</w:t>
            </w:r>
            <w:proofErr w:type="spellEnd"/>
          </w:p>
          <w:p w:rsidR="00072034" w:rsidRPr="0075724F" w:rsidRDefault="00072034" w:rsidP="0075724F">
            <w:pPr>
              <w:spacing w:line="276" w:lineRule="auto"/>
              <w:jc w:val="both"/>
              <w:rPr>
                <w:rFonts w:ascii="Times New Roman" w:hAnsi="Times New Roman" w:cs="Times New Roman"/>
                <w:color w:val="000000"/>
                <w:sz w:val="23"/>
                <w:szCs w:val="23"/>
              </w:rPr>
            </w:pPr>
            <w:r w:rsidRPr="0075724F">
              <w:rPr>
                <w:rFonts w:ascii="Times New Roman" w:hAnsi="Times New Roman" w:cs="Times New Roman"/>
                <w:color w:val="000000"/>
                <w:sz w:val="23"/>
                <w:szCs w:val="23"/>
              </w:rPr>
              <w:t>Secretário Municipal de Obras, Viação e Transportes</w:t>
            </w:r>
          </w:p>
        </w:tc>
      </w:tr>
      <w:tr w:rsidR="00072034" w:rsidRPr="0075724F" w:rsidTr="00072034">
        <w:trPr>
          <w:trHeight w:val="976"/>
        </w:trPr>
        <w:tc>
          <w:tcPr>
            <w:tcW w:w="4127" w:type="dxa"/>
            <w:tcBorders>
              <w:top w:val="nil"/>
              <w:left w:val="nil"/>
              <w:bottom w:val="nil"/>
              <w:right w:val="nil"/>
            </w:tcBorders>
          </w:tcPr>
          <w:p w:rsidR="00072034" w:rsidRPr="0075724F" w:rsidRDefault="00072034" w:rsidP="0075724F">
            <w:pPr>
              <w:spacing w:after="0" w:line="276" w:lineRule="auto"/>
              <w:jc w:val="both"/>
              <w:rPr>
                <w:rFonts w:ascii="Times New Roman" w:eastAsia="Times New Roman" w:hAnsi="Times New Roman" w:cs="Times New Roman"/>
                <w:color w:val="000000"/>
                <w:sz w:val="23"/>
                <w:szCs w:val="23"/>
              </w:rPr>
            </w:pPr>
          </w:p>
          <w:p w:rsidR="00072034" w:rsidRPr="0075724F" w:rsidRDefault="00072034" w:rsidP="0075724F">
            <w:pPr>
              <w:spacing w:after="0" w:line="276" w:lineRule="auto"/>
              <w:jc w:val="both"/>
              <w:rPr>
                <w:rFonts w:ascii="Times New Roman" w:eastAsia="Times New Roman" w:hAnsi="Times New Roman" w:cs="Times New Roman"/>
                <w:color w:val="000000"/>
                <w:sz w:val="23"/>
                <w:szCs w:val="23"/>
              </w:rPr>
            </w:pPr>
          </w:p>
          <w:p w:rsidR="00072034" w:rsidRPr="0075724F" w:rsidRDefault="00072034" w:rsidP="0075724F">
            <w:pPr>
              <w:spacing w:after="0" w:line="276" w:lineRule="auto"/>
              <w:jc w:val="both"/>
              <w:rPr>
                <w:rFonts w:ascii="Times New Roman" w:eastAsia="Times New Roman" w:hAnsi="Times New Roman" w:cs="Times New Roman"/>
                <w:color w:val="000000"/>
                <w:sz w:val="23"/>
                <w:szCs w:val="23"/>
              </w:rPr>
            </w:pPr>
            <w:r w:rsidRPr="0075724F">
              <w:rPr>
                <w:rFonts w:ascii="Times New Roman" w:eastAsia="Times New Roman" w:hAnsi="Times New Roman" w:cs="Times New Roman"/>
                <w:color w:val="000000"/>
                <w:sz w:val="23"/>
                <w:szCs w:val="23"/>
              </w:rPr>
              <w:t xml:space="preserve">Barbara F. </w:t>
            </w:r>
            <w:proofErr w:type="spellStart"/>
            <w:r w:rsidRPr="0075724F">
              <w:rPr>
                <w:rFonts w:ascii="Times New Roman" w:eastAsia="Times New Roman" w:hAnsi="Times New Roman" w:cs="Times New Roman"/>
                <w:color w:val="000000"/>
                <w:sz w:val="23"/>
                <w:szCs w:val="23"/>
              </w:rPr>
              <w:t>Schröer</w:t>
            </w:r>
            <w:proofErr w:type="spellEnd"/>
            <w:r w:rsidRPr="0075724F">
              <w:rPr>
                <w:rFonts w:ascii="Times New Roman" w:eastAsia="Times New Roman" w:hAnsi="Times New Roman" w:cs="Times New Roman"/>
                <w:color w:val="000000"/>
                <w:sz w:val="23"/>
                <w:szCs w:val="23"/>
              </w:rPr>
              <w:t xml:space="preserve"> </w:t>
            </w:r>
          </w:p>
          <w:p w:rsidR="00072034" w:rsidRPr="0075724F" w:rsidRDefault="00072034" w:rsidP="0075724F">
            <w:pPr>
              <w:spacing w:after="0" w:line="276" w:lineRule="auto"/>
              <w:jc w:val="both"/>
              <w:rPr>
                <w:rFonts w:ascii="Times New Roman" w:eastAsia="Times New Roman" w:hAnsi="Times New Roman" w:cs="Times New Roman"/>
                <w:color w:val="000000"/>
                <w:sz w:val="23"/>
                <w:szCs w:val="23"/>
              </w:rPr>
            </w:pPr>
            <w:r w:rsidRPr="0075724F">
              <w:rPr>
                <w:rFonts w:ascii="Times New Roman" w:eastAsia="Times New Roman" w:hAnsi="Times New Roman" w:cs="Times New Roman"/>
                <w:color w:val="000000"/>
                <w:sz w:val="23"/>
                <w:szCs w:val="23"/>
              </w:rPr>
              <w:t>Agente Administrativa</w:t>
            </w:r>
          </w:p>
        </w:tc>
        <w:tc>
          <w:tcPr>
            <w:tcW w:w="4644" w:type="dxa"/>
            <w:tcBorders>
              <w:top w:val="nil"/>
              <w:left w:val="nil"/>
              <w:bottom w:val="nil"/>
              <w:right w:val="nil"/>
            </w:tcBorders>
          </w:tcPr>
          <w:p w:rsidR="00072034" w:rsidRPr="0075724F" w:rsidRDefault="00072034" w:rsidP="0075724F">
            <w:pPr>
              <w:spacing w:after="0" w:line="276" w:lineRule="auto"/>
              <w:jc w:val="both"/>
              <w:rPr>
                <w:rFonts w:ascii="Times New Roman" w:eastAsia="Times New Roman" w:hAnsi="Times New Roman" w:cs="Times New Roman"/>
                <w:color w:val="000000"/>
                <w:sz w:val="23"/>
                <w:szCs w:val="23"/>
              </w:rPr>
            </w:pPr>
          </w:p>
          <w:p w:rsidR="00072034" w:rsidRPr="0075724F" w:rsidRDefault="00072034" w:rsidP="0075724F">
            <w:pPr>
              <w:spacing w:after="0" w:line="276" w:lineRule="auto"/>
              <w:jc w:val="both"/>
              <w:rPr>
                <w:rFonts w:ascii="Times New Roman" w:eastAsia="Times New Roman" w:hAnsi="Times New Roman" w:cs="Times New Roman"/>
                <w:color w:val="000000"/>
                <w:sz w:val="23"/>
                <w:szCs w:val="23"/>
                <w:lang w:val="en-US"/>
              </w:rPr>
            </w:pPr>
          </w:p>
          <w:p w:rsidR="00072034" w:rsidRPr="0075724F" w:rsidRDefault="00072034" w:rsidP="0075724F">
            <w:pPr>
              <w:spacing w:after="0" w:line="276" w:lineRule="auto"/>
              <w:jc w:val="both"/>
              <w:rPr>
                <w:rFonts w:ascii="Times New Roman" w:eastAsia="Times New Roman" w:hAnsi="Times New Roman" w:cs="Times New Roman"/>
                <w:color w:val="000000"/>
                <w:sz w:val="23"/>
                <w:szCs w:val="23"/>
              </w:rPr>
            </w:pPr>
          </w:p>
        </w:tc>
      </w:tr>
    </w:tbl>
    <w:p w:rsidR="00072034" w:rsidRPr="0075724F" w:rsidRDefault="00072034" w:rsidP="0075724F">
      <w:pPr>
        <w:spacing w:after="0" w:line="276" w:lineRule="auto"/>
        <w:jc w:val="both"/>
        <w:rPr>
          <w:rFonts w:ascii="Times New Roman" w:hAnsi="Times New Roman" w:cs="Times New Roman"/>
          <w:sz w:val="23"/>
          <w:szCs w:val="23"/>
        </w:rPr>
      </w:pPr>
    </w:p>
    <w:p w:rsidR="00BF6853" w:rsidRPr="0075724F" w:rsidRDefault="00BF6853" w:rsidP="0075724F">
      <w:pPr>
        <w:spacing w:after="0" w:line="276" w:lineRule="auto"/>
        <w:ind w:left="567"/>
        <w:jc w:val="both"/>
        <w:rPr>
          <w:rFonts w:ascii="Times New Roman" w:hAnsi="Times New Roman" w:cs="Times New Roman"/>
          <w:color w:val="000000"/>
          <w:sz w:val="23"/>
          <w:szCs w:val="23"/>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3B1095" w:rsidRDefault="003B1095">
      <w:pPr>
        <w:spacing w:after="0" w:line="276" w:lineRule="auto"/>
        <w:jc w:val="center"/>
        <w:rPr>
          <w:rFonts w:ascii="Times New Roman" w:hAnsi="Times New Roman" w:cs="Times New Roman"/>
          <w:b/>
          <w:bCs/>
          <w:u w:val="single"/>
        </w:rPr>
      </w:pPr>
    </w:p>
    <w:p w:rsidR="00BF6853" w:rsidRDefault="0098550E">
      <w:pPr>
        <w:spacing w:after="0" w:line="276" w:lineRule="auto"/>
        <w:jc w:val="center"/>
        <w:rPr>
          <w:rFonts w:ascii="Times New Roman" w:hAnsi="Times New Roman" w:cs="Times New Roman"/>
          <w:b/>
          <w:bCs/>
          <w:u w:val="single"/>
        </w:rPr>
      </w:pPr>
      <w:r>
        <w:rPr>
          <w:rFonts w:ascii="Times New Roman" w:hAnsi="Times New Roman" w:cs="Times New Roman"/>
          <w:b/>
          <w:bCs/>
          <w:u w:val="single"/>
        </w:rPr>
        <w:lastRenderedPageBreak/>
        <w:t>ANEXO II</w:t>
      </w:r>
    </w:p>
    <w:p w:rsidR="00BF6853" w:rsidRDefault="00BF6853">
      <w:pPr>
        <w:spacing w:after="0" w:line="276" w:lineRule="auto"/>
        <w:jc w:val="center"/>
        <w:rPr>
          <w:rFonts w:ascii="Times New Roman" w:hAnsi="Times New Roman" w:cs="Times New Roman"/>
          <w:b/>
          <w:bCs/>
          <w:u w:val="single"/>
        </w:rPr>
      </w:pPr>
    </w:p>
    <w:p w:rsidR="00BF6853" w:rsidRDefault="0098550E">
      <w:pPr>
        <w:spacing w:after="0" w:line="276" w:lineRule="auto"/>
        <w:jc w:val="center"/>
        <w:rPr>
          <w:rFonts w:ascii="Times New Roman" w:hAnsi="Times New Roman" w:cs="Times New Roman"/>
          <w:b/>
          <w:bCs/>
          <w:u w:val="single"/>
        </w:rPr>
      </w:pPr>
      <w:r>
        <w:rPr>
          <w:rFonts w:ascii="Times New Roman" w:hAnsi="Times New Roman" w:cs="Times New Roman"/>
          <w:b/>
          <w:bCs/>
          <w:u w:val="single"/>
        </w:rPr>
        <w:t xml:space="preserve">MODELO DE CARTA-PROPOSTA </w:t>
      </w:r>
    </w:p>
    <w:p w:rsidR="00BF6853" w:rsidRDefault="00BF6853">
      <w:pPr>
        <w:spacing w:after="0" w:line="276" w:lineRule="auto"/>
        <w:jc w:val="center"/>
        <w:rPr>
          <w:rFonts w:ascii="Times New Roman" w:hAnsi="Times New Roman" w:cs="Times New Roman"/>
          <w:b/>
          <w:bCs/>
          <w:u w:val="single"/>
        </w:rPr>
      </w:pPr>
    </w:p>
    <w:p w:rsidR="00BF6853" w:rsidRDefault="0098550E">
      <w:pPr>
        <w:spacing w:after="0" w:line="276" w:lineRule="auto"/>
        <w:jc w:val="center"/>
        <w:rPr>
          <w:rFonts w:ascii="Times New Roman" w:hAnsi="Times New Roman" w:cs="Times New Roman"/>
        </w:rPr>
      </w:pPr>
      <w:r>
        <w:rPr>
          <w:rFonts w:ascii="Times New Roman" w:hAnsi="Times New Roman" w:cs="Times New Roman"/>
        </w:rPr>
        <w:t>TIMBRE DA EMPRESA</w:t>
      </w:r>
    </w:p>
    <w:p w:rsidR="00BF6853" w:rsidRDefault="0098550E">
      <w:pPr>
        <w:spacing w:after="0" w:line="276" w:lineRule="auto"/>
        <w:jc w:val="center"/>
        <w:rPr>
          <w:rFonts w:ascii="Times New Roman" w:hAnsi="Times New Roman" w:cs="Times New Roman"/>
        </w:rPr>
      </w:pPr>
      <w:r>
        <w:rPr>
          <w:rFonts w:ascii="Times New Roman" w:hAnsi="Times New Roman" w:cs="Times New Roman"/>
        </w:rPr>
        <w:t>NOME E RAZÃO SOCIAL</w:t>
      </w:r>
    </w:p>
    <w:p w:rsidR="00BF6853" w:rsidRDefault="0098550E">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 Nº CNPJ, INSCRIÇÃO ESTADUAL</w:t>
      </w:r>
    </w:p>
    <w:p w:rsidR="00BF6853" w:rsidRDefault="00BF6853">
      <w:pPr>
        <w:spacing w:after="0" w:line="276" w:lineRule="auto"/>
        <w:jc w:val="center"/>
        <w:rPr>
          <w:rFonts w:ascii="Times New Roman" w:hAnsi="Times New Roman" w:cs="Times New Roman"/>
        </w:rPr>
      </w:pPr>
    </w:p>
    <w:p w:rsidR="00BF6853" w:rsidRDefault="0098550E">
      <w:pPr>
        <w:spacing w:after="0" w:line="276" w:lineRule="auto"/>
        <w:rPr>
          <w:rFonts w:ascii="Times New Roman" w:hAnsi="Times New Roman" w:cs="Times New Roman"/>
        </w:rPr>
      </w:pPr>
      <w:r>
        <w:rPr>
          <w:rFonts w:ascii="Times New Roman" w:hAnsi="Times New Roman" w:cs="Times New Roman"/>
        </w:rPr>
        <w:t>Á Prefeitura do Município de Teutônia</w:t>
      </w:r>
    </w:p>
    <w:p w:rsidR="00BF6853" w:rsidRDefault="00BF6853">
      <w:pPr>
        <w:spacing w:after="0" w:line="276" w:lineRule="auto"/>
        <w:rPr>
          <w:rFonts w:ascii="Times New Roman" w:hAnsi="Times New Roman" w:cs="Times New Roman"/>
        </w:rPr>
      </w:pPr>
    </w:p>
    <w:p w:rsidR="00BF6853" w:rsidRDefault="0098550E">
      <w:pPr>
        <w:spacing w:after="0" w:line="276" w:lineRule="auto"/>
        <w:rPr>
          <w:rFonts w:ascii="Times New Roman" w:hAnsi="Times New Roman" w:cs="Times New Roman"/>
        </w:rPr>
      </w:pPr>
      <w:r>
        <w:rPr>
          <w:rFonts w:ascii="Times New Roman" w:hAnsi="Times New Roman" w:cs="Times New Roman"/>
        </w:rPr>
        <w:t>Prezados Senhores</w:t>
      </w:r>
    </w:p>
    <w:p w:rsidR="00BF6853" w:rsidRDefault="0098550E">
      <w:pPr>
        <w:spacing w:after="0" w:line="276" w:lineRule="auto"/>
        <w:jc w:val="both"/>
        <w:rPr>
          <w:rFonts w:ascii="Times New Roman" w:hAnsi="Times New Roman" w:cs="Times New Roman"/>
        </w:rPr>
      </w:pPr>
      <w:r>
        <w:rPr>
          <w:rFonts w:ascii="Times New Roman" w:hAnsi="Times New Roman" w:cs="Times New Roman"/>
        </w:rPr>
        <w:t xml:space="preserve">Ref.: PREGÃO ELETRÔNICO Nº 017/2026 - Carta-Proposta </w:t>
      </w:r>
    </w:p>
    <w:p w:rsidR="00BF6853" w:rsidRDefault="00BF6853">
      <w:pPr>
        <w:spacing w:after="0" w:line="276" w:lineRule="auto"/>
        <w:jc w:val="both"/>
        <w:rPr>
          <w:rFonts w:ascii="Times New Roman" w:hAnsi="Times New Roman" w:cs="Times New Roman"/>
        </w:rPr>
      </w:pPr>
    </w:p>
    <w:p w:rsidR="00BF6853" w:rsidRDefault="0098550E">
      <w:pPr>
        <w:spacing w:after="0" w:line="276" w:lineRule="auto"/>
        <w:jc w:val="both"/>
        <w:rPr>
          <w:rFonts w:ascii="Times New Roman" w:hAnsi="Times New Roman" w:cs="Times New Roman"/>
        </w:rPr>
      </w:pPr>
      <w:r>
        <w:rPr>
          <w:rFonts w:ascii="Times New Roman" w:hAnsi="Times New Roman" w:cs="Times New Roman"/>
        </w:rPr>
        <w:t xml:space="preserve">Apresentamos nossa proposta para </w:t>
      </w:r>
      <w:r w:rsidR="00937BBD">
        <w:rPr>
          <w:rFonts w:ascii="Times New Roman" w:hAnsi="Times New Roman" w:cs="Times New Roman"/>
        </w:rPr>
        <w:t>a prestação dos serviços</w:t>
      </w:r>
      <w:r>
        <w:rPr>
          <w:rFonts w:ascii="Times New Roman" w:hAnsi="Times New Roman" w:cs="Times New Roman"/>
        </w:rPr>
        <w:t xml:space="preserve"> abaixo discriminados, conforme previsto no instrumento convocatório da licitação em epígrafe:</w:t>
      </w:r>
    </w:p>
    <w:p w:rsidR="00BF6853" w:rsidRDefault="00BF6853">
      <w:pPr>
        <w:spacing w:after="0" w:line="276" w:lineRule="auto"/>
        <w:jc w:val="center"/>
        <w:rPr>
          <w:rFonts w:ascii="Times New Roman" w:hAnsi="Times New Roman" w:cs="Times New Roman"/>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5"/>
        <w:gridCol w:w="945"/>
        <w:gridCol w:w="2415"/>
        <w:gridCol w:w="1815"/>
        <w:gridCol w:w="1584"/>
      </w:tblGrid>
      <w:tr w:rsidR="00937BBD">
        <w:tc>
          <w:tcPr>
            <w:tcW w:w="825" w:type="dxa"/>
          </w:tcPr>
          <w:p w:rsidR="00937BBD" w:rsidRDefault="00937BBD">
            <w:pPr>
              <w:spacing w:after="0" w:line="276" w:lineRule="auto"/>
              <w:jc w:val="center"/>
              <w:rPr>
                <w:rFonts w:ascii="Times New Roman" w:hAnsi="Times New Roman" w:cs="Times New Roman"/>
                <w:b/>
                <w:bCs/>
              </w:rPr>
            </w:pPr>
            <w:r>
              <w:rPr>
                <w:rFonts w:ascii="Times New Roman" w:hAnsi="Times New Roman" w:cs="Times New Roman"/>
                <w:b/>
                <w:bCs/>
              </w:rPr>
              <w:t>Item</w:t>
            </w:r>
          </w:p>
        </w:tc>
        <w:tc>
          <w:tcPr>
            <w:tcW w:w="945" w:type="dxa"/>
          </w:tcPr>
          <w:p w:rsidR="00937BBD" w:rsidRDefault="00937BBD">
            <w:pPr>
              <w:spacing w:after="0" w:line="276" w:lineRule="auto"/>
              <w:jc w:val="center"/>
              <w:rPr>
                <w:rFonts w:ascii="Times New Roman" w:hAnsi="Times New Roman" w:cs="Times New Roman"/>
                <w:b/>
                <w:bCs/>
              </w:rPr>
            </w:pPr>
            <w:proofErr w:type="spellStart"/>
            <w:r>
              <w:rPr>
                <w:rFonts w:ascii="Times New Roman" w:hAnsi="Times New Roman" w:cs="Times New Roman"/>
                <w:b/>
                <w:bCs/>
              </w:rPr>
              <w:t>Qtde</w:t>
            </w:r>
            <w:proofErr w:type="spellEnd"/>
            <w:r>
              <w:rPr>
                <w:rFonts w:ascii="Times New Roman" w:hAnsi="Times New Roman" w:cs="Times New Roman"/>
                <w:b/>
                <w:bCs/>
              </w:rPr>
              <w:t>.</w:t>
            </w:r>
          </w:p>
        </w:tc>
        <w:tc>
          <w:tcPr>
            <w:tcW w:w="2415" w:type="dxa"/>
          </w:tcPr>
          <w:p w:rsidR="00937BBD" w:rsidRDefault="00937BBD">
            <w:pPr>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815" w:type="dxa"/>
          </w:tcPr>
          <w:p w:rsidR="00937BBD" w:rsidRDefault="00937BBD">
            <w:pPr>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1584" w:type="dxa"/>
          </w:tcPr>
          <w:p w:rsidR="00937BBD" w:rsidRDefault="00937BBD">
            <w:pPr>
              <w:spacing w:after="0" w:line="276" w:lineRule="auto"/>
              <w:jc w:val="center"/>
              <w:rPr>
                <w:rFonts w:ascii="Times New Roman" w:hAnsi="Times New Roman" w:cs="Times New Roman"/>
                <w:b/>
                <w:bCs/>
              </w:rPr>
            </w:pPr>
            <w:r>
              <w:rPr>
                <w:rFonts w:ascii="Times New Roman" w:hAnsi="Times New Roman" w:cs="Times New Roman"/>
                <w:b/>
                <w:bCs/>
              </w:rPr>
              <w:t>Valor Total</w:t>
            </w:r>
          </w:p>
          <w:p w:rsidR="00937BBD" w:rsidRDefault="00937BBD">
            <w:pPr>
              <w:spacing w:after="0" w:line="276" w:lineRule="auto"/>
              <w:jc w:val="center"/>
              <w:rPr>
                <w:rFonts w:ascii="Times New Roman" w:hAnsi="Times New Roman" w:cs="Times New Roman"/>
                <w:b/>
                <w:bCs/>
              </w:rPr>
            </w:pPr>
            <w:r>
              <w:rPr>
                <w:rFonts w:ascii="Times New Roman" w:hAnsi="Times New Roman" w:cs="Times New Roman"/>
                <w:b/>
                <w:bCs/>
              </w:rPr>
              <w:t>(R$)</w:t>
            </w:r>
          </w:p>
        </w:tc>
      </w:tr>
      <w:tr w:rsidR="00937BBD">
        <w:tc>
          <w:tcPr>
            <w:tcW w:w="825" w:type="dxa"/>
          </w:tcPr>
          <w:p w:rsidR="00937BBD" w:rsidRDefault="00937BBD">
            <w:pPr>
              <w:spacing w:after="0" w:line="276" w:lineRule="auto"/>
              <w:jc w:val="center"/>
              <w:rPr>
                <w:rFonts w:ascii="Times New Roman" w:hAnsi="Times New Roman" w:cs="Times New Roman"/>
              </w:rPr>
            </w:pPr>
          </w:p>
        </w:tc>
        <w:tc>
          <w:tcPr>
            <w:tcW w:w="945" w:type="dxa"/>
          </w:tcPr>
          <w:p w:rsidR="00937BBD" w:rsidRDefault="00937BBD">
            <w:pPr>
              <w:spacing w:after="0" w:line="276" w:lineRule="auto"/>
              <w:jc w:val="center"/>
              <w:rPr>
                <w:rFonts w:ascii="Times New Roman" w:hAnsi="Times New Roman" w:cs="Times New Roman"/>
              </w:rPr>
            </w:pPr>
          </w:p>
        </w:tc>
        <w:tc>
          <w:tcPr>
            <w:tcW w:w="2415" w:type="dxa"/>
          </w:tcPr>
          <w:p w:rsidR="00937BBD" w:rsidRDefault="00937BBD">
            <w:pPr>
              <w:spacing w:after="0" w:line="276" w:lineRule="auto"/>
              <w:jc w:val="center"/>
              <w:rPr>
                <w:rFonts w:ascii="Times New Roman" w:hAnsi="Times New Roman" w:cs="Times New Roman"/>
              </w:rPr>
            </w:pPr>
          </w:p>
        </w:tc>
        <w:tc>
          <w:tcPr>
            <w:tcW w:w="1815" w:type="dxa"/>
          </w:tcPr>
          <w:p w:rsidR="00937BBD" w:rsidRDefault="00937BBD">
            <w:pPr>
              <w:spacing w:after="0" w:line="276" w:lineRule="auto"/>
              <w:jc w:val="center"/>
              <w:rPr>
                <w:rFonts w:ascii="Times New Roman" w:hAnsi="Times New Roman" w:cs="Times New Roman"/>
              </w:rPr>
            </w:pPr>
          </w:p>
        </w:tc>
        <w:tc>
          <w:tcPr>
            <w:tcW w:w="1584" w:type="dxa"/>
          </w:tcPr>
          <w:p w:rsidR="00937BBD" w:rsidRDefault="00937BBD">
            <w:pPr>
              <w:spacing w:after="0" w:line="276" w:lineRule="auto"/>
              <w:jc w:val="center"/>
              <w:rPr>
                <w:rFonts w:ascii="Times New Roman" w:hAnsi="Times New Roman" w:cs="Times New Roman"/>
              </w:rPr>
            </w:pPr>
          </w:p>
        </w:tc>
      </w:tr>
    </w:tbl>
    <w:p w:rsidR="00BF6853" w:rsidRDefault="00BF6853">
      <w:pPr>
        <w:spacing w:after="0" w:line="276" w:lineRule="auto"/>
        <w:jc w:val="center"/>
        <w:rPr>
          <w:rFonts w:ascii="Times New Roman" w:hAnsi="Times New Roman" w:cs="Times New Roman"/>
        </w:rPr>
      </w:pP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rsidR="00BF6853" w:rsidRDefault="0098550E">
      <w:pPr>
        <w:spacing w:after="0" w:line="276" w:lineRule="auto"/>
        <w:jc w:val="both"/>
        <w:rPr>
          <w:rFonts w:ascii="Times New Roman" w:hAnsi="Times New Roman" w:cs="Times New Roman"/>
        </w:rPr>
      </w:pPr>
      <w:r>
        <w:rPr>
          <w:rFonts w:ascii="Times New Roman" w:hAnsi="Times New Roman" w:cs="Times New Roman"/>
        </w:rPr>
        <w:t>RAZÃO SOCIAL:</w:t>
      </w:r>
    </w:p>
    <w:p w:rsidR="00BF6853" w:rsidRDefault="0098550E">
      <w:pPr>
        <w:spacing w:after="0" w:line="276" w:lineRule="auto"/>
        <w:jc w:val="both"/>
        <w:rPr>
          <w:rFonts w:ascii="Times New Roman" w:hAnsi="Times New Roman" w:cs="Times New Roman"/>
        </w:rPr>
      </w:pPr>
      <w:r>
        <w:rPr>
          <w:rFonts w:ascii="Times New Roman" w:hAnsi="Times New Roman" w:cs="Times New Roman"/>
        </w:rPr>
        <w:t>CNPJ e INSCRIÇÃO ESTADUAL:</w:t>
      </w:r>
    </w:p>
    <w:p w:rsidR="00BF6853" w:rsidRDefault="0098550E">
      <w:pPr>
        <w:spacing w:after="0" w:line="276" w:lineRule="auto"/>
        <w:jc w:val="both"/>
        <w:rPr>
          <w:rFonts w:ascii="Times New Roman" w:hAnsi="Times New Roman" w:cs="Times New Roman"/>
        </w:rPr>
      </w:pPr>
      <w:r>
        <w:rPr>
          <w:rFonts w:ascii="Times New Roman" w:hAnsi="Times New Roman" w:cs="Times New Roman"/>
        </w:rPr>
        <w:t>REPRESENTANTE E CARGO:</w:t>
      </w:r>
    </w:p>
    <w:p w:rsidR="00BF6853" w:rsidRDefault="0098550E">
      <w:pPr>
        <w:spacing w:after="0" w:line="276" w:lineRule="auto"/>
        <w:jc w:val="both"/>
        <w:rPr>
          <w:rFonts w:ascii="Times New Roman" w:hAnsi="Times New Roman" w:cs="Times New Roman"/>
        </w:rPr>
      </w:pPr>
      <w:r>
        <w:rPr>
          <w:rFonts w:ascii="Times New Roman" w:hAnsi="Times New Roman" w:cs="Times New Roman"/>
        </w:rPr>
        <w:t>CARTEIRA DE IDENTIDADE E CPF:</w:t>
      </w:r>
    </w:p>
    <w:p w:rsidR="00BF6853" w:rsidRDefault="0098550E">
      <w:pPr>
        <w:spacing w:after="0" w:line="276" w:lineRule="auto"/>
        <w:jc w:val="both"/>
        <w:rPr>
          <w:rFonts w:ascii="Times New Roman" w:hAnsi="Times New Roman" w:cs="Times New Roman"/>
        </w:rPr>
      </w:pPr>
      <w:r>
        <w:rPr>
          <w:rFonts w:ascii="Times New Roman" w:hAnsi="Times New Roman" w:cs="Times New Roman"/>
        </w:rPr>
        <w:t>ENDEREÇO e TELEFONE:</w:t>
      </w:r>
    </w:p>
    <w:p w:rsidR="00BF6853" w:rsidRDefault="0098550E">
      <w:pPr>
        <w:spacing w:after="0" w:line="276" w:lineRule="auto"/>
        <w:jc w:val="both"/>
        <w:rPr>
          <w:rFonts w:ascii="Times New Roman" w:hAnsi="Times New Roman" w:cs="Times New Roman"/>
        </w:rPr>
      </w:pPr>
      <w:r>
        <w:rPr>
          <w:rFonts w:ascii="Times New Roman" w:hAnsi="Times New Roman" w:cs="Times New Roman"/>
        </w:rPr>
        <w:t>AGÊNCIA e Nº DA CONTA BANCÁRIA</w:t>
      </w:r>
    </w:p>
    <w:p w:rsidR="00BF6853" w:rsidRDefault="00BF6853">
      <w:pPr>
        <w:spacing w:after="0" w:line="276" w:lineRule="auto"/>
        <w:jc w:val="both"/>
        <w:rPr>
          <w:rFonts w:ascii="Times New Roman" w:hAnsi="Times New Roman" w:cs="Times New Roman"/>
        </w:rPr>
      </w:pP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rsidR="00BF6853" w:rsidRDefault="0098550E">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rsidR="00BF6853" w:rsidRDefault="0098550E">
      <w:pPr>
        <w:spacing w:after="0" w:line="276" w:lineRule="auto"/>
        <w:jc w:val="both"/>
        <w:rPr>
          <w:rFonts w:ascii="Times New Roman" w:hAnsi="Times New Roman" w:cs="Times New Roman"/>
        </w:rPr>
      </w:pPr>
      <w:r>
        <w:rPr>
          <w:rFonts w:ascii="Times New Roman" w:hAnsi="Times New Roman" w:cs="Times New Roman"/>
        </w:rPr>
        <w:t>PREÇO (READEQUADO AO LANCE VENCEDOR)</w:t>
      </w:r>
    </w:p>
    <w:p w:rsidR="00BF6853" w:rsidRDefault="0098550E">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 xml:space="preserve">A proposta terá validade </w:t>
      </w:r>
      <w:r w:rsidR="00937BBD">
        <w:rPr>
          <w:rFonts w:ascii="Times New Roman" w:hAnsi="Times New Roman" w:cs="Times New Roman"/>
          <w:b/>
          <w:bCs/>
        </w:rPr>
        <w:t>no mínimo por</w:t>
      </w:r>
      <w:r>
        <w:rPr>
          <w:rFonts w:ascii="Times New Roman" w:hAnsi="Times New Roman" w:cs="Times New Roman"/>
          <w:b/>
          <w:bCs/>
        </w:rPr>
        <w:t xml:space="preserve"> 90 (noventa) dias, a partir da data da sessão eletrônica.</w:t>
      </w:r>
    </w:p>
    <w:p w:rsidR="00BF6853" w:rsidRDefault="0098550E">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rsidR="00BF6853" w:rsidRDefault="0098550E">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rsidR="00BF6853" w:rsidRDefault="00BF6853">
      <w:pPr>
        <w:spacing w:after="0" w:line="276" w:lineRule="auto"/>
        <w:jc w:val="both"/>
        <w:rPr>
          <w:rFonts w:ascii="Times New Roman" w:hAnsi="Times New Roman" w:cs="Times New Roman"/>
        </w:rPr>
      </w:pPr>
    </w:p>
    <w:p w:rsidR="00BF6853" w:rsidRDefault="0098550E">
      <w:pPr>
        <w:spacing w:after="0" w:line="276" w:lineRule="auto"/>
        <w:jc w:val="center"/>
        <w:rPr>
          <w:rFonts w:ascii="Times New Roman" w:hAnsi="Times New Roman" w:cs="Times New Roman"/>
        </w:rPr>
      </w:pPr>
      <w:r>
        <w:rPr>
          <w:rFonts w:ascii="Times New Roman" w:hAnsi="Times New Roman" w:cs="Times New Roman"/>
        </w:rPr>
        <w:t>LOCAL E DATA</w:t>
      </w:r>
    </w:p>
    <w:p w:rsidR="00BF6853" w:rsidRDefault="0098550E">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rsidR="00BF6853" w:rsidRDefault="00BF6853">
      <w:pPr>
        <w:spacing w:after="0" w:line="276" w:lineRule="auto"/>
        <w:jc w:val="center"/>
        <w:rPr>
          <w:rFonts w:ascii="Times New Roman" w:hAnsi="Times New Roman" w:cs="Times New Roman"/>
        </w:rPr>
      </w:pPr>
    </w:p>
    <w:p w:rsidR="00BF6853" w:rsidRDefault="00BF6853">
      <w:pPr>
        <w:spacing w:after="0" w:line="276" w:lineRule="auto"/>
        <w:jc w:val="center"/>
        <w:rPr>
          <w:rFonts w:ascii="Times New Roman" w:hAnsi="Times New Roman" w:cs="Times New Roman"/>
          <w:b/>
          <w:bCs/>
          <w:sz w:val="24"/>
          <w:szCs w:val="24"/>
          <w:u w:val="single"/>
        </w:rPr>
      </w:pPr>
    </w:p>
    <w:p w:rsidR="00937BBD" w:rsidRDefault="00937BBD">
      <w:pPr>
        <w:spacing w:after="0" w:line="276" w:lineRule="auto"/>
        <w:jc w:val="center"/>
        <w:rPr>
          <w:rFonts w:ascii="Times New Roman" w:hAnsi="Times New Roman" w:cs="Times New Roman"/>
          <w:b/>
          <w:bCs/>
          <w:sz w:val="24"/>
          <w:szCs w:val="24"/>
          <w:u w:val="single"/>
        </w:rPr>
      </w:pPr>
    </w:p>
    <w:p w:rsidR="00BF6853" w:rsidRDefault="0098550E">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III</w:t>
      </w:r>
    </w:p>
    <w:p w:rsidR="00BF6853" w:rsidRDefault="00BF6853">
      <w:pPr>
        <w:spacing w:after="0" w:line="276" w:lineRule="auto"/>
        <w:jc w:val="both"/>
        <w:rPr>
          <w:rFonts w:ascii="Times New Roman" w:hAnsi="Times New Roman" w:cs="Times New Roman"/>
          <w:b/>
          <w:bCs/>
          <w:sz w:val="24"/>
          <w:szCs w:val="24"/>
        </w:rPr>
      </w:pPr>
    </w:p>
    <w:p w:rsidR="00BF6853" w:rsidRDefault="0098550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w:t>
      </w:r>
      <w:r w:rsidR="00937BBD">
        <w:rPr>
          <w:rFonts w:ascii="Times New Roman" w:hAnsi="Times New Roman" w:cs="Times New Roman"/>
          <w:b/>
          <w:bCs/>
          <w:sz w:val="24"/>
          <w:szCs w:val="24"/>
        </w:rPr>
        <w:t>Ã</w:t>
      </w:r>
      <w:r>
        <w:rPr>
          <w:rFonts w:ascii="Times New Roman" w:hAnsi="Times New Roman" w:cs="Times New Roman"/>
          <w:b/>
          <w:bCs/>
          <w:sz w:val="24"/>
          <w:szCs w:val="24"/>
        </w:rPr>
        <w:t>O DE CONHECIMENTOS DAS OBRIGAÇÕES</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rsidR="00BF6853"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BF6853" w:rsidRDefault="00BF6853">
      <w:pPr>
        <w:spacing w:after="0" w:line="276" w:lineRule="auto"/>
        <w:jc w:val="both"/>
        <w:rPr>
          <w:rFonts w:ascii="Times New Roman" w:hAnsi="Times New Roman" w:cs="Times New Roman"/>
          <w:b/>
          <w:bCs/>
          <w:sz w:val="24"/>
          <w:szCs w:val="24"/>
        </w:rPr>
      </w:pP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__________, inscrita no CNPJ nº _______ em atenção ao Edital de Pregão Eletrônico n° 017/2026, declara:</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Que nenhum de seus dirigentes, gerentes, acionistas ou detentores de mais de 5% (cinco por cento) do capital com direito a voto, ou controlador, responsáveis técnicos, funcionários ou eventuais </w:t>
      </w:r>
      <w:proofErr w:type="spellStart"/>
      <w:r>
        <w:rPr>
          <w:rFonts w:ascii="Times New Roman" w:hAnsi="Times New Roman" w:cs="Times New Roman"/>
          <w:sz w:val="24"/>
          <w:szCs w:val="24"/>
        </w:rPr>
        <w:t>sub-contratados</w:t>
      </w:r>
      <w:proofErr w:type="spellEnd"/>
      <w:r>
        <w:rPr>
          <w:rFonts w:ascii="Times New Roman" w:hAnsi="Times New Roman" w:cs="Times New Roman"/>
          <w:sz w:val="24"/>
          <w:szCs w:val="24"/>
        </w:rPr>
        <w:t xml:space="preserve"> são servidores da Prefeitura Municipal de Teutônia/RS;</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rsidR="00BF6853" w:rsidRDefault="00BF6853">
      <w:pPr>
        <w:spacing w:after="0" w:line="276" w:lineRule="auto"/>
        <w:jc w:val="both"/>
        <w:rPr>
          <w:rFonts w:ascii="Times New Roman" w:hAnsi="Times New Roman" w:cs="Times New Roman"/>
          <w:sz w:val="24"/>
          <w:szCs w:val="24"/>
        </w:rPr>
      </w:pPr>
    </w:p>
    <w:p w:rsidR="00BF6853" w:rsidRDefault="00BF6853">
      <w:pPr>
        <w:spacing w:after="0" w:line="276" w:lineRule="auto"/>
        <w:jc w:val="both"/>
        <w:rPr>
          <w:rFonts w:ascii="Times New Roman" w:hAnsi="Times New Roman" w:cs="Times New Roman"/>
          <w:b/>
          <w:bCs/>
          <w:sz w:val="24"/>
          <w:szCs w:val="24"/>
        </w:rPr>
      </w:pPr>
    </w:p>
    <w:p w:rsidR="00BF6853" w:rsidRPr="00937BBD" w:rsidRDefault="0098550E">
      <w:pPr>
        <w:spacing w:after="0" w:line="276" w:lineRule="auto"/>
        <w:jc w:val="center"/>
        <w:rPr>
          <w:rFonts w:ascii="Times New Roman" w:hAnsi="Times New Roman" w:cs="Times New Roman"/>
          <w:sz w:val="24"/>
          <w:szCs w:val="24"/>
        </w:rPr>
      </w:pPr>
      <w:r w:rsidRPr="00937BBD">
        <w:rPr>
          <w:rFonts w:ascii="Times New Roman" w:hAnsi="Times New Roman" w:cs="Times New Roman"/>
          <w:sz w:val="24"/>
          <w:szCs w:val="24"/>
        </w:rPr>
        <w:t>(Local e data).</w:t>
      </w:r>
    </w:p>
    <w:p w:rsidR="00BF6853" w:rsidRPr="00937BBD" w:rsidRDefault="00BF6853">
      <w:pPr>
        <w:spacing w:after="0" w:line="276" w:lineRule="auto"/>
        <w:jc w:val="both"/>
        <w:rPr>
          <w:rFonts w:ascii="Times New Roman" w:hAnsi="Times New Roman" w:cs="Times New Roman"/>
          <w:sz w:val="24"/>
          <w:szCs w:val="24"/>
        </w:rPr>
      </w:pPr>
    </w:p>
    <w:p w:rsidR="00BF6853" w:rsidRPr="00937BBD" w:rsidRDefault="00BF6853">
      <w:pPr>
        <w:spacing w:after="0" w:line="276" w:lineRule="auto"/>
        <w:jc w:val="both"/>
        <w:rPr>
          <w:rFonts w:ascii="Times New Roman" w:hAnsi="Times New Roman" w:cs="Times New Roman"/>
          <w:sz w:val="24"/>
          <w:szCs w:val="24"/>
        </w:rPr>
      </w:pPr>
    </w:p>
    <w:p w:rsidR="00BF6853" w:rsidRPr="00937BBD" w:rsidRDefault="0098550E" w:rsidP="00937BBD">
      <w:pPr>
        <w:spacing w:after="0" w:line="276" w:lineRule="auto"/>
        <w:jc w:val="center"/>
        <w:rPr>
          <w:rFonts w:ascii="Times New Roman" w:hAnsi="Times New Roman" w:cs="Times New Roman"/>
          <w:sz w:val="24"/>
          <w:szCs w:val="24"/>
        </w:rPr>
      </w:pPr>
      <w:r w:rsidRPr="00937BBD">
        <w:rPr>
          <w:rFonts w:ascii="Times New Roman" w:hAnsi="Times New Roman" w:cs="Times New Roman"/>
          <w:sz w:val="24"/>
          <w:szCs w:val="24"/>
        </w:rPr>
        <w:t>___________________________________________________________</w:t>
      </w:r>
    </w:p>
    <w:p w:rsidR="00BF6853" w:rsidRPr="00937BBD" w:rsidRDefault="0098550E" w:rsidP="00937BBD">
      <w:pPr>
        <w:spacing w:after="0" w:line="276" w:lineRule="auto"/>
        <w:jc w:val="center"/>
        <w:rPr>
          <w:rFonts w:ascii="Times New Roman" w:hAnsi="Times New Roman" w:cs="Times New Roman"/>
          <w:sz w:val="24"/>
          <w:szCs w:val="24"/>
        </w:rPr>
      </w:pPr>
      <w:r w:rsidRPr="00937BBD">
        <w:rPr>
          <w:rFonts w:ascii="Times New Roman" w:hAnsi="Times New Roman" w:cs="Times New Roman"/>
          <w:sz w:val="24"/>
          <w:szCs w:val="24"/>
        </w:rPr>
        <w:t>Razão Social / CNPJ / Nome e Nº do RG do Representante Legal / Assinatura</w:t>
      </w:r>
    </w:p>
    <w:p w:rsidR="00BF6853" w:rsidRPr="00937BBD" w:rsidRDefault="00BF6853">
      <w:pPr>
        <w:spacing w:after="0" w:line="276" w:lineRule="auto"/>
        <w:jc w:val="both"/>
        <w:rPr>
          <w:rFonts w:ascii="Times New Roman" w:hAnsi="Times New Roman" w:cs="Times New Roman"/>
          <w:sz w:val="24"/>
          <w:szCs w:val="24"/>
        </w:rPr>
      </w:pPr>
    </w:p>
    <w:p w:rsidR="00BF6853" w:rsidRPr="00937BBD" w:rsidRDefault="00BF6853">
      <w:pPr>
        <w:spacing w:after="0" w:line="276" w:lineRule="auto"/>
        <w:jc w:val="both"/>
        <w:rPr>
          <w:rFonts w:ascii="Times New Roman" w:hAnsi="Times New Roman" w:cs="Times New Roman"/>
          <w:sz w:val="24"/>
          <w:szCs w:val="24"/>
        </w:rPr>
      </w:pPr>
    </w:p>
    <w:p w:rsidR="00BF6853" w:rsidRPr="00937BBD" w:rsidRDefault="0098550E">
      <w:pPr>
        <w:spacing w:after="0" w:line="276" w:lineRule="auto"/>
        <w:jc w:val="both"/>
        <w:rPr>
          <w:rFonts w:ascii="Times New Roman" w:hAnsi="Times New Roman" w:cs="Times New Roman"/>
          <w:sz w:val="24"/>
          <w:szCs w:val="24"/>
        </w:rPr>
      </w:pPr>
      <w:r w:rsidRPr="00937BBD">
        <w:rPr>
          <w:rFonts w:ascii="Times New Roman" w:hAnsi="Times New Roman" w:cs="Times New Roman"/>
          <w:sz w:val="24"/>
          <w:szCs w:val="24"/>
        </w:rPr>
        <w:t>NÃO SERÃO ACEITAS DECLARAÇÕES MANUSCRITAS, TAMPOUCO AQUELAS</w:t>
      </w:r>
    </w:p>
    <w:p w:rsidR="00BF6853" w:rsidRPr="00937BBD" w:rsidRDefault="0098550E">
      <w:pPr>
        <w:spacing w:after="0" w:line="276" w:lineRule="auto"/>
        <w:jc w:val="both"/>
        <w:rPr>
          <w:rFonts w:ascii="Times New Roman" w:hAnsi="Times New Roman" w:cs="Times New Roman"/>
          <w:sz w:val="24"/>
          <w:szCs w:val="24"/>
        </w:rPr>
      </w:pPr>
      <w:r w:rsidRPr="00937BBD">
        <w:rPr>
          <w:rFonts w:ascii="Times New Roman" w:hAnsi="Times New Roman" w:cs="Times New Roman"/>
          <w:sz w:val="24"/>
          <w:szCs w:val="24"/>
        </w:rPr>
        <w:t>PREENCHIDAS EM FORMULÁRIO COM TIMBRE DO MUNICÍPIO DE TEUTÔNIA. AS MESMAS DEVERÃO SER CONFECCIONADAS PREFERENCIALMENTE EM PAPEL TIMBRADO DA EMPRESA LICITANTE.</w:t>
      </w:r>
    </w:p>
    <w:p w:rsidR="00BF6853" w:rsidRPr="00937BBD"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IV</w:t>
      </w:r>
    </w:p>
    <w:p w:rsidR="00BF6853"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DECLARAÇÃO DE ENQUADRAMENTO PARA ME/EPP</w:t>
      </w:r>
    </w:p>
    <w:p w:rsidR="00BF6853" w:rsidRDefault="0098550E">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TIMBRE DA EMPRESA</w:t>
      </w:r>
    </w:p>
    <w:p w:rsidR="00BF6853" w:rsidRDefault="0098550E">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NOME E RAZÃO SOCIAL</w:t>
      </w:r>
    </w:p>
    <w:p w:rsidR="00BF6853" w:rsidRDefault="0098550E">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ENDEREÇO COMPLETO, TELEFONE, ENDEREÇO ELETRÔNICO,</w:t>
      </w:r>
    </w:p>
    <w:p w:rsidR="00BF6853" w:rsidRDefault="0098550E">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Nº CNPJ, INSCRIÇÃO ESTADUAL</w:t>
      </w:r>
    </w:p>
    <w:p w:rsidR="00BF6853" w:rsidRDefault="00BF6853">
      <w:pPr>
        <w:spacing w:after="0" w:line="276" w:lineRule="auto"/>
        <w:jc w:val="center"/>
        <w:rPr>
          <w:rFonts w:ascii="Times New Roman" w:hAnsi="Times New Roman" w:cs="Times New Roman"/>
          <w:i/>
          <w:iCs/>
          <w:sz w:val="24"/>
          <w:szCs w:val="24"/>
        </w:rPr>
      </w:pPr>
    </w:p>
    <w:p w:rsidR="00BF6853" w:rsidRDefault="00BF6853">
      <w:pPr>
        <w:spacing w:after="0" w:line="276" w:lineRule="auto"/>
        <w:jc w:val="center"/>
        <w:rPr>
          <w:rFonts w:ascii="Times New Roman" w:hAnsi="Times New Roman" w:cs="Times New Roman"/>
          <w:i/>
          <w:iCs/>
          <w:sz w:val="24"/>
          <w:szCs w:val="24"/>
        </w:rPr>
      </w:pPr>
    </w:p>
    <w:p w:rsidR="00BF6853" w:rsidRDefault="0098550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 DE ENQUADRAMENTO</w:t>
      </w:r>
    </w:p>
    <w:p w:rsidR="00BF6853" w:rsidRDefault="00BF6853">
      <w:pPr>
        <w:spacing w:after="0" w:line="276" w:lineRule="auto"/>
        <w:jc w:val="center"/>
        <w:rPr>
          <w:rFonts w:ascii="Times New Roman" w:hAnsi="Times New Roman" w:cs="Times New Roman"/>
          <w:sz w:val="24"/>
          <w:szCs w:val="24"/>
        </w:rPr>
      </w:pP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 _____________________________________, inscrita no CNPJ nº __________________________, por intermédio de seu responsável (contador) ________________________, CPF nº ____________________, declara, para fins de participação no Pregão Eletrônico SRP nº 017/2026 e sob as penas da lei penal e civil, que:</w:t>
      </w:r>
    </w:p>
    <w:p w:rsidR="00BF6853" w:rsidRDefault="0098550E">
      <w:pPr>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é considerada microempresa, conforme inciso I do artigo 3º da Lei Complementar nº 123/2006;</w:t>
      </w:r>
    </w:p>
    <w:p w:rsidR="00BF6853" w:rsidRDefault="0098550E">
      <w:pPr>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é considerada empresa de pequeno porte, conforme inciso II do artigo 3º da Lei Complementar nº 123/2006;</w:t>
      </w:r>
    </w:p>
    <w:p w:rsidR="00BF6853" w:rsidRDefault="0098550E">
      <w:pPr>
        <w:spacing w:after="0"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é cooperativa, tendo auferido no calendário anterior, receita bruta até o limite de R$ 4.800.000,00; ou</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 ________________________________________________________________. </w:t>
      </w:r>
    </w:p>
    <w:p w:rsidR="00BF6853"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sz w:val="24"/>
          <w:szCs w:val="24"/>
        </w:rPr>
        <w:t>art</w:t>
      </w:r>
      <w:proofErr w:type="spellEnd"/>
      <w:r>
        <w:rPr>
          <w:rFonts w:ascii="Times New Roman" w:hAnsi="Times New Roman" w:cs="Times New Roman"/>
          <w:sz w:val="24"/>
          <w:szCs w:val="24"/>
        </w:rPr>
        <w:t xml:space="preserve"> 3º, da Lei Complementar nº 123/2006 e suas alterações.</w:t>
      </w:r>
    </w:p>
    <w:p w:rsidR="00BF6853" w:rsidRDefault="00BF6853">
      <w:pPr>
        <w:spacing w:after="0" w:line="276" w:lineRule="auto"/>
        <w:jc w:val="both"/>
        <w:rPr>
          <w:rFonts w:ascii="Times New Roman" w:hAnsi="Times New Roman" w:cs="Times New Roman"/>
          <w:sz w:val="24"/>
          <w:szCs w:val="24"/>
        </w:rPr>
      </w:pPr>
    </w:p>
    <w:p w:rsidR="00BF6853"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BF6853" w:rsidRDefault="00BF6853">
      <w:pPr>
        <w:spacing w:after="0" w:line="276" w:lineRule="auto"/>
        <w:jc w:val="center"/>
        <w:rPr>
          <w:rFonts w:ascii="Times New Roman" w:hAnsi="Times New Roman" w:cs="Times New Roman"/>
          <w:sz w:val="24"/>
          <w:szCs w:val="24"/>
        </w:rPr>
      </w:pPr>
    </w:p>
    <w:p w:rsidR="00BF6853" w:rsidRDefault="00BF6853">
      <w:pPr>
        <w:spacing w:after="0" w:line="276" w:lineRule="auto"/>
        <w:jc w:val="center"/>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Nome do profissional contábil:</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de seu registro junto ao CRC</w:t>
      </w:r>
    </w:p>
    <w:p w:rsidR="00BF6853"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OBSERVAÇÕES:</w:t>
      </w: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1) ESTA DECLARAÇÃO DEVERÁ SER PREENCHIDA SOMENTE PELA LICITANTE ENQUADRADA NOS TERMOS DA LC Nº 123, DE 14 DE DEZEMBRO DE 2006; e</w:t>
      </w: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2) A NÃO APRESENTAÇÃO DESTA DECLARAÇÃO SERÁ INTERPRETADA COMO NÃO ENQUADRAMENTO DA LICITANTE COMO ME OU EPP, NOS TERMOS DA LC Nº 123/2006, OU A OPÇÃO PELA NÃO UTILIZAÇÃO DO DIREITO DE TRATAMENTO DIFERENCIADO.</w:t>
      </w:r>
    </w:p>
    <w:p w:rsidR="00BF6853" w:rsidRDefault="0098550E">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w:t>
      </w:r>
    </w:p>
    <w:p w:rsidR="00BF6853" w:rsidRDefault="0098550E">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rsidR="00BF6853" w:rsidRDefault="00BF6853">
      <w:pPr>
        <w:spacing w:after="0" w:line="276" w:lineRule="auto"/>
        <w:jc w:val="center"/>
        <w:rPr>
          <w:rFonts w:ascii="Times New Roman" w:hAnsi="Times New Roman" w:cs="Times New Roman"/>
          <w:i/>
          <w:iCs/>
          <w:sz w:val="24"/>
          <w:szCs w:val="24"/>
        </w:rPr>
      </w:pPr>
    </w:p>
    <w:p w:rsidR="00BF6853" w:rsidRDefault="0098550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rsidR="00BF6853" w:rsidRDefault="00BF6853">
      <w:pPr>
        <w:spacing w:after="0" w:line="276" w:lineRule="auto"/>
        <w:jc w:val="both"/>
        <w:rPr>
          <w:rFonts w:ascii="Times New Roman" w:hAnsi="Times New Roman" w:cs="Times New Roman"/>
          <w:b/>
          <w:bCs/>
          <w:sz w:val="24"/>
          <w:szCs w:val="24"/>
        </w:rPr>
      </w:pP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017/2026, o que se segue:</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rsidR="00BF6853" w:rsidRDefault="009855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rsidR="00BF6853" w:rsidRDefault="0098550E">
      <w:pPr>
        <w:spacing w:after="0" w:line="276" w:lineRule="auto"/>
        <w:jc w:val="both"/>
        <w:rPr>
          <w:rFonts w:ascii="Times New Roman" w:hAnsi="Times New Roman" w:cs="Times New Roman"/>
          <w:sz w:val="24"/>
          <w:szCs w:val="24"/>
        </w:rPr>
      </w:pPr>
      <w:r w:rsidRPr="003B1095">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rsidR="00BF6853" w:rsidRDefault="00BF6853">
      <w:pPr>
        <w:spacing w:after="0" w:line="276" w:lineRule="auto"/>
        <w:jc w:val="both"/>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BF6853" w:rsidRDefault="00BF6853">
      <w:pPr>
        <w:spacing w:after="0" w:line="276" w:lineRule="auto"/>
        <w:jc w:val="center"/>
        <w:rPr>
          <w:rFonts w:ascii="Times New Roman" w:hAnsi="Times New Roman" w:cs="Times New Roman"/>
          <w:sz w:val="24"/>
          <w:szCs w:val="24"/>
        </w:rPr>
      </w:pP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rsidR="00BF6853" w:rsidRDefault="0098550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rsidR="00BF6853" w:rsidRDefault="00BF6853">
      <w:pPr>
        <w:spacing w:after="0" w:line="276" w:lineRule="auto"/>
        <w:jc w:val="both"/>
        <w:rPr>
          <w:rFonts w:ascii="Times New Roman" w:hAnsi="Times New Roman" w:cs="Times New Roman"/>
          <w:b/>
          <w:bCs/>
          <w:sz w:val="24"/>
          <w:szCs w:val="24"/>
        </w:rPr>
      </w:pPr>
    </w:p>
    <w:p w:rsidR="00BF6853" w:rsidRDefault="0098550E">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rsidR="00BF6853" w:rsidRDefault="0098550E">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VI</w:t>
      </w:r>
    </w:p>
    <w:p w:rsidR="00BF6853" w:rsidRPr="00496B2C" w:rsidRDefault="0098550E">
      <w:pPr>
        <w:autoSpaceDE w:val="0"/>
        <w:autoSpaceDN w:val="0"/>
        <w:adjustRightInd w:val="0"/>
        <w:spacing w:after="0" w:line="276" w:lineRule="auto"/>
        <w:jc w:val="center"/>
        <w:rPr>
          <w:rFonts w:ascii="Times New Roman" w:hAnsi="Times New Roman" w:cs="Times New Roman"/>
          <w:b/>
          <w:bCs/>
          <w:sz w:val="28"/>
          <w:szCs w:val="28"/>
        </w:rPr>
      </w:pPr>
      <w:r w:rsidRPr="00496B2C">
        <w:rPr>
          <w:rFonts w:ascii="Times New Roman" w:hAnsi="Times New Roman" w:cs="Times New Roman"/>
          <w:b/>
          <w:bCs/>
          <w:sz w:val="28"/>
          <w:szCs w:val="28"/>
        </w:rPr>
        <w:t xml:space="preserve">MINUTA DE CONTRATO DE Nº </w:t>
      </w:r>
      <w:proofErr w:type="spellStart"/>
      <w:r w:rsidRPr="00496B2C">
        <w:rPr>
          <w:rFonts w:ascii="Times New Roman" w:hAnsi="Times New Roman" w:cs="Times New Roman"/>
          <w:b/>
          <w:bCs/>
          <w:sz w:val="28"/>
          <w:szCs w:val="28"/>
        </w:rPr>
        <w:t>xxx</w:t>
      </w:r>
      <w:proofErr w:type="spellEnd"/>
      <w:r w:rsidRPr="00496B2C">
        <w:rPr>
          <w:rFonts w:ascii="Times New Roman" w:hAnsi="Times New Roman" w:cs="Times New Roman"/>
          <w:b/>
          <w:bCs/>
          <w:sz w:val="28"/>
          <w:szCs w:val="28"/>
        </w:rPr>
        <w:t>/2026</w:t>
      </w:r>
    </w:p>
    <w:p w:rsidR="00BF6853" w:rsidRDefault="00BF6853">
      <w:pPr>
        <w:spacing w:after="0" w:line="276" w:lineRule="auto"/>
        <w:jc w:val="center"/>
        <w:rPr>
          <w:rFonts w:ascii="Times New Roman" w:hAnsi="Times New Roman" w:cs="Times New Roman"/>
          <w:b/>
          <w:bCs/>
          <w:color w:val="FF0000"/>
          <w:sz w:val="23"/>
          <w:szCs w:val="23"/>
        </w:rPr>
      </w:pPr>
    </w:p>
    <w:p w:rsidR="00BF6853" w:rsidRDefault="0098550E">
      <w:pPr>
        <w:autoSpaceDE w:val="0"/>
        <w:autoSpaceDN w:val="0"/>
        <w:adjustRightInd w:val="0"/>
        <w:spacing w:after="0" w:line="276" w:lineRule="auto"/>
        <w:jc w:val="both"/>
        <w:rPr>
          <w:rFonts w:ascii="Times New Roman" w:hAnsi="Times New Roman" w:cs="Times New Roman"/>
          <w:sz w:val="23"/>
          <w:szCs w:val="23"/>
          <w:highlight w:val="yellow"/>
        </w:rPr>
      </w:pPr>
      <w:r>
        <w:rPr>
          <w:rFonts w:ascii="Times New Roman" w:eastAsia="Arial Unicode MS" w:hAnsi="Times New Roman" w:cs="Times New Roman"/>
          <w:sz w:val="23"/>
          <w:szCs w:val="23"/>
        </w:rPr>
        <w:t>Pelo presente instrumento, o</w:t>
      </w:r>
      <w:r>
        <w:rPr>
          <w:rFonts w:ascii="Times New Roman" w:eastAsia="Arial Unicode MS" w:hAnsi="Times New Roman" w:cs="Times New Roman"/>
          <w:b/>
          <w:sz w:val="23"/>
          <w:szCs w:val="23"/>
        </w:rPr>
        <w:t xml:space="preserve"> MUNICÍPIO DE TEUTÔNIA</w:t>
      </w:r>
      <w:r>
        <w:rPr>
          <w:rFonts w:ascii="Times New Roman" w:eastAsia="Arial Unicode MS" w:hAnsi="Times New Roman" w:cs="Times New Roman"/>
          <w:sz w:val="23"/>
          <w:szCs w:val="23"/>
        </w:rPr>
        <w:t xml:space="preserve">, pessoa jurídica de direito público, inscrito no CNPJMF sob n.º 88.661.400/0001-99, </w:t>
      </w:r>
      <w:r>
        <w:rPr>
          <w:rFonts w:ascii="Times New Roman" w:eastAsia="MS Mincho" w:hAnsi="Times New Roman" w:cs="Times New Roman"/>
          <w:sz w:val="23"/>
          <w:szCs w:val="23"/>
        </w:rPr>
        <w:t xml:space="preserve">com sede na Av. 01 Oeste, nº 878, bairro Centro Administrativo, cidade de Teutônia, Estado do Rio Grande do Sul, neste ato representado pelo </w:t>
      </w:r>
      <w:r>
        <w:rPr>
          <w:rFonts w:ascii="Times New Roman" w:eastAsia="MS Mincho" w:hAnsi="Times New Roman" w:cs="Times New Roman"/>
          <w:b/>
          <w:sz w:val="23"/>
          <w:szCs w:val="23"/>
        </w:rPr>
        <w:t>Prefeito Municipal, Sr. Renato Airton Altmann</w:t>
      </w:r>
      <w:r>
        <w:rPr>
          <w:rFonts w:ascii="Times New Roman" w:eastAsia="MS Mincho" w:hAnsi="Times New Roman" w:cs="Times New Roman"/>
          <w:sz w:val="23"/>
          <w:szCs w:val="23"/>
        </w:rPr>
        <w:t xml:space="preserve">, 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 w:val="23"/>
          <w:szCs w:val="23"/>
        </w:rPr>
        <w:t>Languiru</w:t>
      </w:r>
      <w:proofErr w:type="spellEnd"/>
      <w:r>
        <w:rPr>
          <w:rFonts w:ascii="Times New Roman" w:eastAsia="MS Mincho" w:hAnsi="Times New Roman" w:cs="Times New Roman"/>
          <w:sz w:val="23"/>
          <w:szCs w:val="23"/>
        </w:rPr>
        <w:t xml:space="preserv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 xml:space="preserve"> RS</w:t>
      </w:r>
      <w:r>
        <w:rPr>
          <w:rFonts w:ascii="Times New Roman" w:eastAsia="Arial Unicode MS" w:hAnsi="Times New Roman" w:cs="Times New Roman"/>
          <w:sz w:val="23"/>
          <w:szCs w:val="23"/>
        </w:rPr>
        <w:t xml:space="preserve">, doravante denominado de </w:t>
      </w:r>
      <w:r>
        <w:rPr>
          <w:rFonts w:ascii="Times New Roman" w:eastAsia="Arial Unicode MS" w:hAnsi="Times New Roman" w:cs="Times New Roman"/>
          <w:b/>
          <w:sz w:val="23"/>
          <w:szCs w:val="23"/>
        </w:rPr>
        <w:t>CONTRATANTE</w:t>
      </w:r>
      <w:r>
        <w:rPr>
          <w:rFonts w:ascii="Times New Roman" w:eastAsia="Arial Unicode MS" w:hAnsi="Times New Roman" w:cs="Times New Roman"/>
          <w:sz w:val="23"/>
          <w:szCs w:val="23"/>
        </w:rPr>
        <w:t xml:space="preserve"> e, de outro lado, a empresa </w:t>
      </w:r>
      <w:r>
        <w:rPr>
          <w:rFonts w:ascii="Times New Roman" w:eastAsia="Arial Unicode MS" w:hAnsi="Times New Roman" w:cs="Times New Roman"/>
          <w:b/>
          <w:bCs/>
          <w:sz w:val="23"/>
          <w:szCs w:val="23"/>
        </w:rPr>
        <w:t xml:space="preserve">XXXXXX, </w:t>
      </w:r>
      <w:r>
        <w:rPr>
          <w:rFonts w:ascii="Times New Roman" w:eastAsia="Arial Unicode MS" w:hAnsi="Times New Roman" w:cs="Times New Roman"/>
          <w:sz w:val="23"/>
          <w:szCs w:val="23"/>
        </w:rPr>
        <w:t xml:space="preserve">inscrita no CNPJ sob nº XXXXXXX localizada à Rua XXXXXXX, Nº XXXXX, Bairro XXXXXX, Município de XXXXXXX, CEP: XXXXXXXX, neste ato representada pelo sócio XXXXXXXX, XXXXX, inscrito no CPF Nº XXXXXXXXXX, residente e domiciliado na Rua XXXXXXX, Nº XXXX, Bairro XXXX, Município de XXXXXXXX, simplesmente denominado de </w:t>
      </w:r>
      <w:r>
        <w:rPr>
          <w:rFonts w:ascii="Times New Roman" w:eastAsia="Arial Unicode MS" w:hAnsi="Times New Roman" w:cs="Times New Roman"/>
          <w:b/>
          <w:sz w:val="23"/>
          <w:szCs w:val="23"/>
        </w:rPr>
        <w:t>CONTRATAD</w:t>
      </w:r>
      <w:r w:rsidR="00496B2C">
        <w:rPr>
          <w:rFonts w:ascii="Times New Roman" w:eastAsia="Arial Unicode MS" w:hAnsi="Times New Roman" w:cs="Times New Roman"/>
          <w:b/>
          <w:sz w:val="23"/>
          <w:szCs w:val="23"/>
        </w:rPr>
        <w:t>A</w:t>
      </w:r>
      <w:r>
        <w:rPr>
          <w:rFonts w:ascii="Times New Roman" w:eastAsia="Arial Unicode MS" w:hAnsi="Times New Roman" w:cs="Times New Roman"/>
          <w:b/>
          <w:sz w:val="23"/>
          <w:szCs w:val="23"/>
        </w:rPr>
        <w:t xml:space="preserve">, </w:t>
      </w:r>
      <w:r>
        <w:rPr>
          <w:rFonts w:ascii="Times New Roman" w:eastAsia="Arial Unicode MS" w:hAnsi="Times New Roman" w:cs="Times New Roman"/>
          <w:sz w:val="23"/>
          <w:szCs w:val="23"/>
        </w:rPr>
        <w:t xml:space="preserve">ajustam o presente contrato, que será executado de forma indireta,  </w:t>
      </w:r>
      <w:r>
        <w:rPr>
          <w:rFonts w:ascii="Times New Roman" w:hAnsi="Times New Roman" w:cs="Times New Roman"/>
          <w:sz w:val="23"/>
          <w:szCs w:val="23"/>
        </w:rPr>
        <w:t>de acordo com o Edital de Pregão Eletrônico n° 017/2026 e seus anexos, Protocolo nº 9162/2025, com base na Lei Federal n° 14.133/2021, e demais normas aplicáveis, mediante as seguintes cláusulas e condições.</w:t>
      </w:r>
    </w:p>
    <w:p w:rsidR="00BF6853" w:rsidRDefault="00BF6853">
      <w:pPr>
        <w:tabs>
          <w:tab w:val="left" w:pos="4253"/>
        </w:tabs>
        <w:spacing w:after="0" w:line="276" w:lineRule="auto"/>
        <w:jc w:val="both"/>
        <w:rPr>
          <w:rFonts w:ascii="Times New Roman" w:hAnsi="Times New Roman" w:cs="Times New Roman"/>
          <w:b/>
          <w:sz w:val="23"/>
          <w:szCs w:val="23"/>
        </w:rPr>
      </w:pPr>
    </w:p>
    <w:p w:rsidR="00BF6853" w:rsidRDefault="0098550E">
      <w:pPr>
        <w:tabs>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PRIMEIRA – DA FUNDAMENTAÇÃO</w:t>
      </w:r>
    </w:p>
    <w:p w:rsidR="00BF6853" w:rsidRDefault="0098550E">
      <w:pPr>
        <w:numPr>
          <w:ilvl w:val="1"/>
          <w:numId w:val="8"/>
        </w:num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O presente instrumento é fundamentado no procedimento realizado pela CONTRATANTE através do edital de licitação de Pregão Eletrônico nº 017/2026 e na proposta vencedora, conforme termo de homologação datado de XXXXXX, e se regerá pelas cláusulas aqui previstas, bem como pelas normas da Lei Federal nº 14.133/2021 (inclusive nos casos omissos), suas alterações posteriores e demais dispositivos legais aplicáveis.</w:t>
      </w:r>
    </w:p>
    <w:p w:rsidR="00BF6853" w:rsidRDefault="00BF6853">
      <w:pPr>
        <w:tabs>
          <w:tab w:val="left" w:pos="1418"/>
        </w:tabs>
        <w:spacing w:after="0" w:line="276" w:lineRule="auto"/>
        <w:jc w:val="both"/>
        <w:rPr>
          <w:rFonts w:ascii="Times New Roman" w:hAnsi="Times New Roman" w:cs="Times New Roman"/>
          <w:sz w:val="23"/>
          <w:szCs w:val="23"/>
        </w:rPr>
      </w:pPr>
    </w:p>
    <w:p w:rsidR="00BF6853" w:rsidRDefault="0098550E">
      <w:pPr>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SEGUNDA – DO OBJETO</w:t>
      </w:r>
    </w:p>
    <w:p w:rsidR="00BF6853" w:rsidRDefault="0098550E">
      <w:pPr>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rPr>
        <w:t xml:space="preserve">2.1. </w:t>
      </w:r>
      <w:r>
        <w:rPr>
          <w:rFonts w:ascii="Times New Roman" w:hAnsi="Times New Roman" w:cs="Times New Roman"/>
          <w:sz w:val="23"/>
          <w:szCs w:val="23"/>
        </w:rPr>
        <w:t xml:space="preserve">O presente contrato tem por objeto a contratação de empresa especializada para a prestação de serviços de </w:t>
      </w:r>
      <w:r w:rsidR="00496B2C" w:rsidRPr="00496B2C">
        <w:rPr>
          <w:rFonts w:ascii="Times New Roman" w:hAnsi="Times New Roman" w:cs="Times New Roman"/>
          <w:sz w:val="23"/>
          <w:szCs w:val="23"/>
        </w:rPr>
        <w:t>controle, tratamento e monitoramento da qualidade da água</w:t>
      </w:r>
      <w:r>
        <w:rPr>
          <w:rFonts w:ascii="Times New Roman" w:hAnsi="Times New Roman" w:cs="Times New Roman"/>
          <w:sz w:val="23"/>
          <w:szCs w:val="23"/>
        </w:rPr>
        <w:t xml:space="preserve"> distribuída à população através dos Sistemas de Abastecimento do</w:t>
      </w:r>
      <w:r w:rsidR="00496B2C">
        <w:rPr>
          <w:rFonts w:ascii="Times New Roman" w:hAnsi="Times New Roman" w:cs="Times New Roman"/>
          <w:sz w:val="23"/>
          <w:szCs w:val="23"/>
        </w:rPr>
        <w:t>s</w:t>
      </w:r>
      <w:r>
        <w:rPr>
          <w:rFonts w:ascii="Times New Roman" w:hAnsi="Times New Roman" w:cs="Times New Roman"/>
          <w:sz w:val="23"/>
          <w:szCs w:val="23"/>
        </w:rPr>
        <w:t xml:space="preserve"> Bairro</w:t>
      </w:r>
      <w:r w:rsidR="00496B2C">
        <w:rPr>
          <w:rFonts w:ascii="Times New Roman" w:hAnsi="Times New Roman" w:cs="Times New Roman"/>
          <w:sz w:val="23"/>
          <w:szCs w:val="23"/>
        </w:rPr>
        <w:t>s</w:t>
      </w:r>
      <w:r>
        <w:rPr>
          <w:rFonts w:ascii="Times New Roman" w:hAnsi="Times New Roman" w:cs="Times New Roman"/>
          <w:sz w:val="23"/>
          <w:szCs w:val="23"/>
        </w:rPr>
        <w:t xml:space="preserve"> Teutônia</w:t>
      </w:r>
      <w:r w:rsidR="00B15523">
        <w:rPr>
          <w:rFonts w:ascii="Times New Roman" w:hAnsi="Times New Roman" w:cs="Times New Roman"/>
          <w:sz w:val="23"/>
          <w:szCs w:val="23"/>
        </w:rPr>
        <w:t xml:space="preserve"> e Canabarro</w:t>
      </w:r>
      <w:r>
        <w:rPr>
          <w:rFonts w:ascii="Times New Roman" w:hAnsi="Times New Roman" w:cs="Times New Roman"/>
          <w:sz w:val="23"/>
          <w:szCs w:val="23"/>
        </w:rPr>
        <w:t>, no Município de Teutônia/RS, conforme especificações técnicas e condições</w:t>
      </w:r>
      <w:r w:rsidR="003D034A">
        <w:rPr>
          <w:rFonts w:ascii="Times New Roman" w:hAnsi="Times New Roman" w:cs="Times New Roman"/>
          <w:sz w:val="23"/>
          <w:szCs w:val="23"/>
        </w:rPr>
        <w:t xml:space="preserve"> constantes neste instrumento.</w:t>
      </w:r>
    </w:p>
    <w:p w:rsidR="003D034A" w:rsidRPr="003D034A" w:rsidRDefault="003D034A">
      <w:pPr>
        <w:spacing w:after="0" w:line="276" w:lineRule="auto"/>
        <w:jc w:val="both"/>
        <w:rPr>
          <w:rFonts w:ascii="Times New Roman" w:hAnsi="Times New Roman" w:cs="Times New Roman"/>
          <w:sz w:val="24"/>
          <w:szCs w:val="24"/>
          <w:lang w:eastAsia="en-US"/>
        </w:rPr>
      </w:pPr>
      <w:r w:rsidRPr="003D034A">
        <w:rPr>
          <w:rFonts w:ascii="Times New Roman" w:hAnsi="Times New Roman" w:cs="Times New Roman"/>
          <w:b/>
          <w:sz w:val="24"/>
          <w:szCs w:val="24"/>
          <w:lang w:eastAsia="en-US"/>
        </w:rPr>
        <w:t>2.1.1.</w:t>
      </w:r>
      <w:r w:rsidRPr="003D034A">
        <w:rPr>
          <w:rFonts w:ascii="Times New Roman" w:hAnsi="Times New Roman" w:cs="Times New Roman"/>
          <w:sz w:val="24"/>
          <w:szCs w:val="24"/>
          <w:lang w:eastAsia="en-US"/>
        </w:rPr>
        <w:t xml:space="preserve"> O Sistema de Abastecimento de Água do Bairro Teutônia é composto por 05 (cinco) poços artesianos e 03 (três) reservatórios de água, conforme tabelas abaixo:</w:t>
      </w:r>
    </w:p>
    <w:tbl>
      <w:tblPr>
        <w:tblStyle w:val="Tabelacomgrade"/>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5"/>
        <w:gridCol w:w="2235"/>
        <w:gridCol w:w="3120"/>
        <w:gridCol w:w="1365"/>
        <w:gridCol w:w="1230"/>
      </w:tblGrid>
      <w:tr w:rsidR="00BF6853">
        <w:tc>
          <w:tcPr>
            <w:tcW w:w="1305" w:type="dxa"/>
            <w:shd w:val="clear" w:color="auto" w:fill="D8D8D8" w:themeFill="background1" w:themeFillShade="D8"/>
          </w:tcPr>
          <w:p w:rsidR="00BF6853" w:rsidRDefault="0098550E">
            <w:pPr>
              <w:pStyle w:val="NormalWeb"/>
              <w:spacing w:before="40" w:after="0" w:line="276" w:lineRule="auto"/>
              <w:jc w:val="both"/>
              <w:rPr>
                <w:rFonts w:eastAsia="Calibri"/>
                <w:b/>
                <w:bCs/>
                <w:sz w:val="23"/>
                <w:szCs w:val="23"/>
                <w:lang w:val="en-US" w:eastAsia="pt-BR"/>
              </w:rPr>
            </w:pPr>
            <w:r>
              <w:rPr>
                <w:rFonts w:eastAsia="Calibri"/>
                <w:b/>
                <w:bCs/>
                <w:sz w:val="23"/>
                <w:szCs w:val="23"/>
                <w:lang w:val="en-US" w:eastAsia="pt-BR"/>
              </w:rPr>
              <w:t>Nº POÇO</w:t>
            </w:r>
          </w:p>
        </w:tc>
        <w:tc>
          <w:tcPr>
            <w:tcW w:w="2235" w:type="dxa"/>
            <w:shd w:val="clear" w:color="auto" w:fill="D8D8D8" w:themeFill="background1" w:themeFillShade="D8"/>
          </w:tcPr>
          <w:p w:rsidR="00BF6853" w:rsidRDefault="0098550E">
            <w:pPr>
              <w:pStyle w:val="NormalWeb"/>
              <w:spacing w:before="40" w:after="0" w:line="276" w:lineRule="auto"/>
              <w:jc w:val="both"/>
              <w:rPr>
                <w:rFonts w:eastAsia="Calibri"/>
                <w:b/>
                <w:bCs/>
                <w:sz w:val="23"/>
                <w:szCs w:val="23"/>
                <w:lang w:val="en-US" w:eastAsia="pt-BR"/>
              </w:rPr>
            </w:pPr>
            <w:r>
              <w:rPr>
                <w:rFonts w:eastAsia="Calibri"/>
                <w:b/>
                <w:bCs/>
                <w:sz w:val="23"/>
                <w:szCs w:val="23"/>
                <w:lang w:val="en-US" w:eastAsia="pt-BR"/>
              </w:rPr>
              <w:t>IDENTIFICAÇÃO</w:t>
            </w:r>
          </w:p>
        </w:tc>
        <w:tc>
          <w:tcPr>
            <w:tcW w:w="3120" w:type="dxa"/>
            <w:shd w:val="clear" w:color="auto" w:fill="D8D8D8" w:themeFill="background1" w:themeFillShade="D8"/>
          </w:tcPr>
          <w:p w:rsidR="00BF6853" w:rsidRDefault="0098550E">
            <w:pPr>
              <w:pStyle w:val="NormalWeb"/>
              <w:spacing w:before="40" w:after="0" w:line="276" w:lineRule="auto"/>
              <w:jc w:val="both"/>
              <w:rPr>
                <w:rFonts w:eastAsia="Calibri"/>
                <w:b/>
                <w:bCs/>
                <w:sz w:val="23"/>
                <w:szCs w:val="23"/>
                <w:lang w:val="en-US" w:eastAsia="pt-BR"/>
              </w:rPr>
            </w:pPr>
            <w:r>
              <w:rPr>
                <w:rFonts w:eastAsia="Calibri"/>
                <w:b/>
                <w:bCs/>
                <w:sz w:val="23"/>
                <w:szCs w:val="23"/>
                <w:lang w:val="en-US" w:eastAsia="pt-BR"/>
              </w:rPr>
              <w:t>LOCALIZAÇÃO</w:t>
            </w:r>
          </w:p>
        </w:tc>
        <w:tc>
          <w:tcPr>
            <w:tcW w:w="1365" w:type="dxa"/>
            <w:shd w:val="clear" w:color="auto" w:fill="D8D8D8" w:themeFill="background1" w:themeFillShade="D8"/>
          </w:tcPr>
          <w:p w:rsidR="00BF6853" w:rsidRDefault="0098550E">
            <w:pPr>
              <w:pStyle w:val="NormalWeb"/>
              <w:spacing w:before="40" w:after="0" w:line="276" w:lineRule="auto"/>
              <w:jc w:val="both"/>
              <w:rPr>
                <w:rFonts w:eastAsia="Calibri"/>
                <w:b/>
                <w:bCs/>
                <w:sz w:val="23"/>
                <w:szCs w:val="23"/>
                <w:lang w:val="en-US" w:eastAsia="pt-BR"/>
              </w:rPr>
            </w:pPr>
            <w:r>
              <w:rPr>
                <w:rFonts w:eastAsia="Calibri"/>
                <w:b/>
                <w:bCs/>
                <w:sz w:val="23"/>
                <w:szCs w:val="23"/>
                <w:lang w:val="en-US" w:eastAsia="pt-BR"/>
              </w:rPr>
              <w:t>QUADRA</w:t>
            </w:r>
          </w:p>
        </w:tc>
        <w:tc>
          <w:tcPr>
            <w:tcW w:w="1230" w:type="dxa"/>
            <w:shd w:val="clear" w:color="auto" w:fill="D8D8D8" w:themeFill="background1" w:themeFillShade="D8"/>
          </w:tcPr>
          <w:p w:rsidR="00BF6853" w:rsidRDefault="0098550E">
            <w:pPr>
              <w:pStyle w:val="NormalWeb"/>
              <w:spacing w:before="40" w:after="0" w:line="276" w:lineRule="auto"/>
              <w:jc w:val="both"/>
              <w:rPr>
                <w:rFonts w:eastAsia="Calibri"/>
                <w:b/>
                <w:bCs/>
                <w:sz w:val="23"/>
                <w:szCs w:val="23"/>
                <w:lang w:val="en-US" w:eastAsia="pt-BR"/>
              </w:rPr>
            </w:pPr>
            <w:r>
              <w:rPr>
                <w:rFonts w:eastAsia="Calibri"/>
                <w:b/>
                <w:bCs/>
                <w:sz w:val="23"/>
                <w:szCs w:val="23"/>
                <w:lang w:val="en-US" w:eastAsia="pt-BR"/>
              </w:rPr>
              <w:t>LOTE</w:t>
            </w:r>
          </w:p>
        </w:tc>
      </w:tr>
      <w:tr w:rsidR="00BF6853">
        <w:tc>
          <w:tcPr>
            <w:tcW w:w="130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01</w:t>
            </w:r>
          </w:p>
        </w:tc>
        <w:tc>
          <w:tcPr>
            <w:tcW w:w="223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Pedro Schaeffer</w:t>
            </w:r>
          </w:p>
        </w:tc>
        <w:tc>
          <w:tcPr>
            <w:tcW w:w="312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Rua Pedro Schaeffer, Nº 1231</w:t>
            </w:r>
          </w:p>
        </w:tc>
        <w:tc>
          <w:tcPr>
            <w:tcW w:w="136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51</w:t>
            </w:r>
          </w:p>
        </w:tc>
        <w:tc>
          <w:tcPr>
            <w:tcW w:w="12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1</w:t>
            </w:r>
          </w:p>
        </w:tc>
      </w:tr>
      <w:tr w:rsidR="00BF6853">
        <w:tc>
          <w:tcPr>
            <w:tcW w:w="130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02</w:t>
            </w:r>
          </w:p>
        </w:tc>
        <w:tc>
          <w:tcPr>
            <w:tcW w:w="2235" w:type="dxa"/>
          </w:tcPr>
          <w:p w:rsidR="00BF6853" w:rsidRDefault="0098550E">
            <w:pPr>
              <w:pStyle w:val="NormalWeb"/>
              <w:spacing w:before="40" w:after="0" w:line="276" w:lineRule="auto"/>
              <w:jc w:val="both"/>
              <w:rPr>
                <w:rFonts w:eastAsia="Calibri"/>
                <w:sz w:val="23"/>
                <w:szCs w:val="23"/>
                <w:lang w:val="en-US" w:eastAsia="pt-BR"/>
              </w:rPr>
            </w:pPr>
            <w:proofErr w:type="spellStart"/>
            <w:r>
              <w:rPr>
                <w:rFonts w:eastAsia="Calibri"/>
                <w:sz w:val="23"/>
                <w:szCs w:val="23"/>
                <w:lang w:val="en-US" w:eastAsia="pt-BR"/>
              </w:rPr>
              <w:t>Fim</w:t>
            </w:r>
            <w:proofErr w:type="spellEnd"/>
            <w:r>
              <w:rPr>
                <w:rFonts w:eastAsia="Calibri"/>
                <w:sz w:val="23"/>
                <w:szCs w:val="23"/>
                <w:lang w:val="en-US" w:eastAsia="pt-BR"/>
              </w:rPr>
              <w:t xml:space="preserve"> </w:t>
            </w:r>
            <w:proofErr w:type="spellStart"/>
            <w:r>
              <w:rPr>
                <w:rFonts w:eastAsia="Calibri"/>
                <w:sz w:val="23"/>
                <w:szCs w:val="23"/>
                <w:lang w:val="en-US" w:eastAsia="pt-BR"/>
              </w:rPr>
              <w:t>Rua</w:t>
            </w:r>
            <w:proofErr w:type="spellEnd"/>
            <w:r>
              <w:rPr>
                <w:rFonts w:eastAsia="Calibri"/>
                <w:sz w:val="23"/>
                <w:szCs w:val="23"/>
                <w:lang w:val="en-US" w:eastAsia="pt-BR"/>
              </w:rPr>
              <w:t xml:space="preserve"> </w:t>
            </w:r>
            <w:proofErr w:type="spellStart"/>
            <w:r>
              <w:rPr>
                <w:rFonts w:eastAsia="Calibri"/>
                <w:sz w:val="23"/>
                <w:szCs w:val="23"/>
                <w:lang w:val="en-US" w:eastAsia="pt-BR"/>
              </w:rPr>
              <w:t>Paquetá</w:t>
            </w:r>
            <w:proofErr w:type="spellEnd"/>
          </w:p>
        </w:tc>
        <w:tc>
          <w:tcPr>
            <w:tcW w:w="3120" w:type="dxa"/>
          </w:tcPr>
          <w:p w:rsidR="00BF6853" w:rsidRDefault="0098550E">
            <w:pPr>
              <w:pStyle w:val="NormalWeb"/>
              <w:spacing w:before="40" w:after="0" w:line="276" w:lineRule="auto"/>
              <w:jc w:val="both"/>
              <w:rPr>
                <w:rFonts w:eastAsia="Calibri"/>
                <w:sz w:val="23"/>
                <w:szCs w:val="23"/>
                <w:lang w:val="en-US" w:eastAsia="pt-BR"/>
              </w:rPr>
            </w:pPr>
            <w:proofErr w:type="spellStart"/>
            <w:r>
              <w:rPr>
                <w:rFonts w:eastAsia="Calibri"/>
                <w:sz w:val="23"/>
                <w:szCs w:val="23"/>
                <w:lang w:val="en-US" w:eastAsia="pt-BR"/>
              </w:rPr>
              <w:t>Rua</w:t>
            </w:r>
            <w:proofErr w:type="spellEnd"/>
            <w:r>
              <w:rPr>
                <w:rFonts w:eastAsia="Calibri"/>
                <w:sz w:val="23"/>
                <w:szCs w:val="23"/>
                <w:lang w:val="en-US" w:eastAsia="pt-BR"/>
              </w:rPr>
              <w:t xml:space="preserve"> 20 de </w:t>
            </w:r>
            <w:proofErr w:type="spellStart"/>
            <w:r>
              <w:rPr>
                <w:rFonts w:eastAsia="Calibri"/>
                <w:sz w:val="23"/>
                <w:szCs w:val="23"/>
                <w:lang w:val="en-US" w:eastAsia="pt-BR"/>
              </w:rPr>
              <w:t>Setembro</w:t>
            </w:r>
            <w:proofErr w:type="spellEnd"/>
            <w:r>
              <w:rPr>
                <w:rFonts w:eastAsia="Calibri"/>
                <w:sz w:val="23"/>
                <w:szCs w:val="23"/>
                <w:lang w:val="en-US" w:eastAsia="pt-BR"/>
              </w:rPr>
              <w:t>, Nº 1446</w:t>
            </w:r>
          </w:p>
        </w:tc>
        <w:tc>
          <w:tcPr>
            <w:tcW w:w="136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61</w:t>
            </w:r>
          </w:p>
        </w:tc>
        <w:tc>
          <w:tcPr>
            <w:tcW w:w="12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16</w:t>
            </w:r>
          </w:p>
        </w:tc>
      </w:tr>
      <w:tr w:rsidR="00BF6853">
        <w:tc>
          <w:tcPr>
            <w:tcW w:w="130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03</w:t>
            </w:r>
          </w:p>
        </w:tc>
        <w:tc>
          <w:tcPr>
            <w:tcW w:w="2235" w:type="dxa"/>
          </w:tcPr>
          <w:p w:rsidR="00BF6853" w:rsidRDefault="0098550E">
            <w:pPr>
              <w:pStyle w:val="NormalWeb"/>
              <w:spacing w:before="40" w:after="0" w:line="276" w:lineRule="auto"/>
              <w:jc w:val="both"/>
              <w:rPr>
                <w:rFonts w:eastAsia="Calibri"/>
                <w:sz w:val="23"/>
                <w:szCs w:val="23"/>
                <w:lang w:val="en-US" w:eastAsia="pt-BR"/>
              </w:rPr>
            </w:pPr>
            <w:proofErr w:type="spellStart"/>
            <w:r>
              <w:rPr>
                <w:rFonts w:eastAsia="Calibri"/>
                <w:sz w:val="23"/>
                <w:szCs w:val="23"/>
                <w:lang w:val="en-US" w:eastAsia="pt-BR"/>
              </w:rPr>
              <w:t>Gaúcho</w:t>
            </w:r>
            <w:proofErr w:type="spellEnd"/>
          </w:p>
        </w:tc>
        <w:tc>
          <w:tcPr>
            <w:tcW w:w="312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Rua Albino Schneider, Nº 967</w:t>
            </w:r>
          </w:p>
        </w:tc>
        <w:tc>
          <w:tcPr>
            <w:tcW w:w="136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38</w:t>
            </w:r>
          </w:p>
        </w:tc>
        <w:tc>
          <w:tcPr>
            <w:tcW w:w="12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2</w:t>
            </w:r>
          </w:p>
        </w:tc>
      </w:tr>
      <w:tr w:rsidR="00BF6853">
        <w:tc>
          <w:tcPr>
            <w:tcW w:w="130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04</w:t>
            </w:r>
          </w:p>
        </w:tc>
        <w:tc>
          <w:tcPr>
            <w:tcW w:w="223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Rota do Sol</w:t>
            </w:r>
          </w:p>
        </w:tc>
        <w:tc>
          <w:tcPr>
            <w:tcW w:w="3120" w:type="dxa"/>
          </w:tcPr>
          <w:p w:rsidR="00BF6853" w:rsidRDefault="0098550E">
            <w:pPr>
              <w:pStyle w:val="NormalWeb"/>
              <w:spacing w:before="40" w:after="0" w:line="276" w:lineRule="auto"/>
              <w:jc w:val="both"/>
              <w:rPr>
                <w:rFonts w:eastAsia="Calibri"/>
                <w:sz w:val="23"/>
                <w:szCs w:val="23"/>
                <w:lang w:val="en-US" w:eastAsia="pt-BR"/>
              </w:rPr>
            </w:pPr>
            <w:proofErr w:type="spellStart"/>
            <w:r>
              <w:rPr>
                <w:rFonts w:eastAsia="Calibri"/>
                <w:sz w:val="23"/>
                <w:szCs w:val="23"/>
                <w:lang w:val="en-US" w:eastAsia="pt-BR"/>
              </w:rPr>
              <w:t>Rodovia</w:t>
            </w:r>
            <w:proofErr w:type="spellEnd"/>
            <w:r>
              <w:rPr>
                <w:rFonts w:eastAsia="Calibri"/>
                <w:sz w:val="23"/>
                <w:szCs w:val="23"/>
                <w:lang w:val="en-US" w:eastAsia="pt-BR"/>
              </w:rPr>
              <w:t xml:space="preserve"> 453 - Rota do Sol</w:t>
            </w:r>
          </w:p>
        </w:tc>
        <w:tc>
          <w:tcPr>
            <w:tcW w:w="136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66</w:t>
            </w:r>
          </w:p>
        </w:tc>
        <w:tc>
          <w:tcPr>
            <w:tcW w:w="12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9</w:t>
            </w:r>
          </w:p>
        </w:tc>
      </w:tr>
      <w:tr w:rsidR="00BF6853">
        <w:tc>
          <w:tcPr>
            <w:tcW w:w="130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05</w:t>
            </w:r>
          </w:p>
        </w:tc>
        <w:tc>
          <w:tcPr>
            <w:tcW w:w="223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Rota do Sol - Novo</w:t>
            </w:r>
          </w:p>
        </w:tc>
        <w:tc>
          <w:tcPr>
            <w:tcW w:w="3120" w:type="dxa"/>
          </w:tcPr>
          <w:p w:rsidR="00BF6853" w:rsidRDefault="0098550E">
            <w:pPr>
              <w:pStyle w:val="NormalWeb"/>
              <w:spacing w:before="40" w:after="0" w:line="276" w:lineRule="auto"/>
              <w:jc w:val="both"/>
              <w:rPr>
                <w:rFonts w:eastAsia="Calibri"/>
                <w:sz w:val="23"/>
                <w:szCs w:val="23"/>
                <w:lang w:eastAsia="pt-BR"/>
              </w:rPr>
            </w:pPr>
            <w:proofErr w:type="spellStart"/>
            <w:r>
              <w:rPr>
                <w:rFonts w:eastAsia="Calibri"/>
                <w:sz w:val="23"/>
                <w:szCs w:val="23"/>
                <w:lang w:val="en-US" w:eastAsia="pt-BR"/>
              </w:rPr>
              <w:t>Rodovia</w:t>
            </w:r>
            <w:proofErr w:type="spellEnd"/>
            <w:r>
              <w:rPr>
                <w:rFonts w:eastAsia="Calibri"/>
                <w:sz w:val="23"/>
                <w:szCs w:val="23"/>
                <w:lang w:val="en-US" w:eastAsia="pt-BR"/>
              </w:rPr>
              <w:t xml:space="preserve"> 453 - Rota do Sol</w:t>
            </w:r>
          </w:p>
        </w:tc>
        <w:tc>
          <w:tcPr>
            <w:tcW w:w="1365" w:type="dxa"/>
          </w:tcPr>
          <w:p w:rsidR="00BF6853" w:rsidRDefault="00BF6853">
            <w:pPr>
              <w:pStyle w:val="NormalWeb"/>
              <w:spacing w:before="40" w:after="0" w:line="276" w:lineRule="auto"/>
              <w:jc w:val="both"/>
              <w:rPr>
                <w:rFonts w:eastAsia="Calibri"/>
                <w:sz w:val="23"/>
                <w:szCs w:val="23"/>
                <w:lang w:eastAsia="pt-BR"/>
              </w:rPr>
            </w:pPr>
          </w:p>
        </w:tc>
        <w:tc>
          <w:tcPr>
            <w:tcW w:w="1230" w:type="dxa"/>
          </w:tcPr>
          <w:p w:rsidR="00BF6853" w:rsidRDefault="00BF6853">
            <w:pPr>
              <w:pStyle w:val="NormalWeb"/>
              <w:spacing w:before="40" w:after="0" w:line="276" w:lineRule="auto"/>
              <w:jc w:val="both"/>
              <w:rPr>
                <w:rFonts w:eastAsia="Calibri"/>
                <w:sz w:val="23"/>
                <w:szCs w:val="23"/>
                <w:lang w:eastAsia="pt-BR"/>
              </w:rPr>
            </w:pPr>
          </w:p>
        </w:tc>
      </w:tr>
    </w:tbl>
    <w:p w:rsidR="00BF6853" w:rsidRDefault="00BF6853">
      <w:pPr>
        <w:pStyle w:val="NormalWeb"/>
        <w:spacing w:before="40" w:after="0" w:line="276" w:lineRule="auto"/>
        <w:ind w:firstLine="720"/>
        <w:jc w:val="both"/>
        <w:rPr>
          <w:rFonts w:eastAsia="Calibri"/>
          <w:sz w:val="23"/>
          <w:szCs w:val="23"/>
          <w:lang w:eastAsia="pt-BR"/>
        </w:rPr>
      </w:pPr>
    </w:p>
    <w:tbl>
      <w:tblPr>
        <w:tblStyle w:val="Tabelacomgrade"/>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5"/>
        <w:gridCol w:w="3149"/>
        <w:gridCol w:w="3030"/>
      </w:tblGrid>
      <w:tr w:rsidR="00BF6853" w:rsidTr="003D034A">
        <w:tc>
          <w:tcPr>
            <w:tcW w:w="3035" w:type="dxa"/>
            <w:shd w:val="clear" w:color="auto" w:fill="D8D8D8" w:themeFill="background1" w:themeFillShade="D8"/>
          </w:tcPr>
          <w:p w:rsidR="00BF6853" w:rsidRDefault="0098550E">
            <w:pPr>
              <w:pStyle w:val="NormalWeb"/>
              <w:spacing w:before="40" w:after="0" w:line="276" w:lineRule="auto"/>
              <w:jc w:val="center"/>
              <w:rPr>
                <w:rFonts w:eastAsia="Calibri"/>
                <w:b/>
                <w:bCs/>
                <w:sz w:val="23"/>
                <w:szCs w:val="23"/>
                <w:lang w:val="en-US" w:eastAsia="pt-BR"/>
              </w:rPr>
            </w:pPr>
            <w:r>
              <w:rPr>
                <w:rFonts w:eastAsia="Calibri"/>
                <w:b/>
                <w:bCs/>
                <w:sz w:val="23"/>
                <w:szCs w:val="23"/>
                <w:lang w:val="en-US" w:eastAsia="pt-BR"/>
              </w:rPr>
              <w:t>LOCALIZAÇÃO</w:t>
            </w:r>
          </w:p>
        </w:tc>
        <w:tc>
          <w:tcPr>
            <w:tcW w:w="3149" w:type="dxa"/>
            <w:shd w:val="clear" w:color="auto" w:fill="D8D8D8" w:themeFill="background1" w:themeFillShade="D8"/>
          </w:tcPr>
          <w:p w:rsidR="00BF6853" w:rsidRDefault="0098550E">
            <w:pPr>
              <w:pStyle w:val="NormalWeb"/>
              <w:spacing w:before="40" w:after="0" w:line="276" w:lineRule="auto"/>
              <w:jc w:val="center"/>
              <w:rPr>
                <w:rFonts w:eastAsia="Calibri"/>
                <w:b/>
                <w:bCs/>
                <w:sz w:val="23"/>
                <w:szCs w:val="23"/>
                <w:lang w:val="en-US" w:eastAsia="pt-BR"/>
              </w:rPr>
            </w:pPr>
            <w:r>
              <w:rPr>
                <w:rFonts w:eastAsia="Calibri"/>
                <w:b/>
                <w:bCs/>
                <w:sz w:val="23"/>
                <w:szCs w:val="23"/>
                <w:lang w:val="en-US" w:eastAsia="pt-BR"/>
              </w:rPr>
              <w:t>TIPO DE ESTRUTURA</w:t>
            </w:r>
          </w:p>
        </w:tc>
        <w:tc>
          <w:tcPr>
            <w:tcW w:w="3030" w:type="dxa"/>
            <w:shd w:val="clear" w:color="auto" w:fill="D8D8D8" w:themeFill="background1" w:themeFillShade="D8"/>
          </w:tcPr>
          <w:p w:rsidR="00BF6853" w:rsidRDefault="0098550E">
            <w:pPr>
              <w:pStyle w:val="NormalWeb"/>
              <w:spacing w:before="40" w:after="0" w:line="276" w:lineRule="auto"/>
              <w:jc w:val="center"/>
              <w:rPr>
                <w:rFonts w:eastAsia="Calibri"/>
                <w:b/>
                <w:bCs/>
                <w:sz w:val="23"/>
                <w:szCs w:val="23"/>
                <w:lang w:val="en-US" w:eastAsia="pt-BR"/>
              </w:rPr>
            </w:pPr>
            <w:r>
              <w:rPr>
                <w:rFonts w:eastAsia="Calibri"/>
                <w:b/>
                <w:bCs/>
                <w:sz w:val="23"/>
                <w:szCs w:val="23"/>
                <w:lang w:val="en-US" w:eastAsia="pt-BR"/>
              </w:rPr>
              <w:t>CAPACIDADE MÁXIMA</w:t>
            </w:r>
          </w:p>
        </w:tc>
      </w:tr>
      <w:tr w:rsidR="00BF6853" w:rsidTr="003D034A">
        <w:tc>
          <w:tcPr>
            <w:tcW w:w="303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Teutônia</w:t>
            </w:r>
          </w:p>
        </w:tc>
        <w:tc>
          <w:tcPr>
            <w:tcW w:w="3149" w:type="dxa"/>
          </w:tcPr>
          <w:p w:rsidR="00BF6853" w:rsidRDefault="0098550E">
            <w:pPr>
              <w:pStyle w:val="NormalWeb"/>
              <w:spacing w:before="40" w:after="0" w:line="276" w:lineRule="auto"/>
              <w:jc w:val="both"/>
              <w:rPr>
                <w:rFonts w:eastAsia="Calibri"/>
                <w:sz w:val="23"/>
                <w:szCs w:val="23"/>
                <w:lang w:val="en-US" w:eastAsia="pt-BR"/>
              </w:rPr>
            </w:pPr>
            <w:proofErr w:type="spellStart"/>
            <w:r>
              <w:rPr>
                <w:rFonts w:eastAsia="Calibri"/>
                <w:sz w:val="23"/>
                <w:szCs w:val="23"/>
                <w:lang w:val="en-US" w:eastAsia="pt-BR"/>
              </w:rPr>
              <w:t>Alvenaria</w:t>
            </w:r>
            <w:proofErr w:type="spellEnd"/>
          </w:p>
        </w:tc>
        <w:tc>
          <w:tcPr>
            <w:tcW w:w="30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100m³</w:t>
            </w:r>
          </w:p>
        </w:tc>
      </w:tr>
      <w:tr w:rsidR="00BF6853" w:rsidTr="003D034A">
        <w:tc>
          <w:tcPr>
            <w:tcW w:w="303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lastRenderedPageBreak/>
              <w:t>Teutônia</w:t>
            </w:r>
          </w:p>
        </w:tc>
        <w:tc>
          <w:tcPr>
            <w:tcW w:w="3149" w:type="dxa"/>
          </w:tcPr>
          <w:p w:rsidR="00BF6853" w:rsidRDefault="0098550E">
            <w:pPr>
              <w:pStyle w:val="NormalWeb"/>
              <w:spacing w:before="40" w:after="0" w:line="276" w:lineRule="auto"/>
              <w:jc w:val="both"/>
              <w:rPr>
                <w:rFonts w:eastAsia="Calibri"/>
                <w:sz w:val="23"/>
                <w:szCs w:val="23"/>
                <w:lang w:val="en-US" w:eastAsia="pt-BR"/>
              </w:rPr>
            </w:pPr>
            <w:proofErr w:type="spellStart"/>
            <w:r>
              <w:rPr>
                <w:rFonts w:eastAsia="Calibri"/>
                <w:sz w:val="23"/>
                <w:szCs w:val="23"/>
                <w:lang w:val="en-US" w:eastAsia="pt-BR"/>
              </w:rPr>
              <w:t>Alvenaria</w:t>
            </w:r>
            <w:proofErr w:type="spellEnd"/>
          </w:p>
        </w:tc>
        <w:tc>
          <w:tcPr>
            <w:tcW w:w="30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240m³</w:t>
            </w:r>
          </w:p>
        </w:tc>
      </w:tr>
      <w:tr w:rsidR="00BF6853" w:rsidTr="003D034A">
        <w:tc>
          <w:tcPr>
            <w:tcW w:w="3035"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Teutônia (novo)</w:t>
            </w:r>
          </w:p>
        </w:tc>
        <w:tc>
          <w:tcPr>
            <w:tcW w:w="3149"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Inox</w:t>
            </w:r>
          </w:p>
        </w:tc>
        <w:tc>
          <w:tcPr>
            <w:tcW w:w="3030" w:type="dxa"/>
          </w:tcPr>
          <w:p w:rsidR="00BF6853" w:rsidRDefault="0098550E">
            <w:pPr>
              <w:pStyle w:val="NormalWeb"/>
              <w:spacing w:before="40" w:after="0" w:line="276" w:lineRule="auto"/>
              <w:jc w:val="both"/>
              <w:rPr>
                <w:rFonts w:eastAsia="Calibri"/>
                <w:sz w:val="23"/>
                <w:szCs w:val="23"/>
                <w:lang w:val="en-US" w:eastAsia="pt-BR"/>
              </w:rPr>
            </w:pPr>
            <w:r>
              <w:rPr>
                <w:rFonts w:eastAsia="Calibri"/>
                <w:sz w:val="23"/>
                <w:szCs w:val="23"/>
                <w:lang w:val="en-US" w:eastAsia="pt-BR"/>
              </w:rPr>
              <w:t>170m³</w:t>
            </w:r>
          </w:p>
        </w:tc>
      </w:tr>
    </w:tbl>
    <w:p w:rsidR="003D034A" w:rsidRDefault="003D034A" w:rsidP="003D034A">
      <w:pPr>
        <w:pStyle w:val="NormalWeb"/>
        <w:spacing w:before="40" w:after="0" w:line="276" w:lineRule="auto"/>
        <w:jc w:val="both"/>
        <w:rPr>
          <w:rFonts w:eastAsia="Calibri"/>
          <w:b/>
          <w:lang w:eastAsia="pt-BR"/>
        </w:rPr>
      </w:pPr>
    </w:p>
    <w:p w:rsidR="003D034A" w:rsidRDefault="003D034A" w:rsidP="003D034A">
      <w:pPr>
        <w:pStyle w:val="NormalWeb"/>
        <w:spacing w:before="40" w:after="0" w:line="276" w:lineRule="auto"/>
        <w:jc w:val="both"/>
        <w:rPr>
          <w:rFonts w:eastAsia="Calibri"/>
          <w:sz w:val="23"/>
          <w:szCs w:val="23"/>
          <w:lang w:eastAsia="pt-BR"/>
        </w:rPr>
      </w:pPr>
      <w:r w:rsidRPr="003D034A">
        <w:rPr>
          <w:rFonts w:eastAsia="Calibri"/>
          <w:b/>
          <w:lang w:eastAsia="pt-BR"/>
        </w:rPr>
        <w:t>2.1.2.</w:t>
      </w:r>
      <w:r>
        <w:rPr>
          <w:rFonts w:eastAsia="Calibri"/>
          <w:lang w:eastAsia="pt-BR"/>
        </w:rPr>
        <w:t xml:space="preserve"> O Sistema de Abastecimento de Água do Bairro Canabarro é composto por 24 (vinte e quatro) poços artesianos e 18 (dezoito) reservatórios de água, conforme tabela abaixo:</w:t>
      </w:r>
    </w:p>
    <w:tbl>
      <w:tblPr>
        <w:tblW w:w="9214" w:type="dxa"/>
        <w:tblInd w:w="70" w:type="dxa"/>
        <w:tblLayout w:type="fixed"/>
        <w:tblCellMar>
          <w:left w:w="70" w:type="dxa"/>
          <w:right w:w="70" w:type="dxa"/>
        </w:tblCellMar>
        <w:tblLook w:val="04A0"/>
      </w:tblPr>
      <w:tblGrid>
        <w:gridCol w:w="1221"/>
        <w:gridCol w:w="2172"/>
        <w:gridCol w:w="3198"/>
        <w:gridCol w:w="1170"/>
        <w:gridCol w:w="1453"/>
      </w:tblGrid>
      <w:tr w:rsidR="003D034A" w:rsidRPr="003B3CA5" w:rsidTr="003D034A">
        <w:trPr>
          <w:trHeight w:val="362"/>
        </w:trPr>
        <w:tc>
          <w:tcPr>
            <w:tcW w:w="1221" w:type="dxa"/>
            <w:tcBorders>
              <w:top w:val="single" w:sz="4" w:space="0" w:color="auto"/>
              <w:left w:val="single" w:sz="4" w:space="0" w:color="auto"/>
              <w:bottom w:val="single" w:sz="4" w:space="0" w:color="auto"/>
              <w:right w:val="single" w:sz="4" w:space="0" w:color="auto"/>
            </w:tcBorders>
            <w:shd w:val="clear" w:color="DDDDDD" w:fill="E7E6E6" w:themeFill="background2"/>
            <w:noWrap/>
            <w:vAlign w:val="center"/>
          </w:tcPr>
          <w:p w:rsidR="003D034A" w:rsidRPr="003B3CA5" w:rsidRDefault="003D034A" w:rsidP="003D034A">
            <w:pPr>
              <w:spacing w:after="0" w:line="312" w:lineRule="auto"/>
              <w:jc w:val="center"/>
              <w:rPr>
                <w:rFonts w:ascii="Times New Roman" w:hAnsi="Times New Roman" w:cs="Times New Roman"/>
                <w:b/>
                <w:bCs/>
                <w:color w:val="000000"/>
              </w:rPr>
            </w:pPr>
            <w:r w:rsidRPr="003B3CA5">
              <w:rPr>
                <w:rFonts w:ascii="Times New Roman" w:hAnsi="Times New Roman" w:cs="Times New Roman"/>
                <w:b/>
                <w:bCs/>
                <w:color w:val="000000"/>
              </w:rPr>
              <w:t>Nº POÇO</w:t>
            </w:r>
          </w:p>
        </w:tc>
        <w:tc>
          <w:tcPr>
            <w:tcW w:w="2172" w:type="dxa"/>
            <w:tcBorders>
              <w:top w:val="single" w:sz="4" w:space="0" w:color="auto"/>
              <w:left w:val="nil"/>
              <w:bottom w:val="single" w:sz="4" w:space="0" w:color="auto"/>
              <w:right w:val="single" w:sz="4" w:space="0" w:color="auto"/>
            </w:tcBorders>
            <w:shd w:val="clear" w:color="DDDDDD" w:fill="E7E6E6" w:themeFill="background2"/>
            <w:noWrap/>
            <w:vAlign w:val="center"/>
          </w:tcPr>
          <w:p w:rsidR="003D034A" w:rsidRPr="003B3CA5" w:rsidRDefault="003D034A" w:rsidP="003D034A">
            <w:pPr>
              <w:spacing w:after="0" w:line="312" w:lineRule="auto"/>
              <w:jc w:val="center"/>
              <w:rPr>
                <w:rFonts w:ascii="Times New Roman" w:hAnsi="Times New Roman" w:cs="Times New Roman"/>
                <w:b/>
                <w:bCs/>
                <w:color w:val="000000"/>
              </w:rPr>
            </w:pPr>
            <w:r w:rsidRPr="003B3CA5">
              <w:rPr>
                <w:rFonts w:ascii="Times New Roman" w:hAnsi="Times New Roman" w:cs="Times New Roman"/>
                <w:b/>
                <w:bCs/>
                <w:color w:val="000000"/>
              </w:rPr>
              <w:t>IDENTIFICAÇÃO</w:t>
            </w:r>
          </w:p>
        </w:tc>
        <w:tc>
          <w:tcPr>
            <w:tcW w:w="3198" w:type="dxa"/>
            <w:tcBorders>
              <w:top w:val="single" w:sz="4" w:space="0" w:color="auto"/>
              <w:left w:val="nil"/>
              <w:bottom w:val="single" w:sz="4" w:space="0" w:color="auto"/>
              <w:right w:val="single" w:sz="4" w:space="0" w:color="auto"/>
            </w:tcBorders>
            <w:shd w:val="clear" w:color="DDDDDD" w:fill="E7E6E6" w:themeFill="background2"/>
            <w:noWrap/>
            <w:vAlign w:val="center"/>
          </w:tcPr>
          <w:p w:rsidR="003D034A" w:rsidRPr="003B3CA5" w:rsidRDefault="003D034A" w:rsidP="003D034A">
            <w:pPr>
              <w:spacing w:after="0" w:line="312" w:lineRule="auto"/>
              <w:jc w:val="center"/>
              <w:rPr>
                <w:rFonts w:ascii="Times New Roman" w:hAnsi="Times New Roman" w:cs="Times New Roman"/>
                <w:b/>
                <w:bCs/>
                <w:color w:val="000000"/>
              </w:rPr>
            </w:pPr>
            <w:r w:rsidRPr="003B3CA5">
              <w:rPr>
                <w:rFonts w:ascii="Times New Roman" w:hAnsi="Times New Roman" w:cs="Times New Roman"/>
                <w:b/>
                <w:bCs/>
                <w:color w:val="000000"/>
              </w:rPr>
              <w:t>LOCALIZAÇÃO</w:t>
            </w:r>
          </w:p>
        </w:tc>
        <w:tc>
          <w:tcPr>
            <w:tcW w:w="1170" w:type="dxa"/>
            <w:tcBorders>
              <w:top w:val="single" w:sz="4" w:space="0" w:color="auto"/>
              <w:left w:val="nil"/>
              <w:bottom w:val="single" w:sz="4" w:space="0" w:color="auto"/>
              <w:right w:val="single" w:sz="4" w:space="0" w:color="auto"/>
            </w:tcBorders>
            <w:shd w:val="clear" w:color="DDDDDD" w:fill="E7E6E6" w:themeFill="background2"/>
            <w:noWrap/>
            <w:vAlign w:val="center"/>
          </w:tcPr>
          <w:p w:rsidR="003D034A" w:rsidRPr="003B3CA5" w:rsidRDefault="003D034A" w:rsidP="003D034A">
            <w:pPr>
              <w:spacing w:after="0" w:line="312" w:lineRule="auto"/>
              <w:jc w:val="center"/>
              <w:rPr>
                <w:rFonts w:ascii="Times New Roman" w:hAnsi="Times New Roman" w:cs="Times New Roman"/>
                <w:b/>
                <w:bCs/>
                <w:color w:val="000000"/>
              </w:rPr>
            </w:pPr>
            <w:r w:rsidRPr="003B3CA5">
              <w:rPr>
                <w:rFonts w:ascii="Times New Roman" w:hAnsi="Times New Roman" w:cs="Times New Roman"/>
                <w:b/>
                <w:bCs/>
                <w:color w:val="000000"/>
              </w:rPr>
              <w:t>QUADRA</w:t>
            </w:r>
          </w:p>
        </w:tc>
        <w:tc>
          <w:tcPr>
            <w:tcW w:w="1453" w:type="dxa"/>
            <w:tcBorders>
              <w:top w:val="single" w:sz="4" w:space="0" w:color="auto"/>
              <w:left w:val="nil"/>
              <w:bottom w:val="single" w:sz="4" w:space="0" w:color="auto"/>
              <w:right w:val="single" w:sz="4" w:space="0" w:color="auto"/>
            </w:tcBorders>
            <w:shd w:val="clear" w:color="DDDDDD" w:fill="E7E6E6" w:themeFill="background2"/>
            <w:noWrap/>
            <w:vAlign w:val="center"/>
          </w:tcPr>
          <w:p w:rsidR="003D034A" w:rsidRPr="003B3CA5" w:rsidRDefault="003D034A" w:rsidP="003D034A">
            <w:pPr>
              <w:spacing w:after="0" w:line="312" w:lineRule="auto"/>
              <w:jc w:val="center"/>
              <w:rPr>
                <w:rFonts w:ascii="Times New Roman" w:hAnsi="Times New Roman" w:cs="Times New Roman"/>
                <w:b/>
                <w:bCs/>
                <w:color w:val="000000"/>
              </w:rPr>
            </w:pPr>
            <w:r w:rsidRPr="003B3CA5">
              <w:rPr>
                <w:rFonts w:ascii="Times New Roman" w:hAnsi="Times New Roman" w:cs="Times New Roman"/>
                <w:b/>
                <w:bCs/>
                <w:color w:val="000000"/>
              </w:rPr>
              <w:t>LOTE</w:t>
            </w:r>
          </w:p>
        </w:tc>
      </w:tr>
      <w:tr w:rsidR="003D034A" w:rsidRPr="003B3CA5" w:rsidTr="003D034A">
        <w:trPr>
          <w:trHeight w:val="9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01</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Pelé</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Dom Pedro II, 2333</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26</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10</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02</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Cuia</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Dom Pedro II, 1778</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222</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03</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Super </w:t>
            </w:r>
            <w:proofErr w:type="spellStart"/>
            <w:r w:rsidRPr="003B3CA5">
              <w:rPr>
                <w:rFonts w:ascii="Times New Roman" w:hAnsi="Times New Roman" w:cs="Times New Roman"/>
                <w:color w:val="000000"/>
              </w:rPr>
              <w:t>Languiru</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7 de Setembro, 746</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176</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12</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04</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Super </w:t>
            </w:r>
            <w:proofErr w:type="spellStart"/>
            <w:r w:rsidRPr="003B3CA5">
              <w:rPr>
                <w:rFonts w:ascii="Times New Roman" w:hAnsi="Times New Roman" w:cs="Times New Roman"/>
                <w:color w:val="000000"/>
              </w:rPr>
              <w:t>Languiru</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7 de Setembro, 747</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176</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12</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05</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proofErr w:type="spellStart"/>
            <w:r w:rsidRPr="003B3CA5">
              <w:rPr>
                <w:rFonts w:ascii="Times New Roman" w:hAnsi="Times New Roman" w:cs="Times New Roman"/>
                <w:color w:val="000000"/>
              </w:rPr>
              <w:t>Xex</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Do Parque, 319</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99</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15</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06</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Do Beco</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Ernani Júlio </w:t>
            </w:r>
            <w:proofErr w:type="spellStart"/>
            <w:r w:rsidRPr="003B3CA5">
              <w:rPr>
                <w:rFonts w:ascii="Times New Roman" w:hAnsi="Times New Roman" w:cs="Times New Roman"/>
                <w:color w:val="000000"/>
              </w:rPr>
              <w:t>Sippel</w:t>
            </w:r>
            <w:proofErr w:type="spellEnd"/>
            <w:r w:rsidRPr="003B3CA5">
              <w:rPr>
                <w:rFonts w:ascii="Times New Roman" w:hAnsi="Times New Roman" w:cs="Times New Roman"/>
                <w:color w:val="000000"/>
              </w:rPr>
              <w:t>, 261</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116</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6</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07</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Urbano</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Edmundo Carlos </w:t>
            </w:r>
            <w:proofErr w:type="spellStart"/>
            <w:r w:rsidRPr="003B3CA5">
              <w:rPr>
                <w:rFonts w:ascii="Times New Roman" w:hAnsi="Times New Roman" w:cs="Times New Roman"/>
                <w:color w:val="000000"/>
              </w:rPr>
              <w:t>Berwig</w:t>
            </w:r>
            <w:proofErr w:type="spellEnd"/>
            <w:r w:rsidRPr="003B3CA5">
              <w:rPr>
                <w:rFonts w:ascii="Times New Roman" w:hAnsi="Times New Roman" w:cs="Times New Roman"/>
                <w:color w:val="000000"/>
              </w:rPr>
              <w:t>, 370</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186</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23</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08</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Loteamento 8</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w:t>
            </w:r>
            <w:proofErr w:type="spellStart"/>
            <w:r w:rsidRPr="003B3CA5">
              <w:rPr>
                <w:rFonts w:ascii="Times New Roman" w:hAnsi="Times New Roman" w:cs="Times New Roman"/>
                <w:color w:val="000000"/>
              </w:rPr>
              <w:t>Erni</w:t>
            </w:r>
            <w:proofErr w:type="spellEnd"/>
            <w:r w:rsidRPr="003B3CA5">
              <w:rPr>
                <w:rFonts w:ascii="Times New Roman" w:hAnsi="Times New Roman" w:cs="Times New Roman"/>
                <w:color w:val="000000"/>
              </w:rPr>
              <w:t xml:space="preserve"> </w:t>
            </w:r>
            <w:proofErr w:type="spellStart"/>
            <w:r w:rsidRPr="003B3CA5">
              <w:rPr>
                <w:rFonts w:ascii="Times New Roman" w:hAnsi="Times New Roman" w:cs="Times New Roman"/>
                <w:color w:val="000000"/>
              </w:rPr>
              <w:t>Huckriede</w:t>
            </w:r>
            <w:proofErr w:type="spellEnd"/>
            <w:r w:rsidRPr="003B3CA5">
              <w:rPr>
                <w:rFonts w:ascii="Times New Roman" w:hAnsi="Times New Roman" w:cs="Times New Roman"/>
                <w:color w:val="000000"/>
              </w:rPr>
              <w:t>, 678</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167</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09</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Da Fazenda - Alencar</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Leopoldo </w:t>
            </w:r>
            <w:proofErr w:type="spellStart"/>
            <w:r w:rsidRPr="003B3CA5">
              <w:rPr>
                <w:rFonts w:ascii="Times New Roman" w:hAnsi="Times New Roman" w:cs="Times New Roman"/>
                <w:color w:val="000000"/>
              </w:rPr>
              <w:t>Tiggemann</w:t>
            </w:r>
            <w:proofErr w:type="spellEnd"/>
            <w:r w:rsidRPr="003B3CA5">
              <w:rPr>
                <w:rFonts w:ascii="Times New Roman" w:hAnsi="Times New Roman" w:cs="Times New Roman"/>
                <w:color w:val="000000"/>
              </w:rPr>
              <w:t>, 306</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231</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61</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10</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da Vila Popular</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Leopoldo Schneider, 190</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29</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25</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11</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Centro Administrativo</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Avenida 1 Oeste, 665</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108</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12</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proofErr w:type="spellStart"/>
            <w:r w:rsidRPr="003B3CA5">
              <w:rPr>
                <w:rFonts w:ascii="Times New Roman" w:hAnsi="Times New Roman" w:cs="Times New Roman"/>
                <w:color w:val="000000"/>
              </w:rPr>
              <w:t>Schefinha</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Guilherme Roloff, 242</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82</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63</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13</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proofErr w:type="spellStart"/>
            <w:r w:rsidRPr="003B3CA5">
              <w:rPr>
                <w:rFonts w:ascii="Times New Roman" w:hAnsi="Times New Roman" w:cs="Times New Roman"/>
                <w:color w:val="000000"/>
              </w:rPr>
              <w:t>Kicha</w:t>
            </w:r>
            <w:proofErr w:type="spellEnd"/>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Ernani Júlio </w:t>
            </w:r>
            <w:proofErr w:type="spellStart"/>
            <w:r w:rsidRPr="003B3CA5">
              <w:rPr>
                <w:rFonts w:ascii="Times New Roman" w:hAnsi="Times New Roman" w:cs="Times New Roman"/>
                <w:color w:val="000000"/>
              </w:rPr>
              <w:t>Sippel</w:t>
            </w:r>
            <w:proofErr w:type="spellEnd"/>
            <w:r w:rsidRPr="003B3CA5">
              <w:rPr>
                <w:rFonts w:ascii="Times New Roman" w:hAnsi="Times New Roman" w:cs="Times New Roman"/>
                <w:color w:val="000000"/>
              </w:rPr>
              <w:t>, 500</w:t>
            </w:r>
          </w:p>
        </w:tc>
        <w:tc>
          <w:tcPr>
            <w:tcW w:w="2623" w:type="dxa"/>
            <w:gridSpan w:val="2"/>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14</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Vila Esperança</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João Paulo II, 238</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289</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15</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15</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da Germana</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Duque De Caxias, 1375</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291</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31</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16</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Posses</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69, 740</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298</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29</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17</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Travessão</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20 De Maio, 1543</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299</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54</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18</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Darci Corrêa</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Guilherme </w:t>
            </w:r>
            <w:proofErr w:type="spellStart"/>
            <w:r w:rsidRPr="003B3CA5">
              <w:rPr>
                <w:rFonts w:ascii="Times New Roman" w:hAnsi="Times New Roman" w:cs="Times New Roman"/>
                <w:color w:val="000000"/>
              </w:rPr>
              <w:t>Trennepohl</w:t>
            </w:r>
            <w:proofErr w:type="spellEnd"/>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230</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6</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19</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Ribeiro</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194</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380</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1</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20</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L. Catarina Alta</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L. Catarina Alta</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r>
      <w:tr w:rsidR="003D034A" w:rsidRPr="003B3CA5" w:rsidTr="003D034A">
        <w:trPr>
          <w:trHeight w:val="300"/>
        </w:trPr>
        <w:tc>
          <w:tcPr>
            <w:tcW w:w="1221" w:type="dxa"/>
            <w:tcBorders>
              <w:top w:val="nil"/>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21</w:t>
            </w:r>
          </w:p>
        </w:tc>
        <w:tc>
          <w:tcPr>
            <w:tcW w:w="2172" w:type="dxa"/>
            <w:tcBorders>
              <w:top w:val="nil"/>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Coxilha Verde</w:t>
            </w:r>
          </w:p>
        </w:tc>
        <w:tc>
          <w:tcPr>
            <w:tcW w:w="3198"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Linha São Jacó</w:t>
            </w:r>
          </w:p>
        </w:tc>
        <w:tc>
          <w:tcPr>
            <w:tcW w:w="1170"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c>
          <w:tcPr>
            <w:tcW w:w="1453" w:type="dxa"/>
            <w:tcBorders>
              <w:top w:val="nil"/>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r>
      <w:tr w:rsidR="003D034A" w:rsidRPr="003B3CA5" w:rsidTr="003D034A">
        <w:trPr>
          <w:trHeight w:val="300"/>
        </w:trPr>
        <w:tc>
          <w:tcPr>
            <w:tcW w:w="1221" w:type="dxa"/>
            <w:tcBorders>
              <w:top w:val="single" w:sz="4" w:space="0" w:color="auto"/>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22</w:t>
            </w:r>
          </w:p>
        </w:tc>
        <w:tc>
          <w:tcPr>
            <w:tcW w:w="2172" w:type="dxa"/>
            <w:tcBorders>
              <w:top w:val="single" w:sz="4" w:space="0" w:color="auto"/>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Estrada Velha</w:t>
            </w:r>
          </w:p>
        </w:tc>
        <w:tc>
          <w:tcPr>
            <w:tcW w:w="3198"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R. Reinaldo A. Augustin</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c>
          <w:tcPr>
            <w:tcW w:w="1453"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w:t>
            </w:r>
          </w:p>
        </w:tc>
      </w:tr>
      <w:tr w:rsidR="003D034A" w:rsidRPr="003B3CA5" w:rsidTr="003D034A">
        <w:trPr>
          <w:trHeight w:val="300"/>
        </w:trPr>
        <w:tc>
          <w:tcPr>
            <w:tcW w:w="1221" w:type="dxa"/>
            <w:tcBorders>
              <w:top w:val="single" w:sz="4" w:space="0" w:color="auto"/>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23</w:t>
            </w:r>
          </w:p>
        </w:tc>
        <w:tc>
          <w:tcPr>
            <w:tcW w:w="2172" w:type="dxa"/>
            <w:tcBorders>
              <w:top w:val="single" w:sz="4" w:space="0" w:color="auto"/>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Novo </w:t>
            </w:r>
            <w:proofErr w:type="spellStart"/>
            <w:r w:rsidRPr="003B3CA5">
              <w:rPr>
                <w:rFonts w:ascii="Times New Roman" w:hAnsi="Times New Roman" w:cs="Times New Roman"/>
                <w:color w:val="000000"/>
              </w:rPr>
              <w:t>Lot</w:t>
            </w:r>
            <w:proofErr w:type="spellEnd"/>
            <w:r w:rsidRPr="003B3CA5">
              <w:rPr>
                <w:rFonts w:ascii="Times New Roman" w:hAnsi="Times New Roman" w:cs="Times New Roman"/>
                <w:color w:val="000000"/>
              </w:rPr>
              <w:t>. 8</w:t>
            </w:r>
          </w:p>
        </w:tc>
        <w:tc>
          <w:tcPr>
            <w:tcW w:w="3198"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Rubem </w:t>
            </w:r>
            <w:proofErr w:type="spellStart"/>
            <w:r w:rsidRPr="003B3CA5">
              <w:rPr>
                <w:rFonts w:ascii="Times New Roman" w:hAnsi="Times New Roman" w:cs="Times New Roman"/>
                <w:color w:val="000000"/>
              </w:rPr>
              <w:t>Lindemann</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w:t>
            </w:r>
          </w:p>
        </w:tc>
        <w:tc>
          <w:tcPr>
            <w:tcW w:w="1453"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w:t>
            </w:r>
          </w:p>
        </w:tc>
      </w:tr>
      <w:tr w:rsidR="003D034A" w:rsidRPr="003B3CA5" w:rsidTr="003D034A">
        <w:trPr>
          <w:trHeight w:val="300"/>
        </w:trPr>
        <w:tc>
          <w:tcPr>
            <w:tcW w:w="1221" w:type="dxa"/>
            <w:tcBorders>
              <w:top w:val="single" w:sz="4" w:space="0" w:color="auto"/>
              <w:left w:val="single" w:sz="4" w:space="0" w:color="auto"/>
              <w:bottom w:val="single" w:sz="4" w:space="0" w:color="auto"/>
              <w:right w:val="single" w:sz="4" w:space="0" w:color="auto"/>
            </w:tcBorders>
            <w:shd w:val="clear" w:color="DDDDDD"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24</w:t>
            </w:r>
          </w:p>
        </w:tc>
        <w:tc>
          <w:tcPr>
            <w:tcW w:w="2172" w:type="dxa"/>
            <w:tcBorders>
              <w:top w:val="single" w:sz="4" w:space="0" w:color="auto"/>
              <w:left w:val="nil"/>
              <w:bottom w:val="single" w:sz="4" w:space="0" w:color="auto"/>
              <w:right w:val="single" w:sz="4" w:space="0" w:color="auto"/>
            </w:tcBorders>
            <w:shd w:val="clear" w:color="000000" w:fill="FFFFFF"/>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Bruno </w:t>
            </w:r>
            <w:proofErr w:type="spellStart"/>
            <w:r w:rsidRPr="003B3CA5">
              <w:rPr>
                <w:rFonts w:ascii="Times New Roman" w:hAnsi="Times New Roman" w:cs="Times New Roman"/>
                <w:color w:val="000000"/>
              </w:rPr>
              <w:t>Driemeyer</w:t>
            </w:r>
            <w:proofErr w:type="spellEnd"/>
          </w:p>
        </w:tc>
        <w:tc>
          <w:tcPr>
            <w:tcW w:w="3198"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 xml:space="preserve">R. Bruno </w:t>
            </w:r>
            <w:proofErr w:type="spellStart"/>
            <w:r w:rsidRPr="003B3CA5">
              <w:rPr>
                <w:rFonts w:ascii="Times New Roman" w:hAnsi="Times New Roman" w:cs="Times New Roman"/>
                <w:color w:val="000000"/>
              </w:rPr>
              <w:t>Driemeyer</w:t>
            </w:r>
            <w:proofErr w:type="spellEnd"/>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w:t>
            </w:r>
          </w:p>
        </w:tc>
        <w:tc>
          <w:tcPr>
            <w:tcW w:w="1453" w:type="dxa"/>
            <w:tcBorders>
              <w:top w:val="single" w:sz="4" w:space="0" w:color="auto"/>
              <w:left w:val="nil"/>
              <w:bottom w:val="single" w:sz="4" w:space="0" w:color="auto"/>
              <w:right w:val="single" w:sz="4" w:space="0" w:color="auto"/>
            </w:tcBorders>
            <w:shd w:val="clear" w:color="auto" w:fill="auto"/>
            <w:noWrap/>
            <w:vAlign w:val="bottom"/>
          </w:tcPr>
          <w:p w:rsidR="003D034A" w:rsidRPr="003B3CA5" w:rsidRDefault="003D034A" w:rsidP="00864938">
            <w:pPr>
              <w:spacing w:beforeLines="30" w:after="6" w:line="312" w:lineRule="auto"/>
              <w:jc w:val="center"/>
              <w:rPr>
                <w:rFonts w:ascii="Times New Roman" w:hAnsi="Times New Roman" w:cs="Times New Roman"/>
                <w:color w:val="000000"/>
              </w:rPr>
            </w:pPr>
            <w:r w:rsidRPr="003B3CA5">
              <w:rPr>
                <w:rFonts w:ascii="Times New Roman" w:hAnsi="Times New Roman" w:cs="Times New Roman"/>
                <w:color w:val="000000"/>
              </w:rPr>
              <w:t>-</w:t>
            </w:r>
          </w:p>
        </w:tc>
      </w:tr>
    </w:tbl>
    <w:p w:rsidR="003D034A" w:rsidRDefault="003D034A">
      <w:pPr>
        <w:pStyle w:val="NormalWeb"/>
        <w:spacing w:before="40" w:after="0" w:line="276" w:lineRule="auto"/>
        <w:ind w:firstLine="720"/>
        <w:jc w:val="both"/>
        <w:rPr>
          <w:rFonts w:eastAsia="Calibri"/>
          <w:sz w:val="23"/>
          <w:szCs w:val="23"/>
          <w:lang w:eastAsia="pt-BR"/>
        </w:rPr>
      </w:pPr>
    </w:p>
    <w:p w:rsidR="003D034A" w:rsidRDefault="003D034A">
      <w:pPr>
        <w:pStyle w:val="NormalWeb"/>
        <w:spacing w:before="40" w:after="0" w:line="276" w:lineRule="auto"/>
        <w:ind w:firstLine="720"/>
        <w:jc w:val="both"/>
        <w:rPr>
          <w:rFonts w:eastAsia="Calibri"/>
          <w:sz w:val="23"/>
          <w:szCs w:val="23"/>
          <w:lang w:eastAsia="pt-BR"/>
        </w:rPr>
      </w:pPr>
    </w:p>
    <w:tbl>
      <w:tblPr>
        <w:tblW w:w="4926" w:type="pct"/>
        <w:tblInd w:w="70" w:type="dxa"/>
        <w:tblLayout w:type="fixed"/>
        <w:tblCellMar>
          <w:left w:w="70" w:type="dxa"/>
          <w:right w:w="70" w:type="dxa"/>
        </w:tblCellMar>
        <w:tblLook w:val="04A0"/>
      </w:tblPr>
      <w:tblGrid>
        <w:gridCol w:w="2119"/>
        <w:gridCol w:w="1900"/>
        <w:gridCol w:w="1790"/>
        <w:gridCol w:w="3406"/>
      </w:tblGrid>
      <w:tr w:rsidR="003D034A" w:rsidRPr="003B3CA5" w:rsidTr="003D034A">
        <w:trPr>
          <w:trHeight w:val="405"/>
        </w:trPr>
        <w:tc>
          <w:tcPr>
            <w:tcW w:w="1149"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rsidR="003D034A" w:rsidRPr="003B3CA5" w:rsidRDefault="003D034A" w:rsidP="00B2679A">
            <w:pPr>
              <w:spacing w:after="0" w:line="240" w:lineRule="auto"/>
              <w:jc w:val="center"/>
              <w:rPr>
                <w:rFonts w:ascii="Times New Roman" w:hAnsi="Times New Roman" w:cs="Times New Roman"/>
                <w:b/>
                <w:bCs/>
                <w:color w:val="000000"/>
              </w:rPr>
            </w:pPr>
            <w:r w:rsidRPr="003B3CA5">
              <w:rPr>
                <w:rFonts w:ascii="Times New Roman" w:hAnsi="Times New Roman" w:cs="Times New Roman"/>
                <w:b/>
                <w:bCs/>
                <w:color w:val="000000"/>
              </w:rPr>
              <w:lastRenderedPageBreak/>
              <w:t>RESERVATÓRIO</w:t>
            </w:r>
          </w:p>
        </w:tc>
        <w:tc>
          <w:tcPr>
            <w:tcW w:w="1031" w:type="pct"/>
            <w:tcBorders>
              <w:top w:val="single" w:sz="4" w:space="0" w:color="auto"/>
              <w:left w:val="nil"/>
              <w:bottom w:val="single" w:sz="4" w:space="0" w:color="auto"/>
              <w:right w:val="single" w:sz="4" w:space="0" w:color="auto"/>
            </w:tcBorders>
            <w:shd w:val="clear" w:color="auto" w:fill="E7E6E6" w:themeFill="background2"/>
            <w:noWrap/>
            <w:vAlign w:val="center"/>
          </w:tcPr>
          <w:p w:rsidR="003D034A" w:rsidRPr="003B3CA5" w:rsidRDefault="003D034A" w:rsidP="00B2679A">
            <w:pPr>
              <w:spacing w:after="0" w:line="240" w:lineRule="auto"/>
              <w:jc w:val="center"/>
              <w:rPr>
                <w:rFonts w:ascii="Times New Roman" w:hAnsi="Times New Roman" w:cs="Times New Roman"/>
                <w:b/>
                <w:bCs/>
                <w:color w:val="000000"/>
              </w:rPr>
            </w:pPr>
            <w:r w:rsidRPr="003B3CA5">
              <w:rPr>
                <w:rFonts w:ascii="Times New Roman" w:hAnsi="Times New Roman" w:cs="Times New Roman"/>
                <w:b/>
                <w:bCs/>
                <w:color w:val="000000"/>
              </w:rPr>
              <w:t>CAPACIDADE</w:t>
            </w:r>
          </w:p>
        </w:tc>
        <w:tc>
          <w:tcPr>
            <w:tcW w:w="971" w:type="pct"/>
            <w:tcBorders>
              <w:top w:val="single" w:sz="4" w:space="0" w:color="auto"/>
              <w:left w:val="nil"/>
              <w:bottom w:val="single" w:sz="4" w:space="0" w:color="auto"/>
              <w:right w:val="single" w:sz="4" w:space="0" w:color="auto"/>
            </w:tcBorders>
            <w:shd w:val="clear" w:color="auto" w:fill="E7E6E6" w:themeFill="background2"/>
            <w:noWrap/>
            <w:vAlign w:val="center"/>
          </w:tcPr>
          <w:p w:rsidR="003D034A" w:rsidRPr="003B3CA5" w:rsidRDefault="003D034A" w:rsidP="00B2679A">
            <w:pPr>
              <w:spacing w:after="0" w:line="240" w:lineRule="auto"/>
              <w:jc w:val="center"/>
              <w:rPr>
                <w:rFonts w:ascii="Times New Roman" w:hAnsi="Times New Roman" w:cs="Times New Roman"/>
                <w:b/>
                <w:bCs/>
                <w:color w:val="000000"/>
              </w:rPr>
            </w:pPr>
            <w:r w:rsidRPr="003B3CA5">
              <w:rPr>
                <w:rFonts w:ascii="Times New Roman" w:hAnsi="Times New Roman" w:cs="Times New Roman"/>
                <w:b/>
                <w:bCs/>
                <w:color w:val="000000"/>
              </w:rPr>
              <w:t>ESTRUTURA</w:t>
            </w:r>
          </w:p>
        </w:tc>
        <w:tc>
          <w:tcPr>
            <w:tcW w:w="1848" w:type="pct"/>
            <w:tcBorders>
              <w:top w:val="single" w:sz="4" w:space="0" w:color="auto"/>
              <w:left w:val="single" w:sz="4" w:space="0" w:color="auto"/>
              <w:bottom w:val="single" w:sz="4" w:space="0" w:color="auto"/>
              <w:right w:val="single" w:sz="4" w:space="0" w:color="auto"/>
            </w:tcBorders>
            <w:shd w:val="clear" w:color="auto" w:fill="E7E6E6" w:themeFill="background2"/>
            <w:noWrap/>
            <w:vAlign w:val="center"/>
          </w:tcPr>
          <w:p w:rsidR="003D034A" w:rsidRPr="003B3CA5" w:rsidRDefault="003D034A" w:rsidP="00B2679A">
            <w:pPr>
              <w:spacing w:after="0" w:line="240" w:lineRule="auto"/>
              <w:jc w:val="center"/>
              <w:rPr>
                <w:rFonts w:ascii="Times New Roman" w:hAnsi="Times New Roman" w:cs="Times New Roman"/>
                <w:b/>
                <w:bCs/>
                <w:color w:val="000000"/>
              </w:rPr>
            </w:pPr>
            <w:r w:rsidRPr="003B3CA5">
              <w:rPr>
                <w:rFonts w:ascii="Times New Roman" w:hAnsi="Times New Roman" w:cs="Times New Roman"/>
                <w:b/>
                <w:bCs/>
                <w:color w:val="000000"/>
              </w:rPr>
              <w:t>ENDEREÇO</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proofErr w:type="spellStart"/>
            <w:r w:rsidRPr="003B3CA5">
              <w:rPr>
                <w:rFonts w:ascii="Times New Roman" w:hAnsi="Times New Roman" w:cs="Times New Roman"/>
                <w:color w:val="000000"/>
              </w:rPr>
              <w:t>Languiru</w:t>
            </w:r>
            <w:proofErr w:type="spellEnd"/>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7 de Setembro</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proofErr w:type="spellStart"/>
            <w:r w:rsidRPr="003B3CA5">
              <w:rPr>
                <w:rFonts w:ascii="Times New Roman" w:hAnsi="Times New Roman" w:cs="Times New Roman"/>
                <w:color w:val="000000"/>
              </w:rPr>
              <w:t>Languiru</w:t>
            </w:r>
            <w:proofErr w:type="spellEnd"/>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7 de Setembro</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proofErr w:type="spellStart"/>
            <w:r w:rsidRPr="003B3CA5">
              <w:rPr>
                <w:rFonts w:ascii="Times New Roman" w:hAnsi="Times New Roman" w:cs="Times New Roman"/>
                <w:color w:val="000000"/>
              </w:rPr>
              <w:t>Languiru</w:t>
            </w:r>
            <w:proofErr w:type="spellEnd"/>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Concreto</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7 de Setembro</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Beco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Ernani Júlio </w:t>
            </w:r>
            <w:proofErr w:type="spellStart"/>
            <w:r w:rsidRPr="003B3CA5">
              <w:rPr>
                <w:rFonts w:ascii="Times New Roman" w:hAnsi="Times New Roman" w:cs="Times New Roman"/>
                <w:color w:val="000000"/>
              </w:rPr>
              <w:t>Sippel</w:t>
            </w:r>
            <w:proofErr w:type="spellEnd"/>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Oito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w:t>
            </w:r>
            <w:proofErr w:type="spellStart"/>
            <w:r w:rsidRPr="003B3CA5">
              <w:rPr>
                <w:rFonts w:ascii="Times New Roman" w:hAnsi="Times New Roman" w:cs="Times New Roman"/>
                <w:color w:val="000000"/>
              </w:rPr>
              <w:t>Erni</w:t>
            </w:r>
            <w:proofErr w:type="spellEnd"/>
            <w:r w:rsidRPr="003B3CA5">
              <w:rPr>
                <w:rFonts w:ascii="Times New Roman" w:hAnsi="Times New Roman" w:cs="Times New Roman"/>
                <w:color w:val="000000"/>
              </w:rPr>
              <w:t xml:space="preserve"> </w:t>
            </w:r>
            <w:proofErr w:type="spellStart"/>
            <w:r w:rsidRPr="003B3CA5">
              <w:rPr>
                <w:rFonts w:ascii="Times New Roman" w:hAnsi="Times New Roman" w:cs="Times New Roman"/>
                <w:color w:val="000000"/>
              </w:rPr>
              <w:t>Huckriede</w:t>
            </w:r>
            <w:proofErr w:type="spellEnd"/>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Oito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w:t>
            </w:r>
            <w:proofErr w:type="spellStart"/>
            <w:r w:rsidRPr="003B3CA5">
              <w:rPr>
                <w:rFonts w:ascii="Times New Roman" w:hAnsi="Times New Roman" w:cs="Times New Roman"/>
                <w:color w:val="000000"/>
              </w:rPr>
              <w:t>Erni</w:t>
            </w:r>
            <w:proofErr w:type="spellEnd"/>
            <w:r w:rsidRPr="003B3CA5">
              <w:rPr>
                <w:rFonts w:ascii="Times New Roman" w:hAnsi="Times New Roman" w:cs="Times New Roman"/>
                <w:color w:val="000000"/>
              </w:rPr>
              <w:t xml:space="preserve"> </w:t>
            </w:r>
            <w:proofErr w:type="spellStart"/>
            <w:r w:rsidRPr="003B3CA5">
              <w:rPr>
                <w:rFonts w:ascii="Times New Roman" w:hAnsi="Times New Roman" w:cs="Times New Roman"/>
                <w:color w:val="000000"/>
              </w:rPr>
              <w:t>Huckriede</w:t>
            </w:r>
            <w:proofErr w:type="spellEnd"/>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Popular</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Alexandre </w:t>
            </w:r>
            <w:proofErr w:type="spellStart"/>
            <w:r w:rsidRPr="003B3CA5">
              <w:rPr>
                <w:rFonts w:ascii="Times New Roman" w:hAnsi="Times New Roman" w:cs="Times New Roman"/>
                <w:color w:val="000000"/>
              </w:rPr>
              <w:t>Hauenstein</w:t>
            </w:r>
            <w:proofErr w:type="spellEnd"/>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Germano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Metálica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w:t>
            </w:r>
            <w:proofErr w:type="spellStart"/>
            <w:r w:rsidRPr="003B3CA5">
              <w:rPr>
                <w:rFonts w:ascii="Times New Roman" w:hAnsi="Times New Roman" w:cs="Times New Roman"/>
                <w:color w:val="000000"/>
              </w:rPr>
              <w:t>Otterno</w:t>
            </w:r>
            <w:proofErr w:type="spellEnd"/>
            <w:r w:rsidRPr="003B3CA5">
              <w:rPr>
                <w:rFonts w:ascii="Times New Roman" w:hAnsi="Times New Roman" w:cs="Times New Roman"/>
                <w:color w:val="000000"/>
              </w:rPr>
              <w:t xml:space="preserve"> </w:t>
            </w:r>
            <w:proofErr w:type="spellStart"/>
            <w:r w:rsidRPr="003B3CA5">
              <w:rPr>
                <w:rFonts w:ascii="Times New Roman" w:hAnsi="Times New Roman" w:cs="Times New Roman"/>
                <w:color w:val="000000"/>
              </w:rPr>
              <w:t>Schaeffer</w:t>
            </w:r>
            <w:proofErr w:type="spellEnd"/>
            <w:r w:rsidRPr="003B3CA5">
              <w:rPr>
                <w:rFonts w:ascii="Times New Roman" w:hAnsi="Times New Roman" w:cs="Times New Roman"/>
                <w:color w:val="000000"/>
              </w:rPr>
              <w:t xml:space="preserve"> esq. Edmundo </w:t>
            </w:r>
            <w:proofErr w:type="spellStart"/>
            <w:r w:rsidRPr="003B3CA5">
              <w:rPr>
                <w:rFonts w:ascii="Times New Roman" w:hAnsi="Times New Roman" w:cs="Times New Roman"/>
                <w:color w:val="000000"/>
              </w:rPr>
              <w:t>Hauenstein</w:t>
            </w:r>
            <w:proofErr w:type="spellEnd"/>
          </w:p>
        </w:tc>
      </w:tr>
      <w:tr w:rsidR="003D034A" w:rsidRPr="003B3CA5" w:rsidTr="003D034A">
        <w:trPr>
          <w:trHeight w:val="183"/>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Germano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96.000l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Inox</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w:t>
            </w:r>
            <w:proofErr w:type="spellStart"/>
            <w:r w:rsidRPr="003B3CA5">
              <w:rPr>
                <w:rFonts w:ascii="Times New Roman" w:hAnsi="Times New Roman" w:cs="Times New Roman"/>
                <w:color w:val="000000"/>
              </w:rPr>
              <w:t>Otterno</w:t>
            </w:r>
            <w:proofErr w:type="spellEnd"/>
            <w:r w:rsidRPr="003B3CA5">
              <w:rPr>
                <w:rFonts w:ascii="Times New Roman" w:hAnsi="Times New Roman" w:cs="Times New Roman"/>
                <w:color w:val="000000"/>
              </w:rPr>
              <w:t xml:space="preserve"> </w:t>
            </w:r>
            <w:proofErr w:type="spellStart"/>
            <w:r w:rsidRPr="003B3CA5">
              <w:rPr>
                <w:rFonts w:ascii="Times New Roman" w:hAnsi="Times New Roman" w:cs="Times New Roman"/>
                <w:color w:val="000000"/>
              </w:rPr>
              <w:t>Schaeffer</w:t>
            </w:r>
            <w:proofErr w:type="spellEnd"/>
            <w:r w:rsidRPr="003B3CA5">
              <w:rPr>
                <w:rFonts w:ascii="Times New Roman" w:hAnsi="Times New Roman" w:cs="Times New Roman"/>
                <w:color w:val="000000"/>
              </w:rPr>
              <w:t xml:space="preserve"> esq. Edmundo </w:t>
            </w:r>
            <w:proofErr w:type="spellStart"/>
            <w:r w:rsidRPr="003B3CA5">
              <w:rPr>
                <w:rFonts w:ascii="Times New Roman" w:hAnsi="Times New Roman" w:cs="Times New Roman"/>
                <w:color w:val="000000"/>
              </w:rPr>
              <w:t>Hauenstein</w:t>
            </w:r>
            <w:proofErr w:type="spellEnd"/>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Germano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96.000l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Inox</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 xml:space="preserve">Rua </w:t>
            </w:r>
            <w:proofErr w:type="spellStart"/>
            <w:r w:rsidRPr="003B3CA5">
              <w:rPr>
                <w:rFonts w:ascii="Times New Roman" w:hAnsi="Times New Roman" w:cs="Times New Roman"/>
                <w:color w:val="000000"/>
              </w:rPr>
              <w:t>Otterno</w:t>
            </w:r>
            <w:proofErr w:type="spellEnd"/>
            <w:r w:rsidRPr="003B3CA5">
              <w:rPr>
                <w:rFonts w:ascii="Times New Roman" w:hAnsi="Times New Roman" w:cs="Times New Roman"/>
                <w:color w:val="000000"/>
              </w:rPr>
              <w:t xml:space="preserve"> </w:t>
            </w:r>
            <w:proofErr w:type="spellStart"/>
            <w:r w:rsidRPr="003B3CA5">
              <w:rPr>
                <w:rFonts w:ascii="Times New Roman" w:hAnsi="Times New Roman" w:cs="Times New Roman"/>
                <w:color w:val="000000"/>
              </w:rPr>
              <w:t>Schaeffer</w:t>
            </w:r>
            <w:proofErr w:type="spellEnd"/>
            <w:r w:rsidRPr="003B3CA5">
              <w:rPr>
                <w:rFonts w:ascii="Times New Roman" w:hAnsi="Times New Roman" w:cs="Times New Roman"/>
                <w:color w:val="000000"/>
              </w:rPr>
              <w:t xml:space="preserve"> esq. Edmundo </w:t>
            </w:r>
            <w:proofErr w:type="spellStart"/>
            <w:r w:rsidRPr="003B3CA5">
              <w:rPr>
                <w:rFonts w:ascii="Times New Roman" w:hAnsi="Times New Roman" w:cs="Times New Roman"/>
                <w:color w:val="000000"/>
              </w:rPr>
              <w:t>Hauenstein</w:t>
            </w:r>
            <w:proofErr w:type="spellEnd"/>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Ribeiro</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Inox</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194</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Estrada Velha</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150.000l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Inox</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Reinaldo A. Augustin</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 Catarina Alta</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25.000l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Fibra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Linha Catarina Alta</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 Catarina Alta</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5.000l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Fibra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Linha Catarina Alta</w:t>
            </w:r>
          </w:p>
        </w:tc>
      </w:tr>
      <w:tr w:rsidR="003D034A" w:rsidRPr="003B3CA5" w:rsidTr="003D034A">
        <w:trPr>
          <w:trHeight w:val="300"/>
        </w:trPr>
        <w:tc>
          <w:tcPr>
            <w:tcW w:w="1149" w:type="pct"/>
            <w:tcBorders>
              <w:top w:val="nil"/>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 Catarina Alta</w:t>
            </w:r>
          </w:p>
        </w:tc>
        <w:tc>
          <w:tcPr>
            <w:tcW w:w="1031"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Fibra</w:t>
            </w:r>
          </w:p>
        </w:tc>
        <w:tc>
          <w:tcPr>
            <w:tcW w:w="1848" w:type="pct"/>
            <w:tcBorders>
              <w:top w:val="nil"/>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Linha Catarina Alta</w:t>
            </w:r>
          </w:p>
        </w:tc>
      </w:tr>
      <w:tr w:rsidR="003D034A" w:rsidRPr="003B3CA5" w:rsidTr="003D034A">
        <w:trPr>
          <w:trHeight w:val="300"/>
        </w:trPr>
        <w:tc>
          <w:tcPr>
            <w:tcW w:w="1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Alencar</w:t>
            </w:r>
          </w:p>
        </w:tc>
        <w:tc>
          <w:tcPr>
            <w:tcW w:w="103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170.000l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Inox</w:t>
            </w:r>
          </w:p>
        </w:tc>
        <w:tc>
          <w:tcPr>
            <w:tcW w:w="1848"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Felipe Jacobs</w:t>
            </w:r>
          </w:p>
        </w:tc>
      </w:tr>
      <w:tr w:rsidR="003D034A" w:rsidRPr="003B3CA5" w:rsidTr="003D034A">
        <w:trPr>
          <w:trHeight w:val="300"/>
        </w:trPr>
        <w:tc>
          <w:tcPr>
            <w:tcW w:w="1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Canabarro</w:t>
            </w:r>
          </w:p>
        </w:tc>
        <w:tc>
          <w:tcPr>
            <w:tcW w:w="103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170.000l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Inox</w:t>
            </w:r>
          </w:p>
        </w:tc>
        <w:tc>
          <w:tcPr>
            <w:tcW w:w="1848"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Rua Everaldo de Oliveira Rodrigues</w:t>
            </w:r>
          </w:p>
        </w:tc>
      </w:tr>
      <w:tr w:rsidR="003D034A" w:rsidRPr="003B3CA5" w:rsidTr="003D034A">
        <w:trPr>
          <w:trHeight w:val="300"/>
        </w:trPr>
        <w:tc>
          <w:tcPr>
            <w:tcW w:w="1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Coxilha Verde</w:t>
            </w:r>
          </w:p>
        </w:tc>
        <w:tc>
          <w:tcPr>
            <w:tcW w:w="103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10.000l</w:t>
            </w:r>
          </w:p>
        </w:tc>
        <w:tc>
          <w:tcPr>
            <w:tcW w:w="971"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Fibra</w:t>
            </w:r>
          </w:p>
        </w:tc>
        <w:tc>
          <w:tcPr>
            <w:tcW w:w="1848" w:type="pct"/>
            <w:tcBorders>
              <w:top w:val="single" w:sz="4" w:space="0" w:color="auto"/>
              <w:left w:val="nil"/>
              <w:bottom w:val="single" w:sz="4" w:space="0" w:color="auto"/>
              <w:right w:val="single" w:sz="4" w:space="0" w:color="auto"/>
            </w:tcBorders>
            <w:shd w:val="clear" w:color="auto" w:fill="auto"/>
            <w:noWrap/>
            <w:vAlign w:val="center"/>
          </w:tcPr>
          <w:p w:rsidR="003D034A" w:rsidRPr="003B3CA5" w:rsidRDefault="003D034A" w:rsidP="00864938">
            <w:pPr>
              <w:spacing w:beforeLines="30" w:afterLines="30" w:line="240" w:lineRule="auto"/>
              <w:jc w:val="center"/>
              <w:rPr>
                <w:rFonts w:ascii="Times New Roman" w:hAnsi="Times New Roman" w:cs="Times New Roman"/>
                <w:color w:val="000000"/>
              </w:rPr>
            </w:pPr>
            <w:r w:rsidRPr="003B3CA5">
              <w:rPr>
                <w:rFonts w:ascii="Times New Roman" w:hAnsi="Times New Roman" w:cs="Times New Roman"/>
                <w:color w:val="000000"/>
              </w:rPr>
              <w:t>Linha São Jacó Loteamento</w:t>
            </w:r>
          </w:p>
        </w:tc>
      </w:tr>
    </w:tbl>
    <w:p w:rsidR="003D034A" w:rsidRDefault="003D034A" w:rsidP="003D034A">
      <w:pPr>
        <w:pStyle w:val="NormalWeb"/>
        <w:spacing w:before="40" w:after="0" w:line="276" w:lineRule="auto"/>
        <w:jc w:val="both"/>
        <w:rPr>
          <w:rFonts w:eastAsia="Calibri"/>
          <w:sz w:val="23"/>
          <w:szCs w:val="23"/>
          <w:lang w:eastAsia="pt-BR"/>
        </w:rPr>
      </w:pPr>
    </w:p>
    <w:p w:rsidR="00496B2C" w:rsidRDefault="0098550E" w:rsidP="00496B2C">
      <w:pPr>
        <w:pStyle w:val="NormalWeb"/>
        <w:spacing w:before="0" w:after="0" w:line="276" w:lineRule="auto"/>
        <w:jc w:val="both"/>
        <w:rPr>
          <w:b/>
          <w:bCs/>
          <w:sz w:val="23"/>
          <w:szCs w:val="23"/>
        </w:rPr>
      </w:pPr>
      <w:r>
        <w:rPr>
          <w:b/>
          <w:bCs/>
          <w:sz w:val="23"/>
          <w:szCs w:val="23"/>
        </w:rPr>
        <w:t>2.2.</w:t>
      </w:r>
      <w:r>
        <w:rPr>
          <w:sz w:val="23"/>
          <w:szCs w:val="23"/>
        </w:rPr>
        <w:t xml:space="preserve"> </w:t>
      </w:r>
      <w:r w:rsidR="00496B2C" w:rsidRPr="00496B2C">
        <w:rPr>
          <w:sz w:val="23"/>
          <w:szCs w:val="23"/>
        </w:rPr>
        <w:t>O tratamento da água destinada ao consumo humano deverá ser realizado mediante adição de cloro, observados os parâmetros de potabilidade e de cloro residual livre previstos na Portaria de Consolidação nº 05/2017 do Ministério da Saúde, ou em norma que venha a substituí-la.</w:t>
      </w:r>
      <w:r w:rsidR="00496B2C" w:rsidRPr="00496B2C">
        <w:rPr>
          <w:b/>
          <w:bCs/>
          <w:sz w:val="23"/>
          <w:szCs w:val="23"/>
        </w:rPr>
        <w:t xml:space="preserve"> </w:t>
      </w:r>
    </w:p>
    <w:p w:rsidR="00BF6853" w:rsidRDefault="00496B2C" w:rsidP="00496B2C">
      <w:pPr>
        <w:pStyle w:val="NormalWeb"/>
        <w:spacing w:before="0" w:after="0" w:line="276" w:lineRule="auto"/>
        <w:jc w:val="both"/>
        <w:rPr>
          <w:sz w:val="23"/>
          <w:szCs w:val="23"/>
        </w:rPr>
      </w:pPr>
      <w:r>
        <w:rPr>
          <w:b/>
          <w:bCs/>
          <w:sz w:val="23"/>
          <w:szCs w:val="23"/>
        </w:rPr>
        <w:tab/>
      </w:r>
      <w:r w:rsidR="0098550E">
        <w:rPr>
          <w:b/>
          <w:bCs/>
          <w:sz w:val="23"/>
          <w:szCs w:val="23"/>
        </w:rPr>
        <w:t>2.2.1.</w:t>
      </w:r>
      <w:r w:rsidR="0098550E">
        <w:rPr>
          <w:sz w:val="23"/>
          <w:szCs w:val="23"/>
        </w:rPr>
        <w:t xml:space="preserve"> Os </w:t>
      </w:r>
      <w:r w:rsidR="0098550E">
        <w:rPr>
          <w:rStyle w:val="Forte"/>
          <w:b w:val="0"/>
          <w:bCs w:val="0"/>
          <w:sz w:val="23"/>
          <w:szCs w:val="23"/>
        </w:rPr>
        <w:t>teores de cloro residual livre</w:t>
      </w:r>
      <w:r w:rsidR="0098550E">
        <w:rPr>
          <w:sz w:val="23"/>
          <w:szCs w:val="23"/>
        </w:rPr>
        <w:t xml:space="preserve">, aferidos na saída do sistema de tratamento e ao longo de toda a extensão da rede de distribuição, deverão estar em conformidade com os parâmetros estabelecidos na </w:t>
      </w:r>
      <w:r w:rsidR="0098550E">
        <w:rPr>
          <w:rStyle w:val="Forte"/>
          <w:b w:val="0"/>
          <w:bCs w:val="0"/>
          <w:sz w:val="23"/>
          <w:szCs w:val="23"/>
        </w:rPr>
        <w:t>Portaria de Consolidação nº 05/2017 do Ministério da Saúde</w:t>
      </w:r>
      <w:r w:rsidR="0098550E">
        <w:rPr>
          <w:sz w:val="23"/>
          <w:szCs w:val="23"/>
        </w:rPr>
        <w:t>, ou outra norma que venha a substituí-la.</w:t>
      </w:r>
    </w:p>
    <w:p w:rsidR="00BF6853" w:rsidRDefault="0098550E">
      <w:pPr>
        <w:pStyle w:val="NormalWeb"/>
        <w:spacing w:before="0" w:after="0" w:line="276" w:lineRule="auto"/>
        <w:jc w:val="both"/>
        <w:rPr>
          <w:sz w:val="23"/>
          <w:szCs w:val="23"/>
        </w:rPr>
      </w:pPr>
      <w:r>
        <w:rPr>
          <w:b/>
          <w:bCs/>
          <w:sz w:val="23"/>
          <w:szCs w:val="23"/>
        </w:rPr>
        <w:t xml:space="preserve">2.3. </w:t>
      </w:r>
      <w:r>
        <w:rPr>
          <w:sz w:val="23"/>
          <w:szCs w:val="23"/>
        </w:rPr>
        <w:t xml:space="preserve">Fica </w:t>
      </w:r>
      <w:r>
        <w:rPr>
          <w:rStyle w:val="Forte"/>
          <w:b w:val="0"/>
          <w:bCs w:val="0"/>
          <w:sz w:val="23"/>
          <w:szCs w:val="23"/>
        </w:rPr>
        <w:t>vedada a realização de cloração de forma direta nos poços de captação</w:t>
      </w:r>
      <w:r>
        <w:rPr>
          <w:sz w:val="23"/>
          <w:szCs w:val="23"/>
        </w:rPr>
        <w:t>, em razão dos danos que tal prática poderá ocasionar às estruturas do sistema de abastecimento de água.</w:t>
      </w:r>
    </w:p>
    <w:p w:rsidR="00BF6853" w:rsidRDefault="0098550E">
      <w:pPr>
        <w:pStyle w:val="NormalWeb"/>
        <w:spacing w:before="0" w:after="0" w:line="276" w:lineRule="auto"/>
        <w:ind w:firstLine="720"/>
        <w:jc w:val="both"/>
        <w:rPr>
          <w:sz w:val="23"/>
          <w:szCs w:val="23"/>
        </w:rPr>
      </w:pPr>
      <w:r>
        <w:rPr>
          <w:b/>
          <w:bCs/>
          <w:sz w:val="23"/>
          <w:szCs w:val="23"/>
        </w:rPr>
        <w:t xml:space="preserve">2.3.1. </w:t>
      </w:r>
      <w:r>
        <w:rPr>
          <w:sz w:val="23"/>
          <w:szCs w:val="23"/>
        </w:rPr>
        <w:t xml:space="preserve">Atualmente, o sistema de abastecimento de água do Bairro Teutônia possui </w:t>
      </w:r>
      <w:r>
        <w:rPr>
          <w:rStyle w:val="Forte"/>
          <w:b w:val="0"/>
          <w:bCs w:val="0"/>
          <w:sz w:val="23"/>
          <w:szCs w:val="23"/>
        </w:rPr>
        <w:t>05 (cinco) poços</w:t>
      </w:r>
      <w:r>
        <w:rPr>
          <w:sz w:val="23"/>
          <w:szCs w:val="23"/>
        </w:rPr>
        <w:t xml:space="preserve">, dos quais </w:t>
      </w:r>
      <w:r>
        <w:rPr>
          <w:rStyle w:val="Forte"/>
          <w:b w:val="0"/>
          <w:bCs w:val="0"/>
          <w:sz w:val="23"/>
          <w:szCs w:val="23"/>
        </w:rPr>
        <w:t>03 (três) ainda possuem cloração direta</w:t>
      </w:r>
      <w:r>
        <w:rPr>
          <w:sz w:val="23"/>
          <w:szCs w:val="23"/>
        </w:rPr>
        <w:t>, sendo eles:</w:t>
      </w:r>
    </w:p>
    <w:p w:rsidR="00BF6853" w:rsidRDefault="0098550E">
      <w:pPr>
        <w:pStyle w:val="NormalWeb"/>
        <w:spacing w:before="0" w:after="0" w:line="276" w:lineRule="auto"/>
        <w:ind w:firstLine="720"/>
        <w:jc w:val="both"/>
        <w:rPr>
          <w:sz w:val="23"/>
          <w:szCs w:val="23"/>
        </w:rPr>
      </w:pPr>
      <w:r>
        <w:rPr>
          <w:sz w:val="23"/>
          <w:szCs w:val="23"/>
        </w:rPr>
        <w:t xml:space="preserve">I – </w:t>
      </w:r>
      <w:r>
        <w:rPr>
          <w:rStyle w:val="Forte"/>
          <w:b w:val="0"/>
          <w:bCs w:val="0"/>
          <w:sz w:val="23"/>
          <w:szCs w:val="23"/>
        </w:rPr>
        <w:t>Poço 1 – Pedro Schaeffer</w:t>
      </w:r>
      <w:r>
        <w:rPr>
          <w:sz w:val="23"/>
          <w:szCs w:val="23"/>
        </w:rPr>
        <w:t>, localizado na Rua Pedro Schaeffer, nº 1231;</w:t>
      </w:r>
      <w:r>
        <w:rPr>
          <w:sz w:val="23"/>
          <w:szCs w:val="23"/>
        </w:rPr>
        <w:br/>
      </w:r>
      <w:r>
        <w:rPr>
          <w:sz w:val="23"/>
          <w:szCs w:val="23"/>
        </w:rPr>
        <w:tab/>
        <w:t xml:space="preserve">II – </w:t>
      </w:r>
      <w:r>
        <w:rPr>
          <w:rStyle w:val="Forte"/>
          <w:b w:val="0"/>
          <w:bCs w:val="0"/>
          <w:sz w:val="23"/>
          <w:szCs w:val="23"/>
        </w:rPr>
        <w:t>Poço 2 – Fim da Rua Paquetá</w:t>
      </w:r>
      <w:r>
        <w:rPr>
          <w:sz w:val="23"/>
          <w:szCs w:val="23"/>
        </w:rPr>
        <w:t>, localizado na Rua 20 de Setembro, nº 1446;</w:t>
      </w:r>
      <w:r>
        <w:rPr>
          <w:sz w:val="23"/>
          <w:szCs w:val="23"/>
        </w:rPr>
        <w:br/>
      </w:r>
      <w:r>
        <w:rPr>
          <w:sz w:val="23"/>
          <w:szCs w:val="23"/>
        </w:rPr>
        <w:tab/>
        <w:t xml:space="preserve">III – </w:t>
      </w:r>
      <w:r>
        <w:rPr>
          <w:rStyle w:val="Forte"/>
          <w:b w:val="0"/>
          <w:bCs w:val="0"/>
          <w:sz w:val="23"/>
          <w:szCs w:val="23"/>
        </w:rPr>
        <w:t>Poço 5 – Rota do Sol (novo)</w:t>
      </w:r>
      <w:r>
        <w:rPr>
          <w:sz w:val="23"/>
          <w:szCs w:val="23"/>
        </w:rPr>
        <w:t>, localizado na ERS-453 – Rota do Sol.</w:t>
      </w:r>
    </w:p>
    <w:p w:rsidR="00BF6853" w:rsidRDefault="0098550E">
      <w:pPr>
        <w:pStyle w:val="NormalWeb"/>
        <w:spacing w:before="0" w:after="0" w:line="276" w:lineRule="auto"/>
        <w:ind w:firstLine="720"/>
        <w:jc w:val="both"/>
        <w:rPr>
          <w:sz w:val="23"/>
          <w:szCs w:val="23"/>
        </w:rPr>
      </w:pPr>
      <w:r>
        <w:rPr>
          <w:b/>
          <w:bCs/>
          <w:sz w:val="23"/>
          <w:szCs w:val="23"/>
        </w:rPr>
        <w:lastRenderedPageBreak/>
        <w:t>2.3.2.</w:t>
      </w:r>
      <w:r>
        <w:rPr>
          <w:sz w:val="23"/>
          <w:szCs w:val="23"/>
        </w:rPr>
        <w:t xml:space="preserve"> Os referidos poços deverão ser </w:t>
      </w:r>
      <w:r>
        <w:rPr>
          <w:rStyle w:val="Forte"/>
          <w:b w:val="0"/>
          <w:bCs w:val="0"/>
          <w:sz w:val="23"/>
          <w:szCs w:val="23"/>
        </w:rPr>
        <w:t>adequados pela contratada no início da execução contratual</w:t>
      </w:r>
      <w:r>
        <w:rPr>
          <w:sz w:val="23"/>
          <w:szCs w:val="23"/>
        </w:rPr>
        <w:t>, às expensas da mesma.</w:t>
      </w:r>
    </w:p>
    <w:p w:rsidR="00BF6853" w:rsidRDefault="0098550E">
      <w:pPr>
        <w:pStyle w:val="NormalWeb"/>
        <w:spacing w:before="0" w:after="0" w:line="276" w:lineRule="auto"/>
        <w:jc w:val="both"/>
        <w:rPr>
          <w:sz w:val="23"/>
          <w:szCs w:val="23"/>
        </w:rPr>
      </w:pPr>
      <w:r>
        <w:rPr>
          <w:b/>
          <w:bCs/>
          <w:sz w:val="23"/>
          <w:szCs w:val="23"/>
        </w:rPr>
        <w:t>2.4.</w:t>
      </w:r>
      <w:r>
        <w:rPr>
          <w:sz w:val="23"/>
          <w:szCs w:val="23"/>
        </w:rPr>
        <w:t xml:space="preserve"> A contratada deverá fornecer </w:t>
      </w:r>
      <w:r>
        <w:rPr>
          <w:rStyle w:val="Forte"/>
          <w:b w:val="0"/>
          <w:bCs w:val="0"/>
          <w:sz w:val="23"/>
          <w:szCs w:val="23"/>
        </w:rPr>
        <w:t>todos os insumos e equipamentos necessários ao correto tratamento da água</w:t>
      </w:r>
      <w:r>
        <w:rPr>
          <w:sz w:val="23"/>
          <w:szCs w:val="23"/>
        </w:rPr>
        <w:t>, em quantidades suficientes e adequadas para garantir a potabilidade da água fornecida para consumo humano.</w:t>
      </w:r>
    </w:p>
    <w:p w:rsidR="00BF6853" w:rsidRDefault="0098550E">
      <w:pPr>
        <w:pStyle w:val="NormalWeb"/>
        <w:spacing w:before="0" w:after="0" w:line="276" w:lineRule="auto"/>
        <w:jc w:val="both"/>
        <w:rPr>
          <w:sz w:val="23"/>
          <w:szCs w:val="23"/>
        </w:rPr>
      </w:pPr>
      <w:r>
        <w:rPr>
          <w:b/>
          <w:bCs/>
          <w:sz w:val="23"/>
          <w:szCs w:val="23"/>
        </w:rPr>
        <w:t xml:space="preserve">2.5. </w:t>
      </w:r>
      <w:r>
        <w:rPr>
          <w:sz w:val="23"/>
          <w:szCs w:val="23"/>
        </w:rPr>
        <w:t xml:space="preserve">A contratada será responsável pela </w:t>
      </w:r>
      <w:r>
        <w:rPr>
          <w:rStyle w:val="Forte"/>
          <w:b w:val="0"/>
          <w:bCs w:val="0"/>
          <w:sz w:val="23"/>
          <w:szCs w:val="23"/>
        </w:rPr>
        <w:t>manutenção dos equipamentos utilizados no sistema de tratamento da água</w:t>
      </w:r>
      <w:r>
        <w:rPr>
          <w:sz w:val="23"/>
          <w:szCs w:val="23"/>
        </w:rPr>
        <w:t>, bem como, quando necessário, pela substituição de peças e componentes.</w:t>
      </w:r>
    </w:p>
    <w:p w:rsidR="00BF6853" w:rsidRDefault="0098550E">
      <w:pPr>
        <w:pStyle w:val="NormalWeb"/>
        <w:spacing w:before="0" w:after="0" w:line="276" w:lineRule="auto"/>
        <w:ind w:firstLine="720"/>
        <w:jc w:val="both"/>
        <w:rPr>
          <w:sz w:val="23"/>
          <w:szCs w:val="23"/>
        </w:rPr>
      </w:pPr>
      <w:r>
        <w:rPr>
          <w:b/>
          <w:bCs/>
          <w:sz w:val="23"/>
          <w:szCs w:val="23"/>
        </w:rPr>
        <w:t>2.5.1.</w:t>
      </w:r>
      <w:r>
        <w:rPr>
          <w:sz w:val="23"/>
          <w:szCs w:val="23"/>
        </w:rPr>
        <w:t xml:space="preserve"> Os </w:t>
      </w:r>
      <w:r>
        <w:rPr>
          <w:rStyle w:val="Forte"/>
          <w:b w:val="0"/>
          <w:bCs w:val="0"/>
          <w:sz w:val="23"/>
          <w:szCs w:val="23"/>
        </w:rPr>
        <w:t>dosadores de cloro serão fornecidos pela Administração Municipal</w:t>
      </w:r>
      <w:r>
        <w:rPr>
          <w:sz w:val="23"/>
          <w:szCs w:val="23"/>
        </w:rPr>
        <w:t>, permanecendo sob responsabilidade da contratada a realização da manutenção dos referidos equipamentos durante a execução do contrato.</w:t>
      </w:r>
    </w:p>
    <w:p w:rsidR="00BF6853" w:rsidRDefault="0098550E">
      <w:pPr>
        <w:pStyle w:val="NormalWeb"/>
        <w:spacing w:before="0" w:after="0" w:line="276" w:lineRule="auto"/>
        <w:jc w:val="both"/>
        <w:rPr>
          <w:sz w:val="23"/>
          <w:szCs w:val="23"/>
        </w:rPr>
      </w:pPr>
      <w:r>
        <w:rPr>
          <w:b/>
          <w:bCs/>
          <w:sz w:val="23"/>
          <w:szCs w:val="23"/>
        </w:rPr>
        <w:t xml:space="preserve">2.6. </w:t>
      </w:r>
      <w:r>
        <w:rPr>
          <w:sz w:val="23"/>
          <w:szCs w:val="23"/>
        </w:rPr>
        <w:t xml:space="preserve">Constituem obrigações da Contratada: </w:t>
      </w:r>
    </w:p>
    <w:p w:rsidR="00BF6853" w:rsidRDefault="0098550E">
      <w:pPr>
        <w:pStyle w:val="NormalWeb"/>
        <w:spacing w:before="0" w:after="0" w:line="276" w:lineRule="auto"/>
        <w:ind w:firstLine="720"/>
        <w:jc w:val="both"/>
        <w:rPr>
          <w:sz w:val="23"/>
          <w:szCs w:val="23"/>
        </w:rPr>
      </w:pPr>
      <w:r>
        <w:rPr>
          <w:rStyle w:val="Forte"/>
          <w:sz w:val="23"/>
          <w:szCs w:val="23"/>
        </w:rPr>
        <w:t>2.6.1.</w:t>
      </w:r>
      <w:r>
        <w:rPr>
          <w:sz w:val="23"/>
          <w:szCs w:val="23"/>
        </w:rPr>
        <w:t xml:space="preserve"> Fornecer </w:t>
      </w:r>
      <w:r>
        <w:rPr>
          <w:rStyle w:val="Forte"/>
          <w:b w:val="0"/>
          <w:bCs w:val="0"/>
          <w:sz w:val="23"/>
          <w:szCs w:val="23"/>
        </w:rPr>
        <w:t>certificado de limpeza e desinfecção dos reservatórios de água</w:t>
      </w:r>
      <w:r>
        <w:rPr>
          <w:sz w:val="23"/>
          <w:szCs w:val="23"/>
        </w:rPr>
        <w:t>, sempre que realizada a respectiva limpeza.</w:t>
      </w:r>
    </w:p>
    <w:p w:rsidR="00BF6853" w:rsidRDefault="0098550E">
      <w:pPr>
        <w:pStyle w:val="NormalWeb"/>
        <w:spacing w:before="0" w:after="0" w:line="276" w:lineRule="auto"/>
        <w:ind w:firstLine="720"/>
        <w:jc w:val="both"/>
        <w:rPr>
          <w:sz w:val="23"/>
          <w:szCs w:val="23"/>
        </w:rPr>
      </w:pPr>
      <w:r>
        <w:rPr>
          <w:rStyle w:val="Forte"/>
          <w:sz w:val="23"/>
          <w:szCs w:val="23"/>
        </w:rPr>
        <w:t>2.6.2.</w:t>
      </w:r>
      <w:r>
        <w:rPr>
          <w:b/>
          <w:bCs/>
          <w:sz w:val="23"/>
          <w:szCs w:val="23"/>
        </w:rPr>
        <w:t xml:space="preserve"> </w:t>
      </w:r>
      <w:r>
        <w:rPr>
          <w:sz w:val="23"/>
          <w:szCs w:val="23"/>
        </w:rPr>
        <w:t xml:space="preserve">Realizar a </w:t>
      </w:r>
      <w:r>
        <w:rPr>
          <w:rStyle w:val="Forte"/>
          <w:b w:val="0"/>
          <w:bCs w:val="0"/>
          <w:sz w:val="23"/>
          <w:szCs w:val="23"/>
        </w:rPr>
        <w:t>manutenção e, quando necessário, a substituição de equipamentos e peças do sistema de dosagem</w:t>
      </w:r>
      <w:r>
        <w:rPr>
          <w:sz w:val="23"/>
          <w:szCs w:val="23"/>
        </w:rPr>
        <w:t>, incluindo aparelho dosador, mangueiras, válvulas e demais componentes indispensáveis ao adequado funcionamento do sistema de tratamento.</w:t>
      </w:r>
    </w:p>
    <w:p w:rsidR="00BF6853" w:rsidRDefault="0098550E">
      <w:pPr>
        <w:pStyle w:val="NormalWeb"/>
        <w:spacing w:before="0" w:after="0" w:line="276" w:lineRule="auto"/>
        <w:ind w:firstLine="720"/>
        <w:jc w:val="both"/>
        <w:rPr>
          <w:sz w:val="23"/>
          <w:szCs w:val="23"/>
        </w:rPr>
      </w:pPr>
      <w:r>
        <w:rPr>
          <w:rStyle w:val="Forte"/>
          <w:sz w:val="23"/>
          <w:szCs w:val="23"/>
        </w:rPr>
        <w:t>2.6.3</w:t>
      </w:r>
      <w:r>
        <w:rPr>
          <w:rStyle w:val="Forte"/>
          <w:b w:val="0"/>
          <w:bCs w:val="0"/>
          <w:sz w:val="23"/>
          <w:szCs w:val="23"/>
        </w:rPr>
        <w:t>.</w:t>
      </w:r>
      <w:r>
        <w:rPr>
          <w:sz w:val="23"/>
          <w:szCs w:val="23"/>
        </w:rPr>
        <w:t xml:space="preserve"> Realizar, com </w:t>
      </w:r>
      <w:r>
        <w:rPr>
          <w:rStyle w:val="Forte"/>
          <w:b w:val="0"/>
          <w:bCs w:val="0"/>
          <w:sz w:val="23"/>
          <w:szCs w:val="23"/>
        </w:rPr>
        <w:t>periodicidade ANUAL</w:t>
      </w:r>
      <w:r>
        <w:rPr>
          <w:sz w:val="23"/>
          <w:szCs w:val="23"/>
        </w:rPr>
        <w:t xml:space="preserve">, a </w:t>
      </w:r>
      <w:r>
        <w:rPr>
          <w:rStyle w:val="Forte"/>
          <w:b w:val="0"/>
          <w:bCs w:val="0"/>
          <w:sz w:val="23"/>
          <w:szCs w:val="23"/>
        </w:rPr>
        <w:t>limpeza e desinfecção de todos os reservatórios de água do sistema ou da solução alternativa coletiva de abastecimento</w:t>
      </w:r>
      <w:r>
        <w:rPr>
          <w:sz w:val="23"/>
          <w:szCs w:val="23"/>
        </w:rPr>
        <w:t xml:space="preserve">, em conformidade com o disposto na </w:t>
      </w:r>
      <w:r>
        <w:rPr>
          <w:rStyle w:val="Forte"/>
          <w:b w:val="0"/>
          <w:bCs w:val="0"/>
          <w:sz w:val="23"/>
          <w:szCs w:val="23"/>
        </w:rPr>
        <w:t>Portaria nº 1.237/2014</w:t>
      </w:r>
      <w:r>
        <w:rPr>
          <w:sz w:val="23"/>
          <w:szCs w:val="23"/>
        </w:rPr>
        <w:t>.</w:t>
      </w:r>
    </w:p>
    <w:p w:rsidR="00BF6853" w:rsidRDefault="0098550E">
      <w:pPr>
        <w:pStyle w:val="NormalWeb"/>
        <w:spacing w:before="0" w:after="0" w:line="276" w:lineRule="auto"/>
        <w:ind w:firstLine="720"/>
        <w:jc w:val="both"/>
        <w:rPr>
          <w:sz w:val="23"/>
          <w:szCs w:val="23"/>
        </w:rPr>
      </w:pPr>
      <w:r>
        <w:rPr>
          <w:rStyle w:val="Forte"/>
          <w:sz w:val="23"/>
          <w:szCs w:val="23"/>
        </w:rPr>
        <w:t>2.6.4.</w:t>
      </w:r>
      <w:r>
        <w:rPr>
          <w:sz w:val="23"/>
          <w:szCs w:val="23"/>
        </w:rPr>
        <w:t xml:space="preserve"> Fornecer </w:t>
      </w:r>
      <w:r>
        <w:rPr>
          <w:rStyle w:val="Forte"/>
          <w:b w:val="0"/>
          <w:bCs w:val="0"/>
          <w:sz w:val="23"/>
          <w:szCs w:val="23"/>
        </w:rPr>
        <w:t>relatório técnico-operacional MENSAL</w:t>
      </w:r>
      <w:r>
        <w:rPr>
          <w:sz w:val="23"/>
          <w:szCs w:val="23"/>
        </w:rPr>
        <w:t>, contendo a descrição das ocorrências verificadas e das ações corretivas e preventivas adotadas nas soluções alternativas coletivas de abastecimento de água.</w:t>
      </w:r>
    </w:p>
    <w:p w:rsidR="00BF6853" w:rsidRDefault="0098550E">
      <w:pPr>
        <w:pStyle w:val="NormalWeb"/>
        <w:spacing w:before="0" w:after="0" w:line="276" w:lineRule="auto"/>
        <w:ind w:firstLine="720"/>
        <w:jc w:val="both"/>
        <w:rPr>
          <w:sz w:val="23"/>
          <w:szCs w:val="23"/>
        </w:rPr>
      </w:pPr>
      <w:r>
        <w:rPr>
          <w:rStyle w:val="Forte"/>
          <w:sz w:val="23"/>
          <w:szCs w:val="23"/>
        </w:rPr>
        <w:t>2.6.5.</w:t>
      </w:r>
      <w:r>
        <w:rPr>
          <w:b/>
          <w:bCs/>
          <w:sz w:val="23"/>
          <w:szCs w:val="23"/>
        </w:rPr>
        <w:t xml:space="preserve"> </w:t>
      </w:r>
      <w:r>
        <w:rPr>
          <w:sz w:val="23"/>
          <w:szCs w:val="23"/>
        </w:rPr>
        <w:t xml:space="preserve">Prestar </w:t>
      </w:r>
      <w:r>
        <w:rPr>
          <w:rStyle w:val="Forte"/>
          <w:b w:val="0"/>
          <w:bCs w:val="0"/>
          <w:sz w:val="23"/>
          <w:szCs w:val="23"/>
        </w:rPr>
        <w:t>assistência técnica permanente, 24 (vinte e quatro) horas por dia</w:t>
      </w:r>
      <w:r>
        <w:rPr>
          <w:sz w:val="23"/>
          <w:szCs w:val="23"/>
        </w:rPr>
        <w:t>, para manutenção dos equipamentos e reposição ou ajuste de insumos necessários ao funcionamento do sistema de tratamento.</w:t>
      </w:r>
    </w:p>
    <w:p w:rsidR="00BF6853" w:rsidRDefault="0098550E">
      <w:pPr>
        <w:pStyle w:val="NormalWeb"/>
        <w:spacing w:before="0" w:after="0" w:line="276" w:lineRule="auto"/>
        <w:ind w:firstLine="720"/>
        <w:jc w:val="both"/>
        <w:rPr>
          <w:sz w:val="23"/>
          <w:szCs w:val="23"/>
        </w:rPr>
      </w:pPr>
      <w:r>
        <w:rPr>
          <w:rStyle w:val="Forte"/>
          <w:sz w:val="23"/>
          <w:szCs w:val="23"/>
        </w:rPr>
        <w:t>2.6.6.</w:t>
      </w:r>
      <w:r>
        <w:rPr>
          <w:b/>
          <w:bCs/>
          <w:sz w:val="23"/>
          <w:szCs w:val="23"/>
        </w:rPr>
        <w:t xml:space="preserve"> </w:t>
      </w:r>
      <w:r w:rsidR="009F7CBF" w:rsidRPr="009F7CBF">
        <w:rPr>
          <w:rFonts w:eastAsia="Arial"/>
          <w:color w:val="000000"/>
          <w:sz w:val="23"/>
          <w:szCs w:val="23"/>
        </w:rPr>
        <w:t xml:space="preserve">Registrar visita técnica </w:t>
      </w:r>
      <w:r w:rsidR="000E4DE1">
        <w:rPr>
          <w:rFonts w:eastAsia="Arial"/>
          <w:color w:val="000000"/>
          <w:sz w:val="23"/>
          <w:szCs w:val="23"/>
        </w:rPr>
        <w:t>0</w:t>
      </w:r>
      <w:r w:rsidR="009F7CBF" w:rsidRPr="009F7CBF">
        <w:rPr>
          <w:rFonts w:eastAsia="Arial"/>
          <w:color w:val="000000"/>
          <w:sz w:val="23"/>
          <w:szCs w:val="23"/>
        </w:rPr>
        <w:t>3 (três) vezes durante a semana, mediante assinatura em planilha própria a ser mantida no interior de cada uma das casas de química localizadas junto aos poços, garantindo o acesso e acompanhamento pela fiscalização municipal.</w:t>
      </w:r>
    </w:p>
    <w:p w:rsidR="00496B2C" w:rsidRDefault="0098550E">
      <w:pPr>
        <w:pStyle w:val="NormalWeb"/>
        <w:spacing w:before="0" w:after="0" w:line="276" w:lineRule="auto"/>
        <w:jc w:val="both"/>
        <w:rPr>
          <w:b/>
          <w:bCs/>
          <w:sz w:val="23"/>
          <w:szCs w:val="23"/>
        </w:rPr>
      </w:pPr>
      <w:r w:rsidRPr="00B2679A">
        <w:rPr>
          <w:b/>
          <w:sz w:val="23"/>
          <w:szCs w:val="23"/>
        </w:rPr>
        <w:t>2.7.</w:t>
      </w:r>
      <w:r>
        <w:rPr>
          <w:sz w:val="23"/>
          <w:szCs w:val="23"/>
        </w:rPr>
        <w:t xml:space="preserve"> </w:t>
      </w:r>
      <w:r w:rsidR="00496B2C" w:rsidRPr="00496B2C">
        <w:rPr>
          <w:sz w:val="23"/>
          <w:szCs w:val="23"/>
        </w:rPr>
        <w:t>A execução dos serviços deverá observar, obrigatoriamente, os planos mínimos de amostragem estabelecidos na Portaria de Consolidação nº 05/2017 do Ministério da Saúde e demais normas aplicáveis à matéria, conforme detalhamento constante do Termo de Referência.</w:t>
      </w:r>
      <w:r w:rsidR="00496B2C" w:rsidRPr="00496B2C">
        <w:rPr>
          <w:b/>
          <w:bCs/>
          <w:sz w:val="23"/>
          <w:szCs w:val="23"/>
        </w:rPr>
        <w:t xml:space="preserve"> </w:t>
      </w:r>
    </w:p>
    <w:p w:rsidR="00BF6853" w:rsidRDefault="0098550E">
      <w:pPr>
        <w:pStyle w:val="NormalWeb"/>
        <w:spacing w:before="0" w:after="0" w:line="276" w:lineRule="auto"/>
        <w:jc w:val="both"/>
        <w:rPr>
          <w:sz w:val="23"/>
          <w:szCs w:val="23"/>
        </w:rPr>
      </w:pPr>
      <w:r>
        <w:rPr>
          <w:rStyle w:val="Forte"/>
          <w:sz w:val="23"/>
          <w:szCs w:val="23"/>
        </w:rPr>
        <w:t>2.8.</w:t>
      </w:r>
      <w:r>
        <w:rPr>
          <w:sz w:val="23"/>
          <w:szCs w:val="23"/>
        </w:rPr>
        <w:t xml:space="preserve"> Para cada poço tubular integrante do sistema, a Contratada deverá realizar as coletas e análises laboratoriais de acordo com o número mínimo de amostras e a frequência abaixo especificados:</w:t>
      </w:r>
    </w:p>
    <w:p w:rsidR="00BF6853" w:rsidRDefault="0098550E">
      <w:pPr>
        <w:pStyle w:val="NormalWeb"/>
        <w:spacing w:before="0" w:after="0" w:line="276" w:lineRule="auto"/>
        <w:ind w:firstLine="720"/>
        <w:jc w:val="both"/>
        <w:rPr>
          <w:sz w:val="23"/>
          <w:szCs w:val="23"/>
        </w:rPr>
      </w:pPr>
      <w:r>
        <w:rPr>
          <w:rStyle w:val="Forte"/>
          <w:sz w:val="23"/>
          <w:szCs w:val="23"/>
        </w:rPr>
        <w:t>2.8.1. Cloro Residual Livre</w:t>
      </w:r>
      <w:r>
        <w:rPr>
          <w:sz w:val="23"/>
          <w:szCs w:val="23"/>
        </w:rPr>
        <w:br/>
      </w:r>
      <w:r>
        <w:rPr>
          <w:sz w:val="23"/>
          <w:szCs w:val="23"/>
        </w:rPr>
        <w:tab/>
        <w:t>a) Saída do tratamento: 01 (uma) análise diária;</w:t>
      </w:r>
      <w:r>
        <w:rPr>
          <w:sz w:val="23"/>
          <w:szCs w:val="23"/>
        </w:rPr>
        <w:br/>
      </w:r>
      <w:r>
        <w:rPr>
          <w:sz w:val="23"/>
          <w:szCs w:val="23"/>
        </w:rPr>
        <w:tab/>
        <w:t>b) Rede de distribuição: 01 (uma) análise diária.</w:t>
      </w:r>
    </w:p>
    <w:p w:rsidR="00BF6853" w:rsidRDefault="0098550E">
      <w:pPr>
        <w:pStyle w:val="NormalWeb"/>
        <w:spacing w:before="0" w:after="0" w:line="276" w:lineRule="auto"/>
        <w:ind w:firstLine="720"/>
        <w:jc w:val="both"/>
        <w:rPr>
          <w:sz w:val="23"/>
          <w:szCs w:val="23"/>
        </w:rPr>
      </w:pPr>
      <w:r>
        <w:rPr>
          <w:rStyle w:val="Forte"/>
          <w:sz w:val="23"/>
          <w:szCs w:val="23"/>
        </w:rPr>
        <w:t xml:space="preserve">2.8.2. Coliformes Totais e </w:t>
      </w:r>
      <w:r>
        <w:rPr>
          <w:rStyle w:val="nfase"/>
          <w:sz w:val="23"/>
          <w:szCs w:val="23"/>
        </w:rPr>
        <w:t>Escherichia coli</w:t>
      </w:r>
      <w:r>
        <w:rPr>
          <w:sz w:val="23"/>
          <w:szCs w:val="23"/>
        </w:rPr>
        <w:br/>
      </w:r>
      <w:r>
        <w:rPr>
          <w:sz w:val="23"/>
          <w:szCs w:val="23"/>
        </w:rPr>
        <w:tab/>
        <w:t>a) Saída do tratamento: 01 (uma) análise mensal;</w:t>
      </w:r>
      <w:r>
        <w:rPr>
          <w:sz w:val="23"/>
          <w:szCs w:val="23"/>
        </w:rPr>
        <w:br/>
      </w:r>
      <w:r>
        <w:rPr>
          <w:sz w:val="23"/>
          <w:szCs w:val="23"/>
        </w:rPr>
        <w:tab/>
        <w:t>b) Rede de distribuição: 01 (uma) análise mensal.</w:t>
      </w:r>
    </w:p>
    <w:p w:rsidR="00BF6853" w:rsidRDefault="0098550E">
      <w:pPr>
        <w:pStyle w:val="NormalWeb"/>
        <w:spacing w:before="0" w:after="0" w:line="276" w:lineRule="auto"/>
        <w:ind w:firstLine="720"/>
        <w:jc w:val="both"/>
        <w:rPr>
          <w:sz w:val="23"/>
          <w:szCs w:val="23"/>
        </w:rPr>
      </w:pPr>
      <w:r>
        <w:rPr>
          <w:rStyle w:val="Forte"/>
          <w:sz w:val="23"/>
          <w:szCs w:val="23"/>
        </w:rPr>
        <w:t>2.8.3. Cor, Turbidez e pH</w:t>
      </w:r>
      <w:r>
        <w:rPr>
          <w:sz w:val="23"/>
          <w:szCs w:val="23"/>
        </w:rPr>
        <w:br/>
      </w:r>
      <w:r>
        <w:rPr>
          <w:sz w:val="23"/>
          <w:szCs w:val="23"/>
        </w:rPr>
        <w:tab/>
        <w:t>a) Saída do tratamento: 01 (uma) análise mensal;</w:t>
      </w:r>
      <w:r>
        <w:rPr>
          <w:sz w:val="23"/>
          <w:szCs w:val="23"/>
        </w:rPr>
        <w:br/>
      </w:r>
      <w:r>
        <w:rPr>
          <w:sz w:val="23"/>
          <w:szCs w:val="23"/>
        </w:rPr>
        <w:tab/>
        <w:t>b) Rede de distribuição: 01 (uma) análise mensal.</w:t>
      </w:r>
    </w:p>
    <w:p w:rsidR="00BF6853" w:rsidRDefault="0098550E">
      <w:pPr>
        <w:pStyle w:val="NormalWeb"/>
        <w:spacing w:before="0" w:after="0" w:line="276" w:lineRule="auto"/>
        <w:ind w:firstLine="720"/>
        <w:jc w:val="both"/>
        <w:rPr>
          <w:sz w:val="23"/>
          <w:szCs w:val="23"/>
        </w:rPr>
      </w:pPr>
      <w:r>
        <w:rPr>
          <w:rStyle w:val="Forte"/>
          <w:sz w:val="23"/>
          <w:szCs w:val="23"/>
        </w:rPr>
        <w:lastRenderedPageBreak/>
        <w:t xml:space="preserve">2.8.4. Sólidos Totais Dissolvidos, Nitrato, </w:t>
      </w:r>
      <w:r>
        <w:rPr>
          <w:rStyle w:val="nfase"/>
          <w:sz w:val="23"/>
          <w:szCs w:val="23"/>
        </w:rPr>
        <w:t>Escherichia coli</w:t>
      </w:r>
      <w:r>
        <w:rPr>
          <w:rStyle w:val="Forte"/>
          <w:sz w:val="23"/>
          <w:szCs w:val="23"/>
        </w:rPr>
        <w:t>, Fluoreto, pH, Turbidez e Condutividade Elétrica</w:t>
      </w:r>
      <w:r>
        <w:rPr>
          <w:sz w:val="23"/>
          <w:szCs w:val="23"/>
        </w:rPr>
        <w:br/>
      </w:r>
      <w:r>
        <w:rPr>
          <w:sz w:val="23"/>
          <w:szCs w:val="23"/>
        </w:rPr>
        <w:tab/>
        <w:t>a) Água bruta: 01 (uma) análise semestral.</w:t>
      </w:r>
    </w:p>
    <w:p w:rsidR="00BF6853" w:rsidRDefault="0098550E">
      <w:pPr>
        <w:pStyle w:val="NormalWeb"/>
        <w:spacing w:before="0" w:after="0" w:line="276" w:lineRule="auto"/>
        <w:ind w:firstLine="720"/>
        <w:jc w:val="both"/>
        <w:rPr>
          <w:sz w:val="23"/>
          <w:szCs w:val="23"/>
        </w:rPr>
      </w:pPr>
      <w:r>
        <w:rPr>
          <w:rStyle w:val="Forte"/>
          <w:sz w:val="23"/>
          <w:szCs w:val="23"/>
        </w:rPr>
        <w:t>2.8.5. Outros Parâmetros c</w:t>
      </w:r>
      <w:r>
        <w:rPr>
          <w:b/>
          <w:bCs/>
          <w:sz w:val="23"/>
          <w:szCs w:val="23"/>
        </w:rPr>
        <w:t>onforme estabelecido no Anexo 7 do Anexo XX da Portaria de Consolidação nº 5/2017 do Ministério da Saúde e na Portaria SES nº 320/2014 do Estado do Rio Grande do Sul:</w:t>
      </w:r>
      <w:r>
        <w:rPr>
          <w:b/>
          <w:bCs/>
          <w:sz w:val="23"/>
          <w:szCs w:val="23"/>
          <w:highlight w:val="yellow"/>
        </w:rPr>
        <w:br/>
      </w:r>
      <w:r>
        <w:rPr>
          <w:b/>
          <w:bCs/>
          <w:sz w:val="23"/>
          <w:szCs w:val="23"/>
        </w:rPr>
        <w:tab/>
      </w:r>
      <w:r>
        <w:rPr>
          <w:sz w:val="23"/>
          <w:szCs w:val="23"/>
        </w:rPr>
        <w:t>a) Saída do tratamento: 01 (uma) análise anual.</w:t>
      </w:r>
    </w:p>
    <w:p w:rsidR="00BF6853" w:rsidRDefault="0098550E">
      <w:pPr>
        <w:pStyle w:val="NormalWeb"/>
        <w:spacing w:before="0" w:after="0" w:line="276" w:lineRule="auto"/>
        <w:ind w:firstLine="720"/>
        <w:jc w:val="both"/>
        <w:rPr>
          <w:sz w:val="23"/>
          <w:szCs w:val="23"/>
        </w:rPr>
      </w:pPr>
      <w:r>
        <w:rPr>
          <w:rStyle w:val="Forte"/>
          <w:sz w:val="23"/>
          <w:szCs w:val="23"/>
        </w:rPr>
        <w:t>2.8.6. Parâmetros previstos no Anexo I da</w:t>
      </w:r>
      <w:r>
        <w:rPr>
          <w:b/>
          <w:bCs/>
          <w:sz w:val="23"/>
          <w:szCs w:val="23"/>
        </w:rPr>
        <w:t xml:space="preserve"> Resolução CONAMA nº 396/2008</w:t>
      </w:r>
      <w:r>
        <w:rPr>
          <w:sz w:val="23"/>
          <w:szCs w:val="23"/>
        </w:rPr>
        <w:br/>
      </w:r>
      <w:r>
        <w:rPr>
          <w:sz w:val="23"/>
          <w:szCs w:val="23"/>
        </w:rPr>
        <w:tab/>
        <w:t>a) Água bruta: 01 (uma) análise a cada 5 (cinco) anos, devendo a primeira ser realizada obrigatoriamente dentro do primeiro ano de vigência do contrato.</w:t>
      </w:r>
    </w:p>
    <w:p w:rsidR="00BF6853" w:rsidRDefault="0098550E">
      <w:pPr>
        <w:pStyle w:val="NormalWeb"/>
        <w:spacing w:before="0" w:after="0" w:line="276" w:lineRule="auto"/>
        <w:jc w:val="both"/>
        <w:rPr>
          <w:sz w:val="23"/>
          <w:szCs w:val="23"/>
        </w:rPr>
      </w:pPr>
      <w:r>
        <w:rPr>
          <w:rStyle w:val="Forte"/>
          <w:sz w:val="23"/>
          <w:szCs w:val="23"/>
        </w:rPr>
        <w:t>2.9.</w:t>
      </w:r>
      <w:r>
        <w:rPr>
          <w:sz w:val="23"/>
          <w:szCs w:val="23"/>
        </w:rPr>
        <w:t xml:space="preserve"> A Contratada deverá apresentar, até o 10º (décimo) dia do mês subsequente, os laudos das análises realizadas pelo laboratório analítico, acompanhados dos dados referentes ao resumo do controle devidamente preenchido, conforme modelo a ser definido pelo responsável pelo Programa VIGIAGUA do Município.</w:t>
      </w:r>
    </w:p>
    <w:p w:rsidR="00BF6853" w:rsidRDefault="0098550E">
      <w:pPr>
        <w:pStyle w:val="NormalWeb"/>
        <w:spacing w:before="0" w:after="0" w:line="276" w:lineRule="auto"/>
        <w:jc w:val="both"/>
        <w:rPr>
          <w:sz w:val="23"/>
          <w:szCs w:val="23"/>
          <w:highlight w:val="yellow"/>
        </w:rPr>
      </w:pPr>
      <w:r>
        <w:rPr>
          <w:b/>
          <w:bCs/>
          <w:sz w:val="23"/>
          <w:szCs w:val="23"/>
        </w:rPr>
        <w:t xml:space="preserve">2.10. </w:t>
      </w:r>
      <w:r>
        <w:rPr>
          <w:sz w:val="23"/>
          <w:szCs w:val="23"/>
        </w:rPr>
        <w:t xml:space="preserve">No ato da assinatura do contrato, a Contratada deve apresentar a </w:t>
      </w:r>
      <w:r>
        <w:rPr>
          <w:rStyle w:val="Forte"/>
          <w:b w:val="0"/>
          <w:bCs w:val="0"/>
          <w:sz w:val="23"/>
          <w:szCs w:val="23"/>
        </w:rPr>
        <w:t>Anotação de Responsabilidade Técnica (ART)</w:t>
      </w:r>
      <w:r>
        <w:rPr>
          <w:sz w:val="23"/>
          <w:szCs w:val="23"/>
        </w:rPr>
        <w:t xml:space="preserve"> ou </w:t>
      </w:r>
      <w:r>
        <w:rPr>
          <w:rStyle w:val="Forte"/>
          <w:b w:val="0"/>
          <w:bCs w:val="0"/>
          <w:sz w:val="23"/>
          <w:szCs w:val="23"/>
        </w:rPr>
        <w:t>Anotação de Função Técnica (AFT)</w:t>
      </w:r>
      <w:r>
        <w:rPr>
          <w:sz w:val="23"/>
          <w:szCs w:val="23"/>
        </w:rPr>
        <w:t>, contendo a descrição detalhada das atividades pelas quais o profissional será responsável, em conformidade com o contrato de prestação de serviços.</w:t>
      </w:r>
    </w:p>
    <w:p w:rsidR="00BF6853" w:rsidRDefault="00985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2.11. </w:t>
      </w:r>
      <w:r>
        <w:rPr>
          <w:rFonts w:ascii="Times New Roman" w:hAnsi="Times New Roman" w:cs="Times New Roman"/>
          <w:sz w:val="23"/>
          <w:szCs w:val="23"/>
        </w:rPr>
        <w:t>Faz parte integrante deste objeto os materiais, a mão de obra, material de proteção individual e coletiva, equipamentos, ferramentas, utensílios e transporte necessários à execução do objeto, encargos sociais, taxas, encargos ou tributos, alvarás e qualquer outra despesa que vier a incidir sobre o serviço, bem como qualquer responsabilidade no tocante a vínculo empregatício ou obrigações previdenciárias, referentes ao pessoal utilizado nos serviços, no caso de reclamações trabalhistas, ações de responsabilidade civil e penal decorrentes dos serviços, seguros de responsabilidade civil que cubram danos pessoais e materiais a terceiros e ao Município de Teutônia/RS e, ainda, o seguro do pessoal utilizado no serviço, contra riscos de acidente de trabalho e o cumprimento de todas as obrigações que a legislação trabalhista e previdenciária impõe ao empregador, sem quaisquer ônus ou solidariedade por parte do Município de Teutônia/RS.</w:t>
      </w:r>
    </w:p>
    <w:p w:rsidR="00BF6853" w:rsidRDefault="00985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2.12</w:t>
      </w:r>
      <w:r>
        <w:rPr>
          <w:rFonts w:ascii="Times New Roman" w:hAnsi="Times New Roman" w:cs="Times New Roman"/>
          <w:sz w:val="23"/>
          <w:szCs w:val="23"/>
        </w:rPr>
        <w:t>. A Administração reserva-se o direito de pedir a substituição de algum funcionário que não atenda aos serviços solicitados pela Administração.</w:t>
      </w:r>
    </w:p>
    <w:p w:rsidR="00BF6853" w:rsidRDefault="0098550E">
      <w:pPr>
        <w:spacing w:after="0" w:line="276" w:lineRule="auto"/>
        <w:jc w:val="both"/>
        <w:rPr>
          <w:rFonts w:ascii="Times New Roman" w:eastAsia="SimSun" w:hAnsi="Times New Roman" w:cs="Times New Roman"/>
          <w:sz w:val="23"/>
          <w:szCs w:val="23"/>
        </w:rPr>
      </w:pPr>
      <w:r>
        <w:rPr>
          <w:rFonts w:ascii="Times New Roman" w:hAnsi="Times New Roman" w:cs="Times New Roman"/>
          <w:b/>
          <w:bCs/>
          <w:sz w:val="23"/>
          <w:szCs w:val="23"/>
        </w:rPr>
        <w:t>2.13.</w:t>
      </w:r>
      <w:r>
        <w:rPr>
          <w:rFonts w:ascii="Times New Roman" w:hAnsi="Times New Roman" w:cs="Times New Roman"/>
          <w:sz w:val="23"/>
          <w:szCs w:val="23"/>
        </w:rPr>
        <w:t xml:space="preserve"> A Contratada</w:t>
      </w:r>
      <w:r>
        <w:rPr>
          <w:rFonts w:ascii="Times New Roman" w:eastAsia="SimSun" w:hAnsi="Times New Roman" w:cs="Times New Roman"/>
          <w:sz w:val="23"/>
          <w:szCs w:val="23"/>
        </w:rPr>
        <w:t xml:space="preserve"> estará sujeita aos controles de fiscalização e acompanhamento da execução dos serviços, os quais serão realizados pelo Município, através dos fiscais designados.</w:t>
      </w:r>
    </w:p>
    <w:p w:rsidR="00BF6853" w:rsidRDefault="00985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2.14.</w:t>
      </w:r>
      <w:r>
        <w:rPr>
          <w:rFonts w:ascii="Times New Roman" w:hAnsi="Times New Roman" w:cs="Times New Roman"/>
          <w:sz w:val="23"/>
          <w:szCs w:val="23"/>
        </w:rPr>
        <w:t xml:space="preserve"> A Contratada deverá arcar com todas as despesas, diretas ou indiretas, decorrentes do cumprimento das obrigações assumidas, incluindo transporte, hospedagem e alimentação, quando for o caso.</w:t>
      </w:r>
    </w:p>
    <w:p w:rsidR="00BF6853" w:rsidRDefault="00985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2.15.</w:t>
      </w:r>
      <w:r>
        <w:rPr>
          <w:rFonts w:ascii="Times New Roman" w:hAnsi="Times New Roman" w:cs="Times New Roman"/>
          <w:sz w:val="23"/>
          <w:szCs w:val="23"/>
        </w:rPr>
        <w:t xml:space="preserve"> A inobservância das regras estabelecidas neste edital, sujeitará a licitante vencedora a aplicação das penalidades previstas neste edital e/ou na Lei nº 14.133/2021, observada a ampla defesa e o contraditório.</w:t>
      </w:r>
    </w:p>
    <w:p w:rsidR="00BF6853" w:rsidRDefault="00BF6853">
      <w:pPr>
        <w:spacing w:after="0" w:line="276" w:lineRule="auto"/>
        <w:jc w:val="both"/>
        <w:rPr>
          <w:rFonts w:ascii="Times New Roman" w:hAnsi="Times New Roman" w:cs="Times New Roman"/>
          <w:sz w:val="23"/>
          <w:szCs w:val="23"/>
        </w:rPr>
      </w:pPr>
    </w:p>
    <w:p w:rsidR="00BF6853" w:rsidRDefault="0098550E">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TERCEIRA – DO PREÇO</w:t>
      </w:r>
    </w:p>
    <w:p w:rsidR="00BF6853" w:rsidRDefault="0098550E">
      <w:p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 xml:space="preserve">O preço a ser pago pela execução do objeto do presente contrato é de </w:t>
      </w:r>
      <w:proofErr w:type="gramStart"/>
      <w:r>
        <w:rPr>
          <w:rFonts w:ascii="Times New Roman" w:hAnsi="Times New Roman" w:cs="Times New Roman"/>
          <w:sz w:val="23"/>
          <w:szCs w:val="23"/>
        </w:rPr>
        <w:t xml:space="preserve">R$ </w:t>
      </w:r>
      <w:r w:rsidR="00496B2C">
        <w:rPr>
          <w:rFonts w:ascii="Times New Roman" w:hAnsi="Times New Roman" w:cs="Times New Roman"/>
          <w:sz w:val="23"/>
          <w:szCs w:val="23"/>
        </w:rPr>
        <w:t>...</w:t>
      </w:r>
      <w:proofErr w:type="gramEnd"/>
      <w:r w:rsidR="00496B2C">
        <w:rPr>
          <w:rFonts w:ascii="Times New Roman" w:hAnsi="Times New Roman" w:cs="Times New Roman"/>
          <w:sz w:val="23"/>
          <w:szCs w:val="23"/>
        </w:rPr>
        <w:t>(............)</w:t>
      </w:r>
      <w:r>
        <w:rPr>
          <w:rFonts w:ascii="Times New Roman" w:hAnsi="Times New Roman" w:cs="Times New Roman"/>
          <w:sz w:val="23"/>
          <w:szCs w:val="23"/>
        </w:rPr>
        <w:t xml:space="preserve"> mensais, conforme consta na proposta vencedora da licitação, entendido este como preço justo e suficiente para a total execução do presente objeto.</w:t>
      </w:r>
    </w:p>
    <w:p w:rsidR="00BF6853" w:rsidRDefault="0098550E">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rPr>
        <w:lastRenderedPageBreak/>
        <w:t>3.2</w:t>
      </w:r>
      <w:r>
        <w:rPr>
          <w:rFonts w:ascii="Times New Roman" w:hAnsi="Times New Roman" w:cs="Times New Roman"/>
          <w:sz w:val="23"/>
          <w:szCs w:val="23"/>
        </w:rPr>
        <w:t xml:space="preserve"> Os valores pactuados poderão ser reajustados após o interstício de 12 meses da pactuação, utilizando-se o índice do IPCA, ou índice que vier a substituí-lo, </w:t>
      </w:r>
      <w:r>
        <w:rPr>
          <w:rFonts w:ascii="Times New Roman" w:hAnsi="Times New Roman" w:cs="Times New Roman"/>
          <w:sz w:val="23"/>
          <w:szCs w:val="23"/>
          <w:lang w:eastAsia="en-US"/>
        </w:rPr>
        <w:t>mediante a formalização de instrumento hábil para tal.</w:t>
      </w:r>
    </w:p>
    <w:p w:rsidR="00BF6853" w:rsidRDefault="0098550E">
      <w:p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p>
    <w:p w:rsidR="00BF6853" w:rsidRDefault="0098550E">
      <w:pPr>
        <w:tabs>
          <w:tab w:val="left" w:pos="1418"/>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QUARTA – DAS CONDIÇÕES DE PAGAMENTO</w:t>
      </w:r>
    </w:p>
    <w:p w:rsidR="00BF6853" w:rsidRDefault="0098550E">
      <w:pPr>
        <w:pStyle w:val="NormalWeb"/>
        <w:spacing w:before="0" w:after="0" w:line="276" w:lineRule="auto"/>
        <w:jc w:val="both"/>
        <w:rPr>
          <w:sz w:val="23"/>
          <w:szCs w:val="23"/>
        </w:rPr>
      </w:pPr>
      <w:r>
        <w:rPr>
          <w:b/>
          <w:bCs/>
          <w:sz w:val="23"/>
          <w:szCs w:val="23"/>
        </w:rPr>
        <w:t>4.1</w:t>
      </w:r>
      <w:r>
        <w:rPr>
          <w:sz w:val="23"/>
          <w:szCs w:val="23"/>
        </w:rPr>
        <w:t>. O pagamento será realizado mensalmente à CONTRATADA,</w:t>
      </w:r>
      <w:proofErr w:type="gramStart"/>
      <w:r>
        <w:rPr>
          <w:sz w:val="23"/>
          <w:szCs w:val="23"/>
        </w:rPr>
        <w:t xml:space="preserve">  </w:t>
      </w:r>
      <w:proofErr w:type="gramEnd"/>
      <w:r>
        <w:rPr>
          <w:sz w:val="23"/>
          <w:szCs w:val="23"/>
        </w:rPr>
        <w:t>de acordo com a proposta de preços acordada em licitação</w:t>
      </w:r>
      <w:r>
        <w:rPr>
          <w:rFonts w:eastAsia="Arial Unicode MS"/>
          <w:sz w:val="23"/>
          <w:szCs w:val="23"/>
        </w:rPr>
        <w:t xml:space="preserve">, </w:t>
      </w:r>
      <w:r>
        <w:rPr>
          <w:sz w:val="23"/>
          <w:szCs w:val="23"/>
        </w:rPr>
        <w:t>mediante apresentação da No</w:t>
      </w:r>
      <w:r>
        <w:rPr>
          <w:rStyle w:val="Forte"/>
          <w:b w:val="0"/>
          <w:bCs w:val="0"/>
          <w:sz w:val="23"/>
          <w:szCs w:val="23"/>
        </w:rPr>
        <w:t>ta Fiscal</w:t>
      </w:r>
      <w:r>
        <w:rPr>
          <w:sz w:val="23"/>
          <w:szCs w:val="23"/>
        </w:rPr>
        <w:t xml:space="preserve"> junto à Secretaria requisitante, órgão responsável pelo gerenciamento e fiscalização do objeto,</w:t>
      </w:r>
      <w:r>
        <w:rPr>
          <w:rStyle w:val="Forte"/>
          <w:b w:val="0"/>
          <w:bCs w:val="0"/>
          <w:sz w:val="23"/>
          <w:szCs w:val="23"/>
        </w:rPr>
        <w:t xml:space="preserve"> acompanhada de relatório discriminativo dos serviços executados.</w:t>
      </w:r>
    </w:p>
    <w:p w:rsidR="00496B2C" w:rsidRDefault="0098550E">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4.2. </w:t>
      </w:r>
      <w:r w:rsidR="00496B2C" w:rsidRPr="00496B2C">
        <w:rPr>
          <w:rFonts w:ascii="Times New Roman" w:hAnsi="Times New Roman" w:cs="Times New Roman"/>
          <w:sz w:val="23"/>
          <w:szCs w:val="23"/>
        </w:rPr>
        <w:t>As notas fiscais deverão ser encaminhadas dentro do mês de competência aos e-mails </w:t>
      </w:r>
      <w:r w:rsidR="00496B2C" w:rsidRPr="00496B2C">
        <w:rPr>
          <w:rFonts w:ascii="Times New Roman" w:hAnsi="Times New Roman" w:cs="Times New Roman"/>
          <w:b/>
          <w:bCs/>
          <w:sz w:val="23"/>
          <w:szCs w:val="23"/>
        </w:rPr>
        <w:t>compras1@teutonia.rs.gov.br</w:t>
      </w:r>
      <w:r w:rsidR="00496B2C" w:rsidRPr="00496B2C">
        <w:rPr>
          <w:rFonts w:ascii="Times New Roman" w:hAnsi="Times New Roman" w:cs="Times New Roman"/>
          <w:sz w:val="23"/>
          <w:szCs w:val="23"/>
        </w:rPr>
        <w:t> e </w:t>
      </w:r>
      <w:r w:rsidR="00496B2C" w:rsidRPr="00496B2C">
        <w:rPr>
          <w:rFonts w:ascii="Times New Roman" w:hAnsi="Times New Roman" w:cs="Times New Roman"/>
          <w:b/>
          <w:bCs/>
          <w:sz w:val="23"/>
          <w:szCs w:val="23"/>
        </w:rPr>
        <w:t>obras@teutonia.rs.gov.br</w:t>
      </w:r>
      <w:r w:rsidR="00496B2C" w:rsidRPr="00496B2C">
        <w:rPr>
          <w:rFonts w:ascii="Times New Roman" w:hAnsi="Times New Roman" w:cs="Times New Roman"/>
          <w:sz w:val="23"/>
          <w:szCs w:val="23"/>
        </w:rPr>
        <w:t>, devendo ser emitidas em nome da Prefeitura Municipal de Teutônia, inscrita no CNPJ sob nº 88.661.400/0001-99.</w:t>
      </w:r>
      <w:r w:rsidR="00496B2C" w:rsidRPr="00496B2C">
        <w:rPr>
          <w:rFonts w:ascii="Times New Roman" w:hAnsi="Times New Roman" w:cs="Times New Roman"/>
          <w:b/>
          <w:bCs/>
          <w:sz w:val="23"/>
          <w:szCs w:val="23"/>
        </w:rPr>
        <w:t xml:space="preserve"> </w:t>
      </w:r>
    </w:p>
    <w:p w:rsidR="00BF6853" w:rsidRDefault="0098550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4.3. </w:t>
      </w:r>
      <w:r>
        <w:rPr>
          <w:rFonts w:ascii="Times New Roman" w:hAnsi="Times New Roman" w:cs="Times New Roman"/>
          <w:sz w:val="23"/>
          <w:szCs w:val="23"/>
        </w:rPr>
        <w:t xml:space="preserve">O pagamento será feito pelo Contratante, até o 10º (décimo) dia útil após a apresentação da Nota Fiscal, através de transferência bancária ou boleto, uma vez satisfeitas às condições estabelecidas neste instrumento convocatório e ateste do fiscal do contrato.  </w:t>
      </w:r>
    </w:p>
    <w:p w:rsidR="00BF6853" w:rsidRDefault="0098550E">
      <w:pPr>
        <w:pStyle w:val="Corpodetexto"/>
        <w:tabs>
          <w:tab w:val="left" w:pos="1418"/>
          <w:tab w:val="left" w:pos="4253"/>
        </w:tabs>
        <w:spacing w:line="276" w:lineRule="auto"/>
        <w:rPr>
          <w:rFonts w:ascii="Times New Roman" w:hAnsi="Times New Roman" w:cs="Times New Roman"/>
          <w:sz w:val="23"/>
          <w:szCs w:val="23"/>
        </w:rPr>
      </w:pPr>
      <w:r>
        <w:rPr>
          <w:rFonts w:ascii="Times New Roman" w:hAnsi="Times New Roman" w:cs="Times New Roman"/>
          <w:b/>
          <w:bCs/>
          <w:sz w:val="23"/>
          <w:szCs w:val="23"/>
        </w:rPr>
        <w:t xml:space="preserve">4.4. </w:t>
      </w:r>
      <w:r>
        <w:rPr>
          <w:rFonts w:ascii="Times New Roman" w:hAnsi="Times New Roman" w:cs="Times New Roman"/>
          <w:sz w:val="23"/>
          <w:szCs w:val="23"/>
        </w:rPr>
        <w:t>A Nota Fiscal/fatura emitida pelo fornecedor deverá conter, em local de fácil visualização, a indicação do número do pregão eletrônico e do contrato, a fim de se acelerar a liberação do documento fiscal para pagamento.</w:t>
      </w:r>
    </w:p>
    <w:p w:rsidR="00BF6853" w:rsidRDefault="0098550E">
      <w:pPr>
        <w:pStyle w:val="NormalWeb"/>
        <w:shd w:val="clear" w:color="auto" w:fill="FFFFFF"/>
        <w:spacing w:before="0" w:after="0" w:line="276" w:lineRule="auto"/>
        <w:jc w:val="both"/>
        <w:rPr>
          <w:sz w:val="23"/>
          <w:szCs w:val="23"/>
        </w:rPr>
      </w:pPr>
      <w:r>
        <w:rPr>
          <w:b/>
          <w:bCs/>
          <w:sz w:val="23"/>
          <w:szCs w:val="23"/>
        </w:rPr>
        <w:t xml:space="preserve">4.5. </w:t>
      </w:r>
      <w:r>
        <w:rPr>
          <w:sz w:val="23"/>
          <w:szCs w:val="23"/>
        </w:rPr>
        <w:t>Serão processadas as retenções tributárias e previdenciárias nos termos da legislação que regula a matéria.</w:t>
      </w:r>
    </w:p>
    <w:p w:rsidR="00BF6853" w:rsidRDefault="0098550E" w:rsidP="00496B2C">
      <w:pPr>
        <w:pStyle w:val="NormalWeb"/>
        <w:shd w:val="clear" w:color="auto" w:fill="FFFFFF"/>
        <w:snapToGrid w:val="0"/>
        <w:spacing w:before="0" w:after="0" w:line="276" w:lineRule="auto"/>
        <w:jc w:val="both"/>
        <w:rPr>
          <w:sz w:val="23"/>
          <w:szCs w:val="23"/>
        </w:rPr>
      </w:pPr>
      <w:r>
        <w:rPr>
          <w:b/>
          <w:bCs/>
          <w:sz w:val="23"/>
          <w:szCs w:val="23"/>
        </w:rPr>
        <w:t xml:space="preserve">4.6. </w:t>
      </w:r>
      <w:r w:rsidR="00496B2C" w:rsidRPr="00496B2C">
        <w:rPr>
          <w:sz w:val="23"/>
          <w:szCs w:val="23"/>
        </w:rPr>
        <w:t>Quando aplicável, será realizada a retenção de Imposto de Renda na forma da Instrução Normativa RFB nº 1.234/2012 e do Decreto Municipal nº 3.120/2022, ou norma que vier a substituí-los.</w:t>
      </w:r>
    </w:p>
    <w:p w:rsidR="00496B2C" w:rsidRDefault="00496B2C" w:rsidP="00496B2C">
      <w:pPr>
        <w:pStyle w:val="NormalWeb"/>
        <w:shd w:val="clear" w:color="auto" w:fill="FFFFFF"/>
        <w:snapToGrid w:val="0"/>
        <w:spacing w:before="0" w:after="0" w:line="276" w:lineRule="auto"/>
        <w:jc w:val="both"/>
        <w:rPr>
          <w:sz w:val="23"/>
          <w:szCs w:val="23"/>
        </w:rPr>
      </w:pPr>
      <w:r w:rsidRPr="00496B2C">
        <w:rPr>
          <w:b/>
          <w:bCs/>
          <w:sz w:val="23"/>
          <w:szCs w:val="23"/>
        </w:rPr>
        <w:t>4.7</w:t>
      </w:r>
      <w:r>
        <w:rPr>
          <w:sz w:val="23"/>
          <w:szCs w:val="23"/>
        </w:rPr>
        <w:t xml:space="preserve"> </w:t>
      </w:r>
      <w:r w:rsidRPr="00496B2C">
        <w:rPr>
          <w:sz w:val="23"/>
          <w:szCs w:val="23"/>
        </w:rPr>
        <w:t>Havendo erro na apresentação da Nota Fiscal ou circunstância que impeça a liquidação da despesa, a contagem do prazo para pagamento ficará suspensa até a regularização da documentação, sem ônus para o CONTRATANTE.</w:t>
      </w:r>
    </w:p>
    <w:p w:rsidR="00496B2C" w:rsidRDefault="00496B2C" w:rsidP="00496B2C">
      <w:pPr>
        <w:pStyle w:val="NormalWeb"/>
        <w:shd w:val="clear" w:color="auto" w:fill="FFFFFF"/>
        <w:snapToGrid w:val="0"/>
        <w:spacing w:before="0" w:after="0" w:line="276" w:lineRule="auto"/>
        <w:jc w:val="both"/>
        <w:rPr>
          <w:sz w:val="23"/>
          <w:szCs w:val="23"/>
        </w:rPr>
      </w:pPr>
    </w:p>
    <w:p w:rsidR="00BF6853" w:rsidRDefault="0098550E">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QUINTA – DOS PRAZOS</w:t>
      </w:r>
    </w:p>
    <w:p w:rsidR="00BF6853" w:rsidRDefault="0098550E">
      <w:pPr>
        <w:widowControl w:val="0"/>
        <w:autoSpaceDE w:val="0"/>
        <w:autoSpaceDN w:val="0"/>
        <w:spacing w:after="0" w:line="276" w:lineRule="auto"/>
        <w:jc w:val="both"/>
        <w:outlineLvl w:val="0"/>
        <w:rPr>
          <w:rFonts w:ascii="Times New Roman" w:hAnsi="Times New Roman" w:cs="Times New Roman"/>
          <w:b/>
          <w:bCs/>
          <w:sz w:val="23"/>
          <w:szCs w:val="23"/>
          <w:lang w:eastAsia="en-US"/>
        </w:rPr>
      </w:pPr>
      <w:r>
        <w:rPr>
          <w:rFonts w:ascii="Times New Roman" w:hAnsi="Times New Roman" w:cs="Times New Roman"/>
          <w:b/>
          <w:bCs/>
          <w:sz w:val="23"/>
          <w:szCs w:val="23"/>
        </w:rPr>
        <w:t xml:space="preserve">5.1. </w:t>
      </w:r>
      <w:r>
        <w:rPr>
          <w:rStyle w:val="Forte"/>
          <w:rFonts w:ascii="Times New Roman" w:hAnsi="Times New Roman" w:cs="Times New Roman"/>
          <w:sz w:val="23"/>
          <w:szCs w:val="23"/>
        </w:rPr>
        <w:t>A vigência do presente contrato será de 12 (doze) meses, vigorando de</w:t>
      </w:r>
      <w:r>
        <w:rPr>
          <w:rFonts w:ascii="Times New Roman" w:hAnsi="Times New Roman" w:cs="Times New Roman"/>
          <w:sz w:val="23"/>
          <w:szCs w:val="23"/>
          <w:lang w:eastAsia="en-US"/>
        </w:rPr>
        <w:t xml:space="preserve"> XXXX</w:t>
      </w:r>
      <w:r>
        <w:rPr>
          <w:rFonts w:ascii="Times New Roman" w:hAnsi="Times New Roman" w:cs="Times New Roman"/>
          <w:b/>
          <w:bCs/>
          <w:sz w:val="23"/>
          <w:szCs w:val="23"/>
          <w:lang w:eastAsia="en-US"/>
        </w:rPr>
        <w:t xml:space="preserve"> </w:t>
      </w:r>
      <w:r w:rsidR="00496B2C">
        <w:rPr>
          <w:rFonts w:ascii="Times New Roman" w:hAnsi="Times New Roman" w:cs="Times New Roman"/>
          <w:b/>
          <w:bCs/>
          <w:sz w:val="23"/>
          <w:szCs w:val="23"/>
          <w:lang w:eastAsia="en-US"/>
        </w:rPr>
        <w:t>até</w:t>
      </w:r>
      <w:r>
        <w:rPr>
          <w:rFonts w:ascii="Times New Roman" w:hAnsi="Times New Roman" w:cs="Times New Roman"/>
          <w:b/>
          <w:bCs/>
          <w:sz w:val="23"/>
          <w:szCs w:val="23"/>
          <w:lang w:eastAsia="en-US"/>
        </w:rPr>
        <w:t xml:space="preserve"> </w:t>
      </w:r>
      <w:r>
        <w:rPr>
          <w:rFonts w:ascii="Times New Roman" w:hAnsi="Times New Roman" w:cs="Times New Roman"/>
          <w:sz w:val="23"/>
          <w:szCs w:val="23"/>
          <w:lang w:eastAsia="en-US"/>
        </w:rPr>
        <w:t>XXXX</w:t>
      </w:r>
      <w:r>
        <w:rPr>
          <w:rFonts w:ascii="Times New Roman" w:hAnsi="Times New Roman" w:cs="Times New Roman"/>
          <w:b/>
          <w:bCs/>
          <w:sz w:val="23"/>
          <w:szCs w:val="23"/>
          <w:lang w:eastAsia="en-US"/>
        </w:rPr>
        <w:t xml:space="preserve">. </w:t>
      </w:r>
    </w:p>
    <w:p w:rsidR="00BF6853" w:rsidRDefault="0098550E">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5.1.1.</w:t>
      </w:r>
      <w:r>
        <w:rPr>
          <w:rFonts w:ascii="Times New Roman" w:hAnsi="Times New Roman" w:cs="Times New Roman"/>
          <w:sz w:val="23"/>
          <w:szCs w:val="23"/>
          <w:lang w:eastAsia="en-US"/>
        </w:rPr>
        <w:t xml:space="preserve"> Poderá</w:t>
      </w:r>
      <w:r>
        <w:rPr>
          <w:rFonts w:ascii="Times New Roman" w:hAnsi="Times New Roman" w:cs="Times New Roman"/>
          <w:spacing w:val="44"/>
          <w:sz w:val="23"/>
          <w:szCs w:val="23"/>
          <w:lang w:eastAsia="en-US"/>
        </w:rPr>
        <w:t xml:space="preserve"> </w:t>
      </w:r>
      <w:r>
        <w:rPr>
          <w:rFonts w:ascii="Times New Roman" w:hAnsi="Times New Roman" w:cs="Times New Roman"/>
          <w:sz w:val="23"/>
          <w:szCs w:val="23"/>
          <w:lang w:eastAsia="en-US"/>
        </w:rPr>
        <w:t>haver</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prorrogação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prazo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45"/>
          <w:sz w:val="23"/>
          <w:szCs w:val="23"/>
          <w:lang w:eastAsia="en-US"/>
        </w:rPr>
        <w:t xml:space="preserve"> </w:t>
      </w:r>
      <w:r>
        <w:rPr>
          <w:rFonts w:ascii="Times New Roman" w:hAnsi="Times New Roman" w:cs="Times New Roman"/>
          <w:sz w:val="23"/>
          <w:szCs w:val="23"/>
          <w:lang w:eastAsia="en-US"/>
        </w:rPr>
        <w:t>vigência</w:t>
      </w:r>
      <w:r>
        <w:rPr>
          <w:rFonts w:ascii="Times New Roman" w:hAnsi="Times New Roman" w:cs="Times New Roman"/>
          <w:spacing w:val="45"/>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presente</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contrato,</w:t>
      </w:r>
      <w:r>
        <w:rPr>
          <w:rFonts w:ascii="Times New Roman" w:hAnsi="Times New Roman" w:cs="Times New Roman"/>
          <w:spacing w:val="47"/>
          <w:sz w:val="23"/>
          <w:szCs w:val="23"/>
          <w:lang w:eastAsia="en-US"/>
        </w:rPr>
        <w:t xml:space="preserve"> </w:t>
      </w:r>
      <w:r>
        <w:rPr>
          <w:rFonts w:ascii="Times New Roman" w:hAnsi="Times New Roman" w:cs="Times New Roman"/>
          <w:sz w:val="23"/>
          <w:szCs w:val="23"/>
          <w:lang w:eastAsia="en-US"/>
        </w:rPr>
        <w:t>limitado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45"/>
          <w:sz w:val="23"/>
          <w:szCs w:val="23"/>
          <w:lang w:eastAsia="en-US"/>
        </w:rPr>
        <w:t xml:space="preserve"> </w:t>
      </w:r>
      <w:r>
        <w:rPr>
          <w:rFonts w:ascii="Times New Roman" w:hAnsi="Times New Roman" w:cs="Times New Roman"/>
          <w:sz w:val="23"/>
          <w:szCs w:val="23"/>
          <w:lang w:eastAsia="en-US"/>
        </w:rPr>
        <w:t>120 (cento e vinte) meses,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forma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estipulada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pela Lei 14.133/2021.</w:t>
      </w:r>
    </w:p>
    <w:p w:rsidR="00BF6853" w:rsidRDefault="0098550E">
      <w:pPr>
        <w:widowControl w:val="0"/>
        <w:tabs>
          <w:tab w:val="left" w:pos="558"/>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5.2.</w:t>
      </w:r>
      <w:r>
        <w:rPr>
          <w:rFonts w:ascii="Times New Roman" w:hAnsi="Times New Roman" w:cs="Times New Roman"/>
          <w:sz w:val="23"/>
          <w:szCs w:val="23"/>
          <w:lang w:eastAsia="en-US"/>
        </w:rPr>
        <w:t xml:space="preserve"> A</w:t>
      </w:r>
      <w:r>
        <w:rPr>
          <w:rFonts w:ascii="Times New Roman" w:hAnsi="Times New Roman" w:cs="Times New Roman"/>
          <w:spacing w:val="53"/>
          <w:sz w:val="23"/>
          <w:szCs w:val="23"/>
          <w:lang w:eastAsia="en-US"/>
        </w:rPr>
        <w:t xml:space="preserve"> </w:t>
      </w:r>
      <w:r>
        <w:rPr>
          <w:rFonts w:ascii="Times New Roman" w:hAnsi="Times New Roman" w:cs="Times New Roman"/>
          <w:sz w:val="23"/>
          <w:szCs w:val="23"/>
          <w:lang w:eastAsia="en-US"/>
        </w:rPr>
        <w:t>Contratada</w:t>
      </w:r>
      <w:r>
        <w:rPr>
          <w:rFonts w:ascii="Times New Roman" w:hAnsi="Times New Roman" w:cs="Times New Roman"/>
          <w:spacing w:val="10"/>
          <w:sz w:val="23"/>
          <w:szCs w:val="23"/>
          <w:lang w:eastAsia="en-US"/>
        </w:rPr>
        <w:t xml:space="preserve"> </w:t>
      </w:r>
      <w:r>
        <w:rPr>
          <w:rFonts w:ascii="Times New Roman" w:hAnsi="Times New Roman" w:cs="Times New Roman"/>
          <w:sz w:val="23"/>
          <w:szCs w:val="23"/>
          <w:lang w:eastAsia="en-US"/>
        </w:rPr>
        <w:t>fica</w:t>
      </w:r>
      <w:r>
        <w:rPr>
          <w:rFonts w:ascii="Times New Roman" w:hAnsi="Times New Roman" w:cs="Times New Roman"/>
          <w:spacing w:val="10"/>
          <w:sz w:val="23"/>
          <w:szCs w:val="23"/>
          <w:lang w:eastAsia="en-US"/>
        </w:rPr>
        <w:t xml:space="preserve"> </w:t>
      </w:r>
      <w:r>
        <w:rPr>
          <w:rFonts w:ascii="Times New Roman" w:hAnsi="Times New Roman" w:cs="Times New Roman"/>
          <w:sz w:val="23"/>
          <w:szCs w:val="23"/>
          <w:lang w:eastAsia="en-US"/>
        </w:rPr>
        <w:t>sujeita</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compromete-se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cumprir</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os</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prazos</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que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53"/>
          <w:sz w:val="23"/>
          <w:szCs w:val="23"/>
          <w:lang w:eastAsia="en-US"/>
        </w:rPr>
        <w:t xml:space="preserve"> </w:t>
      </w:r>
      <w:r>
        <w:rPr>
          <w:rFonts w:ascii="Times New Roman" w:hAnsi="Times New Roman" w:cs="Times New Roman"/>
          <w:sz w:val="23"/>
          <w:szCs w:val="23"/>
          <w:lang w:eastAsia="en-US"/>
        </w:rPr>
        <w:t>Administração</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Municipal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determinar para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realização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dos serviços objeto deste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contrato.</w:t>
      </w:r>
    </w:p>
    <w:p w:rsidR="00BF6853" w:rsidRDefault="00BF6853">
      <w:pPr>
        <w:pStyle w:val="Corpodetexto"/>
        <w:tabs>
          <w:tab w:val="left" w:pos="1418"/>
          <w:tab w:val="left" w:pos="4253"/>
        </w:tabs>
        <w:rPr>
          <w:rFonts w:ascii="Times New Roman" w:hAnsi="Times New Roman"/>
          <w:sz w:val="23"/>
          <w:szCs w:val="23"/>
        </w:rPr>
      </w:pPr>
    </w:p>
    <w:p w:rsidR="00BF6853" w:rsidRDefault="0098550E">
      <w:pPr>
        <w:tabs>
          <w:tab w:val="left" w:pos="4253"/>
        </w:tabs>
        <w:spacing w:after="0" w:line="240" w:lineRule="auto"/>
        <w:rPr>
          <w:rFonts w:ascii="Times New Roman" w:hAnsi="Times New Roman" w:cs="Times New Roman"/>
          <w:b/>
          <w:sz w:val="23"/>
          <w:szCs w:val="23"/>
        </w:rPr>
      </w:pPr>
      <w:r>
        <w:rPr>
          <w:rFonts w:ascii="Times New Roman" w:hAnsi="Times New Roman" w:cs="Times New Roman"/>
          <w:b/>
          <w:sz w:val="23"/>
          <w:szCs w:val="23"/>
        </w:rPr>
        <w:t>CLÁUSULA SEXTA – DO RECURSO FINANCEIRO</w:t>
      </w:r>
    </w:p>
    <w:p w:rsidR="00BF6853" w:rsidRDefault="0098550E">
      <w:pPr>
        <w:spacing w:after="0"/>
        <w:jc w:val="both"/>
        <w:rPr>
          <w:rFonts w:ascii="Times New Roman" w:hAnsi="Times New Roman" w:cs="Times New Roman"/>
          <w:sz w:val="23"/>
          <w:szCs w:val="23"/>
        </w:rPr>
      </w:pPr>
      <w:r>
        <w:rPr>
          <w:rFonts w:ascii="Times New Roman" w:hAnsi="Times New Roman" w:cs="Times New Roman"/>
          <w:b/>
          <w:bCs/>
          <w:sz w:val="23"/>
          <w:szCs w:val="23"/>
        </w:rPr>
        <w:t xml:space="preserve">6.1. </w:t>
      </w:r>
      <w:r>
        <w:rPr>
          <w:rFonts w:ascii="Times New Roman" w:hAnsi="Times New Roman" w:cs="Times New Roman"/>
          <w:sz w:val="23"/>
          <w:szCs w:val="23"/>
        </w:rPr>
        <w:t>As despesas do presente contrato correrão à conta das seguintes dotações orçamentárias:</w:t>
      </w:r>
    </w:p>
    <w:p w:rsidR="00BF6853" w:rsidRPr="00496B2C" w:rsidRDefault="00496B2C">
      <w:pPr>
        <w:pStyle w:val="Corpodetexto"/>
        <w:tabs>
          <w:tab w:val="left" w:pos="1418"/>
          <w:tab w:val="left" w:pos="4253"/>
        </w:tabs>
        <w:rPr>
          <w:rFonts w:ascii="Times New Roman" w:eastAsia="Calibri" w:hAnsi="Times New Roman" w:cs="Times New Roman"/>
          <w:color w:val="000000"/>
          <w:sz w:val="23"/>
          <w:szCs w:val="23"/>
          <w:lang w:eastAsia="pt-BR"/>
        </w:rPr>
      </w:pPr>
      <w:r w:rsidRPr="00496B2C">
        <w:rPr>
          <w:rFonts w:ascii="Times New Roman" w:eastAsia="Calibri" w:hAnsi="Times New Roman" w:cs="Times New Roman"/>
          <w:color w:val="000000"/>
          <w:sz w:val="23"/>
          <w:szCs w:val="23"/>
          <w:lang w:eastAsia="pt-BR"/>
        </w:rPr>
        <w:t>03 – Secretaria Municipal de Obras, Viação e Transportes</w:t>
      </w:r>
      <w:r w:rsidRPr="00496B2C">
        <w:rPr>
          <w:rFonts w:ascii="Times New Roman" w:eastAsia="Calibri" w:hAnsi="Times New Roman" w:cs="Times New Roman"/>
          <w:color w:val="000000"/>
          <w:sz w:val="23"/>
          <w:szCs w:val="23"/>
          <w:lang w:eastAsia="pt-BR"/>
        </w:rPr>
        <w:br/>
        <w:t>04 – Setor de Abastecimento de Água</w:t>
      </w:r>
      <w:r w:rsidRPr="00496B2C">
        <w:rPr>
          <w:rFonts w:ascii="Times New Roman" w:eastAsia="Calibri" w:hAnsi="Times New Roman" w:cs="Times New Roman"/>
          <w:color w:val="000000"/>
          <w:sz w:val="23"/>
          <w:szCs w:val="23"/>
          <w:lang w:eastAsia="pt-BR"/>
        </w:rPr>
        <w:br/>
        <w:t>17.512.0060.2015 – Manutenção das Atividades do Setor</w:t>
      </w:r>
      <w:r w:rsidRPr="00496B2C">
        <w:rPr>
          <w:rFonts w:ascii="Times New Roman" w:eastAsia="Calibri" w:hAnsi="Times New Roman" w:cs="Times New Roman"/>
          <w:color w:val="000000"/>
          <w:sz w:val="23"/>
          <w:szCs w:val="23"/>
          <w:lang w:eastAsia="pt-BR"/>
        </w:rPr>
        <w:br/>
        <w:t>3.3.3.90.39.00.00.00.00 – Outros Serviços de Terceiros – Pessoa Jurídica – 584</w:t>
      </w:r>
    </w:p>
    <w:p w:rsidR="00496B2C" w:rsidRDefault="00496B2C">
      <w:pPr>
        <w:pStyle w:val="Corpodetexto"/>
        <w:tabs>
          <w:tab w:val="left" w:pos="1418"/>
          <w:tab w:val="left" w:pos="4253"/>
        </w:tabs>
        <w:rPr>
          <w:rFonts w:ascii="Times New Roman" w:hAnsi="Times New Roman"/>
          <w:sz w:val="23"/>
          <w:szCs w:val="23"/>
        </w:rPr>
      </w:pPr>
    </w:p>
    <w:p w:rsidR="00BF6853" w:rsidRDefault="0098550E">
      <w:pPr>
        <w:tabs>
          <w:tab w:val="left" w:pos="1418"/>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SÉTIMA – DAS OBRIGAÇÕES DA CONTRATANTE</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7.1. </w:t>
      </w:r>
      <w:r>
        <w:rPr>
          <w:rFonts w:ascii="Times New Roman" w:hAnsi="Times New Roman" w:cs="Times New Roman"/>
          <w:sz w:val="23"/>
          <w:szCs w:val="23"/>
        </w:rPr>
        <w:t>São obrigações do CONTRATANTE:</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I - Efetuar o devido pagamento à CONTRATADA referente aos serviços executados, nos termos do presente instrumento;</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 - Dar à CONTRATADA as condições necessárias à regular execução do contrato;</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III – Determinar as providências necessárias quando os serviços não estiverem sendo realizados na forma estipulada no edital e no presente contrato, sem prejuízo da aplicação das sanções pertinentes, quando for o caso;</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IV - Designar servidor pertencente ao quadro do CONTRATANTE, para ser responsável pelo acompanhamento e fiscalização da execução dos serviços objeto desse contrato.</w:t>
      </w:r>
    </w:p>
    <w:p w:rsidR="00BF6853" w:rsidRDefault="00BF6853">
      <w:pPr>
        <w:tabs>
          <w:tab w:val="left" w:pos="1418"/>
          <w:tab w:val="left" w:pos="4253"/>
        </w:tabs>
        <w:spacing w:after="0" w:line="240" w:lineRule="auto"/>
        <w:jc w:val="both"/>
        <w:rPr>
          <w:rFonts w:ascii="Times New Roman" w:hAnsi="Times New Roman" w:cs="Times New Roman"/>
          <w:b/>
          <w:sz w:val="23"/>
          <w:szCs w:val="23"/>
        </w:rPr>
      </w:pPr>
    </w:p>
    <w:p w:rsidR="00BF6853" w:rsidRDefault="0098550E">
      <w:pPr>
        <w:tabs>
          <w:tab w:val="left" w:pos="1418"/>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OITAVA – DAS OBRIGAÇÕES DA CONTRATADA</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8.1. </w:t>
      </w:r>
      <w:r>
        <w:rPr>
          <w:rFonts w:ascii="Times New Roman" w:hAnsi="Times New Roman" w:cs="Times New Roman"/>
          <w:sz w:val="23"/>
          <w:szCs w:val="23"/>
        </w:rPr>
        <w:t>São obrigações da CONTRATADA:</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 – Executar a os serviços observando fielmente as disposições contidas em edital e em contrato, bem como nos termos da sua proposta;</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 - Indicar preposto para ser seu representante durante a execução do presente contrato;</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IV - Manter durante a execução do contrato, em compatibilidade com as obrigações assumidas, todas as condições de habilitação e qualificação exigidas na licitação;</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 – Cumprir as exigências de reserva de cargos prevista em lei, bem como em outras normas específicas, para pessoa com deficiência, para reabilitado da Previdência Social e para aprendiz;</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 - Observar durante a execução do contrato as normas técnicas aplicáveis à execução dos serviços, visando sua perfeita execução.</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VII - Zelar pelo cumprimento, por parte de seus empregados, das normas do Ministério do Trabalho, cabendo à CONTRATADA o fornecimento de equipamentos de proteção individual (EPI);</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VIII - Responsabilizar-se por todos os danos causados por seus funcionários à CONTRATANTE e/ou terceiros, decorrentes de culpa ou dolo, devidamente apurados mediante processo administrativo, quando da execução dos serviços;</w:t>
      </w:r>
    </w:p>
    <w:p w:rsidR="00BF6853" w:rsidRDefault="0098550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IX - Reparar e/ou corrigir, às suas expensas, os serviços efetuados em que se verificar vícios, defeitos ou incorreções resultantes da execução do serviço contratado;</w:t>
      </w:r>
    </w:p>
    <w:p w:rsidR="00BF6853" w:rsidRDefault="0098550E" w:rsidP="0098550E">
      <w:pPr>
        <w:tabs>
          <w:tab w:val="left" w:pos="1418"/>
          <w:tab w:val="left" w:pos="4253"/>
        </w:tabs>
        <w:spacing w:after="0" w:line="276" w:lineRule="auto"/>
        <w:ind w:firstLineChars="386" w:firstLine="888"/>
        <w:jc w:val="both"/>
        <w:rPr>
          <w:rFonts w:ascii="Times New Roman" w:hAnsi="Times New Roman" w:cs="Times New Roman"/>
          <w:sz w:val="23"/>
          <w:szCs w:val="23"/>
        </w:rPr>
      </w:pPr>
      <w:r>
        <w:rPr>
          <w:rFonts w:ascii="Times New Roman" w:hAnsi="Times New Roman" w:cs="Times New Roman"/>
          <w:sz w:val="23"/>
          <w:szCs w:val="23"/>
        </w:rPr>
        <w:t>Parágrafo único. Executar as obrigações assumidas no presente contrato por seus próprios meios, não sendo admitida a subcontratação não prevista em edital e em contrato.</w:t>
      </w:r>
    </w:p>
    <w:p w:rsidR="00BF6853" w:rsidRDefault="0098550E">
      <w:pPr>
        <w:tabs>
          <w:tab w:val="left" w:pos="1418"/>
          <w:tab w:val="left" w:pos="4253"/>
        </w:tabs>
        <w:spacing w:after="0" w:line="240" w:lineRule="auto"/>
        <w:jc w:val="both"/>
        <w:rPr>
          <w:rFonts w:ascii="Times New Roman" w:hAnsi="Times New Roman" w:cs="Times New Roman"/>
          <w:sz w:val="23"/>
          <w:szCs w:val="23"/>
        </w:rPr>
      </w:pPr>
      <w:r>
        <w:rPr>
          <w:rFonts w:ascii="Times New Roman" w:hAnsi="Times New Roman" w:cs="Times New Roman"/>
          <w:sz w:val="23"/>
          <w:szCs w:val="23"/>
        </w:rPr>
        <w:tab/>
      </w:r>
    </w:p>
    <w:p w:rsidR="00BF6853" w:rsidRDefault="009855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rsidR="00BF6853" w:rsidRDefault="00985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dos serviços será objeto de acompanhamento, controle, fiscalização e avaliação por representante do CONTRATANTE com atribuições específicas, nos termos do art. 117 da Lei nº 14.133/21.</w:t>
      </w:r>
    </w:p>
    <w:p w:rsidR="00BF6853" w:rsidRDefault="00985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w:t>
      </w:r>
      <w:r>
        <w:rPr>
          <w:rFonts w:ascii="Times New Roman" w:hAnsi="Times New Roman" w:cs="Times New Roman"/>
          <w:sz w:val="23"/>
          <w:szCs w:val="23"/>
        </w:rPr>
        <w:lastRenderedPageBreak/>
        <w:t>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rsidR="00BF6853" w:rsidRDefault="00985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BF6853" w:rsidRDefault="00985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w:t>
      </w:r>
      <w:r>
        <w:rPr>
          <w:rFonts w:ascii="Times New Roman" w:hAnsi="Times New Roman" w:cs="Times New Roman"/>
          <w:sz w:val="23"/>
          <w:szCs w:val="23"/>
        </w:rPr>
        <w:t xml:space="preserve"> </w:t>
      </w:r>
      <w:r w:rsidR="00496B2C" w:rsidRPr="00496B2C">
        <w:rPr>
          <w:rFonts w:ascii="Times New Roman" w:hAnsi="Times New Roman" w:cs="Times New Roman"/>
          <w:sz w:val="23"/>
          <w:szCs w:val="23"/>
        </w:rPr>
        <w:t>A fiscalização deste contrato será exercida pelos servidores públicos </w:t>
      </w:r>
      <w:r w:rsidR="00496B2C" w:rsidRPr="00496B2C">
        <w:rPr>
          <w:rFonts w:ascii="Times New Roman" w:hAnsi="Times New Roman" w:cs="Times New Roman"/>
          <w:b/>
          <w:bCs/>
          <w:sz w:val="23"/>
          <w:szCs w:val="23"/>
        </w:rPr>
        <w:t xml:space="preserve">Ivo João </w:t>
      </w:r>
      <w:proofErr w:type="spellStart"/>
      <w:r w:rsidR="00496B2C" w:rsidRPr="00496B2C">
        <w:rPr>
          <w:rFonts w:ascii="Times New Roman" w:hAnsi="Times New Roman" w:cs="Times New Roman"/>
          <w:b/>
          <w:bCs/>
          <w:sz w:val="23"/>
          <w:szCs w:val="23"/>
        </w:rPr>
        <w:t>Freisleben</w:t>
      </w:r>
      <w:proofErr w:type="spellEnd"/>
      <w:r w:rsidR="00496B2C" w:rsidRPr="00496B2C">
        <w:rPr>
          <w:rFonts w:ascii="Times New Roman" w:hAnsi="Times New Roman" w:cs="Times New Roman"/>
          <w:sz w:val="23"/>
          <w:szCs w:val="23"/>
        </w:rPr>
        <w:t> e </w:t>
      </w:r>
      <w:r w:rsidR="00496B2C" w:rsidRPr="00496B2C">
        <w:rPr>
          <w:rFonts w:ascii="Times New Roman" w:hAnsi="Times New Roman" w:cs="Times New Roman"/>
          <w:b/>
          <w:bCs/>
          <w:sz w:val="23"/>
          <w:szCs w:val="23"/>
        </w:rPr>
        <w:t>Evandro do Canto Borba</w:t>
      </w:r>
      <w:r w:rsidR="00496B2C" w:rsidRPr="00496B2C">
        <w:rPr>
          <w:rFonts w:ascii="Times New Roman" w:hAnsi="Times New Roman" w:cs="Times New Roman"/>
          <w:sz w:val="23"/>
          <w:szCs w:val="23"/>
        </w:rPr>
        <w:t>, e a gestão do contrato caberá ao Secretário Municipal de Obras, Viação e Transportes, </w:t>
      </w:r>
      <w:proofErr w:type="spellStart"/>
      <w:r w:rsidR="00496B2C" w:rsidRPr="00496B2C">
        <w:rPr>
          <w:rFonts w:ascii="Times New Roman" w:hAnsi="Times New Roman" w:cs="Times New Roman"/>
          <w:b/>
          <w:bCs/>
          <w:sz w:val="23"/>
          <w:szCs w:val="23"/>
        </w:rPr>
        <w:t>Ariberto</w:t>
      </w:r>
      <w:proofErr w:type="spellEnd"/>
      <w:r w:rsidR="00496B2C" w:rsidRPr="00496B2C">
        <w:rPr>
          <w:rFonts w:ascii="Times New Roman" w:hAnsi="Times New Roman" w:cs="Times New Roman"/>
          <w:b/>
          <w:bCs/>
          <w:sz w:val="23"/>
          <w:szCs w:val="23"/>
        </w:rPr>
        <w:t xml:space="preserve"> </w:t>
      </w:r>
      <w:proofErr w:type="spellStart"/>
      <w:r w:rsidR="00496B2C" w:rsidRPr="00496B2C">
        <w:rPr>
          <w:rFonts w:ascii="Times New Roman" w:hAnsi="Times New Roman" w:cs="Times New Roman"/>
          <w:b/>
          <w:bCs/>
          <w:sz w:val="23"/>
          <w:szCs w:val="23"/>
        </w:rPr>
        <w:t>Magedanz</w:t>
      </w:r>
      <w:proofErr w:type="spellEnd"/>
      <w:r w:rsidR="00496B2C" w:rsidRPr="00496B2C">
        <w:rPr>
          <w:rFonts w:ascii="Times New Roman" w:hAnsi="Times New Roman" w:cs="Times New Roman"/>
          <w:sz w:val="23"/>
          <w:szCs w:val="23"/>
        </w:rPr>
        <w:t>, ou a quem vier a substituí-lo formalmente.</w:t>
      </w:r>
    </w:p>
    <w:p w:rsidR="00496B2C" w:rsidRDefault="00496B2C" w:rsidP="00496B2C">
      <w:pPr>
        <w:autoSpaceDE w:val="0"/>
        <w:autoSpaceDN w:val="0"/>
        <w:adjustRightInd w:val="0"/>
        <w:spacing w:after="0" w:line="276" w:lineRule="auto"/>
        <w:jc w:val="both"/>
        <w:rPr>
          <w:rFonts w:ascii="Times New Roman" w:hAnsi="Times New Roman" w:cs="Times New Roman"/>
          <w:sz w:val="23"/>
          <w:szCs w:val="23"/>
        </w:rPr>
      </w:pPr>
      <w:r w:rsidRPr="00496B2C">
        <w:rPr>
          <w:rFonts w:ascii="Times New Roman" w:hAnsi="Times New Roman" w:cs="Times New Roman"/>
          <w:b/>
          <w:bCs/>
          <w:sz w:val="23"/>
          <w:szCs w:val="23"/>
        </w:rPr>
        <w:t xml:space="preserve">9.5. </w:t>
      </w:r>
      <w:r w:rsidRPr="00496B2C">
        <w:rPr>
          <w:rFonts w:ascii="Times New Roman" w:hAnsi="Times New Roman" w:cs="Times New Roman"/>
          <w:sz w:val="23"/>
          <w:szCs w:val="23"/>
        </w:rPr>
        <w:t>Compete ao Gestor do Contrato, entre outras atribuições:</w:t>
      </w:r>
      <w:r w:rsidRPr="00496B2C">
        <w:rPr>
          <w:rFonts w:ascii="Times New Roman" w:hAnsi="Times New Roman" w:cs="Times New Roman"/>
          <w:sz w:val="23"/>
          <w:szCs w:val="23"/>
        </w:rPr>
        <w:br/>
        <w:t>I – coordenar as atividades de fiscalização;</w:t>
      </w:r>
      <w:r w:rsidRPr="00496B2C">
        <w:rPr>
          <w:rFonts w:ascii="Times New Roman" w:hAnsi="Times New Roman" w:cs="Times New Roman"/>
          <w:sz w:val="23"/>
          <w:szCs w:val="23"/>
        </w:rPr>
        <w:br/>
        <w:t>II – acompanhar a execução e a vigência contratual;</w:t>
      </w:r>
      <w:r w:rsidRPr="00496B2C">
        <w:rPr>
          <w:rFonts w:ascii="Times New Roman" w:hAnsi="Times New Roman" w:cs="Times New Roman"/>
          <w:sz w:val="23"/>
          <w:szCs w:val="23"/>
        </w:rPr>
        <w:br/>
        <w:t>III – analisar e decidir as demandas apresentadas pelos fiscais, quando de sua competência;</w:t>
      </w:r>
      <w:r w:rsidRPr="00496B2C">
        <w:rPr>
          <w:rFonts w:ascii="Times New Roman" w:hAnsi="Times New Roman" w:cs="Times New Roman"/>
          <w:sz w:val="23"/>
          <w:szCs w:val="23"/>
        </w:rPr>
        <w:br/>
        <w:t>IV – providenciar o encaminhamento dos autos para pagamento, prorrogação, alteração contratual, reequilíbrio econômico-financeiro, aplicação de sanções ou extinção do contrato, quando cabível.</w:t>
      </w:r>
      <w:r w:rsidRPr="00496B2C">
        <w:rPr>
          <w:rFonts w:ascii="Times New Roman" w:hAnsi="Times New Roman" w:cs="Times New Roman"/>
          <w:sz w:val="23"/>
          <w:szCs w:val="23"/>
        </w:rPr>
        <w:br/>
      </w:r>
      <w:r w:rsidRPr="00496B2C">
        <w:rPr>
          <w:rFonts w:ascii="Times New Roman" w:hAnsi="Times New Roman" w:cs="Times New Roman"/>
          <w:b/>
          <w:bCs/>
          <w:sz w:val="23"/>
          <w:szCs w:val="23"/>
        </w:rPr>
        <w:t>9.6.</w:t>
      </w:r>
      <w:r w:rsidRPr="00496B2C">
        <w:rPr>
          <w:rFonts w:ascii="Times New Roman" w:hAnsi="Times New Roman" w:cs="Times New Roman"/>
          <w:sz w:val="23"/>
          <w:szCs w:val="23"/>
        </w:rPr>
        <w:t xml:space="preserve"> Compete ao Fiscal do Contrato, entre outras atribuições:</w:t>
      </w:r>
      <w:r w:rsidRPr="00496B2C">
        <w:rPr>
          <w:rFonts w:ascii="Times New Roman" w:hAnsi="Times New Roman" w:cs="Times New Roman"/>
          <w:sz w:val="23"/>
          <w:szCs w:val="23"/>
        </w:rPr>
        <w:br/>
        <w:t>I – acompanhar a execução dos serviços;</w:t>
      </w:r>
      <w:r w:rsidRPr="00496B2C">
        <w:rPr>
          <w:rFonts w:ascii="Times New Roman" w:hAnsi="Times New Roman" w:cs="Times New Roman"/>
          <w:sz w:val="23"/>
          <w:szCs w:val="23"/>
        </w:rPr>
        <w:br/>
        <w:t>II – registrar ocorrências e irregularidades;</w:t>
      </w:r>
      <w:r w:rsidRPr="00496B2C">
        <w:rPr>
          <w:rFonts w:ascii="Times New Roman" w:hAnsi="Times New Roman" w:cs="Times New Roman"/>
          <w:sz w:val="23"/>
          <w:szCs w:val="23"/>
        </w:rPr>
        <w:br/>
        <w:t>III – solicitar correções, ajustes ou substituições quando necessário;</w:t>
      </w:r>
      <w:r w:rsidRPr="00496B2C">
        <w:rPr>
          <w:rFonts w:ascii="Times New Roman" w:hAnsi="Times New Roman" w:cs="Times New Roman"/>
          <w:sz w:val="23"/>
          <w:szCs w:val="23"/>
        </w:rPr>
        <w:br/>
        <w:t>IV – atestar a regularidade da prestação dos serviços;</w:t>
      </w:r>
      <w:r w:rsidRPr="00496B2C">
        <w:rPr>
          <w:rFonts w:ascii="Times New Roman" w:hAnsi="Times New Roman" w:cs="Times New Roman"/>
          <w:sz w:val="23"/>
          <w:szCs w:val="23"/>
        </w:rPr>
        <w:br/>
        <w:t>V – comunicar ao Gestor do Contrato eventual inadimplemento contratual, recomendando, quando couber, a aplicação de penalidades.</w:t>
      </w:r>
      <w:r w:rsidRPr="00496B2C">
        <w:rPr>
          <w:rFonts w:ascii="Times New Roman" w:hAnsi="Times New Roman" w:cs="Times New Roman"/>
          <w:sz w:val="23"/>
          <w:szCs w:val="23"/>
        </w:rPr>
        <w:br/>
      </w:r>
      <w:r w:rsidRPr="00496B2C">
        <w:rPr>
          <w:rFonts w:ascii="Times New Roman" w:hAnsi="Times New Roman" w:cs="Times New Roman"/>
          <w:b/>
          <w:bCs/>
          <w:sz w:val="23"/>
          <w:szCs w:val="23"/>
        </w:rPr>
        <w:t>9.7.</w:t>
      </w:r>
      <w:r w:rsidRPr="00496B2C">
        <w:rPr>
          <w:rFonts w:ascii="Times New Roman" w:hAnsi="Times New Roman" w:cs="Times New Roman"/>
          <w:sz w:val="23"/>
          <w:szCs w:val="23"/>
        </w:rPr>
        <w:t xml:space="preserve"> Será realizada reunião inicial de alinhamento com a CONTRATADA, com o objetivo de nivelar os entendimentos acerca das condições estabelecidas neste contrato e no Termo de Referência, bem como esclarecer dúvidas sobre a execução dos serviços.</w:t>
      </w:r>
    </w:p>
    <w:p w:rsidR="00496B2C" w:rsidRDefault="00496B2C" w:rsidP="00496B2C">
      <w:pPr>
        <w:autoSpaceDE w:val="0"/>
        <w:autoSpaceDN w:val="0"/>
        <w:adjustRightInd w:val="0"/>
        <w:spacing w:after="0" w:line="276" w:lineRule="auto"/>
        <w:jc w:val="both"/>
        <w:rPr>
          <w:rFonts w:ascii="Times New Roman" w:hAnsi="Times New Roman" w:cs="Times New Roman"/>
          <w:sz w:val="23"/>
          <w:szCs w:val="23"/>
        </w:rPr>
      </w:pPr>
      <w:r w:rsidRPr="00496B2C">
        <w:rPr>
          <w:rFonts w:ascii="Times New Roman" w:hAnsi="Times New Roman" w:cs="Times New Roman"/>
          <w:b/>
          <w:bCs/>
          <w:sz w:val="23"/>
          <w:szCs w:val="23"/>
        </w:rPr>
        <w:t>9.8.</w:t>
      </w:r>
      <w:r w:rsidRPr="00496B2C">
        <w:rPr>
          <w:rFonts w:ascii="Times New Roman" w:hAnsi="Times New Roman" w:cs="Times New Roman"/>
          <w:sz w:val="23"/>
          <w:szCs w:val="23"/>
        </w:rPr>
        <w:t xml:space="preserve"> Na reunião inicial, a CONTRATADA deverá apresentar o seu preposto, cuja carta de apresentação deverá conter, no mínimo, nome completo e CPF do funcionário designado para atuar como interlocutor principal junto ao CONTRATANTE.</w:t>
      </w:r>
      <w:r w:rsidRPr="00496B2C">
        <w:rPr>
          <w:rFonts w:ascii="Times New Roman" w:hAnsi="Times New Roman" w:cs="Times New Roman"/>
          <w:sz w:val="23"/>
          <w:szCs w:val="23"/>
        </w:rPr>
        <w:br/>
      </w:r>
      <w:r w:rsidRPr="00496B2C">
        <w:rPr>
          <w:rFonts w:ascii="Times New Roman" w:hAnsi="Times New Roman" w:cs="Times New Roman"/>
          <w:b/>
          <w:bCs/>
          <w:sz w:val="23"/>
          <w:szCs w:val="23"/>
        </w:rPr>
        <w:t>9.9.</w:t>
      </w:r>
      <w:r w:rsidRPr="00496B2C">
        <w:rPr>
          <w:rFonts w:ascii="Times New Roman" w:hAnsi="Times New Roman" w:cs="Times New Roman"/>
          <w:sz w:val="23"/>
          <w:szCs w:val="23"/>
        </w:rPr>
        <w:t xml:space="preserve"> A fiscalização poderá rejeitar quaisquer serviços executados em desacordo com os padrões técnicos e de qualidade definidos neste contrato, no Edital e no Termo de Referência, devendo a CONTRATADA repará-los, corrigi-los ou substituí-los sem ônus ao CONTRATANTE.</w:t>
      </w:r>
      <w:r w:rsidRPr="00496B2C">
        <w:rPr>
          <w:rFonts w:ascii="Times New Roman" w:hAnsi="Times New Roman" w:cs="Times New Roman"/>
          <w:sz w:val="23"/>
          <w:szCs w:val="23"/>
        </w:rPr>
        <w:br/>
      </w:r>
      <w:r w:rsidRPr="00496B2C">
        <w:rPr>
          <w:rFonts w:ascii="Times New Roman" w:hAnsi="Times New Roman" w:cs="Times New Roman"/>
          <w:b/>
          <w:bCs/>
          <w:sz w:val="23"/>
          <w:szCs w:val="23"/>
        </w:rPr>
        <w:t>9.10.</w:t>
      </w:r>
      <w:r w:rsidRPr="00496B2C">
        <w:rPr>
          <w:rFonts w:ascii="Times New Roman" w:hAnsi="Times New Roman" w:cs="Times New Roman"/>
          <w:sz w:val="23"/>
          <w:szCs w:val="23"/>
        </w:rPr>
        <w:t xml:space="preserve"> A fiscalização exercida no interesse da Administração não exclui nem reduz a responsabilidade da CONTRATADA, inclusive perante terceiros.</w:t>
      </w:r>
      <w:r w:rsidRPr="00496B2C">
        <w:rPr>
          <w:rFonts w:ascii="Times New Roman" w:hAnsi="Times New Roman" w:cs="Times New Roman"/>
          <w:sz w:val="23"/>
          <w:szCs w:val="23"/>
        </w:rPr>
        <w:br/>
      </w:r>
      <w:r w:rsidRPr="00496B2C">
        <w:rPr>
          <w:rFonts w:ascii="Times New Roman" w:hAnsi="Times New Roman" w:cs="Times New Roman"/>
          <w:b/>
          <w:bCs/>
          <w:sz w:val="23"/>
          <w:szCs w:val="23"/>
        </w:rPr>
        <w:t>9.11.</w:t>
      </w:r>
      <w:r w:rsidRPr="00496B2C">
        <w:rPr>
          <w:rFonts w:ascii="Times New Roman" w:hAnsi="Times New Roman" w:cs="Times New Roman"/>
          <w:sz w:val="23"/>
          <w:szCs w:val="23"/>
        </w:rPr>
        <w:t xml:space="preserve"> A CONTRATADA responderá pelos danos causados diretamente à Administração ou a terceiros em razão da execução do contrato, não se afastando essa responsabilidade pela fiscalização ou acompanhamento contratual.</w:t>
      </w:r>
      <w:r w:rsidRPr="00496B2C">
        <w:rPr>
          <w:rFonts w:ascii="Times New Roman" w:hAnsi="Times New Roman" w:cs="Times New Roman"/>
          <w:sz w:val="23"/>
          <w:szCs w:val="23"/>
        </w:rPr>
        <w:br/>
      </w:r>
      <w:r w:rsidRPr="00496B2C">
        <w:rPr>
          <w:rFonts w:ascii="Times New Roman" w:hAnsi="Times New Roman" w:cs="Times New Roman"/>
          <w:b/>
          <w:bCs/>
          <w:sz w:val="23"/>
          <w:szCs w:val="23"/>
        </w:rPr>
        <w:t>9.12.</w:t>
      </w:r>
      <w:r w:rsidRPr="00496B2C">
        <w:rPr>
          <w:rFonts w:ascii="Times New Roman" w:hAnsi="Times New Roman" w:cs="Times New Roman"/>
          <w:sz w:val="23"/>
          <w:szCs w:val="23"/>
        </w:rPr>
        <w:t xml:space="preserve"> A comunicação entre CONTRATANTE e CONTRATADA será realizada preferencialmente por meio eletrônico, inclusive e-mail, aplicativo de mensagens e telefone, sem prejuízo de outros meios formais admitidos pela Administração.</w:t>
      </w:r>
    </w:p>
    <w:p w:rsidR="00496B2C" w:rsidRPr="00496B2C" w:rsidRDefault="00496B2C" w:rsidP="00496B2C">
      <w:pPr>
        <w:autoSpaceDE w:val="0"/>
        <w:autoSpaceDN w:val="0"/>
        <w:adjustRightInd w:val="0"/>
        <w:spacing w:after="0" w:line="276" w:lineRule="auto"/>
        <w:jc w:val="both"/>
        <w:rPr>
          <w:rFonts w:ascii="Times New Roman" w:hAnsi="Times New Roman" w:cs="Times New Roman"/>
          <w:sz w:val="23"/>
          <w:szCs w:val="23"/>
        </w:rPr>
      </w:pPr>
    </w:p>
    <w:p w:rsidR="00BF6853" w:rsidRDefault="00BF6853">
      <w:pPr>
        <w:autoSpaceDE w:val="0"/>
        <w:autoSpaceDN w:val="0"/>
        <w:adjustRightInd w:val="0"/>
        <w:spacing w:after="0" w:line="276" w:lineRule="auto"/>
        <w:jc w:val="both"/>
        <w:rPr>
          <w:rFonts w:ascii="Times New Roman" w:hAnsi="Times New Roman" w:cs="Times New Roman"/>
          <w:sz w:val="23"/>
          <w:szCs w:val="23"/>
        </w:rPr>
      </w:pPr>
    </w:p>
    <w:p w:rsidR="00BF6853" w:rsidRDefault="0098550E">
      <w:pPr>
        <w:widowControl w:val="0"/>
        <w:autoSpaceDE w:val="0"/>
        <w:autoSpaceDN w:val="0"/>
        <w:spacing w:after="0" w:line="276" w:lineRule="auto"/>
        <w:jc w:val="both"/>
        <w:rPr>
          <w:rFonts w:ascii="Times New Roman" w:hAnsi="Times New Roman" w:cs="Times New Roman"/>
          <w:b/>
          <w:bCs/>
          <w:sz w:val="23"/>
          <w:szCs w:val="23"/>
          <w:lang w:eastAsia="en-US"/>
        </w:rPr>
      </w:pPr>
      <w:r>
        <w:rPr>
          <w:rFonts w:ascii="Times New Roman" w:hAnsi="Times New Roman" w:cs="Times New Roman"/>
          <w:b/>
          <w:bCs/>
          <w:sz w:val="23"/>
          <w:szCs w:val="23"/>
          <w:lang w:eastAsia="en-US"/>
        </w:rPr>
        <w:lastRenderedPageBreak/>
        <w:t>CLÁUSULA DÉCIMA - DAS</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INFRAÇÕES</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E</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PENALIDADES</w:t>
      </w:r>
    </w:p>
    <w:p w:rsidR="00BF6853" w:rsidRDefault="004B5BD2">
      <w:pPr>
        <w:widowControl w:val="0"/>
        <w:autoSpaceDE w:val="0"/>
        <w:autoSpaceDN w:val="0"/>
        <w:spacing w:after="0" w:line="276" w:lineRule="auto"/>
        <w:jc w:val="both"/>
        <w:rPr>
          <w:rFonts w:ascii="Times New Roman" w:hAnsi="Times New Roman" w:cs="Times New Roman"/>
          <w:sz w:val="23"/>
          <w:szCs w:val="23"/>
          <w:lang w:eastAsia="en-US"/>
        </w:rPr>
      </w:pPr>
      <w:r w:rsidRPr="004B5BD2">
        <w:rPr>
          <w:rFonts w:ascii="Times New Roman" w:hAnsi="Times New Roman" w:cs="Times New Roman"/>
          <w:b/>
          <w:bCs/>
          <w:sz w:val="23"/>
          <w:szCs w:val="23"/>
          <w:lang w:eastAsia="en-US"/>
        </w:rPr>
        <w:t>10.1.</w:t>
      </w:r>
      <w:r w:rsidRPr="004B5BD2">
        <w:rPr>
          <w:rFonts w:ascii="Times New Roman" w:hAnsi="Times New Roman" w:cs="Times New Roman"/>
          <w:sz w:val="23"/>
          <w:szCs w:val="23"/>
          <w:lang w:eastAsia="en-US"/>
        </w:rPr>
        <w:t xml:space="preserve"> Em caso de descumprimento das obrigações assumidas neste contrato, ou de prática de quaisquer das condutas previstas no art. 155 da Lei nº 14.133/2021, a CONTRATADA poderá ser responsabilizada administrativamente, observado o contraditório e a ampla defesa.</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10.2.</w:t>
      </w:r>
      <w:r w:rsidRPr="004B5BD2">
        <w:rPr>
          <w:rFonts w:ascii="Times New Roman" w:hAnsi="Times New Roman" w:cs="Times New Roman"/>
          <w:sz w:val="23"/>
          <w:szCs w:val="23"/>
          <w:lang w:eastAsia="en-US"/>
        </w:rPr>
        <w:t xml:space="preserve"> Poderão ser aplicadas, conforme a gravidade da infração, as seguintes sanções:</w:t>
      </w:r>
      <w:r w:rsidRPr="004B5BD2">
        <w:rPr>
          <w:rFonts w:ascii="Times New Roman" w:hAnsi="Times New Roman" w:cs="Times New Roman"/>
          <w:sz w:val="23"/>
          <w:szCs w:val="23"/>
          <w:lang w:eastAsia="en-US"/>
        </w:rPr>
        <w:br/>
        <w:t>I – advertência;</w:t>
      </w:r>
      <w:r w:rsidRPr="004B5BD2">
        <w:rPr>
          <w:rFonts w:ascii="Times New Roman" w:hAnsi="Times New Roman" w:cs="Times New Roman"/>
          <w:sz w:val="23"/>
          <w:szCs w:val="23"/>
          <w:lang w:eastAsia="en-US"/>
        </w:rPr>
        <w:br/>
        <w:t>II – multa;</w:t>
      </w:r>
      <w:r w:rsidRPr="004B5BD2">
        <w:rPr>
          <w:rFonts w:ascii="Times New Roman" w:hAnsi="Times New Roman" w:cs="Times New Roman"/>
          <w:sz w:val="23"/>
          <w:szCs w:val="23"/>
          <w:lang w:eastAsia="en-US"/>
        </w:rPr>
        <w:br/>
        <w:t>III – impedimento de licitar e contratar;</w:t>
      </w:r>
      <w:r w:rsidRPr="004B5BD2">
        <w:rPr>
          <w:rFonts w:ascii="Times New Roman" w:hAnsi="Times New Roman" w:cs="Times New Roman"/>
          <w:sz w:val="23"/>
          <w:szCs w:val="23"/>
          <w:lang w:eastAsia="en-US"/>
        </w:rPr>
        <w:br/>
        <w:t>IV – declaração de inidoneidade para licitar ou contratar.</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10.3.</w:t>
      </w:r>
      <w:r w:rsidRPr="004B5BD2">
        <w:rPr>
          <w:rFonts w:ascii="Times New Roman" w:hAnsi="Times New Roman" w:cs="Times New Roman"/>
          <w:sz w:val="23"/>
          <w:szCs w:val="23"/>
          <w:lang w:eastAsia="en-US"/>
        </w:rPr>
        <w:t xml:space="preserve"> A multa poderá ser aplicada de, no mínimo, 0,5% (cinco décimos por cento) e, no máximo, 30% (trinta por cento) do valor do objeto licitado ou contratado, conforme a natureza e a gravidade da infração, observada a legislação aplicável e o disposto no Edital.</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10.4.</w:t>
      </w:r>
      <w:r w:rsidRPr="004B5BD2">
        <w:rPr>
          <w:rFonts w:ascii="Times New Roman" w:hAnsi="Times New Roman" w:cs="Times New Roman"/>
          <w:sz w:val="23"/>
          <w:szCs w:val="23"/>
          <w:lang w:eastAsia="en-US"/>
        </w:rPr>
        <w:t xml:space="preserve"> A sanção de impedimento de licitar e contratar será aplicada nas hipóteses previstas na Lei nº 14.133/2021 e impedirá a CONTRATADA de licitar ou contratar com o Município de Teutônia pelo prazo máximo de até 3 (três) anos.</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10.5.</w:t>
      </w:r>
      <w:r w:rsidRPr="004B5BD2">
        <w:rPr>
          <w:rFonts w:ascii="Times New Roman" w:hAnsi="Times New Roman" w:cs="Times New Roman"/>
          <w:sz w:val="23"/>
          <w:szCs w:val="23"/>
          <w:lang w:eastAsia="en-US"/>
        </w:rPr>
        <w:t xml:space="preserve"> A sanção de declaração de inidoneidade será aplicada nas hipóteses legais cabíveis e impedirá a CONTRATADA de licitar ou contratar no âmbito da Administração Pública direta e indireta de todos os entes federativos, pelo prazo mínimo de 3 (três) anos e máximo de 6 (seis) anos.</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10.6.</w:t>
      </w:r>
      <w:r w:rsidRPr="004B5BD2">
        <w:rPr>
          <w:rFonts w:ascii="Times New Roman" w:hAnsi="Times New Roman" w:cs="Times New Roman"/>
          <w:sz w:val="23"/>
          <w:szCs w:val="23"/>
          <w:lang w:eastAsia="en-US"/>
        </w:rPr>
        <w:t xml:space="preserve"> As sanções previstas nos incisos I, III e IV do item 10.2 poderão ser aplicadas cumulativamente com a multa prevista no inciso II do mesmo item, quando cabível.</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10.7.</w:t>
      </w:r>
      <w:r w:rsidRPr="004B5BD2">
        <w:rPr>
          <w:rFonts w:ascii="Times New Roman" w:hAnsi="Times New Roman" w:cs="Times New Roman"/>
          <w:sz w:val="23"/>
          <w:szCs w:val="23"/>
          <w:lang w:eastAsia="en-US"/>
        </w:rPr>
        <w:t xml:space="preserve"> A aplicação de multa de mora não impedirá a Administração de convertê-la em compensatória e promover a extinção unilateral do contrato, com a aplicação cumulada de outras sanções, quando cabível.</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10.8.</w:t>
      </w:r>
      <w:r w:rsidRPr="004B5BD2">
        <w:rPr>
          <w:rFonts w:ascii="Times New Roman" w:hAnsi="Times New Roman" w:cs="Times New Roman"/>
          <w:sz w:val="23"/>
          <w:szCs w:val="23"/>
          <w:lang w:eastAsia="en-US"/>
        </w:rPr>
        <w:t xml:space="preserve"> As multas poderão ser descontadas de créditos eventualmente devidos à CONTRATADA ou cobradas na forma da lei.</w:t>
      </w:r>
      <w:r w:rsidRPr="004B5BD2">
        <w:rPr>
          <w:rFonts w:ascii="Times New Roman" w:hAnsi="Times New Roman" w:cs="Times New Roman"/>
          <w:sz w:val="23"/>
          <w:szCs w:val="23"/>
          <w:lang w:eastAsia="en-US"/>
        </w:rPr>
        <w:br/>
      </w:r>
      <w:r w:rsidRPr="004B5BD2">
        <w:rPr>
          <w:rFonts w:ascii="Times New Roman" w:hAnsi="Times New Roman" w:cs="Times New Roman"/>
          <w:b/>
          <w:bCs/>
          <w:sz w:val="23"/>
          <w:szCs w:val="23"/>
          <w:lang w:eastAsia="en-US"/>
        </w:rPr>
        <w:t>10.9.</w:t>
      </w:r>
      <w:r w:rsidRPr="004B5BD2">
        <w:rPr>
          <w:rFonts w:ascii="Times New Roman" w:hAnsi="Times New Roman" w:cs="Times New Roman"/>
          <w:sz w:val="23"/>
          <w:szCs w:val="23"/>
          <w:lang w:eastAsia="en-US"/>
        </w:rPr>
        <w:t xml:space="preserve"> A aplicação das penalidades previstas neste contrato não exclui, em hipótese alguma, a obrigação de reparação integral dos danos causados à Administração Pública.</w:t>
      </w:r>
    </w:p>
    <w:p w:rsidR="004B5BD2" w:rsidRPr="004B5BD2" w:rsidRDefault="004B5BD2">
      <w:pPr>
        <w:widowControl w:val="0"/>
        <w:autoSpaceDE w:val="0"/>
        <w:autoSpaceDN w:val="0"/>
        <w:spacing w:after="0" w:line="276" w:lineRule="auto"/>
        <w:jc w:val="both"/>
        <w:rPr>
          <w:rFonts w:ascii="Times New Roman" w:hAnsi="Times New Roman" w:cs="Times New Roman"/>
          <w:sz w:val="23"/>
          <w:szCs w:val="23"/>
          <w:lang w:eastAsia="en-US"/>
        </w:rPr>
      </w:pPr>
    </w:p>
    <w:p w:rsidR="00BF6853" w:rsidRDefault="009855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EXTINÇÃO</w:t>
      </w:r>
    </w:p>
    <w:p w:rsidR="004B5BD2" w:rsidRPr="004B5BD2" w:rsidRDefault="004B5BD2">
      <w:pPr>
        <w:autoSpaceDE w:val="0"/>
        <w:autoSpaceDN w:val="0"/>
        <w:adjustRightInd w:val="0"/>
        <w:spacing w:after="0" w:line="276" w:lineRule="auto"/>
        <w:jc w:val="both"/>
        <w:rPr>
          <w:rFonts w:ascii="Times New Roman" w:hAnsi="Times New Roman" w:cs="Times New Roman"/>
          <w:sz w:val="23"/>
          <w:szCs w:val="23"/>
        </w:rPr>
      </w:pPr>
      <w:r w:rsidRPr="004B5BD2">
        <w:rPr>
          <w:rFonts w:ascii="Times New Roman" w:hAnsi="Times New Roman" w:cs="Times New Roman"/>
          <w:b/>
          <w:bCs/>
          <w:sz w:val="23"/>
          <w:szCs w:val="23"/>
        </w:rPr>
        <w:t xml:space="preserve">11.1. </w:t>
      </w:r>
      <w:r w:rsidRPr="004B5BD2">
        <w:rPr>
          <w:rFonts w:ascii="Times New Roman" w:hAnsi="Times New Roman" w:cs="Times New Roman"/>
          <w:sz w:val="23"/>
          <w:szCs w:val="23"/>
        </w:rPr>
        <w:t>A CONTRATADA reconhece que as hipóteses de extinção do contrato são aquelas previstas na Lei nº 14.133/2021, especialmente nos arts. 137, 138 e 139, sem prejuízo das demais disposições legais aplicáveis.</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11.2. </w:t>
      </w:r>
      <w:r w:rsidRPr="004B5BD2">
        <w:rPr>
          <w:rFonts w:ascii="Times New Roman" w:hAnsi="Times New Roman" w:cs="Times New Roman"/>
          <w:sz w:val="23"/>
          <w:szCs w:val="23"/>
        </w:rPr>
        <w:t>Os casos de extinção contratual serão formalmente motivados nos autos do processo, assegurados o contraditório e a ampla defesa.</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11.3. </w:t>
      </w:r>
      <w:r w:rsidRPr="004B5BD2">
        <w:rPr>
          <w:rFonts w:ascii="Times New Roman" w:hAnsi="Times New Roman" w:cs="Times New Roman"/>
          <w:sz w:val="23"/>
          <w:szCs w:val="23"/>
        </w:rPr>
        <w:t>A alteração social ou a modificação da finalidade ou da estrutura da CONTRATADA não ensejará, por si só, a extinção do contrato, desde que não haja prejuízo à sua capacidade de execução.</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11.4. </w:t>
      </w:r>
      <w:r w:rsidRPr="004B5BD2">
        <w:rPr>
          <w:rFonts w:ascii="Times New Roman" w:hAnsi="Times New Roman" w:cs="Times New Roman"/>
          <w:sz w:val="23"/>
          <w:szCs w:val="23"/>
        </w:rPr>
        <w:t>Se a operação implicar mudança da pessoa jurídica contratada, deverá ser formalizado o competente termo aditivo, quando juridicamente cabível.</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11.5. </w:t>
      </w:r>
      <w:r w:rsidRPr="004B5BD2">
        <w:rPr>
          <w:rFonts w:ascii="Times New Roman" w:hAnsi="Times New Roman" w:cs="Times New Roman"/>
          <w:sz w:val="23"/>
          <w:szCs w:val="23"/>
        </w:rPr>
        <w:t>A extinção deste contrato não prejudicará a exigibilidade de débitos anteriores da CONTRATADA, inclusive multas eventualmente impostas, bem como perdas e danos decorrentes.</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11.6. </w:t>
      </w:r>
      <w:r w:rsidRPr="004B5BD2">
        <w:rPr>
          <w:rFonts w:ascii="Times New Roman" w:hAnsi="Times New Roman" w:cs="Times New Roman"/>
          <w:sz w:val="23"/>
          <w:szCs w:val="23"/>
        </w:rPr>
        <w:t>O contrato se extinguirá quando cumpridas integralmente as obrigações de ambas as partes, ainda que isso ocorra antes do prazo estipulado.</w:t>
      </w:r>
      <w:r w:rsidRPr="004B5BD2">
        <w:rPr>
          <w:rFonts w:ascii="Times New Roman" w:hAnsi="Times New Roman" w:cs="Times New Roman"/>
          <w:sz w:val="23"/>
          <w:szCs w:val="23"/>
        </w:rPr>
        <w:br/>
      </w:r>
      <w:r w:rsidRPr="004B5BD2">
        <w:rPr>
          <w:rFonts w:ascii="Times New Roman" w:hAnsi="Times New Roman" w:cs="Times New Roman"/>
          <w:b/>
          <w:bCs/>
          <w:sz w:val="23"/>
          <w:szCs w:val="23"/>
        </w:rPr>
        <w:lastRenderedPageBreak/>
        <w:t xml:space="preserve">11.7. </w:t>
      </w:r>
      <w:r w:rsidRPr="004B5BD2">
        <w:rPr>
          <w:rFonts w:ascii="Times New Roman" w:hAnsi="Times New Roman" w:cs="Times New Roman"/>
          <w:sz w:val="23"/>
          <w:szCs w:val="23"/>
        </w:rPr>
        <w:t>Caso as obrigações não sejam cumpridas no prazo ajustado, a vigência poderá ser prorrogada até a conclusão do objeto, observado o interesse público.</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11.8. </w:t>
      </w:r>
      <w:r w:rsidRPr="004B5BD2">
        <w:rPr>
          <w:rFonts w:ascii="Times New Roman" w:hAnsi="Times New Roman" w:cs="Times New Roman"/>
          <w:sz w:val="23"/>
          <w:szCs w:val="23"/>
        </w:rPr>
        <w:t>Quando a não conclusão decorrer de culpa da CONTRATADA:</w:t>
      </w:r>
      <w:r w:rsidRPr="004B5BD2">
        <w:rPr>
          <w:rFonts w:ascii="Times New Roman" w:hAnsi="Times New Roman" w:cs="Times New Roman"/>
          <w:sz w:val="23"/>
          <w:szCs w:val="23"/>
        </w:rPr>
        <w:br/>
        <w:t>I – a contratada ficará constituída em mora, com aplicação das sanções cabíveis;</w:t>
      </w:r>
      <w:r w:rsidRPr="004B5BD2">
        <w:rPr>
          <w:rFonts w:ascii="Times New Roman" w:hAnsi="Times New Roman" w:cs="Times New Roman"/>
          <w:sz w:val="23"/>
          <w:szCs w:val="23"/>
        </w:rPr>
        <w:br/>
        <w:t>II – a Administração poderá optar pela extinção contratual e adotar as medidas legalmente admitidas para assegurar a continuidade do serviço.</w:t>
      </w:r>
    </w:p>
    <w:p w:rsidR="00BF6853" w:rsidRDefault="00BF6853">
      <w:pPr>
        <w:tabs>
          <w:tab w:val="left" w:pos="1778"/>
        </w:tabs>
        <w:spacing w:after="0" w:line="276" w:lineRule="auto"/>
        <w:jc w:val="both"/>
        <w:rPr>
          <w:rFonts w:ascii="Times New Roman" w:hAnsi="Times New Roman" w:cs="Times New Roman"/>
          <w:b/>
          <w:sz w:val="23"/>
          <w:szCs w:val="23"/>
          <w:lang w:eastAsia="en-US"/>
        </w:rPr>
      </w:pPr>
    </w:p>
    <w:p w:rsidR="00BF6853" w:rsidRDefault="009855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SEGUNDA - DA PROTEÇÃO E TRATAMENTO DE DADOS PESSOAIS</w:t>
      </w:r>
    </w:p>
    <w:p w:rsidR="004B5BD2" w:rsidRDefault="004B5BD2">
      <w:pPr>
        <w:autoSpaceDE w:val="0"/>
        <w:autoSpaceDN w:val="0"/>
        <w:adjustRightInd w:val="0"/>
        <w:spacing w:after="0" w:line="276" w:lineRule="auto"/>
        <w:jc w:val="both"/>
        <w:rPr>
          <w:rFonts w:ascii="Times New Roman" w:hAnsi="Times New Roman" w:cs="Times New Roman"/>
          <w:sz w:val="23"/>
          <w:szCs w:val="23"/>
        </w:rPr>
      </w:pPr>
      <w:r w:rsidRPr="004B5BD2">
        <w:rPr>
          <w:rFonts w:ascii="Times New Roman" w:hAnsi="Times New Roman" w:cs="Times New Roman"/>
          <w:b/>
          <w:bCs/>
          <w:sz w:val="23"/>
          <w:szCs w:val="23"/>
        </w:rPr>
        <w:t xml:space="preserve">12.1. </w:t>
      </w:r>
      <w:r w:rsidRPr="004B5BD2">
        <w:rPr>
          <w:rFonts w:ascii="Times New Roman" w:hAnsi="Times New Roman" w:cs="Times New Roman"/>
          <w:sz w:val="23"/>
          <w:szCs w:val="23"/>
        </w:rPr>
        <w:t>O CONTRATANTE e a CONTRATADA comprometem-se a observar e cumprir todas as obrigações decorrentes da legislação aplicável à proteção de dados pessoais, especialmente a Lei nº 13.709/2018 – Lei Geral de Proteção de Dados Pessoais (LGPD).</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12.2. </w:t>
      </w:r>
      <w:r w:rsidRPr="004B5BD2">
        <w:rPr>
          <w:rFonts w:ascii="Times New Roman" w:hAnsi="Times New Roman" w:cs="Times New Roman"/>
          <w:sz w:val="23"/>
          <w:szCs w:val="23"/>
        </w:rPr>
        <w:t>Os dados pessoais eventualmente tratados no âmbito deste contrato somente poderão ser utilizados para a execução do objeto contratado, sendo vedado o uso para finalidades estranhas à relação contratual.</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12.3. </w:t>
      </w:r>
      <w:r w:rsidRPr="004B5BD2">
        <w:rPr>
          <w:rFonts w:ascii="Times New Roman" w:hAnsi="Times New Roman" w:cs="Times New Roman"/>
          <w:sz w:val="23"/>
          <w:szCs w:val="23"/>
        </w:rPr>
        <w:t>As partes observarão os princípios e diretrizes da LGPD, responsabilizando-se por eventual uso indevido ou tratamento em desacordo com a legislação.</w:t>
      </w:r>
      <w:r w:rsidRPr="004B5BD2">
        <w:rPr>
          <w:rFonts w:ascii="Times New Roman" w:hAnsi="Times New Roman" w:cs="Times New Roman"/>
          <w:sz w:val="23"/>
          <w:szCs w:val="23"/>
        </w:rPr>
        <w:br/>
      </w:r>
      <w:r w:rsidRPr="004B5BD2">
        <w:rPr>
          <w:rFonts w:ascii="Times New Roman" w:hAnsi="Times New Roman" w:cs="Times New Roman"/>
          <w:b/>
          <w:bCs/>
          <w:sz w:val="23"/>
          <w:szCs w:val="23"/>
        </w:rPr>
        <w:t xml:space="preserve">12.4. </w:t>
      </w:r>
      <w:r w:rsidRPr="004B5BD2">
        <w:rPr>
          <w:rFonts w:ascii="Times New Roman" w:hAnsi="Times New Roman" w:cs="Times New Roman"/>
          <w:sz w:val="23"/>
          <w:szCs w:val="23"/>
        </w:rPr>
        <w:t xml:space="preserve">Eventuais incidentes de segurança relacionados a dados pessoais deverão ser comunicados em até 24 (vinte e quatro) horas, sem prejuízo das providências legais cabíveis. </w:t>
      </w:r>
    </w:p>
    <w:p w:rsidR="004B5BD2" w:rsidRPr="004B5BD2" w:rsidRDefault="004B5BD2">
      <w:pPr>
        <w:autoSpaceDE w:val="0"/>
        <w:autoSpaceDN w:val="0"/>
        <w:adjustRightInd w:val="0"/>
        <w:spacing w:after="0" w:line="276" w:lineRule="auto"/>
        <w:jc w:val="both"/>
        <w:rPr>
          <w:rFonts w:ascii="Times New Roman" w:hAnsi="Times New Roman" w:cs="Times New Roman"/>
          <w:sz w:val="23"/>
          <w:szCs w:val="23"/>
        </w:rPr>
      </w:pPr>
    </w:p>
    <w:p w:rsidR="00BF6853" w:rsidRDefault="009855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PUBLICAÇÃO</w:t>
      </w:r>
    </w:p>
    <w:p w:rsidR="00BF6853" w:rsidRDefault="0098550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sidR="004B5BD2" w:rsidRPr="004B5BD2">
        <w:rPr>
          <w:rFonts w:ascii="Times New Roman" w:hAnsi="Times New Roman" w:cs="Times New Roman"/>
          <w:sz w:val="23"/>
          <w:szCs w:val="23"/>
        </w:rPr>
        <w:t xml:space="preserve"> Incumbirá ao CONTRATANTE divulgar o presente instrumento no Portal Nacional de Contratações Públicas – PNCP e no portal oficial do Município de Teutônia, na forma prevista na Lei nº 14.133/2021.</w:t>
      </w:r>
    </w:p>
    <w:p w:rsidR="004B5BD2" w:rsidRDefault="004B5BD2">
      <w:pPr>
        <w:autoSpaceDE w:val="0"/>
        <w:autoSpaceDN w:val="0"/>
        <w:adjustRightInd w:val="0"/>
        <w:spacing w:after="0" w:line="276" w:lineRule="auto"/>
        <w:jc w:val="both"/>
        <w:rPr>
          <w:rFonts w:ascii="Times New Roman" w:hAnsi="Times New Roman" w:cs="Times New Roman"/>
          <w:sz w:val="23"/>
          <w:szCs w:val="23"/>
        </w:rPr>
      </w:pPr>
    </w:p>
    <w:p w:rsidR="00BF6853" w:rsidRDefault="0098550E">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FORO</w:t>
      </w:r>
    </w:p>
    <w:p w:rsidR="004B5BD2" w:rsidRDefault="004B5BD2" w:rsidP="004B5BD2">
      <w:pPr>
        <w:pStyle w:val="Corpodetexto"/>
        <w:tabs>
          <w:tab w:val="left" w:pos="1418"/>
          <w:tab w:val="left" w:pos="4253"/>
        </w:tabs>
        <w:rPr>
          <w:rFonts w:ascii="Times New Roman" w:eastAsia="Calibri" w:hAnsi="Times New Roman" w:cs="Times New Roman"/>
          <w:b/>
          <w:bCs/>
          <w:sz w:val="23"/>
          <w:szCs w:val="23"/>
          <w:lang w:eastAsia="pt-BR"/>
        </w:rPr>
      </w:pPr>
      <w:r w:rsidRPr="004B5BD2">
        <w:rPr>
          <w:rFonts w:ascii="Times New Roman" w:eastAsia="Calibri" w:hAnsi="Times New Roman" w:cs="Times New Roman"/>
          <w:b/>
          <w:bCs/>
          <w:sz w:val="23"/>
          <w:szCs w:val="23"/>
          <w:lang w:eastAsia="pt-BR"/>
        </w:rPr>
        <w:t xml:space="preserve">4.1. </w:t>
      </w:r>
      <w:r w:rsidRPr="004B5BD2">
        <w:rPr>
          <w:rFonts w:ascii="Times New Roman" w:eastAsia="Calibri" w:hAnsi="Times New Roman" w:cs="Times New Roman"/>
          <w:sz w:val="23"/>
          <w:szCs w:val="23"/>
          <w:lang w:eastAsia="pt-BR"/>
        </w:rPr>
        <w:t>Fica eleito o Foro da Comarca de Teutônia/RS para dirimir quaisquer questões oriundas do presente contrato, com renúncia expressa a qualquer outro, por mais privilegiado que seja.</w:t>
      </w:r>
    </w:p>
    <w:p w:rsidR="004B5BD2" w:rsidRPr="004B5BD2" w:rsidRDefault="004B5BD2" w:rsidP="004B5BD2">
      <w:pPr>
        <w:pStyle w:val="Corpodetexto"/>
        <w:tabs>
          <w:tab w:val="left" w:pos="1418"/>
          <w:tab w:val="left" w:pos="4253"/>
        </w:tabs>
        <w:rPr>
          <w:rFonts w:ascii="Times New Roman" w:eastAsia="Calibri" w:hAnsi="Times New Roman" w:cs="Times New Roman"/>
          <w:sz w:val="23"/>
          <w:szCs w:val="23"/>
          <w:lang w:eastAsia="pt-BR"/>
        </w:rPr>
      </w:pPr>
      <w:r w:rsidRPr="004B5BD2">
        <w:rPr>
          <w:rFonts w:ascii="Times New Roman" w:eastAsia="Calibri" w:hAnsi="Times New Roman" w:cs="Times New Roman"/>
          <w:b/>
          <w:bCs/>
          <w:sz w:val="23"/>
          <w:szCs w:val="23"/>
          <w:lang w:eastAsia="pt-BR"/>
        </w:rPr>
        <w:br/>
      </w:r>
      <w:r w:rsidRPr="004B5BD2">
        <w:rPr>
          <w:rFonts w:ascii="Times New Roman" w:eastAsia="Calibri" w:hAnsi="Times New Roman" w:cs="Times New Roman"/>
          <w:sz w:val="23"/>
          <w:szCs w:val="23"/>
          <w:lang w:eastAsia="pt-BR"/>
        </w:rPr>
        <w:t xml:space="preserve">E, por estarem de acordo, após lido e achado conforme, as partes assinam o presente contrato. </w:t>
      </w:r>
    </w:p>
    <w:p w:rsidR="004B5BD2" w:rsidRDefault="004B5BD2" w:rsidP="004B5BD2">
      <w:pPr>
        <w:pStyle w:val="Corpodetexto"/>
        <w:tabs>
          <w:tab w:val="left" w:pos="1418"/>
          <w:tab w:val="left" w:pos="4253"/>
        </w:tabs>
        <w:rPr>
          <w:rFonts w:ascii="Times New Roman" w:eastAsia="Calibri" w:hAnsi="Times New Roman" w:cs="Times New Roman"/>
          <w:b/>
          <w:bCs/>
          <w:sz w:val="23"/>
          <w:szCs w:val="23"/>
          <w:lang w:eastAsia="pt-BR"/>
        </w:rPr>
      </w:pPr>
    </w:p>
    <w:p w:rsidR="00BF6853" w:rsidRDefault="0098550E" w:rsidP="004B5BD2">
      <w:pPr>
        <w:pStyle w:val="Corpodetexto"/>
        <w:tabs>
          <w:tab w:val="left" w:pos="1418"/>
          <w:tab w:val="left" w:pos="4253"/>
        </w:tabs>
        <w:jc w:val="right"/>
        <w:rPr>
          <w:rFonts w:ascii="Times New Roman" w:hAnsi="Times New Roman"/>
          <w:sz w:val="23"/>
          <w:szCs w:val="23"/>
        </w:rPr>
      </w:pPr>
      <w:proofErr w:type="spellStart"/>
      <w:r>
        <w:rPr>
          <w:rFonts w:ascii="Times New Roman" w:hAnsi="Times New Roman"/>
          <w:sz w:val="23"/>
          <w:szCs w:val="23"/>
        </w:rPr>
        <w:t>Teutônia</w:t>
      </w:r>
      <w:proofErr w:type="spellEnd"/>
      <w:r>
        <w:rPr>
          <w:rFonts w:ascii="Times New Roman" w:hAnsi="Times New Roman"/>
          <w:sz w:val="23"/>
          <w:szCs w:val="23"/>
        </w:rPr>
        <w:t>, xx de xxx de 2026.</w:t>
      </w:r>
    </w:p>
    <w:p w:rsidR="00BF6853" w:rsidRDefault="00BF6853">
      <w:pPr>
        <w:pStyle w:val="Corpodetexto"/>
        <w:tabs>
          <w:tab w:val="left" w:pos="1418"/>
          <w:tab w:val="left" w:pos="4253"/>
        </w:tabs>
        <w:jc w:val="right"/>
        <w:rPr>
          <w:rFonts w:ascii="Times New Roman" w:hAnsi="Times New Roman"/>
          <w:sz w:val="23"/>
          <w:szCs w:val="23"/>
        </w:rPr>
      </w:pPr>
    </w:p>
    <w:p w:rsidR="00BF6853" w:rsidRDefault="00BF6853">
      <w:pPr>
        <w:pStyle w:val="Corpodetexto"/>
        <w:tabs>
          <w:tab w:val="left" w:pos="1418"/>
          <w:tab w:val="left" w:pos="4253"/>
        </w:tabs>
        <w:jc w:val="right"/>
        <w:rPr>
          <w:rFonts w:ascii="Times New Roman" w:hAnsi="Times New Roman"/>
          <w:sz w:val="23"/>
          <w:szCs w:val="23"/>
        </w:rPr>
      </w:pPr>
    </w:p>
    <w:p w:rsidR="00BF6853" w:rsidRDefault="0098550E">
      <w:pPr>
        <w:spacing w:after="0" w:line="276" w:lineRule="auto"/>
        <w:ind w:right="-79" w:firstLineChars="250" w:firstLine="575"/>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CONTRATANTE </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CONTRATADA</w:t>
      </w:r>
    </w:p>
    <w:p w:rsidR="00BF6853" w:rsidRDefault="0098550E">
      <w:pPr>
        <w:spacing w:after="0" w:line="276" w:lineRule="auto"/>
        <w:ind w:right="-79"/>
        <w:rPr>
          <w:rFonts w:ascii="Times New Roman" w:hAnsi="Times New Roman" w:cs="Times New Roman"/>
          <w:b/>
          <w:sz w:val="23"/>
          <w:szCs w:val="23"/>
        </w:rPr>
      </w:pPr>
      <w:r>
        <w:rPr>
          <w:rFonts w:ascii="Times New Roman" w:eastAsia="Arial Unicode MS" w:hAnsi="Times New Roman" w:cs="Times New Roman"/>
          <w:sz w:val="23"/>
          <w:szCs w:val="23"/>
        </w:rPr>
        <w:t xml:space="preserve">    </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MUN. DE TEUTÔNIA</w:t>
      </w:r>
      <w:r>
        <w:rPr>
          <w:rFonts w:ascii="Times New Roman" w:hAnsi="Times New Roman" w:cs="Times New Roman"/>
          <w:sz w:val="23"/>
          <w:szCs w:val="23"/>
        </w:rPr>
        <w:t xml:space="preserve">                                XXXXXXXXXXXXXXXXXXXXXXXXXX</w:t>
      </w:r>
    </w:p>
    <w:p w:rsidR="00BF6853" w:rsidRDefault="0098550E">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Renato Airton </w:t>
      </w:r>
      <w:proofErr w:type="spellStart"/>
      <w:r>
        <w:rPr>
          <w:rFonts w:ascii="Times New Roman" w:eastAsia="Arial Unicode MS" w:hAnsi="Times New Roman" w:cs="Times New Roman"/>
          <w:sz w:val="23"/>
          <w:szCs w:val="23"/>
        </w:rPr>
        <w:t>Altmann</w:t>
      </w:r>
      <w:proofErr w:type="spellEnd"/>
      <w:r>
        <w:rPr>
          <w:rFonts w:ascii="Times New Roman" w:eastAsia="Arial Unicode MS" w:hAnsi="Times New Roman" w:cs="Times New Roman"/>
          <w:sz w:val="23"/>
          <w:szCs w:val="23"/>
        </w:rPr>
        <w:t xml:space="preserve"> – Prefeito</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proofErr w:type="spellStart"/>
      <w:r>
        <w:rPr>
          <w:rFonts w:ascii="Times New Roman" w:eastAsia="Arial Unicode MS" w:hAnsi="Times New Roman" w:cs="Times New Roman"/>
          <w:sz w:val="23"/>
          <w:szCs w:val="23"/>
        </w:rPr>
        <w:t>xxxxxxxxxxxxxxxxxxxxxx</w:t>
      </w:r>
      <w:proofErr w:type="spellEnd"/>
    </w:p>
    <w:p w:rsidR="00BF6853" w:rsidRDefault="00BF6853">
      <w:pPr>
        <w:spacing w:after="0"/>
        <w:ind w:right="-81"/>
        <w:jc w:val="both"/>
        <w:rPr>
          <w:rFonts w:ascii="Times New Roman" w:eastAsia="Arial Unicode MS" w:hAnsi="Times New Roman" w:cs="Times New Roman"/>
          <w:sz w:val="23"/>
          <w:szCs w:val="23"/>
        </w:rPr>
      </w:pPr>
    </w:p>
    <w:p w:rsidR="00BF6853" w:rsidRDefault="0098550E" w:rsidP="003D034A">
      <w:pPr>
        <w:spacing w:after="0"/>
        <w:ind w:right="-81"/>
        <w:jc w:val="center"/>
        <w:rPr>
          <w:rFonts w:ascii="Times New Roman" w:eastAsia="Arial Unicode MS" w:hAnsi="Times New Roman" w:cs="Times New Roman"/>
          <w:sz w:val="23"/>
          <w:szCs w:val="23"/>
        </w:rPr>
      </w:pPr>
      <w:r>
        <w:rPr>
          <w:rFonts w:ascii="Times New Roman" w:eastAsia="Arial Unicode MS" w:hAnsi="Times New Roman" w:cs="Times New Roman"/>
          <w:sz w:val="23"/>
          <w:szCs w:val="23"/>
        </w:rPr>
        <w:t>TESTEMUNHAS:</w:t>
      </w:r>
    </w:p>
    <w:p w:rsidR="00BF6853" w:rsidRDefault="0098550E">
      <w:pPr>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rsidR="00BF6853" w:rsidRDefault="0098550E">
      <w:pPr>
        <w:rPr>
          <w:rFonts w:ascii="Times New Roman" w:eastAsia="Quire Sans Pro Light" w:hAnsi="Times New Roman" w:cs="Times New Roman"/>
          <w:b/>
        </w:rPr>
      </w:pPr>
      <w:r>
        <w:rPr>
          <w:rFonts w:ascii="Times New Roman" w:hAnsi="Times New Roman" w:cs="Times New Roman"/>
          <w:sz w:val="23"/>
          <w:szCs w:val="23"/>
        </w:rPr>
        <w:t>Nº CPF                                                                               Nº CPF</w:t>
      </w:r>
    </w:p>
    <w:sectPr w:rsidR="00BF6853" w:rsidSect="00BF6853">
      <w:headerReference w:type="default" r:id="rId9"/>
      <w:footerReference w:type="default" r:id="rId10"/>
      <w:pgSz w:w="11906" w:h="16838"/>
      <w:pgMar w:top="398" w:right="1133"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4938" w:rsidRDefault="00864938">
      <w:pPr>
        <w:spacing w:line="240" w:lineRule="auto"/>
      </w:pPr>
      <w:r>
        <w:separator/>
      </w:r>
    </w:p>
  </w:endnote>
  <w:endnote w:type="continuationSeparator" w:id="0">
    <w:p w:rsidR="00864938" w:rsidRDefault="0086493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Liberation Serif">
    <w:altName w:val="Segoe Print"/>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altName w:val="Segoe Print"/>
    <w:panose1 w:val="05010000000000000000"/>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Quire Sans Pro Light">
    <w:altName w:val="Segoe Print"/>
    <w:charset w:val="00"/>
    <w:family w:val="swiss"/>
    <w:pitch w:val="default"/>
    <w:sig w:usb0="00000000" w:usb1="00000000" w:usb2="00000000" w:usb3="00000000" w:csb0="00000001" w:csb1="00000000"/>
  </w:font>
  <w:font w:name="Montserrat">
    <w:altName w:val="Segoe Print"/>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938" w:rsidRDefault="00864938">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r>
      <w:rPr>
        <w:rFonts w:ascii="Times New Roman" w:eastAsia="Montserrat" w:hAnsi="Times New Roman" w:cs="Times New Roman"/>
        <w:color w:val="1155CC"/>
        <w:sz w:val="20"/>
        <w:szCs w:val="20"/>
      </w:rPr>
      <w:t xml:space="preserve">Av. 1 Oeste, 878, Bairro Centro Administrativo, Teutônia | RS | (51) 3762-7700  </w:t>
    </w:r>
  </w:p>
  <w:p w:rsidR="00864938" w:rsidRDefault="00864938">
    <w:pPr>
      <w:pStyle w:val="Rodap"/>
      <w:jc w:val="center"/>
      <w:rPr>
        <w:rFonts w:ascii="Times New Roman" w:hAnsi="Times New Roman" w:cs="Times New Roman"/>
      </w:rPr>
    </w:pPr>
    <w:r>
      <w:rPr>
        <w:rFonts w:ascii="Times New Roman" w:eastAsia="Montserrat" w:hAnsi="Times New Roman" w:cs="Times New Roman"/>
        <w:color w:val="1155CC"/>
        <w:sz w:val="20"/>
        <w:szCs w:val="20"/>
      </w:rPr>
      <w:t>e-mail: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4938" w:rsidRDefault="00864938">
      <w:pPr>
        <w:spacing w:after="0"/>
      </w:pPr>
      <w:r>
        <w:separator/>
      </w:r>
    </w:p>
  </w:footnote>
  <w:footnote w:type="continuationSeparator" w:id="0">
    <w:p w:rsidR="00864938" w:rsidRDefault="0086493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864938">
      <w:trPr>
        <w:trHeight w:val="1277"/>
        <w:jc w:val="center"/>
      </w:trPr>
      <w:tc>
        <w:tcPr>
          <w:tcW w:w="9090" w:type="dxa"/>
          <w:tcBorders>
            <w:top w:val="nil"/>
            <w:left w:val="nil"/>
            <w:bottom w:val="nil"/>
            <w:right w:val="nil"/>
          </w:tcBorders>
        </w:tcPr>
        <w:p w:rsidR="00864938" w:rsidRDefault="00864938">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095708620" name="image1.png"/>
                <wp:cNvGraphicFramePr/>
                <a:graphic xmlns:a="http://schemas.openxmlformats.org/drawingml/2006/main">
                  <a:graphicData uri="http://schemas.openxmlformats.org/drawingml/2006/picture">
                    <pic:pic xmlns:pic="http://schemas.openxmlformats.org/drawingml/2006/picture">
                      <pic:nvPicPr>
                        <pic:cNvPr id="1095708620"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864938" w:rsidRDefault="00864938">
    <w:pPr>
      <w:tabs>
        <w:tab w:val="center" w:pos="4680"/>
        <w:tab w:val="right" w:pos="9360"/>
      </w:tabs>
      <w:spacing w:after="0" w:line="240" w:lineRule="auto"/>
      <w:rPr>
        <w:color w:val="000000"/>
      </w:rPr>
    </w:pPr>
    <w:r w:rsidRPr="00681C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6620D4E"/>
    <w:multiLevelType w:val="singleLevel"/>
    <w:tmpl w:val="B6620D4E"/>
    <w:lvl w:ilvl="0">
      <w:start w:val="1"/>
      <w:numFmt w:val="lowerLetter"/>
      <w:lvlText w:val="%1)"/>
      <w:lvlJc w:val="left"/>
      <w:pPr>
        <w:tabs>
          <w:tab w:val="left" w:pos="425"/>
        </w:tabs>
        <w:ind w:left="425" w:hanging="425"/>
      </w:pPr>
      <w:rPr>
        <w:rFonts w:hint="default"/>
      </w:rPr>
    </w:lvl>
  </w:abstractNum>
  <w:abstractNum w:abstractNumId="1">
    <w:nsid w:val="DA54460B"/>
    <w:multiLevelType w:val="singleLevel"/>
    <w:tmpl w:val="DA54460B"/>
    <w:lvl w:ilvl="0">
      <w:start w:val="1"/>
      <w:numFmt w:val="bullet"/>
      <w:lvlText w:val=""/>
      <w:lvlJc w:val="left"/>
      <w:pPr>
        <w:tabs>
          <w:tab w:val="left" w:pos="420"/>
        </w:tabs>
        <w:ind w:left="420" w:hanging="420"/>
      </w:pPr>
      <w:rPr>
        <w:rFonts w:ascii="Wingdings" w:hAnsi="Wingdings" w:cs="Wingdings" w:hint="default"/>
        <w:sz w:val="16"/>
      </w:rPr>
    </w:lvl>
  </w:abstractNum>
  <w:abstractNum w:abstractNumId="2">
    <w:nsid w:val="F98E71BA"/>
    <w:multiLevelType w:val="singleLevel"/>
    <w:tmpl w:val="F98E71BA"/>
    <w:lvl w:ilvl="0">
      <w:start w:val="1"/>
      <w:numFmt w:val="lowerLetter"/>
      <w:lvlText w:val="%1)"/>
      <w:lvlJc w:val="left"/>
      <w:pPr>
        <w:tabs>
          <w:tab w:val="left" w:pos="425"/>
        </w:tabs>
        <w:ind w:left="425" w:hanging="425"/>
      </w:pPr>
      <w:rPr>
        <w:rFonts w:hint="default"/>
      </w:rPr>
    </w:lvl>
  </w:abstractNum>
  <w:abstractNum w:abstractNumId="3">
    <w:nsid w:val="19B3BD50"/>
    <w:multiLevelType w:val="multilevel"/>
    <w:tmpl w:val="19B3BD50"/>
    <w:lvl w:ilvl="0">
      <w:start w:val="18"/>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04DDF55"/>
    <w:multiLevelType w:val="multilevel"/>
    <w:tmpl w:val="404DDF5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
    <w:nsid w:val="538F192F"/>
    <w:multiLevelType w:val="singleLevel"/>
    <w:tmpl w:val="538F192F"/>
    <w:lvl w:ilvl="0">
      <w:start w:val="1"/>
      <w:numFmt w:val="lowerLetter"/>
      <w:lvlText w:val="%1)"/>
      <w:lvlJc w:val="left"/>
      <w:pPr>
        <w:tabs>
          <w:tab w:val="left" w:pos="425"/>
        </w:tabs>
        <w:ind w:left="425" w:hanging="425"/>
      </w:pPr>
      <w:rPr>
        <w:rFonts w:hint="default"/>
      </w:rPr>
    </w:lvl>
  </w:abstractNum>
  <w:abstractNum w:abstractNumId="7">
    <w:nsid w:val="7F3C31BB"/>
    <w:multiLevelType w:val="singleLevel"/>
    <w:tmpl w:val="7F3C31BB"/>
    <w:lvl w:ilvl="0">
      <w:start w:val="1"/>
      <w:numFmt w:val="bullet"/>
      <w:lvlText w:val=""/>
      <w:lvlJc w:val="left"/>
      <w:pPr>
        <w:tabs>
          <w:tab w:val="left" w:pos="840"/>
        </w:tabs>
        <w:ind w:left="840" w:hanging="420"/>
      </w:pPr>
      <w:rPr>
        <w:rFonts w:ascii="Wingdings" w:hAnsi="Wingdings" w:cs="Wingdings" w:hint="default"/>
        <w:sz w:val="16"/>
      </w:rPr>
    </w:lvl>
  </w:abstractNum>
  <w:num w:numId="1">
    <w:abstractNumId w:val="4"/>
  </w:num>
  <w:num w:numId="2">
    <w:abstractNumId w:val="3"/>
  </w:num>
  <w:num w:numId="3">
    <w:abstractNumId w:val="1"/>
  </w:num>
  <w:num w:numId="4">
    <w:abstractNumId w:val="6"/>
  </w:num>
  <w:num w:numId="5">
    <w:abstractNumId w:val="2"/>
  </w:num>
  <w:num w:numId="6">
    <w:abstractNumId w:val="0"/>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
  <w:rsids>
    <w:rsidRoot w:val="00DD05C7"/>
    <w:rsid w:val="0002320B"/>
    <w:rsid w:val="00052C8C"/>
    <w:rsid w:val="00071FEC"/>
    <w:rsid w:val="00072034"/>
    <w:rsid w:val="00073AB6"/>
    <w:rsid w:val="000C468E"/>
    <w:rsid w:val="000C50D0"/>
    <w:rsid w:val="000C60B8"/>
    <w:rsid w:val="000D30D1"/>
    <w:rsid w:val="000E4DE1"/>
    <w:rsid w:val="000F3177"/>
    <w:rsid w:val="00133FA5"/>
    <w:rsid w:val="00144CA7"/>
    <w:rsid w:val="001D26E2"/>
    <w:rsid w:val="00200595"/>
    <w:rsid w:val="002709AD"/>
    <w:rsid w:val="002C786D"/>
    <w:rsid w:val="002D5815"/>
    <w:rsid w:val="002E0455"/>
    <w:rsid w:val="00305A3F"/>
    <w:rsid w:val="003949A0"/>
    <w:rsid w:val="003B1095"/>
    <w:rsid w:val="003B3CA5"/>
    <w:rsid w:val="003D034A"/>
    <w:rsid w:val="00473776"/>
    <w:rsid w:val="00496B2C"/>
    <w:rsid w:val="004A36A2"/>
    <w:rsid w:val="004B5BD2"/>
    <w:rsid w:val="004D27E2"/>
    <w:rsid w:val="00525C56"/>
    <w:rsid w:val="005A7840"/>
    <w:rsid w:val="005E1A41"/>
    <w:rsid w:val="00681C5C"/>
    <w:rsid w:val="00681D70"/>
    <w:rsid w:val="006B4EE0"/>
    <w:rsid w:val="006B7F84"/>
    <w:rsid w:val="00710BDD"/>
    <w:rsid w:val="0072576C"/>
    <w:rsid w:val="0075724F"/>
    <w:rsid w:val="0078194D"/>
    <w:rsid w:val="0079516A"/>
    <w:rsid w:val="007D297F"/>
    <w:rsid w:val="007E47AF"/>
    <w:rsid w:val="007F47F4"/>
    <w:rsid w:val="00864938"/>
    <w:rsid w:val="008A7458"/>
    <w:rsid w:val="0090421E"/>
    <w:rsid w:val="00937BBD"/>
    <w:rsid w:val="00957E92"/>
    <w:rsid w:val="0098550E"/>
    <w:rsid w:val="009E3D31"/>
    <w:rsid w:val="009E6F53"/>
    <w:rsid w:val="009F7CBF"/>
    <w:rsid w:val="00A102A1"/>
    <w:rsid w:val="00A412DD"/>
    <w:rsid w:val="00A77C75"/>
    <w:rsid w:val="00A85D9E"/>
    <w:rsid w:val="00A871D3"/>
    <w:rsid w:val="00AD0487"/>
    <w:rsid w:val="00AD0DCA"/>
    <w:rsid w:val="00B02493"/>
    <w:rsid w:val="00B039BC"/>
    <w:rsid w:val="00B13FB9"/>
    <w:rsid w:val="00B15523"/>
    <w:rsid w:val="00B2679A"/>
    <w:rsid w:val="00BB7858"/>
    <w:rsid w:val="00BD0DFC"/>
    <w:rsid w:val="00BF6853"/>
    <w:rsid w:val="00BF69C9"/>
    <w:rsid w:val="00C73FB5"/>
    <w:rsid w:val="00C8087C"/>
    <w:rsid w:val="00CA128F"/>
    <w:rsid w:val="00D056F6"/>
    <w:rsid w:val="00D153DC"/>
    <w:rsid w:val="00D212A7"/>
    <w:rsid w:val="00D41C7A"/>
    <w:rsid w:val="00D47DB8"/>
    <w:rsid w:val="00DD05C7"/>
    <w:rsid w:val="00DE0E8F"/>
    <w:rsid w:val="00DF29CB"/>
    <w:rsid w:val="00E244FB"/>
    <w:rsid w:val="00E278AF"/>
    <w:rsid w:val="00E3347D"/>
    <w:rsid w:val="00ED6D32"/>
    <w:rsid w:val="00EE0FD2"/>
    <w:rsid w:val="00F47493"/>
    <w:rsid w:val="00F510F9"/>
    <w:rsid w:val="038A609E"/>
    <w:rsid w:val="03F94032"/>
    <w:rsid w:val="043B36FC"/>
    <w:rsid w:val="046C4778"/>
    <w:rsid w:val="056F102E"/>
    <w:rsid w:val="0A657177"/>
    <w:rsid w:val="0AF43971"/>
    <w:rsid w:val="0D044068"/>
    <w:rsid w:val="10EE01D6"/>
    <w:rsid w:val="11C0052E"/>
    <w:rsid w:val="17045380"/>
    <w:rsid w:val="1A1A4AE0"/>
    <w:rsid w:val="1BC51D68"/>
    <w:rsid w:val="1CE617B0"/>
    <w:rsid w:val="1E792262"/>
    <w:rsid w:val="1F842044"/>
    <w:rsid w:val="214D162F"/>
    <w:rsid w:val="21CD1FE6"/>
    <w:rsid w:val="224A6967"/>
    <w:rsid w:val="231079DD"/>
    <w:rsid w:val="279A2F25"/>
    <w:rsid w:val="2BA769AB"/>
    <w:rsid w:val="2CA60ACC"/>
    <w:rsid w:val="2CAE175C"/>
    <w:rsid w:val="2D3239DF"/>
    <w:rsid w:val="2DCF44E2"/>
    <w:rsid w:val="2EE85B84"/>
    <w:rsid w:val="302E18CA"/>
    <w:rsid w:val="303B772F"/>
    <w:rsid w:val="33CD3272"/>
    <w:rsid w:val="392C3A38"/>
    <w:rsid w:val="39B863C1"/>
    <w:rsid w:val="3C934053"/>
    <w:rsid w:val="3F8A67CD"/>
    <w:rsid w:val="41C42BF4"/>
    <w:rsid w:val="446001FD"/>
    <w:rsid w:val="4556724D"/>
    <w:rsid w:val="483425A2"/>
    <w:rsid w:val="497A37F3"/>
    <w:rsid w:val="4C87000A"/>
    <w:rsid w:val="53F80750"/>
    <w:rsid w:val="54FB7079"/>
    <w:rsid w:val="552701DF"/>
    <w:rsid w:val="577E19A3"/>
    <w:rsid w:val="5B27469B"/>
    <w:rsid w:val="5BA95B6E"/>
    <w:rsid w:val="5E427401"/>
    <w:rsid w:val="5EB44A4D"/>
    <w:rsid w:val="5FA07859"/>
    <w:rsid w:val="63962C7E"/>
    <w:rsid w:val="6443458E"/>
    <w:rsid w:val="66082BF5"/>
    <w:rsid w:val="66B410D8"/>
    <w:rsid w:val="670D5158"/>
    <w:rsid w:val="673A0114"/>
    <w:rsid w:val="67E76C04"/>
    <w:rsid w:val="6A834FCD"/>
    <w:rsid w:val="6B0B152D"/>
    <w:rsid w:val="6B416685"/>
    <w:rsid w:val="6D7838A9"/>
    <w:rsid w:val="718D144D"/>
    <w:rsid w:val="746A25B5"/>
    <w:rsid w:val="76794318"/>
    <w:rsid w:val="76846B20"/>
    <w:rsid w:val="77BE3D2B"/>
    <w:rsid w:val="7B160627"/>
    <w:rsid w:val="7CC86647"/>
    <w:rsid w:val="7D8B7FED"/>
    <w:rsid w:val="7F6351BF"/>
    <w:rsid w:val="7FF7647E"/>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qFormat="1"/>
    <w:lsdException w:name="heading 5" w:uiPriority="7" w:qFormat="1"/>
    <w:lsdException w:name="heading 6" w:uiPriority="0"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uiPriority="0" w:unhideWhenUsed="0" w:qFormat="1"/>
    <w:lsdException w:name="annotation text" w:semiHidden="1" w:qFormat="1"/>
    <w:lsdException w:name="header" w:uiPriority="0" w:qFormat="1"/>
    <w:lsdException w:name="footer" w:uiPriority="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nhideWhenUsed="0" w:qFormat="1"/>
    <w:lsdException w:name="annotation reference" w:semiHidden="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uiPriority="0" w:unhideWhenUsed="0"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uiPriority="0" w:unhideWhenUsed="0" w:qFormat="1"/>
    <w:lsdException w:name="Body Text Indent 2" w:uiPriority="0" w:unhideWhenUsed="0" w:qFormat="1"/>
    <w:lsdException w:name="Body Text Indent 3" w:uiPriority="0" w:unhideWhenUsed="0" w:qFormat="1"/>
    <w:lsdException w:name="Block Text" w:semiHidden="1"/>
    <w:lsdException w:name="Hyperlink" w:uiPriority="0" w:unhideWhenUsed="0" w:qFormat="1"/>
    <w:lsdException w:name="FollowedHyperlink" w:semiHidden="1" w:qFormat="1"/>
    <w:lsdException w:name="Strong" w:uiPriority="6" w:unhideWhenUsed="0" w:qFormat="1"/>
    <w:lsdException w:name="Emphasis" w:uiPriority="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nhideWhenUsed="0"/>
    <w:lsdException w:name="Light List" w:unhideWhenUsed="0"/>
    <w:lsdException w:name="Light Grid" w:unhideWhenUsed="0"/>
    <w:lsdException w:name="Medium Shading 1" w:unhideWhenUsed="0"/>
    <w:lsdException w:name="Medium Shading 2" w:unhideWhenUsed="0"/>
    <w:lsdException w:name="Medium List 1" w:unhideWhenUsed="0"/>
    <w:lsdException w:name="Medium List 2" w:unhideWhenUsed="0"/>
    <w:lsdException w:name="Medium Grid 1" w:unhideWhenUsed="0"/>
    <w:lsdException w:name="Medium Grid 2" w:unhideWhenUsed="0"/>
    <w:lsdException w:name="Medium Grid 3" w:unhideWhenUsed="0"/>
    <w:lsdException w:name="Dark List" w:unhideWhenUsed="0"/>
    <w:lsdException w:name="Colorful Shading" w:unhideWhenUsed="0"/>
    <w:lsdException w:name="Colorful List" w:unhideWhenUsed="0"/>
    <w:lsdException w:name="Colorful Grid" w:unhideWhenUsed="0"/>
    <w:lsdException w:name="Light Shading Accent 1" w:unhideWhenUsed="0"/>
    <w:lsdException w:name="Light List Accent 1" w:unhideWhenUsed="0"/>
    <w:lsdException w:name="Light Grid Accent 1" w:unhideWhenUsed="0"/>
    <w:lsdException w:name="Medium Shading 1 Accent 1" w:unhideWhenUsed="0"/>
    <w:lsdException w:name="Medium Shading 2 Accent 1" w:unhideWhenUsed="0"/>
    <w:lsdException w:name="Medium List 1 Accent 1" w:unhideWhenUsed="0"/>
    <w:lsdException w:name="Revision" w:semiHidden="1"/>
    <w:lsdException w:name="List Paragraph" w:uiPriority="34" w:unhideWhenUsed="0" w:qFormat="1"/>
    <w:lsdException w:name="Quote" w:semiHidden="1"/>
    <w:lsdException w:name="Intense Quote" w:semiHidden="1"/>
    <w:lsdException w:name="Medium List 2 Accent 1" w:unhideWhenUsed="0"/>
    <w:lsdException w:name="Medium Grid 1 Accent 1" w:unhideWhenUsed="0"/>
    <w:lsdException w:name="Medium Grid 2 Accent 1" w:unhideWhenUsed="0"/>
    <w:lsdException w:name="Medium Grid 3 Accent 1" w:unhideWhenUsed="0"/>
    <w:lsdException w:name="Dark List Accent 1" w:unhideWhenUsed="0"/>
    <w:lsdException w:name="Colorful Shading Accent 1" w:unhideWhenUsed="0"/>
    <w:lsdException w:name="Colorful List Accent 1" w:unhideWhenUsed="0"/>
    <w:lsdException w:name="Colorful Grid Accent 1" w:unhideWhenUsed="0"/>
    <w:lsdException w:name="Light Shading Accent 2" w:unhideWhenUsed="0"/>
    <w:lsdException w:name="Light List Accent 2" w:unhideWhenUsed="0"/>
    <w:lsdException w:name="Light Grid Accent 2" w:unhideWhenUsed="0"/>
    <w:lsdException w:name="Medium Shading 1 Accent 2" w:unhideWhenUsed="0"/>
    <w:lsdException w:name="Medium Shading 2 Accent 2" w:unhideWhenUsed="0"/>
    <w:lsdException w:name="Medium List 1 Accent 2" w:unhideWhenUsed="0"/>
    <w:lsdException w:name="Medium List 2 Accent 2" w:unhideWhenUsed="0"/>
    <w:lsdException w:name="Medium Grid 1 Accent 2" w:unhideWhenUsed="0"/>
    <w:lsdException w:name="Medium Grid 2 Accent 2" w:unhideWhenUsed="0"/>
    <w:lsdException w:name="Medium Grid 3 Accent 2" w:unhideWhenUsed="0"/>
    <w:lsdException w:name="Dark List Accent 2" w:unhideWhenUsed="0"/>
    <w:lsdException w:name="Colorful Shading Accent 2" w:unhideWhenUsed="0"/>
    <w:lsdException w:name="Colorful List Accent 2" w:unhideWhenUsed="0"/>
    <w:lsdException w:name="Colorful Grid Accent 2" w:unhideWhenUsed="0"/>
    <w:lsdException w:name="Light Shading Accent 3" w:unhideWhenUsed="0"/>
    <w:lsdException w:name="Light List Accent 3" w:unhideWhenUsed="0"/>
    <w:lsdException w:name="Light Grid Accent 3" w:unhideWhenUsed="0"/>
    <w:lsdException w:name="Medium Shading 1 Accent 3" w:unhideWhenUsed="0"/>
    <w:lsdException w:name="Medium Shading 2 Accent 3" w:unhideWhenUsed="0"/>
    <w:lsdException w:name="Medium List 1 Accent 3" w:unhideWhenUsed="0"/>
    <w:lsdException w:name="Medium List 2 Accent 3" w:unhideWhenUsed="0"/>
    <w:lsdException w:name="Medium Grid 1 Accent 3" w:unhideWhenUsed="0"/>
    <w:lsdException w:name="Medium Grid 2 Accent 3" w:unhideWhenUsed="0"/>
    <w:lsdException w:name="Medium Grid 3 Accent 3" w:unhideWhenUsed="0"/>
    <w:lsdException w:name="Dark List Accent 3" w:unhideWhenUsed="0"/>
    <w:lsdException w:name="Colorful Shading Accent 3" w:unhideWhenUsed="0"/>
    <w:lsdException w:name="Colorful List Accent 3" w:unhideWhenUsed="0"/>
    <w:lsdException w:name="Colorful Grid Accent 3" w:unhideWhenUsed="0"/>
    <w:lsdException w:name="Light Shading Accent 4" w:unhideWhenUsed="0"/>
    <w:lsdException w:name="Light List Accent 4" w:unhideWhenUsed="0"/>
    <w:lsdException w:name="Light Grid Accent 4" w:unhideWhenUsed="0"/>
    <w:lsdException w:name="Medium Shading 1 Accent 4" w:unhideWhenUsed="0"/>
    <w:lsdException w:name="Medium Shading 2 Accent 4" w:unhideWhenUsed="0"/>
    <w:lsdException w:name="Medium List 1 Accent 4" w:unhideWhenUsed="0"/>
    <w:lsdException w:name="Medium List 2 Accent 4" w:unhideWhenUsed="0"/>
    <w:lsdException w:name="Medium Grid 1 Accent 4" w:unhideWhenUsed="0"/>
    <w:lsdException w:name="Medium Grid 2 Accent 4" w:unhideWhenUsed="0"/>
    <w:lsdException w:name="Medium Grid 3 Accent 4" w:unhideWhenUsed="0"/>
    <w:lsdException w:name="Dark List Accent 4" w:unhideWhenUsed="0"/>
    <w:lsdException w:name="Colorful Shading Accent 4" w:unhideWhenUsed="0"/>
    <w:lsdException w:name="Colorful List Accent 4" w:unhideWhenUsed="0"/>
    <w:lsdException w:name="Colorful Grid Accent 4" w:unhideWhenUsed="0"/>
    <w:lsdException w:name="Light Shading Accent 5" w:unhideWhenUsed="0"/>
    <w:lsdException w:name="Light List Accent 5" w:unhideWhenUsed="0"/>
    <w:lsdException w:name="Light Grid Accent 5" w:unhideWhenUsed="0"/>
    <w:lsdException w:name="Medium Shading 1 Accent 5" w:unhideWhenUsed="0"/>
    <w:lsdException w:name="Medium Shading 2 Accent 5" w:unhideWhenUsed="0"/>
    <w:lsdException w:name="Medium List 1 Accent 5" w:unhideWhenUsed="0"/>
    <w:lsdException w:name="Medium List 2 Accent 5" w:unhideWhenUsed="0"/>
    <w:lsdException w:name="Medium Grid 1 Accent 5" w:unhideWhenUsed="0"/>
    <w:lsdException w:name="Medium Grid 2 Accent 5" w:unhideWhenUsed="0"/>
    <w:lsdException w:name="Medium Grid 3 Accent 5" w:unhideWhenUsed="0"/>
    <w:lsdException w:name="Dark List Accent 5" w:unhideWhenUsed="0"/>
    <w:lsdException w:name="Colorful Shading Accent 5" w:unhideWhenUsed="0"/>
    <w:lsdException w:name="Colorful List Accent 5" w:unhideWhenUsed="0"/>
    <w:lsdException w:name="Colorful Grid Accent 5" w:unhideWhenUsed="0"/>
    <w:lsdException w:name="Light Shading Accent 6" w:unhideWhenUsed="0"/>
    <w:lsdException w:name="Light List Accent 6" w:unhideWhenUsed="0"/>
    <w:lsdException w:name="Light Grid Accent 6" w:unhideWhenUsed="0"/>
    <w:lsdException w:name="Medium Shading 1 Accent 6" w:unhideWhenUsed="0"/>
    <w:lsdException w:name="Medium Shading 2 Accent 6" w:unhideWhenUsed="0"/>
    <w:lsdException w:name="Medium List 1 Accent 6" w:unhideWhenUsed="0"/>
    <w:lsdException w:name="Medium List 2 Accent 6" w:unhideWhenUsed="0"/>
    <w:lsdException w:name="Medium Grid 1 Accent 6" w:unhideWhenUsed="0"/>
    <w:lsdException w:name="Medium Grid 2 Accent 6" w:unhideWhenUsed="0"/>
    <w:lsdException w:name="Medium Grid 3 Accent 6" w:unhideWhenUsed="0"/>
    <w:lsdException w:name="Dark List Accent 6" w:unhideWhenUsed="0"/>
    <w:lsdException w:name="Colorful Shading Accent 6" w:unhideWhenUsed="0"/>
    <w:lsdException w:name="Colorful List Accent 6" w:unhideWhenUsed="0"/>
    <w:lsdException w:name="Colorful Grid Accent 6"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BF6853"/>
    <w:pPr>
      <w:spacing w:after="160" w:line="259" w:lineRule="auto"/>
    </w:pPr>
    <w:rPr>
      <w:rFonts w:ascii="Calibri" w:eastAsia="Calibri" w:hAnsi="Calibri" w:cs="Calibri"/>
      <w:sz w:val="22"/>
      <w:szCs w:val="22"/>
    </w:rPr>
  </w:style>
  <w:style w:type="paragraph" w:styleId="Ttulo1">
    <w:name w:val="heading 1"/>
    <w:basedOn w:val="Normal"/>
    <w:next w:val="Normal"/>
    <w:link w:val="Ttulo1Char"/>
    <w:qFormat/>
    <w:rsid w:val="00BF6853"/>
    <w:pPr>
      <w:keepNext/>
      <w:keepLines/>
      <w:spacing w:before="480" w:after="120"/>
      <w:outlineLvl w:val="0"/>
    </w:pPr>
    <w:rPr>
      <w:b/>
      <w:sz w:val="48"/>
      <w:szCs w:val="48"/>
    </w:rPr>
  </w:style>
  <w:style w:type="paragraph" w:styleId="Ttulo2">
    <w:name w:val="heading 2"/>
    <w:basedOn w:val="Normal"/>
    <w:next w:val="Normal"/>
    <w:unhideWhenUsed/>
    <w:qFormat/>
    <w:rsid w:val="00BF6853"/>
    <w:pPr>
      <w:keepNext/>
      <w:keepLines/>
      <w:spacing w:before="360" w:after="80"/>
      <w:outlineLvl w:val="1"/>
    </w:pPr>
    <w:rPr>
      <w:b/>
      <w:sz w:val="36"/>
      <w:szCs w:val="36"/>
    </w:rPr>
  </w:style>
  <w:style w:type="paragraph" w:styleId="Ttulo3">
    <w:name w:val="heading 3"/>
    <w:basedOn w:val="Normal"/>
    <w:next w:val="Normal"/>
    <w:unhideWhenUsed/>
    <w:qFormat/>
    <w:rsid w:val="00BF6853"/>
    <w:pPr>
      <w:keepNext/>
      <w:keepLines/>
      <w:spacing w:before="280" w:after="80"/>
      <w:outlineLvl w:val="2"/>
    </w:pPr>
    <w:rPr>
      <w:b/>
      <w:sz w:val="28"/>
      <w:szCs w:val="28"/>
    </w:rPr>
  </w:style>
  <w:style w:type="paragraph" w:styleId="Ttulo4">
    <w:name w:val="heading 4"/>
    <w:basedOn w:val="Normal"/>
    <w:next w:val="Normal"/>
    <w:unhideWhenUsed/>
    <w:qFormat/>
    <w:rsid w:val="00BF6853"/>
    <w:pPr>
      <w:keepNext/>
      <w:keepLines/>
      <w:spacing w:before="240" w:after="40"/>
      <w:outlineLvl w:val="3"/>
    </w:pPr>
    <w:rPr>
      <w:b/>
      <w:sz w:val="24"/>
      <w:szCs w:val="24"/>
    </w:rPr>
  </w:style>
  <w:style w:type="paragraph" w:styleId="Ttulo5">
    <w:name w:val="heading 5"/>
    <w:basedOn w:val="Normal"/>
    <w:next w:val="Normal"/>
    <w:uiPriority w:val="7"/>
    <w:unhideWhenUsed/>
    <w:qFormat/>
    <w:rsid w:val="00BF6853"/>
    <w:pPr>
      <w:keepNext/>
      <w:keepLines/>
      <w:spacing w:before="220" w:after="40"/>
      <w:outlineLvl w:val="4"/>
    </w:pPr>
    <w:rPr>
      <w:b/>
    </w:rPr>
  </w:style>
  <w:style w:type="paragraph" w:styleId="Ttulo6">
    <w:name w:val="heading 6"/>
    <w:basedOn w:val="Normal"/>
    <w:next w:val="Normal"/>
    <w:unhideWhenUsed/>
    <w:qFormat/>
    <w:rsid w:val="00BF6853"/>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6"/>
    <w:qFormat/>
    <w:rsid w:val="00BF6853"/>
    <w:rPr>
      <w:b/>
      <w:bCs/>
    </w:rPr>
  </w:style>
  <w:style w:type="character" w:styleId="HiperlinkVisitado">
    <w:name w:val="FollowedHyperlink"/>
    <w:basedOn w:val="Fontepargpadro"/>
    <w:uiPriority w:val="99"/>
    <w:semiHidden/>
    <w:unhideWhenUsed/>
    <w:qFormat/>
    <w:rsid w:val="00BF6853"/>
    <w:rPr>
      <w:color w:val="800000"/>
      <w:u w:val="single"/>
    </w:rPr>
  </w:style>
  <w:style w:type="character" w:styleId="nfase">
    <w:name w:val="Emphasis"/>
    <w:qFormat/>
    <w:rsid w:val="00BF6853"/>
    <w:rPr>
      <w:i/>
      <w:iCs/>
    </w:rPr>
  </w:style>
  <w:style w:type="character" w:styleId="Refdenotaderodap">
    <w:name w:val="footnote reference"/>
    <w:uiPriority w:val="99"/>
    <w:qFormat/>
    <w:rsid w:val="00BF6853"/>
    <w:rPr>
      <w:vertAlign w:val="superscript"/>
    </w:rPr>
  </w:style>
  <w:style w:type="character" w:styleId="Hyperlink">
    <w:name w:val="Hyperlink"/>
    <w:qFormat/>
    <w:rsid w:val="00BF6853"/>
    <w:rPr>
      <w:color w:val="0000FF"/>
      <w:u w:val="single"/>
    </w:rPr>
  </w:style>
  <w:style w:type="character" w:styleId="Nmerodepgina">
    <w:name w:val="page number"/>
    <w:qFormat/>
    <w:rsid w:val="00BF6853"/>
  </w:style>
  <w:style w:type="paragraph" w:styleId="Lista">
    <w:name w:val="List"/>
    <w:basedOn w:val="Corpodetexto"/>
    <w:qFormat/>
    <w:rsid w:val="00BF6853"/>
    <w:pPr>
      <w:widowControl/>
    </w:pPr>
    <w:rPr>
      <w:rFonts w:ascii="Times New Roman" w:hAnsi="Times New Roman" w:cs="Tahoma"/>
      <w:szCs w:val="24"/>
    </w:rPr>
  </w:style>
  <w:style w:type="paragraph" w:styleId="Corpodetexto">
    <w:name w:val="Body Text"/>
    <w:basedOn w:val="Normal"/>
    <w:link w:val="CorpodetextoChar"/>
    <w:qFormat/>
    <w:rsid w:val="00BF6853"/>
    <w:pPr>
      <w:widowControl w:val="0"/>
      <w:suppressAutoHyphens/>
      <w:autoSpaceDE w:val="0"/>
      <w:spacing w:after="0" w:line="240" w:lineRule="auto"/>
      <w:jc w:val="both"/>
    </w:pPr>
    <w:rPr>
      <w:rFonts w:ascii="Courier New" w:eastAsia="SimSun" w:hAnsi="Courier New" w:cs="Courier New"/>
      <w:sz w:val="24"/>
      <w:szCs w:val="20"/>
      <w:lang w:eastAsia="zh-CN"/>
    </w:rPr>
  </w:style>
  <w:style w:type="paragraph" w:styleId="Textodecomentrio">
    <w:name w:val="annotation text"/>
    <w:basedOn w:val="Normal"/>
    <w:uiPriority w:val="99"/>
    <w:semiHidden/>
    <w:unhideWhenUsed/>
    <w:qFormat/>
    <w:rsid w:val="00BF6853"/>
  </w:style>
  <w:style w:type="paragraph" w:styleId="Recuodecorpodetexto2">
    <w:name w:val="Body Text Indent 2"/>
    <w:basedOn w:val="Normal"/>
    <w:link w:val="Recuodecorpodetexto2Char"/>
    <w:qFormat/>
    <w:rsid w:val="00BF6853"/>
    <w:pPr>
      <w:suppressAutoHyphens/>
      <w:spacing w:after="0" w:line="240" w:lineRule="auto"/>
      <w:ind w:firstLine="1985"/>
      <w:jc w:val="both"/>
    </w:pPr>
    <w:rPr>
      <w:rFonts w:ascii="Times New Roman" w:eastAsia="SimSun" w:hAnsi="Times New Roman" w:cs="Times New Roman"/>
      <w:sz w:val="24"/>
      <w:szCs w:val="24"/>
      <w:lang w:eastAsia="zh-CN"/>
    </w:rPr>
  </w:style>
  <w:style w:type="paragraph" w:styleId="Ttulo">
    <w:name w:val="Title"/>
    <w:basedOn w:val="Normal"/>
    <w:next w:val="Normal"/>
    <w:uiPriority w:val="10"/>
    <w:qFormat/>
    <w:rsid w:val="00BF6853"/>
    <w:pPr>
      <w:keepNext/>
      <w:keepLines/>
      <w:spacing w:before="480" w:after="120"/>
    </w:pPr>
    <w:rPr>
      <w:b/>
      <w:sz w:val="72"/>
      <w:szCs w:val="72"/>
    </w:rPr>
  </w:style>
  <w:style w:type="paragraph" w:styleId="NormalWeb">
    <w:name w:val="Normal (Web)"/>
    <w:basedOn w:val="Normal"/>
    <w:uiPriority w:val="99"/>
    <w:qFormat/>
    <w:rsid w:val="00BF6853"/>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BF6853"/>
    <w:pPr>
      <w:suppressAutoHyphens/>
      <w:spacing w:after="0" w:line="240" w:lineRule="auto"/>
      <w:jc w:val="center"/>
    </w:pPr>
    <w:rPr>
      <w:rFonts w:ascii="Bookman Old Style" w:eastAsia="SimSun" w:hAnsi="Times New Roman" w:cs="Bookman Old Style"/>
      <w:b/>
      <w:bCs/>
      <w:sz w:val="24"/>
      <w:szCs w:val="24"/>
      <w:lang w:eastAsia="zh-CN"/>
    </w:rPr>
  </w:style>
  <w:style w:type="paragraph" w:styleId="Corpodetexto2">
    <w:name w:val="Body Text 2"/>
    <w:basedOn w:val="Normal"/>
    <w:link w:val="Corpodetexto2Char"/>
    <w:qFormat/>
    <w:rsid w:val="00BF6853"/>
    <w:pPr>
      <w:suppressAutoHyphens/>
      <w:spacing w:after="0" w:line="240" w:lineRule="auto"/>
    </w:pPr>
    <w:rPr>
      <w:rFonts w:ascii="Arial" w:eastAsia="SimSun" w:hAnsi="Arial" w:cs="Arial"/>
      <w:b/>
      <w:bCs/>
      <w:sz w:val="24"/>
      <w:szCs w:val="24"/>
      <w:lang w:eastAsia="zh-CN"/>
    </w:rPr>
  </w:style>
  <w:style w:type="paragraph" w:styleId="Cabealho">
    <w:name w:val="header"/>
    <w:basedOn w:val="Normal"/>
    <w:link w:val="CabealhoChar"/>
    <w:unhideWhenUsed/>
    <w:qFormat/>
    <w:rsid w:val="00BF6853"/>
    <w:pPr>
      <w:tabs>
        <w:tab w:val="center" w:pos="4680"/>
        <w:tab w:val="right" w:pos="9360"/>
      </w:tabs>
      <w:spacing w:after="0" w:line="240" w:lineRule="auto"/>
    </w:pPr>
  </w:style>
  <w:style w:type="paragraph" w:styleId="Rodap">
    <w:name w:val="footer"/>
    <w:basedOn w:val="Normal"/>
    <w:link w:val="RodapChar"/>
    <w:unhideWhenUsed/>
    <w:qFormat/>
    <w:rsid w:val="00BF6853"/>
    <w:pPr>
      <w:tabs>
        <w:tab w:val="center" w:pos="4680"/>
        <w:tab w:val="right" w:pos="9360"/>
      </w:tabs>
      <w:spacing w:after="0" w:line="240" w:lineRule="auto"/>
    </w:pPr>
  </w:style>
  <w:style w:type="paragraph" w:styleId="Legenda">
    <w:name w:val="caption"/>
    <w:basedOn w:val="Normal"/>
    <w:qFormat/>
    <w:rsid w:val="00BF6853"/>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qFormat/>
    <w:rsid w:val="00BF6853"/>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paragraph" w:styleId="Textodebalo">
    <w:name w:val="Balloon Text"/>
    <w:basedOn w:val="Normal"/>
    <w:link w:val="TextodebaloChar"/>
    <w:qFormat/>
    <w:rsid w:val="00BF6853"/>
    <w:pPr>
      <w:suppressAutoHyphens/>
      <w:spacing w:after="0" w:line="240" w:lineRule="auto"/>
    </w:pPr>
    <w:rPr>
      <w:rFonts w:ascii="Tahoma" w:eastAsia="SimSun" w:hAnsi="Tahoma" w:cs="Tahoma"/>
      <w:sz w:val="16"/>
      <w:szCs w:val="16"/>
      <w:lang w:eastAsia="zh-CN"/>
    </w:rPr>
  </w:style>
  <w:style w:type="paragraph" w:styleId="Subttulo">
    <w:name w:val="Subtitle"/>
    <w:basedOn w:val="Normal"/>
    <w:next w:val="Normal"/>
    <w:uiPriority w:val="11"/>
    <w:qFormat/>
    <w:rsid w:val="00BF6853"/>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BF6853"/>
    <w:pPr>
      <w:suppressAutoHyphens/>
      <w:spacing w:after="0" w:line="240" w:lineRule="auto"/>
    </w:pPr>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BF6853"/>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table" w:styleId="Tabelacomgrade">
    <w:name w:val="Table Grid"/>
    <w:basedOn w:val="Tabelanormal"/>
    <w:uiPriority w:val="59"/>
    <w:qFormat/>
    <w:rsid w:val="00BF685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BF6853"/>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BF6853"/>
  </w:style>
  <w:style w:type="character" w:customStyle="1" w:styleId="RodapChar">
    <w:name w:val="Rodapé Char"/>
    <w:basedOn w:val="Fontepargpadro"/>
    <w:link w:val="Rodap"/>
    <w:uiPriority w:val="99"/>
    <w:qFormat/>
    <w:rsid w:val="00BF6853"/>
  </w:style>
  <w:style w:type="paragraph" w:styleId="PargrafodaLista">
    <w:name w:val="List Paragraph"/>
    <w:basedOn w:val="Normal"/>
    <w:link w:val="PargrafodaListaChar"/>
    <w:uiPriority w:val="34"/>
    <w:qFormat/>
    <w:rsid w:val="00BF6853"/>
    <w:pPr>
      <w:ind w:left="720"/>
      <w:contextualSpacing/>
    </w:pPr>
  </w:style>
  <w:style w:type="table" w:customStyle="1" w:styleId="TabeladeGradeClara1">
    <w:name w:val="Tabela de Grade Clara1"/>
    <w:basedOn w:val="Tabelanormal"/>
    <w:uiPriority w:val="40"/>
    <w:qFormat/>
    <w:rsid w:val="00BF685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BF6853"/>
    <w:tblPr>
      <w:tblInd w:w="0" w:type="dxa"/>
      <w:tblCellMar>
        <w:top w:w="0" w:type="dxa"/>
        <w:left w:w="108" w:type="dxa"/>
        <w:bottom w:w="0" w:type="dxa"/>
        <w:right w:w="108" w:type="dxa"/>
      </w:tblCellMar>
    </w:tblPr>
  </w:style>
  <w:style w:type="table" w:customStyle="1" w:styleId="Style21">
    <w:name w:val="_Style 21"/>
    <w:basedOn w:val="Tabelanormal"/>
    <w:qFormat/>
    <w:rsid w:val="00BF6853"/>
    <w:tblPr>
      <w:tblInd w:w="0" w:type="dxa"/>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BF6853"/>
    <w:rPr>
      <w:rFonts w:ascii="Courier New" w:eastAsia="SimSun" w:hAnsi="Courier New" w:cs="Courier New"/>
      <w:sz w:val="24"/>
      <w:szCs w:val="20"/>
      <w:lang w:eastAsia="zh-CN"/>
    </w:rPr>
  </w:style>
  <w:style w:type="character" w:customStyle="1" w:styleId="Recuodecorpodetexto2Char">
    <w:name w:val="Recuo de corpo de texto 2 Char"/>
    <w:basedOn w:val="Fontepargpadro"/>
    <w:link w:val="Recuodecorpodetexto2"/>
    <w:qFormat/>
    <w:rsid w:val="00BF6853"/>
    <w:rPr>
      <w:rFonts w:ascii="Times New Roman" w:eastAsia="SimSun" w:hAnsi="Times New Roman" w:cs="Times New Roman"/>
      <w:sz w:val="24"/>
      <w:szCs w:val="24"/>
      <w:lang w:eastAsia="zh-CN"/>
    </w:rPr>
  </w:style>
  <w:style w:type="character" w:customStyle="1" w:styleId="Corpodetexto3Char">
    <w:name w:val="Corpo de texto 3 Char"/>
    <w:basedOn w:val="Fontepargpadro"/>
    <w:link w:val="Corpodetexto3"/>
    <w:qFormat/>
    <w:rsid w:val="00BF6853"/>
    <w:rPr>
      <w:rFonts w:ascii="Bookman Old Style" w:eastAsia="SimSun" w:hAnsi="Times New Roman" w:cs="Bookman Old Style"/>
      <w:b/>
      <w:bCs/>
      <w:sz w:val="24"/>
      <w:szCs w:val="24"/>
      <w:lang w:eastAsia="zh-CN"/>
    </w:rPr>
  </w:style>
  <w:style w:type="character" w:customStyle="1" w:styleId="Corpodetexto2Char">
    <w:name w:val="Corpo de texto 2 Char"/>
    <w:basedOn w:val="Fontepargpadro"/>
    <w:link w:val="Corpodetexto2"/>
    <w:qFormat/>
    <w:rsid w:val="00BF6853"/>
    <w:rPr>
      <w:rFonts w:ascii="Arial" w:eastAsia="SimSun" w:hAnsi="Arial" w:cs="Arial"/>
      <w:b/>
      <w:bCs/>
      <w:sz w:val="24"/>
      <w:szCs w:val="24"/>
      <w:lang w:eastAsia="zh-CN"/>
    </w:rPr>
  </w:style>
  <w:style w:type="character" w:customStyle="1" w:styleId="Recuodecorpodetexto3Char">
    <w:name w:val="Recuo de corpo de texto 3 Char"/>
    <w:basedOn w:val="Fontepargpadro"/>
    <w:link w:val="Recuodecorpodetexto3"/>
    <w:qFormat/>
    <w:rsid w:val="00BF6853"/>
    <w:rPr>
      <w:rFonts w:ascii="Courier New" w:eastAsia="SimSun" w:hAnsi="Courier New" w:cs="Times New Roman"/>
      <w:color w:val="000000"/>
      <w:sz w:val="20"/>
      <w:szCs w:val="20"/>
      <w:lang w:eastAsia="zh-CN"/>
    </w:rPr>
  </w:style>
  <w:style w:type="character" w:customStyle="1" w:styleId="TextodebaloChar">
    <w:name w:val="Texto de balão Char"/>
    <w:basedOn w:val="Fontepargpadro"/>
    <w:link w:val="Textodebalo"/>
    <w:qFormat/>
    <w:rsid w:val="00BF6853"/>
    <w:rPr>
      <w:rFonts w:ascii="Tahoma" w:eastAsia="SimSun" w:hAnsi="Tahoma" w:cs="Tahoma"/>
      <w:sz w:val="16"/>
      <w:szCs w:val="16"/>
      <w:lang w:eastAsia="zh-CN"/>
    </w:rPr>
  </w:style>
  <w:style w:type="character" w:customStyle="1" w:styleId="TextodenotaderodapChar">
    <w:name w:val="Texto de nota de rodapé Char"/>
    <w:basedOn w:val="Fontepargpadro"/>
    <w:link w:val="Textodenotaderodap"/>
    <w:qFormat/>
    <w:rsid w:val="00BF6853"/>
    <w:rPr>
      <w:rFonts w:ascii="Times New Roman" w:eastAsia="SimSun" w:hAnsi="Times New Roman" w:cs="Times New Roman"/>
      <w:sz w:val="20"/>
      <w:szCs w:val="24"/>
      <w:lang w:eastAsia="zh-CN"/>
    </w:rPr>
  </w:style>
  <w:style w:type="character" w:customStyle="1" w:styleId="RecuodecorpodetextoChar">
    <w:name w:val="Recuo de corpo de texto Char"/>
    <w:basedOn w:val="Fontepargpadro"/>
    <w:link w:val="Recuodecorpodetexto"/>
    <w:qFormat/>
    <w:rsid w:val="00BF6853"/>
    <w:rPr>
      <w:rFonts w:ascii="Courier New" w:eastAsia="SimSun" w:hAnsi="Courier New" w:cs="Courier New"/>
      <w:color w:val="000000"/>
      <w:sz w:val="20"/>
      <w:szCs w:val="20"/>
      <w:lang w:eastAsia="zh-CN"/>
    </w:rPr>
  </w:style>
  <w:style w:type="character" w:customStyle="1" w:styleId="Fontepargpadro1">
    <w:name w:val="Fonte parág. padrão1"/>
    <w:qFormat/>
    <w:rsid w:val="00BF6853"/>
  </w:style>
  <w:style w:type="paragraph" w:customStyle="1" w:styleId="LO-Normal1">
    <w:name w:val="LO-Normal1"/>
    <w:qFormat/>
    <w:rsid w:val="00BF6853"/>
    <w:pPr>
      <w:widowControl w:val="0"/>
      <w:suppressAutoHyphens/>
    </w:pPr>
    <w:rPr>
      <w:rFonts w:ascii="Liberation Serif" w:hAnsi="Liberation Serif" w:cs="Lucida Sans"/>
      <w:sz w:val="24"/>
      <w:szCs w:val="24"/>
      <w:lang w:eastAsia="zh-CN" w:bidi="hi-IN"/>
    </w:rPr>
  </w:style>
  <w:style w:type="character" w:customStyle="1" w:styleId="WW8Num1z0">
    <w:name w:val="WW8Num1z0"/>
    <w:qFormat/>
    <w:rsid w:val="00BF6853"/>
  </w:style>
  <w:style w:type="character" w:customStyle="1" w:styleId="WW8Num1z1">
    <w:name w:val="WW8Num1z1"/>
    <w:qFormat/>
    <w:rsid w:val="00BF6853"/>
  </w:style>
  <w:style w:type="character" w:customStyle="1" w:styleId="WW8Num1z2">
    <w:name w:val="WW8Num1z2"/>
    <w:qFormat/>
    <w:rsid w:val="00BF6853"/>
  </w:style>
  <w:style w:type="character" w:customStyle="1" w:styleId="WW8Num1z3">
    <w:name w:val="WW8Num1z3"/>
    <w:qFormat/>
    <w:rsid w:val="00BF6853"/>
  </w:style>
  <w:style w:type="character" w:customStyle="1" w:styleId="WW8Num1z4">
    <w:name w:val="WW8Num1z4"/>
    <w:qFormat/>
    <w:rsid w:val="00BF6853"/>
  </w:style>
  <w:style w:type="character" w:customStyle="1" w:styleId="WW8Num1z5">
    <w:name w:val="WW8Num1z5"/>
    <w:qFormat/>
    <w:rsid w:val="00BF6853"/>
  </w:style>
  <w:style w:type="character" w:customStyle="1" w:styleId="WW8Num1z6">
    <w:name w:val="WW8Num1z6"/>
    <w:qFormat/>
    <w:rsid w:val="00BF6853"/>
  </w:style>
  <w:style w:type="character" w:customStyle="1" w:styleId="WW8Num1z7">
    <w:name w:val="WW8Num1z7"/>
    <w:qFormat/>
    <w:rsid w:val="00BF6853"/>
  </w:style>
  <w:style w:type="character" w:customStyle="1" w:styleId="WW8Num1z8">
    <w:name w:val="WW8Num1z8"/>
    <w:qFormat/>
    <w:rsid w:val="00BF6853"/>
  </w:style>
  <w:style w:type="character" w:customStyle="1" w:styleId="WW8Num2z0">
    <w:name w:val="WW8Num2z0"/>
    <w:qFormat/>
    <w:rsid w:val="00BF6853"/>
    <w:rPr>
      <w:rFonts w:ascii="Symbol" w:hAnsi="Symbol" w:cs="Symbol" w:hint="default"/>
      <w:color w:val="auto"/>
    </w:rPr>
  </w:style>
  <w:style w:type="character" w:customStyle="1" w:styleId="WW8Num3z0">
    <w:name w:val="WW8Num3z0"/>
    <w:qFormat/>
    <w:rsid w:val="00BF6853"/>
    <w:rPr>
      <w:rFonts w:ascii="Times New Roman" w:hAnsi="Times New Roman" w:cs="Times New Roman" w:hint="default"/>
      <w:color w:val="auto"/>
      <w:sz w:val="24"/>
      <w:szCs w:val="24"/>
    </w:rPr>
  </w:style>
  <w:style w:type="character" w:customStyle="1" w:styleId="WW8Num4z0">
    <w:name w:val="WW8Num4z0"/>
    <w:qFormat/>
    <w:rsid w:val="00BF6853"/>
    <w:rPr>
      <w:rFonts w:ascii="Symbol" w:hAnsi="Symbol" w:cs="Symbol" w:hint="default"/>
      <w:color w:val="000000"/>
    </w:rPr>
  </w:style>
  <w:style w:type="character" w:customStyle="1" w:styleId="WW8Num5z0">
    <w:name w:val="WW8Num5z0"/>
    <w:qFormat/>
    <w:rsid w:val="00BF6853"/>
  </w:style>
  <w:style w:type="character" w:customStyle="1" w:styleId="WW8Num5z1">
    <w:name w:val="WW8Num5z1"/>
    <w:qFormat/>
    <w:rsid w:val="00BF6853"/>
    <w:rPr>
      <w:rFonts w:ascii="OpenSymbol" w:hAnsi="OpenSymbol" w:cs="OpenSymbol"/>
    </w:rPr>
  </w:style>
  <w:style w:type="character" w:customStyle="1" w:styleId="WW8Num5z3">
    <w:name w:val="WW8Num5z3"/>
    <w:qFormat/>
    <w:rsid w:val="00BF6853"/>
    <w:rPr>
      <w:rFonts w:ascii="Symbol" w:hAnsi="Symbol" w:cs="OpenSymbol"/>
    </w:rPr>
  </w:style>
  <w:style w:type="character" w:customStyle="1" w:styleId="WW8Num6z0">
    <w:name w:val="WW8Num6z0"/>
    <w:qFormat/>
    <w:rsid w:val="00BF6853"/>
  </w:style>
  <w:style w:type="character" w:customStyle="1" w:styleId="WW8Num6z1">
    <w:name w:val="WW8Num6z1"/>
    <w:qFormat/>
    <w:rsid w:val="00BF6853"/>
  </w:style>
  <w:style w:type="character" w:customStyle="1" w:styleId="WW8Num6z2">
    <w:name w:val="WW8Num6z2"/>
    <w:qFormat/>
    <w:rsid w:val="00BF6853"/>
  </w:style>
  <w:style w:type="character" w:customStyle="1" w:styleId="WW8Num6z3">
    <w:name w:val="WW8Num6z3"/>
    <w:qFormat/>
    <w:rsid w:val="00BF6853"/>
  </w:style>
  <w:style w:type="character" w:customStyle="1" w:styleId="WW8Num6z4">
    <w:name w:val="WW8Num6z4"/>
    <w:qFormat/>
    <w:rsid w:val="00BF6853"/>
  </w:style>
  <w:style w:type="character" w:customStyle="1" w:styleId="WW8Num6z5">
    <w:name w:val="WW8Num6z5"/>
    <w:qFormat/>
    <w:rsid w:val="00BF6853"/>
  </w:style>
  <w:style w:type="character" w:customStyle="1" w:styleId="WW8Num6z6">
    <w:name w:val="WW8Num6z6"/>
    <w:qFormat/>
    <w:rsid w:val="00BF6853"/>
  </w:style>
  <w:style w:type="character" w:customStyle="1" w:styleId="WW8Num6z7">
    <w:name w:val="WW8Num6z7"/>
    <w:qFormat/>
    <w:rsid w:val="00BF6853"/>
  </w:style>
  <w:style w:type="character" w:customStyle="1" w:styleId="WW8Num6z8">
    <w:name w:val="WW8Num6z8"/>
    <w:qFormat/>
    <w:rsid w:val="00BF6853"/>
  </w:style>
  <w:style w:type="character" w:customStyle="1" w:styleId="WW8Num7z0">
    <w:name w:val="WW8Num7z0"/>
    <w:qFormat/>
    <w:rsid w:val="00BF6853"/>
  </w:style>
  <w:style w:type="character" w:customStyle="1" w:styleId="WW8Num7z1">
    <w:name w:val="WW8Num7z1"/>
    <w:qFormat/>
    <w:rsid w:val="00BF6853"/>
  </w:style>
  <w:style w:type="character" w:customStyle="1" w:styleId="WW8Num7z2">
    <w:name w:val="WW8Num7z2"/>
    <w:qFormat/>
    <w:rsid w:val="00BF6853"/>
  </w:style>
  <w:style w:type="character" w:customStyle="1" w:styleId="WW8Num7z3">
    <w:name w:val="WW8Num7z3"/>
    <w:qFormat/>
    <w:rsid w:val="00BF6853"/>
  </w:style>
  <w:style w:type="character" w:customStyle="1" w:styleId="WW8Num7z4">
    <w:name w:val="WW8Num7z4"/>
    <w:qFormat/>
    <w:rsid w:val="00BF6853"/>
  </w:style>
  <w:style w:type="character" w:customStyle="1" w:styleId="WW8Num7z5">
    <w:name w:val="WW8Num7z5"/>
    <w:qFormat/>
    <w:rsid w:val="00BF6853"/>
  </w:style>
  <w:style w:type="character" w:customStyle="1" w:styleId="WW8Num7z6">
    <w:name w:val="WW8Num7z6"/>
    <w:qFormat/>
    <w:rsid w:val="00BF6853"/>
  </w:style>
  <w:style w:type="character" w:customStyle="1" w:styleId="WW8Num7z7">
    <w:name w:val="WW8Num7z7"/>
    <w:qFormat/>
    <w:rsid w:val="00BF6853"/>
  </w:style>
  <w:style w:type="character" w:customStyle="1" w:styleId="WW8Num7z8">
    <w:name w:val="WW8Num7z8"/>
    <w:qFormat/>
    <w:rsid w:val="00BF6853"/>
  </w:style>
  <w:style w:type="character" w:customStyle="1" w:styleId="WW8Num8z0">
    <w:name w:val="WW8Num8z0"/>
    <w:qFormat/>
    <w:rsid w:val="00BF6853"/>
  </w:style>
  <w:style w:type="character" w:customStyle="1" w:styleId="WW8Num8z1">
    <w:name w:val="WW8Num8z1"/>
    <w:qFormat/>
    <w:rsid w:val="00BF6853"/>
  </w:style>
  <w:style w:type="character" w:customStyle="1" w:styleId="WW8Num8z2">
    <w:name w:val="WW8Num8z2"/>
    <w:qFormat/>
    <w:rsid w:val="00BF6853"/>
  </w:style>
  <w:style w:type="character" w:customStyle="1" w:styleId="WW8Num8z3">
    <w:name w:val="WW8Num8z3"/>
    <w:qFormat/>
    <w:rsid w:val="00BF6853"/>
  </w:style>
  <w:style w:type="character" w:customStyle="1" w:styleId="WW8Num8z4">
    <w:name w:val="WW8Num8z4"/>
    <w:qFormat/>
    <w:rsid w:val="00BF6853"/>
  </w:style>
  <w:style w:type="character" w:customStyle="1" w:styleId="WW8Num8z5">
    <w:name w:val="WW8Num8z5"/>
    <w:qFormat/>
    <w:rsid w:val="00BF6853"/>
  </w:style>
  <w:style w:type="character" w:customStyle="1" w:styleId="WW8Num8z6">
    <w:name w:val="WW8Num8z6"/>
    <w:qFormat/>
    <w:rsid w:val="00BF6853"/>
  </w:style>
  <w:style w:type="character" w:customStyle="1" w:styleId="WW8Num8z7">
    <w:name w:val="WW8Num8z7"/>
    <w:qFormat/>
    <w:rsid w:val="00BF6853"/>
  </w:style>
  <w:style w:type="character" w:customStyle="1" w:styleId="WW8Num8z8">
    <w:name w:val="WW8Num8z8"/>
    <w:qFormat/>
    <w:rsid w:val="00BF6853"/>
  </w:style>
  <w:style w:type="character" w:customStyle="1" w:styleId="WW8Num9z0">
    <w:name w:val="WW8Num9z0"/>
    <w:qFormat/>
    <w:rsid w:val="00BF6853"/>
  </w:style>
  <w:style w:type="character" w:customStyle="1" w:styleId="WW8Num9z1">
    <w:name w:val="WW8Num9z1"/>
    <w:qFormat/>
    <w:rsid w:val="00BF6853"/>
  </w:style>
  <w:style w:type="character" w:customStyle="1" w:styleId="WW8Num9z2">
    <w:name w:val="WW8Num9z2"/>
    <w:qFormat/>
    <w:rsid w:val="00BF6853"/>
  </w:style>
  <w:style w:type="character" w:customStyle="1" w:styleId="WW8Num9z3">
    <w:name w:val="WW8Num9z3"/>
    <w:qFormat/>
    <w:rsid w:val="00BF6853"/>
  </w:style>
  <w:style w:type="character" w:customStyle="1" w:styleId="WW8Num9z4">
    <w:name w:val="WW8Num9z4"/>
    <w:qFormat/>
    <w:rsid w:val="00BF6853"/>
  </w:style>
  <w:style w:type="character" w:customStyle="1" w:styleId="WW8Num9z5">
    <w:name w:val="WW8Num9z5"/>
    <w:qFormat/>
    <w:rsid w:val="00BF6853"/>
  </w:style>
  <w:style w:type="character" w:customStyle="1" w:styleId="WW8Num9z6">
    <w:name w:val="WW8Num9z6"/>
    <w:qFormat/>
    <w:rsid w:val="00BF6853"/>
  </w:style>
  <w:style w:type="character" w:customStyle="1" w:styleId="WW8Num9z7">
    <w:name w:val="WW8Num9z7"/>
    <w:qFormat/>
    <w:rsid w:val="00BF6853"/>
  </w:style>
  <w:style w:type="character" w:customStyle="1" w:styleId="WW8Num9z8">
    <w:name w:val="WW8Num9z8"/>
    <w:qFormat/>
    <w:rsid w:val="00BF6853"/>
  </w:style>
  <w:style w:type="character" w:customStyle="1" w:styleId="WW8Num10z0">
    <w:name w:val="WW8Num10z0"/>
    <w:qFormat/>
    <w:rsid w:val="00BF6853"/>
  </w:style>
  <w:style w:type="character" w:customStyle="1" w:styleId="WW8Num10z1">
    <w:name w:val="WW8Num10z1"/>
    <w:qFormat/>
    <w:rsid w:val="00BF6853"/>
  </w:style>
  <w:style w:type="character" w:customStyle="1" w:styleId="WW8Num10z2">
    <w:name w:val="WW8Num10z2"/>
    <w:qFormat/>
    <w:rsid w:val="00BF6853"/>
  </w:style>
  <w:style w:type="character" w:customStyle="1" w:styleId="WW8Num10z3">
    <w:name w:val="WW8Num10z3"/>
    <w:qFormat/>
    <w:rsid w:val="00BF6853"/>
  </w:style>
  <w:style w:type="character" w:customStyle="1" w:styleId="WW8Num10z4">
    <w:name w:val="WW8Num10z4"/>
    <w:qFormat/>
    <w:rsid w:val="00BF6853"/>
  </w:style>
  <w:style w:type="character" w:customStyle="1" w:styleId="WW8Num10z5">
    <w:name w:val="WW8Num10z5"/>
    <w:qFormat/>
    <w:rsid w:val="00BF6853"/>
  </w:style>
  <w:style w:type="character" w:customStyle="1" w:styleId="WW8Num10z6">
    <w:name w:val="WW8Num10z6"/>
    <w:qFormat/>
    <w:rsid w:val="00BF6853"/>
  </w:style>
  <w:style w:type="character" w:customStyle="1" w:styleId="WW8Num10z7">
    <w:name w:val="WW8Num10z7"/>
    <w:qFormat/>
    <w:rsid w:val="00BF6853"/>
  </w:style>
  <w:style w:type="character" w:customStyle="1" w:styleId="WW8Num10z8">
    <w:name w:val="WW8Num10z8"/>
    <w:qFormat/>
    <w:rsid w:val="00BF6853"/>
  </w:style>
  <w:style w:type="character" w:customStyle="1" w:styleId="WW8Num11z0">
    <w:name w:val="WW8Num11z0"/>
    <w:qFormat/>
    <w:rsid w:val="00BF6853"/>
  </w:style>
  <w:style w:type="character" w:customStyle="1" w:styleId="WW8Num11z1">
    <w:name w:val="WW8Num11z1"/>
    <w:qFormat/>
    <w:rsid w:val="00BF6853"/>
  </w:style>
  <w:style w:type="character" w:customStyle="1" w:styleId="WW8Num11z2">
    <w:name w:val="WW8Num11z2"/>
    <w:qFormat/>
    <w:rsid w:val="00BF6853"/>
  </w:style>
  <w:style w:type="character" w:customStyle="1" w:styleId="WW8Num11z3">
    <w:name w:val="WW8Num11z3"/>
    <w:qFormat/>
    <w:rsid w:val="00BF6853"/>
  </w:style>
  <w:style w:type="character" w:customStyle="1" w:styleId="WW8Num11z4">
    <w:name w:val="WW8Num11z4"/>
    <w:qFormat/>
    <w:rsid w:val="00BF6853"/>
  </w:style>
  <w:style w:type="character" w:customStyle="1" w:styleId="WW8Num11z5">
    <w:name w:val="WW8Num11z5"/>
    <w:qFormat/>
    <w:rsid w:val="00BF6853"/>
  </w:style>
  <w:style w:type="character" w:customStyle="1" w:styleId="WW8Num11z6">
    <w:name w:val="WW8Num11z6"/>
    <w:qFormat/>
    <w:rsid w:val="00BF6853"/>
  </w:style>
  <w:style w:type="character" w:customStyle="1" w:styleId="WW8Num11z7">
    <w:name w:val="WW8Num11z7"/>
    <w:qFormat/>
    <w:rsid w:val="00BF6853"/>
  </w:style>
  <w:style w:type="character" w:customStyle="1" w:styleId="WW8Num11z8">
    <w:name w:val="WW8Num11z8"/>
    <w:qFormat/>
    <w:rsid w:val="00BF6853"/>
  </w:style>
  <w:style w:type="character" w:customStyle="1" w:styleId="WW8Num12z0">
    <w:name w:val="WW8Num12z0"/>
    <w:qFormat/>
    <w:rsid w:val="00BF6853"/>
  </w:style>
  <w:style w:type="character" w:customStyle="1" w:styleId="WW8Num12z1">
    <w:name w:val="WW8Num12z1"/>
    <w:qFormat/>
    <w:rsid w:val="00BF6853"/>
  </w:style>
  <w:style w:type="character" w:customStyle="1" w:styleId="WW8Num12z2">
    <w:name w:val="WW8Num12z2"/>
    <w:qFormat/>
    <w:rsid w:val="00BF6853"/>
  </w:style>
  <w:style w:type="character" w:customStyle="1" w:styleId="WW8Num12z3">
    <w:name w:val="WW8Num12z3"/>
    <w:qFormat/>
    <w:rsid w:val="00BF6853"/>
  </w:style>
  <w:style w:type="character" w:customStyle="1" w:styleId="WW8Num12z4">
    <w:name w:val="WW8Num12z4"/>
    <w:qFormat/>
    <w:rsid w:val="00BF6853"/>
  </w:style>
  <w:style w:type="character" w:customStyle="1" w:styleId="WW8Num12z5">
    <w:name w:val="WW8Num12z5"/>
    <w:qFormat/>
    <w:rsid w:val="00BF6853"/>
  </w:style>
  <w:style w:type="character" w:customStyle="1" w:styleId="WW8Num12z6">
    <w:name w:val="WW8Num12z6"/>
    <w:qFormat/>
    <w:rsid w:val="00BF6853"/>
  </w:style>
  <w:style w:type="character" w:customStyle="1" w:styleId="WW8Num12z7">
    <w:name w:val="WW8Num12z7"/>
    <w:qFormat/>
    <w:rsid w:val="00BF6853"/>
  </w:style>
  <w:style w:type="character" w:customStyle="1" w:styleId="WW8Num12z8">
    <w:name w:val="WW8Num12z8"/>
    <w:qFormat/>
    <w:rsid w:val="00BF6853"/>
  </w:style>
  <w:style w:type="character" w:customStyle="1" w:styleId="WW8Num13z0">
    <w:name w:val="WW8Num13z0"/>
    <w:qFormat/>
    <w:rsid w:val="00BF6853"/>
  </w:style>
  <w:style w:type="character" w:customStyle="1" w:styleId="WW8Num13z1">
    <w:name w:val="WW8Num13z1"/>
    <w:qFormat/>
    <w:rsid w:val="00BF6853"/>
    <w:rPr>
      <w:rFonts w:ascii="Courier New" w:hAnsi="Courier New" w:cs="Courier New"/>
    </w:rPr>
  </w:style>
  <w:style w:type="character" w:customStyle="1" w:styleId="WW8Num13z2">
    <w:name w:val="WW8Num13z2"/>
    <w:qFormat/>
    <w:rsid w:val="00BF6853"/>
    <w:rPr>
      <w:rFonts w:ascii="Wingdings" w:hAnsi="Wingdings" w:cs="Wingdings"/>
    </w:rPr>
  </w:style>
  <w:style w:type="character" w:customStyle="1" w:styleId="WW8Num13z3">
    <w:name w:val="WW8Num13z3"/>
    <w:qFormat/>
    <w:rsid w:val="00BF6853"/>
    <w:rPr>
      <w:rFonts w:ascii="Symbol" w:hAnsi="Symbol" w:cs="Symbol"/>
    </w:rPr>
  </w:style>
  <w:style w:type="character" w:customStyle="1" w:styleId="WW8Num2z1">
    <w:name w:val="WW8Num2z1"/>
    <w:qFormat/>
    <w:rsid w:val="00BF6853"/>
    <w:rPr>
      <w:rFonts w:ascii="Courier New" w:hAnsi="Courier New" w:cs="Courier New" w:hint="default"/>
    </w:rPr>
  </w:style>
  <w:style w:type="character" w:customStyle="1" w:styleId="WW8Num2z2">
    <w:name w:val="WW8Num2z2"/>
    <w:qFormat/>
    <w:rsid w:val="00BF6853"/>
    <w:rPr>
      <w:rFonts w:ascii="Wingdings" w:hAnsi="Wingdings" w:cs="Wingdings" w:hint="default"/>
    </w:rPr>
  </w:style>
  <w:style w:type="character" w:customStyle="1" w:styleId="WW8Num2z3">
    <w:name w:val="WW8Num2z3"/>
    <w:qFormat/>
    <w:rsid w:val="00BF6853"/>
    <w:rPr>
      <w:rFonts w:ascii="Symbol" w:hAnsi="Symbol" w:cs="Symbol" w:hint="default"/>
    </w:rPr>
  </w:style>
  <w:style w:type="character" w:customStyle="1" w:styleId="WW8Num3z1">
    <w:name w:val="WW8Num3z1"/>
    <w:qFormat/>
    <w:rsid w:val="00BF6853"/>
    <w:rPr>
      <w:rFonts w:ascii="Courier New" w:hAnsi="Courier New" w:cs="Courier New" w:hint="default"/>
    </w:rPr>
  </w:style>
  <w:style w:type="character" w:customStyle="1" w:styleId="WW8Num3z2">
    <w:name w:val="WW8Num3z2"/>
    <w:qFormat/>
    <w:rsid w:val="00BF6853"/>
    <w:rPr>
      <w:rFonts w:ascii="Wingdings" w:hAnsi="Wingdings" w:cs="Wingdings" w:hint="default"/>
    </w:rPr>
  </w:style>
  <w:style w:type="character" w:customStyle="1" w:styleId="CharChar">
    <w:name w:val="Char Char"/>
    <w:qFormat/>
    <w:rsid w:val="00BF6853"/>
  </w:style>
  <w:style w:type="character" w:customStyle="1" w:styleId="TtuloChar">
    <w:name w:val="Título Char"/>
    <w:qFormat/>
    <w:rsid w:val="00BF6853"/>
    <w:rPr>
      <w:rFonts w:ascii="Arial" w:hAnsi="Arial" w:cs="Arial"/>
      <w:b/>
      <w:bCs/>
      <w:lang w:val="pt-BR" w:bidi="ar-SA"/>
    </w:rPr>
  </w:style>
  <w:style w:type="character" w:customStyle="1" w:styleId="ListLabel213">
    <w:name w:val="ListLabel 213"/>
    <w:qFormat/>
    <w:rsid w:val="00BF6853"/>
    <w:rPr>
      <w:rFonts w:cs="OpenSymbol"/>
    </w:rPr>
  </w:style>
  <w:style w:type="character" w:customStyle="1" w:styleId="ListLabel214">
    <w:name w:val="ListLabel 214"/>
    <w:qFormat/>
    <w:rsid w:val="00BF6853"/>
    <w:rPr>
      <w:rFonts w:cs="OpenSymbol"/>
    </w:rPr>
  </w:style>
  <w:style w:type="character" w:customStyle="1" w:styleId="ListLabel215">
    <w:name w:val="ListLabel 215"/>
    <w:qFormat/>
    <w:rsid w:val="00BF6853"/>
    <w:rPr>
      <w:rFonts w:cs="OpenSymbol"/>
    </w:rPr>
  </w:style>
  <w:style w:type="character" w:customStyle="1" w:styleId="ListLabel216">
    <w:name w:val="ListLabel 216"/>
    <w:qFormat/>
    <w:rsid w:val="00BF6853"/>
    <w:rPr>
      <w:rFonts w:cs="OpenSymbol"/>
    </w:rPr>
  </w:style>
  <w:style w:type="character" w:customStyle="1" w:styleId="ListLabel217">
    <w:name w:val="ListLabel 217"/>
    <w:qFormat/>
    <w:rsid w:val="00BF6853"/>
    <w:rPr>
      <w:rFonts w:cs="OpenSymbol"/>
    </w:rPr>
  </w:style>
  <w:style w:type="character" w:customStyle="1" w:styleId="ListLabel218">
    <w:name w:val="ListLabel 218"/>
    <w:qFormat/>
    <w:rsid w:val="00BF6853"/>
    <w:rPr>
      <w:rFonts w:cs="OpenSymbol"/>
    </w:rPr>
  </w:style>
  <w:style w:type="character" w:customStyle="1" w:styleId="ListLabel219">
    <w:name w:val="ListLabel 219"/>
    <w:qFormat/>
    <w:rsid w:val="00BF6853"/>
    <w:rPr>
      <w:rFonts w:cs="OpenSymbol"/>
    </w:rPr>
  </w:style>
  <w:style w:type="character" w:customStyle="1" w:styleId="ListLabel220">
    <w:name w:val="ListLabel 220"/>
    <w:qFormat/>
    <w:rsid w:val="00BF6853"/>
    <w:rPr>
      <w:rFonts w:cs="OpenSymbol"/>
    </w:rPr>
  </w:style>
  <w:style w:type="character" w:customStyle="1" w:styleId="ListLabel205">
    <w:name w:val="ListLabel 205"/>
    <w:qFormat/>
    <w:rsid w:val="00BF6853"/>
    <w:rPr>
      <w:rFonts w:cs="Courier New"/>
    </w:rPr>
  </w:style>
  <w:style w:type="character" w:customStyle="1" w:styleId="ListLabel206">
    <w:name w:val="ListLabel 206"/>
    <w:qFormat/>
    <w:rsid w:val="00BF6853"/>
    <w:rPr>
      <w:rFonts w:cs="Wingdings"/>
    </w:rPr>
  </w:style>
  <w:style w:type="character" w:customStyle="1" w:styleId="ListLabel207">
    <w:name w:val="ListLabel 207"/>
    <w:qFormat/>
    <w:rsid w:val="00BF6853"/>
    <w:rPr>
      <w:rFonts w:cs="Symbol"/>
    </w:rPr>
  </w:style>
  <w:style w:type="character" w:customStyle="1" w:styleId="ListLabel208">
    <w:name w:val="ListLabel 208"/>
    <w:qFormat/>
    <w:rsid w:val="00BF6853"/>
    <w:rPr>
      <w:rFonts w:cs="Courier New"/>
    </w:rPr>
  </w:style>
  <w:style w:type="character" w:customStyle="1" w:styleId="ListLabel209">
    <w:name w:val="ListLabel 209"/>
    <w:qFormat/>
    <w:rsid w:val="00BF6853"/>
    <w:rPr>
      <w:rFonts w:cs="Wingdings"/>
    </w:rPr>
  </w:style>
  <w:style w:type="character" w:customStyle="1" w:styleId="ListLabel210">
    <w:name w:val="ListLabel 210"/>
    <w:qFormat/>
    <w:rsid w:val="00BF6853"/>
    <w:rPr>
      <w:rFonts w:cs="Symbol"/>
    </w:rPr>
  </w:style>
  <w:style w:type="character" w:customStyle="1" w:styleId="ListLabel211">
    <w:name w:val="ListLabel 211"/>
    <w:qFormat/>
    <w:rsid w:val="00BF6853"/>
    <w:rPr>
      <w:rFonts w:cs="Courier New"/>
    </w:rPr>
  </w:style>
  <w:style w:type="character" w:customStyle="1" w:styleId="ListLabel212">
    <w:name w:val="ListLabel 212"/>
    <w:qFormat/>
    <w:rsid w:val="00BF6853"/>
    <w:rPr>
      <w:rFonts w:cs="Wingdings"/>
    </w:rPr>
  </w:style>
  <w:style w:type="paragraph" w:customStyle="1" w:styleId="Ttulo10">
    <w:name w:val="Título1"/>
    <w:basedOn w:val="Normal"/>
    <w:next w:val="Corpodetexto"/>
    <w:qFormat/>
    <w:rsid w:val="00BF6853"/>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BF6853"/>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qFormat/>
    <w:rsid w:val="00BF6853"/>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BF6853"/>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BF6853"/>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qFormat/>
    <w:rsid w:val="00BF6853"/>
    <w:pPr>
      <w:autoSpaceDE w:val="0"/>
      <w:jc w:val="both"/>
    </w:pPr>
    <w:rPr>
      <w:rFonts w:ascii="Courier New" w:eastAsia="Lucida Sans Unicode" w:hAnsi="Courier New" w:cs="Courier New"/>
      <w:kern w:val="2"/>
      <w:sz w:val="20"/>
    </w:rPr>
  </w:style>
  <w:style w:type="paragraph" w:customStyle="1" w:styleId="Padro">
    <w:name w:val="Padrão"/>
    <w:qFormat/>
    <w:rsid w:val="00BF6853"/>
    <w:pPr>
      <w:widowControl w:val="0"/>
      <w:suppressAutoHyphens/>
    </w:pPr>
    <w:rPr>
      <w:sz w:val="24"/>
      <w:lang w:eastAsia="zh-CN"/>
    </w:rPr>
  </w:style>
  <w:style w:type="paragraph" w:customStyle="1" w:styleId="Recuodecorpodetexto31">
    <w:name w:val="Recuo de corpo de texto 31"/>
    <w:basedOn w:val="Normal"/>
    <w:qFormat/>
    <w:rsid w:val="00BF6853"/>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BF6853"/>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BF6853"/>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BF6853"/>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BF6853"/>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BF6853"/>
    <w:pPr>
      <w:widowControl w:val="0"/>
      <w:suppressAutoHyphens/>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BF6853"/>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qFormat/>
    <w:rsid w:val="00BF6853"/>
    <w:pPr>
      <w:jc w:val="center"/>
    </w:pPr>
    <w:rPr>
      <w:b/>
      <w:bCs/>
    </w:rPr>
  </w:style>
  <w:style w:type="paragraph" w:customStyle="1" w:styleId="LO-Normal">
    <w:name w:val="LO-Normal"/>
    <w:qFormat/>
    <w:rsid w:val="00BF6853"/>
    <w:pPr>
      <w:widowControl w:val="0"/>
      <w:suppressAutoHyphens/>
    </w:pPr>
    <w:rPr>
      <w:rFonts w:ascii="Liberation Serif" w:hAnsi="Liberation Serif" w:cs="Lucida Sans"/>
      <w:kern w:val="2"/>
      <w:sz w:val="24"/>
      <w:szCs w:val="24"/>
      <w:lang w:eastAsia="zh-CN" w:bidi="hi-IN"/>
    </w:rPr>
  </w:style>
  <w:style w:type="character" w:customStyle="1" w:styleId="Caracteresdenotaderodap">
    <w:name w:val="Caracteres de nota de rodapé"/>
    <w:qFormat/>
    <w:rsid w:val="00BF6853"/>
    <w:rPr>
      <w:vertAlign w:val="superscript"/>
    </w:rPr>
  </w:style>
  <w:style w:type="paragraph" w:customStyle="1" w:styleId="Default">
    <w:name w:val="Default"/>
    <w:qFormat/>
    <w:rsid w:val="00BF6853"/>
    <w:pPr>
      <w:autoSpaceDE w:val="0"/>
      <w:autoSpaceDN w:val="0"/>
      <w:adjustRightInd w:val="0"/>
    </w:pPr>
    <w:rPr>
      <w:rFonts w:ascii="Arial" w:eastAsia="Calibri" w:hAnsi="Arial" w:cs="Arial"/>
      <w:color w:val="000000"/>
      <w:sz w:val="24"/>
      <w:szCs w:val="24"/>
      <w:lang w:eastAsia="en-US"/>
    </w:rPr>
  </w:style>
  <w:style w:type="paragraph" w:customStyle="1" w:styleId="Corpodotexto">
    <w:name w:val="Corpo do texto"/>
    <w:basedOn w:val="Padro"/>
    <w:uiPriority w:val="7"/>
    <w:qFormat/>
    <w:rsid w:val="00BF6853"/>
    <w:pPr>
      <w:autoSpaceDE w:val="0"/>
      <w:jc w:val="both"/>
    </w:pPr>
  </w:style>
  <w:style w:type="paragraph" w:customStyle="1" w:styleId="Recuodecorpodetexto33">
    <w:name w:val="Recuo de corpo de texto 33"/>
    <w:basedOn w:val="Normal"/>
    <w:qFormat/>
    <w:rsid w:val="00BF6853"/>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BF6853"/>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qFormat/>
    <w:rsid w:val="00BF6853"/>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BF6853"/>
    <w:rPr>
      <w:sz w:val="22"/>
      <w:szCs w:val="22"/>
      <w:lang w:eastAsia="en-US"/>
    </w:rPr>
  </w:style>
  <w:style w:type="character" w:customStyle="1" w:styleId="object">
    <w:name w:val="object"/>
    <w:qFormat/>
    <w:rsid w:val="00BF6853"/>
  </w:style>
  <w:style w:type="character" w:customStyle="1" w:styleId="PargrafodaListaChar">
    <w:name w:val="Parágrafo da Lista Char"/>
    <w:link w:val="PargrafodaLista"/>
    <w:uiPriority w:val="34"/>
    <w:qFormat/>
    <w:locked/>
    <w:rsid w:val="00BF6853"/>
  </w:style>
  <w:style w:type="paragraph" w:customStyle="1" w:styleId="TableContents">
    <w:name w:val="Table Contents"/>
    <w:basedOn w:val="Standard"/>
    <w:qFormat/>
    <w:rsid w:val="00BF6853"/>
    <w:pPr>
      <w:suppressLineNumbers/>
    </w:pPr>
  </w:style>
  <w:style w:type="paragraph" w:customStyle="1" w:styleId="Standard">
    <w:name w:val="Standard"/>
    <w:qFormat/>
    <w:rsid w:val="00BF6853"/>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BF6853"/>
    <w:pPr>
      <w:suppressAutoHyphens/>
      <w:autoSpaceDN w:val="0"/>
      <w:spacing w:after="200"/>
      <w:textAlignment w:val="baseline"/>
    </w:pPr>
    <w:rPr>
      <w:rFonts w:ascii="Liberation Serif" w:hAnsi="Liberation Serif" w:cs="Arial"/>
      <w:kern w:val="3"/>
      <w:sz w:val="24"/>
      <w:szCs w:val="24"/>
      <w:lang w:val="hi-IN" w:eastAsia="zh-CN" w:bidi="hi-IN"/>
    </w:rPr>
  </w:style>
  <w:style w:type="character" w:customStyle="1" w:styleId="nfaseforte">
    <w:name w:val="Ênfase forte"/>
    <w:qFormat/>
    <w:rsid w:val="00BF6853"/>
    <w:rPr>
      <w:b/>
      <w:bCs/>
    </w:rPr>
  </w:style>
  <w:style w:type="character" w:customStyle="1" w:styleId="LinkdaInternet">
    <w:name w:val="Link da Internet"/>
    <w:unhideWhenUsed/>
    <w:qFormat/>
    <w:rsid w:val="00BF6853"/>
    <w:rPr>
      <w:color w:val="0563C1"/>
      <w:u w:val="single"/>
    </w:rPr>
  </w:style>
  <w:style w:type="paragraph" w:customStyle="1" w:styleId="Cabealho1">
    <w:name w:val="Cabeçalho1"/>
    <w:basedOn w:val="Normal"/>
    <w:qFormat/>
    <w:rsid w:val="00BF6853"/>
    <w:pPr>
      <w:tabs>
        <w:tab w:val="center" w:pos="4419"/>
        <w:tab w:val="right" w:pos="8838"/>
      </w:tabs>
    </w:pPr>
  </w:style>
  <w:style w:type="paragraph" w:customStyle="1" w:styleId="Textbody">
    <w:name w:val="Text body"/>
    <w:basedOn w:val="Normal"/>
    <w:qFormat/>
    <w:rsid w:val="00BF6853"/>
    <w:pPr>
      <w:autoSpaceDN w:val="0"/>
      <w:spacing w:after="120" w:line="240" w:lineRule="auto"/>
      <w:textAlignment w:val="baseline"/>
    </w:pPr>
    <w:rPr>
      <w:rFonts w:ascii="Liberation Serif" w:hAnsi="Liberation Serif" w:cs="Arial"/>
      <w:kern w:val="3"/>
      <w:sz w:val="24"/>
      <w:szCs w:val="24"/>
      <w:lang w:bidi="hi-IN"/>
    </w:rPr>
  </w:style>
  <w:style w:type="character" w:customStyle="1" w:styleId="font21">
    <w:name w:val="font21"/>
    <w:qFormat/>
    <w:rsid w:val="00BF6853"/>
    <w:rPr>
      <w:rFonts w:ascii="Times New Roman" w:hAnsi="Times New Roman" w:cs="Times New Roman" w:hint="default"/>
      <w:color w:val="000000"/>
      <w:u w:val="none"/>
    </w:rPr>
  </w:style>
  <w:style w:type="character" w:customStyle="1" w:styleId="font11">
    <w:name w:val="font11"/>
    <w:qFormat/>
    <w:rsid w:val="00BF6853"/>
    <w:rPr>
      <w:rFonts w:ascii="Times New Roman" w:hAnsi="Times New Roman" w:cs="Times New Roman" w:hint="default"/>
      <w:color w:val="000000"/>
      <w:u w:val="none"/>
    </w:rPr>
  </w:style>
  <w:style w:type="paragraph" w:customStyle="1" w:styleId="western">
    <w:name w:val="western"/>
    <w:qFormat/>
    <w:rsid w:val="00BF6853"/>
    <w:rPr>
      <w:sz w:val="24"/>
      <w:szCs w:val="24"/>
      <w:lang w:val="en-US" w:eastAsia="zh-CN"/>
    </w:rPr>
  </w:style>
  <w:style w:type="character" w:customStyle="1" w:styleId="Ttulo1Char">
    <w:name w:val="Título 1 Char"/>
    <w:link w:val="Ttulo1"/>
    <w:qFormat/>
    <w:rsid w:val="00BF6853"/>
    <w:rPr>
      <w:b/>
      <w:sz w:val="48"/>
      <w:szCs w:val="48"/>
    </w:rPr>
  </w:style>
  <w:style w:type="character" w:styleId="Refdecomentrio">
    <w:name w:val="annotation reference"/>
    <w:basedOn w:val="Fontepargpadro"/>
    <w:uiPriority w:val="99"/>
    <w:semiHidden/>
    <w:unhideWhenUsed/>
    <w:rsid w:val="00BF6853"/>
    <w:rPr>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18987</Words>
  <Characters>102531</Characters>
  <Application>Microsoft Office Word</Application>
  <DocSecurity>4</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2</cp:revision>
  <cp:lastPrinted>2025-04-01T12:53:00Z</cp:lastPrinted>
  <dcterms:created xsi:type="dcterms:W3CDTF">2026-06-16T16:21:00Z</dcterms:created>
  <dcterms:modified xsi:type="dcterms:W3CDTF">2026-06-16T16:21:00Z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DF3F449D14174FD6AFB821ACC9448C8F_12</vt:lpwstr>
  </property>
</Properties>
</file>