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FD79E5">
      <w:pPr>
        <w:tabs>
          <w:tab w:val="left" w:pos="8360"/>
        </w:tabs>
        <w:autoSpaceDE w:val="0"/>
        <w:spacing w:after="0" w:line="240" w:lineRule="auto"/>
        <w:ind w:right="-53" w:rightChars="-24"/>
        <w:jc w:val="center"/>
        <w:rPr>
          <w:rFonts w:ascii="Times New Roman" w:hAnsi="Times New Roman" w:eastAsia="Arial-BoldMT"/>
          <w:b/>
          <w:bCs/>
        </w:rPr>
      </w:pPr>
      <w:r>
        <w:rPr>
          <w:rFonts w:ascii="Times New Roman" w:hAnsi="Times New Roman" w:eastAsia="Arial-BoldMT" w:cs="Times New Roman"/>
          <w:b/>
          <w:bCs/>
        </w:rPr>
        <w:t>Minuta Ata de Registro de Preços</w:t>
      </w:r>
    </w:p>
    <w:p w14:paraId="73D0E4CE">
      <w:pPr>
        <w:tabs>
          <w:tab w:val="left" w:pos="8360"/>
        </w:tabs>
        <w:autoSpaceDE w:val="0"/>
        <w:spacing w:after="0" w:line="240" w:lineRule="auto"/>
        <w:ind w:right="-53" w:rightChars="-24"/>
        <w:jc w:val="center"/>
        <w:rPr>
          <w:rFonts w:ascii="Times New Roman" w:hAnsi="Times New Roman" w:eastAsia="Arial-BoldMT"/>
          <w:b/>
          <w:bCs/>
        </w:rPr>
      </w:pPr>
      <w:r>
        <w:rPr>
          <w:rFonts w:ascii="Times New Roman" w:hAnsi="Times New Roman" w:eastAsia="Arial-BoldMT" w:cs="Times New Roman"/>
          <w:b/>
          <w:bCs/>
        </w:rPr>
        <w:t>Nº xxx-01/2026</w:t>
      </w:r>
    </w:p>
    <w:p w14:paraId="7482C87D">
      <w:pPr>
        <w:tabs>
          <w:tab w:val="left" w:pos="8360"/>
        </w:tabs>
        <w:ind w:right="-53" w:rightChars="-24"/>
        <w:rPr>
          <w:rFonts w:ascii="Times New Roman" w:hAnsi="Times New Roman" w:eastAsia="Arial-BoldMT"/>
          <w:b/>
          <w:bCs/>
        </w:rPr>
      </w:pPr>
      <w:r>
        <w:rPr>
          <w:rFonts w:ascii="Times New Roman" w:hAnsi="Times New Roman" w:cs="Times New Roman"/>
          <w:b/>
        </w:rPr>
        <w:tab/>
      </w:r>
    </w:p>
    <w:p w14:paraId="3D58F6E2">
      <w:pPr>
        <w:tabs>
          <w:tab w:val="left" w:pos="8360"/>
        </w:tabs>
        <w:autoSpaceDE w:val="0"/>
        <w:spacing w:after="0" w:line="240" w:lineRule="auto"/>
        <w:ind w:right="-53" w:rightChars="-24"/>
        <w:rPr>
          <w:rFonts w:ascii="Times New Roman" w:hAnsi="Times New Roman" w:eastAsia="Arial-BoldMT"/>
          <w:b/>
          <w:bCs/>
        </w:rPr>
      </w:pPr>
      <w:r>
        <w:rPr>
          <w:rFonts w:ascii="Times New Roman" w:hAnsi="Times New Roman" w:eastAsia="Arial-BoldMT" w:cs="Times New Roman"/>
          <w:b/>
          <w:bCs/>
        </w:rPr>
        <w:t>PREGÃO ELETRÔNICO Nº 0</w:t>
      </w:r>
      <w:r>
        <w:rPr>
          <w:rFonts w:hint="default" w:ascii="Times New Roman" w:hAnsi="Times New Roman" w:eastAsia="Arial-BoldMT" w:cs="Times New Roman"/>
          <w:b/>
          <w:bCs/>
          <w:lang w:val="pt-BR"/>
        </w:rPr>
        <w:t>3</w:t>
      </w:r>
      <w:r>
        <w:rPr>
          <w:rFonts w:ascii="Times New Roman" w:hAnsi="Times New Roman" w:eastAsia="Arial-BoldMT" w:cs="Times New Roman"/>
          <w:b/>
          <w:bCs/>
        </w:rPr>
        <w:t>7/2026</w:t>
      </w:r>
    </w:p>
    <w:p w14:paraId="299B351A">
      <w:pPr>
        <w:tabs>
          <w:tab w:val="left" w:pos="8360"/>
        </w:tabs>
        <w:autoSpaceDE w:val="0"/>
        <w:spacing w:after="0" w:line="240" w:lineRule="auto"/>
        <w:ind w:right="-53" w:rightChars="-24"/>
        <w:rPr>
          <w:rFonts w:ascii="Times New Roman" w:hAnsi="Times New Roman" w:eastAsia="Arial-BoldMT"/>
          <w:b/>
          <w:bCs/>
        </w:rPr>
      </w:pPr>
      <w:r>
        <w:rPr>
          <w:rFonts w:ascii="Times New Roman" w:hAnsi="Times New Roman" w:eastAsia="Arial-BoldMT" w:cs="Times New Roman"/>
          <w:b/>
          <w:bCs/>
        </w:rPr>
        <w:t>NÚMERO CONTROLE: 0</w:t>
      </w:r>
      <w:r>
        <w:rPr>
          <w:rFonts w:hint="default" w:ascii="Times New Roman" w:hAnsi="Times New Roman" w:eastAsia="Arial-BoldMT" w:cs="Times New Roman"/>
          <w:b/>
          <w:bCs/>
          <w:lang w:val="pt-BR"/>
        </w:rPr>
        <w:t>3</w:t>
      </w:r>
      <w:r>
        <w:rPr>
          <w:rFonts w:ascii="Times New Roman" w:hAnsi="Times New Roman" w:eastAsia="Arial-BoldMT" w:cs="Times New Roman"/>
          <w:b/>
          <w:bCs/>
        </w:rPr>
        <w:t>7/2026</w:t>
      </w:r>
    </w:p>
    <w:p w14:paraId="27E1CE7E">
      <w:pPr>
        <w:tabs>
          <w:tab w:val="left" w:pos="8360"/>
        </w:tabs>
        <w:autoSpaceDE w:val="0"/>
        <w:spacing w:after="0" w:line="240" w:lineRule="auto"/>
        <w:ind w:right="-53" w:rightChars="-24"/>
        <w:rPr>
          <w:rFonts w:ascii="Times New Roman" w:hAnsi="Times New Roman" w:eastAsia="Arial-BoldMT"/>
          <w:b/>
          <w:bCs/>
        </w:rPr>
      </w:pPr>
      <w:r>
        <w:rPr>
          <w:rFonts w:ascii="Times New Roman" w:hAnsi="Times New Roman" w:eastAsia="Arial-BoldMT" w:cs="Times New Roman"/>
          <w:b/>
          <w:bCs/>
        </w:rPr>
        <w:t>VALIDADE: 12 (DOZE) MESES</w:t>
      </w:r>
    </w:p>
    <w:p w14:paraId="32EE1897">
      <w:pPr>
        <w:pStyle w:val="11"/>
        <w:tabs>
          <w:tab w:val="left" w:leader="dot" w:pos="7610"/>
          <w:tab w:val="left" w:pos="8360"/>
          <w:tab w:val="left" w:pos="8800"/>
        </w:tabs>
        <w:spacing w:line="240" w:lineRule="auto"/>
        <w:ind w:right="-53" w:rightChars="-24"/>
        <w:rPr>
          <w:rFonts w:ascii="Times New Roman" w:hAnsi="Times New Roman" w:cs="Times New Roman"/>
        </w:rPr>
      </w:pPr>
    </w:p>
    <w:p w14:paraId="4673CBAC">
      <w:pPr>
        <w:pStyle w:val="11"/>
        <w:tabs>
          <w:tab w:val="left" w:leader="dot" w:pos="7610"/>
          <w:tab w:val="left" w:pos="8360"/>
          <w:tab w:val="left" w:pos="8800"/>
        </w:tabs>
        <w:spacing w:line="240" w:lineRule="auto"/>
        <w:ind w:right="-53" w:rightChars="-24" w:firstLine="1210" w:firstLineChars="550"/>
        <w:rPr>
          <w:rFonts w:ascii="Times New Roman" w:hAnsi="Times New Roman" w:cs="Times New Roman"/>
        </w:rPr>
      </w:pPr>
      <w:r>
        <w:rPr>
          <w:rFonts w:ascii="Times New Roman" w:hAnsi="Times New Roman" w:cs="Times New Roman"/>
        </w:rPr>
        <w:t xml:space="preserve">Aos ……. dias do mês de ……. do ano de dois mil e vinte e </w:t>
      </w:r>
      <w:r>
        <w:rPr>
          <w:rFonts w:ascii="Times New Roman" w:hAnsi="Times New Roman" w:cs="Times New Roman"/>
          <w:lang w:val="pt-BR"/>
        </w:rPr>
        <w:t>seis</w:t>
      </w:r>
      <w:r>
        <w:rPr>
          <w:rFonts w:ascii="Times New Roman" w:hAnsi="Times New Roman" w:cs="Times New Roman"/>
        </w:rPr>
        <w:t xml:space="preserve">, o </w:t>
      </w:r>
      <w:r>
        <w:rPr>
          <w:rFonts w:ascii="Times New Roman" w:hAnsi="Times New Roman" w:cs="Times New Roman"/>
          <w:b/>
        </w:rPr>
        <w:t>MUNICÍPIO DE</w:t>
      </w:r>
      <w:r>
        <w:rPr>
          <w:rFonts w:ascii="Times New Roman" w:hAnsi="Times New Roman" w:cs="Times New Roman"/>
          <w:b/>
          <w:spacing w:val="40"/>
        </w:rPr>
        <w:t xml:space="preserve"> </w:t>
      </w:r>
      <w:r>
        <w:rPr>
          <w:rFonts w:ascii="Times New Roman" w:hAnsi="Times New Roman" w:cs="Times New Roman"/>
          <w:b/>
          <w:lang w:val="pt-BR"/>
        </w:rPr>
        <w:t>TEUTÔNIA</w:t>
      </w:r>
      <w:r>
        <w:rPr>
          <w:rFonts w:ascii="Times New Roman" w:hAnsi="Times New Roman" w:cs="Times New Roman"/>
          <w:b/>
        </w:rPr>
        <w:t>/RS</w:t>
      </w:r>
      <w:r>
        <w:rPr>
          <w:rFonts w:ascii="Times New Roman" w:hAnsi="Times New Roman" w:cs="Times New Roman"/>
        </w:rPr>
        <w:t xml:space="preserve">, pessoa jurídica de direito público, inscrito no CNPJ sob nº </w:t>
      </w:r>
      <w:r>
        <w:rPr>
          <w:rFonts w:ascii="Times New Roman" w:hAnsi="Times New Roman" w:cs="Times New Roman"/>
          <w:lang w:val="pt-BR"/>
        </w:rPr>
        <w:t xml:space="preserve">88.661.400/0001-99, </w:t>
      </w:r>
      <w:r>
        <w:rPr>
          <w:rFonts w:ascii="Times New Roman" w:hAnsi="Times New Roman" w:eastAsia="ArialMT" w:cs="Times New Roman"/>
        </w:rPr>
        <w:t xml:space="preserve">sita na </w:t>
      </w:r>
      <w:r>
        <w:rPr>
          <w:rFonts w:ascii="Times New Roman" w:hAnsi="Times New Roman" w:cs="Times New Roman"/>
          <w:shd w:val="clear" w:color="auto" w:fill="FFFFFF"/>
        </w:rPr>
        <w:t>Avenida 1 Oeste, 878, Bairro Centro Administrativo</w:t>
      </w:r>
      <w:r>
        <w:rPr>
          <w:rFonts w:ascii="Times New Roman" w:hAnsi="Times New Roman" w:eastAsia="ArialMT" w:cs="Times New Roman"/>
        </w:rPr>
        <w:t>, Teutônia/RS</w:t>
      </w:r>
      <w:r>
        <w:rPr>
          <w:rFonts w:ascii="Times New Roman" w:hAnsi="Times New Roman" w:cs="Times New Roman"/>
        </w:rPr>
        <w:t xml:space="preserve">, neste ato representado pelo Prefeito Municipal, Sr. </w:t>
      </w:r>
      <w:r>
        <w:rPr>
          <w:rFonts w:ascii="Times New Roman" w:hAnsi="Times New Roman" w:cs="Times New Roman"/>
          <w:lang w:val="pt-BR"/>
        </w:rPr>
        <w:t>Renato Airton Altmann</w:t>
      </w:r>
      <w:r>
        <w:rPr>
          <w:rFonts w:ascii="Times New Roman" w:hAnsi="Times New Roman" w:cs="Times New Roman"/>
        </w:rPr>
        <w:t xml:space="preserve">, brasileiro, </w:t>
      </w:r>
      <w:r>
        <w:rPr>
          <w:rFonts w:ascii="Times New Roman" w:hAnsi="Times New Roman" w:cs="Times New Roman"/>
          <w:lang w:val="pt-BR"/>
        </w:rPr>
        <w:t xml:space="preserve">inscrito no </w:t>
      </w:r>
      <w:r>
        <w:rPr>
          <w:rFonts w:ascii="Times New Roman" w:hAnsi="Times New Roman" w:cs="Times New Roman"/>
        </w:rPr>
        <w:t>CPF</w:t>
      </w:r>
      <w:r>
        <w:rPr>
          <w:rFonts w:ascii="Times New Roman" w:hAnsi="Times New Roman" w:cs="Times New Roman"/>
          <w:lang w:val="pt-BR"/>
        </w:rPr>
        <w:t xml:space="preserve"> sob o</w:t>
      </w:r>
      <w:r>
        <w:rPr>
          <w:rFonts w:ascii="Times New Roman" w:hAnsi="Times New Roman" w:cs="Times New Roman"/>
        </w:rPr>
        <w:t xml:space="preserve"> nº  381.251.610-15, residente e domiciliado em </w:t>
      </w:r>
      <w:r>
        <w:rPr>
          <w:rFonts w:ascii="Times New Roman" w:hAnsi="Times New Roman" w:cs="Times New Roman"/>
          <w:lang w:val="pt-BR"/>
        </w:rPr>
        <w:t>Teutônia</w:t>
      </w:r>
      <w:r>
        <w:rPr>
          <w:rFonts w:ascii="Times New Roman" w:hAnsi="Times New Roman" w:cs="Times New Roman"/>
        </w:rPr>
        <w:t xml:space="preserve">/RS, doravante denominado </w:t>
      </w:r>
      <w:r>
        <w:rPr>
          <w:rFonts w:ascii="Times New Roman" w:hAnsi="Times New Roman" w:cs="Times New Roman"/>
          <w:b/>
        </w:rPr>
        <w:t>MUNICÍPIO</w:t>
      </w:r>
      <w:r>
        <w:rPr>
          <w:rFonts w:ascii="Times New Roman" w:hAnsi="Times New Roman" w:cs="Times New Roman"/>
        </w:rPr>
        <w:t>, resolve</w:t>
      </w:r>
      <w:r>
        <w:rPr>
          <w:rFonts w:ascii="Times New Roman" w:hAnsi="Times New Roman" w:cs="Times New Roman"/>
          <w:spacing w:val="7"/>
        </w:rPr>
        <w:t xml:space="preserve"> </w:t>
      </w:r>
      <w:r>
        <w:rPr>
          <w:rFonts w:ascii="Times New Roman" w:hAnsi="Times New Roman" w:cs="Times New Roman"/>
        </w:rPr>
        <w:t>REGISTRAR</w:t>
      </w:r>
      <w:r>
        <w:rPr>
          <w:rFonts w:ascii="Times New Roman" w:hAnsi="Times New Roman" w:cs="Times New Roman"/>
          <w:spacing w:val="9"/>
        </w:rPr>
        <w:t xml:space="preserve"> </w:t>
      </w:r>
      <w:r>
        <w:rPr>
          <w:rFonts w:ascii="Times New Roman" w:hAnsi="Times New Roman" w:cs="Times New Roman"/>
        </w:rPr>
        <w:t>o</w:t>
      </w:r>
      <w:r>
        <w:rPr>
          <w:rFonts w:ascii="Times New Roman" w:hAnsi="Times New Roman" w:cs="Times New Roman"/>
          <w:spacing w:val="9"/>
        </w:rPr>
        <w:t xml:space="preserve"> </w:t>
      </w:r>
      <w:r>
        <w:rPr>
          <w:rFonts w:ascii="Times New Roman" w:hAnsi="Times New Roman" w:cs="Times New Roman"/>
        </w:rPr>
        <w:t>preço</w:t>
      </w:r>
      <w:r>
        <w:rPr>
          <w:rFonts w:ascii="Times New Roman" w:hAnsi="Times New Roman" w:cs="Times New Roman"/>
          <w:spacing w:val="9"/>
        </w:rPr>
        <w:t xml:space="preserve"> </w:t>
      </w:r>
      <w:r>
        <w:rPr>
          <w:rFonts w:ascii="Times New Roman" w:hAnsi="Times New Roman" w:cs="Times New Roman"/>
        </w:rPr>
        <w:t>oferecido</w:t>
      </w:r>
      <w:r>
        <w:rPr>
          <w:rFonts w:ascii="Times New Roman" w:hAnsi="Times New Roman" w:cs="Times New Roman"/>
          <w:spacing w:val="9"/>
        </w:rPr>
        <w:t xml:space="preserve"> </w:t>
      </w:r>
      <w:r>
        <w:rPr>
          <w:rFonts w:ascii="Times New Roman" w:hAnsi="Times New Roman" w:cs="Times New Roman"/>
        </w:rPr>
        <w:t>pela</w:t>
      </w:r>
      <w:r>
        <w:rPr>
          <w:rFonts w:ascii="Times New Roman" w:hAnsi="Times New Roman" w:cs="Times New Roman"/>
          <w:spacing w:val="10"/>
        </w:rPr>
        <w:t xml:space="preserve"> </w:t>
      </w:r>
      <w:r>
        <w:rPr>
          <w:rFonts w:ascii="Times New Roman" w:hAnsi="Times New Roman" w:cs="Times New Roman"/>
          <w:spacing w:val="-2"/>
        </w:rPr>
        <w:t>empresa</w:t>
      </w:r>
      <w:r>
        <w:rPr>
          <w:rFonts w:ascii="Times New Roman" w:hAnsi="Times New Roman" w:cs="Times New Roman"/>
          <w:spacing w:val="-2"/>
          <w:lang w:val="pt-BR"/>
        </w:rPr>
        <w:t xml:space="preserve"> XX</w:t>
      </w:r>
      <w:r>
        <w:rPr>
          <w:rFonts w:ascii="Times New Roman" w:hAnsi="Times New Roman" w:cs="Times New Roman"/>
        </w:rPr>
        <w:t>,</w:t>
      </w:r>
      <w:r>
        <w:rPr>
          <w:rFonts w:ascii="Times New Roman" w:hAnsi="Times New Roman" w:cs="Times New Roman"/>
          <w:spacing w:val="8"/>
        </w:rPr>
        <w:t xml:space="preserve"> </w:t>
      </w:r>
      <w:r>
        <w:rPr>
          <w:rFonts w:ascii="Times New Roman" w:hAnsi="Times New Roman" w:cs="Times New Roman"/>
        </w:rPr>
        <w:t>inscrita</w:t>
      </w:r>
      <w:r>
        <w:rPr>
          <w:rFonts w:ascii="Times New Roman" w:hAnsi="Times New Roman" w:cs="Times New Roman"/>
          <w:spacing w:val="11"/>
        </w:rPr>
        <w:t xml:space="preserve"> </w:t>
      </w:r>
      <w:r>
        <w:rPr>
          <w:rFonts w:ascii="Times New Roman" w:hAnsi="Times New Roman" w:cs="Times New Roman"/>
        </w:rPr>
        <w:t>no</w:t>
      </w:r>
      <w:r>
        <w:rPr>
          <w:rFonts w:ascii="Times New Roman" w:hAnsi="Times New Roman" w:cs="Times New Roman"/>
          <w:spacing w:val="-3"/>
        </w:rPr>
        <w:t xml:space="preserve"> </w:t>
      </w:r>
      <w:r>
        <w:rPr>
          <w:rFonts w:ascii="Times New Roman" w:hAnsi="Times New Roman" w:cs="Times New Roman"/>
        </w:rPr>
        <w:t>CNPJ</w:t>
      </w:r>
      <w:r>
        <w:rPr>
          <w:rFonts w:ascii="Times New Roman" w:hAnsi="Times New Roman" w:cs="Times New Roman"/>
          <w:spacing w:val="-3"/>
        </w:rPr>
        <w:t xml:space="preserve"> </w:t>
      </w:r>
      <w:r>
        <w:rPr>
          <w:rFonts w:ascii="Times New Roman" w:hAnsi="Times New Roman" w:cs="Times New Roman"/>
          <w:spacing w:val="-5"/>
        </w:rPr>
        <w:t>sob</w:t>
      </w:r>
      <w:r>
        <w:rPr>
          <w:rFonts w:ascii="Times New Roman" w:hAnsi="Times New Roman" w:cs="Times New Roman"/>
          <w:spacing w:val="-5"/>
          <w:lang w:val="pt-BR"/>
        </w:rPr>
        <w:t xml:space="preserve"> </w:t>
      </w:r>
      <w:r>
        <w:rPr>
          <w:rFonts w:ascii="Times New Roman" w:hAnsi="Times New Roman" w:cs="Times New Roman"/>
        </w:rPr>
        <w:t xml:space="preserve">nº …………...…., com sede na Rua ..., doravante denominada </w:t>
      </w:r>
      <w:r>
        <w:rPr>
          <w:rFonts w:ascii="Times New Roman" w:hAnsi="Times New Roman" w:cs="Times New Roman"/>
          <w:b/>
        </w:rPr>
        <w:t>DETENTORA</w:t>
      </w:r>
      <w:r>
        <w:rPr>
          <w:rFonts w:ascii="Times New Roman" w:hAnsi="Times New Roman" w:cs="Times New Roman"/>
        </w:rPr>
        <w:t>, neste ato representada por seu(a) responsável legal, Sr(a). ….., inscrito no CPF sob o nº …., residente e domiciliado(a) na ….., em face da proposta classificada em primeiro lugar no Pregão na Forma Eletrônica nº 0</w:t>
      </w:r>
      <w:r>
        <w:rPr>
          <w:rFonts w:hint="default" w:ascii="Times New Roman" w:hAnsi="Times New Roman" w:cs="Times New Roman"/>
          <w:lang w:val="pt-BR"/>
        </w:rPr>
        <w:t>3</w:t>
      </w:r>
      <w:r>
        <w:rPr>
          <w:rFonts w:ascii="Times New Roman" w:hAnsi="Times New Roman" w:cs="Times New Roman"/>
          <w:lang w:val="pt-BR"/>
        </w:rPr>
        <w:t>7/2026</w:t>
      </w:r>
      <w:r>
        <w:rPr>
          <w:rFonts w:ascii="Times New Roman" w:hAnsi="Times New Roman" w:cs="Times New Roman"/>
        </w:rPr>
        <w:t>, elaborado com fulcro na Lei Federal 14.133/2021,</w:t>
      </w:r>
      <w:r>
        <w:rPr>
          <w:rFonts w:ascii="Times New Roman" w:hAnsi="Times New Roman" w:cs="Times New Roman"/>
          <w:spacing w:val="-4"/>
        </w:rPr>
        <w:t xml:space="preserve"> </w:t>
      </w:r>
      <w:r>
        <w:rPr>
          <w:rFonts w:ascii="Times New Roman" w:hAnsi="Times New Roman" w:cs="Times New Roman"/>
        </w:rPr>
        <w:t>no</w:t>
      </w:r>
      <w:r>
        <w:rPr>
          <w:rFonts w:ascii="Times New Roman" w:hAnsi="Times New Roman" w:cs="Times New Roman"/>
          <w:spacing w:val="-4"/>
        </w:rPr>
        <w:t xml:space="preserve"> </w:t>
      </w:r>
      <w:r>
        <w:rPr>
          <w:rFonts w:ascii="Times New Roman" w:hAnsi="Times New Roman" w:cs="Times New Roman"/>
        </w:rPr>
        <w:t>Decreto</w:t>
      </w:r>
      <w:r>
        <w:rPr>
          <w:rFonts w:ascii="Times New Roman" w:hAnsi="Times New Roman" w:cs="Times New Roman"/>
          <w:spacing w:val="-4"/>
        </w:rPr>
        <w:t xml:space="preserve"> </w:t>
      </w:r>
      <w:r>
        <w:rPr>
          <w:rFonts w:ascii="Times New Roman" w:hAnsi="Times New Roman" w:cs="Times New Roman"/>
        </w:rPr>
        <w:t>Municipal</w:t>
      </w:r>
      <w:r>
        <w:rPr>
          <w:rFonts w:ascii="Times New Roman" w:hAnsi="Times New Roman" w:cs="Times New Roman"/>
          <w:spacing w:val="-4"/>
        </w:rPr>
        <w:t xml:space="preserve"> </w:t>
      </w:r>
      <w:r>
        <w:rPr>
          <w:rFonts w:ascii="Times New Roman" w:hAnsi="Times New Roman" w:cs="Times New Roman"/>
        </w:rPr>
        <w:t xml:space="preserve">n° </w:t>
      </w:r>
      <w:r>
        <w:rPr>
          <w:rFonts w:ascii="Times New Roman" w:hAnsi="Times New Roman" w:cs="Times New Roman"/>
          <w:lang w:val="pt-BR"/>
        </w:rPr>
        <w:t>3.250</w:t>
      </w:r>
      <w:r>
        <w:rPr>
          <w:rFonts w:ascii="Times New Roman" w:hAnsi="Times New Roman" w:cs="Times New Roman"/>
        </w:rPr>
        <w:t>/2023</w:t>
      </w:r>
      <w:r>
        <w:rPr>
          <w:rFonts w:ascii="Times New Roman" w:hAnsi="Times New Roman" w:cs="Times New Roman"/>
          <w:lang w:val="pt-BR"/>
        </w:rPr>
        <w:t xml:space="preserve">, </w:t>
      </w:r>
      <w:r>
        <w:rPr>
          <w:rFonts w:ascii="Times New Roman" w:hAnsi="Times New Roman" w:eastAsia="Arial Unicode MS" w:cs="Times New Roman"/>
          <w:snapToGrid w:val="0"/>
          <w:lang w:eastAsia="pt-BR"/>
        </w:rPr>
        <w:t xml:space="preserve">Protocolo nº </w:t>
      </w:r>
      <w:r>
        <w:rPr>
          <w:rFonts w:ascii="Times New Roman" w:hAnsi="Times New Roman" w:eastAsia="Arial Unicode MS" w:cs="Times New Roman"/>
          <w:snapToGrid w:val="0"/>
          <w:lang w:val="en-US" w:eastAsia="pt-BR"/>
        </w:rPr>
        <w:t>2026</w:t>
      </w:r>
      <w:r>
        <w:rPr>
          <w:rFonts w:hint="default" w:ascii="Times New Roman" w:hAnsi="Times New Roman" w:eastAsia="Arial Unicode MS" w:cs="Times New Roman"/>
          <w:snapToGrid w:val="0"/>
          <w:lang w:val="en-US" w:eastAsia="pt-BR"/>
        </w:rPr>
        <w:t>/2159</w:t>
      </w:r>
      <w:r>
        <w:rPr>
          <w:rFonts w:ascii="Times New Roman" w:hAnsi="Times New Roman" w:eastAsia="Arial Unicode MS" w:cs="Times New Roman"/>
          <w:snapToGrid w:val="0"/>
          <w:lang w:val="en-US" w:eastAsia="pt-BR"/>
        </w:rPr>
        <w:t xml:space="preserve"> </w:t>
      </w:r>
      <w:r>
        <w:rPr>
          <w:rFonts w:ascii="Times New Roman" w:hAnsi="Times New Roman" w:cs="Times New Roman"/>
        </w:rPr>
        <w:t>e demais normas</w:t>
      </w:r>
      <w:r>
        <w:rPr>
          <w:rFonts w:ascii="Times New Roman" w:hAnsi="Times New Roman" w:cs="Times New Roman"/>
          <w:spacing w:val="-3"/>
        </w:rPr>
        <w:t xml:space="preserve"> </w:t>
      </w:r>
      <w:r>
        <w:rPr>
          <w:rFonts w:ascii="Times New Roman" w:hAnsi="Times New Roman" w:cs="Times New Roman"/>
        </w:rPr>
        <w:t>aplicáveis,</w:t>
      </w:r>
      <w:r>
        <w:rPr>
          <w:rFonts w:ascii="Times New Roman" w:hAnsi="Times New Roman" w:cs="Times New Roman"/>
          <w:spacing w:val="-3"/>
        </w:rPr>
        <w:t xml:space="preserve"> </w:t>
      </w:r>
      <w:r>
        <w:rPr>
          <w:rFonts w:ascii="Times New Roman" w:hAnsi="Times New Roman" w:cs="Times New Roman"/>
        </w:rPr>
        <w:t>para</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eventual</w:t>
      </w:r>
      <w:r>
        <w:rPr>
          <w:rFonts w:ascii="Times New Roman" w:hAnsi="Times New Roman" w:cs="Times New Roman"/>
          <w:spacing w:val="-3"/>
        </w:rPr>
        <w:t xml:space="preserve"> </w:t>
      </w:r>
      <w:r>
        <w:rPr>
          <w:rFonts w:ascii="Times New Roman" w:hAnsi="Times New Roman" w:cs="Times New Roman"/>
        </w:rPr>
        <w:t>aquisição,</w:t>
      </w:r>
      <w:r>
        <w:rPr>
          <w:rFonts w:ascii="Times New Roman" w:hAnsi="Times New Roman" w:cs="Times New Roman"/>
          <w:spacing w:val="-3"/>
        </w:rPr>
        <w:t xml:space="preserve"> </w:t>
      </w:r>
      <w:r>
        <w:rPr>
          <w:rFonts w:ascii="Times New Roman" w:hAnsi="Times New Roman" w:cs="Times New Roman"/>
        </w:rPr>
        <w:t>nas</w:t>
      </w:r>
      <w:r>
        <w:rPr>
          <w:rFonts w:ascii="Times New Roman" w:hAnsi="Times New Roman" w:cs="Times New Roman"/>
          <w:spacing w:val="-3"/>
        </w:rPr>
        <w:t xml:space="preserve"> </w:t>
      </w:r>
      <w:r>
        <w:rPr>
          <w:rFonts w:ascii="Times New Roman" w:hAnsi="Times New Roman" w:cs="Times New Roman"/>
        </w:rPr>
        <w:t>condições</w:t>
      </w:r>
      <w:r>
        <w:rPr>
          <w:rFonts w:ascii="Times New Roman" w:hAnsi="Times New Roman" w:cs="Times New Roman"/>
          <w:spacing w:val="-3"/>
        </w:rPr>
        <w:t xml:space="preserve"> </w:t>
      </w:r>
      <w:r>
        <w:rPr>
          <w:rFonts w:ascii="Times New Roman" w:hAnsi="Times New Roman" w:cs="Times New Roman"/>
        </w:rPr>
        <w:t>estabelecidas neste instrumento, dos objetos abaixo discriminados.</w:t>
      </w:r>
    </w:p>
    <w:p w14:paraId="1F864168">
      <w:pPr>
        <w:pStyle w:val="11"/>
        <w:tabs>
          <w:tab w:val="left" w:pos="8360"/>
        </w:tabs>
        <w:spacing w:before="240" w:line="240" w:lineRule="auto"/>
        <w:ind w:right="-53" w:rightChars="-24"/>
        <w:rPr>
          <w:rFonts w:ascii="Times New Roman" w:hAnsi="Times New Roman" w:cs="Times New Roman"/>
        </w:rPr>
      </w:pPr>
      <w:r>
        <w:rPr>
          <w:rFonts w:ascii="Times New Roman" w:hAnsi="Times New Roman" w:cs="Times New Roman"/>
          <w:b/>
        </w:rPr>
        <w:t>CLÁUSULA</w:t>
      </w:r>
      <w:r>
        <w:rPr>
          <w:rFonts w:ascii="Times New Roman" w:hAnsi="Times New Roman" w:cs="Times New Roman"/>
          <w:b/>
          <w:spacing w:val="40"/>
        </w:rPr>
        <w:t xml:space="preserve"> </w:t>
      </w:r>
      <w:r>
        <w:rPr>
          <w:rFonts w:ascii="Times New Roman" w:hAnsi="Times New Roman" w:cs="Times New Roman"/>
          <w:b/>
        </w:rPr>
        <w:t>PRIMEIRA</w:t>
      </w:r>
      <w:r>
        <w:rPr>
          <w:rFonts w:ascii="Times New Roman" w:hAnsi="Times New Roman" w:cs="Times New Roman"/>
          <w:b/>
          <w:spacing w:val="40"/>
        </w:rPr>
        <w:t xml:space="preserve"> </w:t>
      </w:r>
      <w:r>
        <w:rPr>
          <w:rFonts w:ascii="Times New Roman" w:hAnsi="Times New Roman" w:cs="Times New Roman"/>
        </w:rPr>
        <w:t>–</w:t>
      </w:r>
      <w:r>
        <w:rPr>
          <w:rFonts w:ascii="Times New Roman" w:hAnsi="Times New Roman" w:cs="Times New Roman"/>
          <w:spacing w:val="40"/>
        </w:rPr>
        <w:t xml:space="preserve"> </w:t>
      </w:r>
      <w:r>
        <w:rPr>
          <w:rFonts w:ascii="Times New Roman" w:hAnsi="Times New Roman" w:eastAsia="ArialMT" w:cs="Times New Roman"/>
        </w:rPr>
        <w:t>A presente Ata tem por objeto o Registro de Preços</w:t>
      </w:r>
      <w:r>
        <w:rPr>
          <w:rFonts w:ascii="Times New Roman" w:hAnsi="Times New Roman" w:eastAsia="ArialMT" w:cs="Times New Roman"/>
          <w:lang w:val="pt-BR"/>
        </w:rPr>
        <w:t xml:space="preserve"> </w:t>
      </w:r>
      <w:r>
        <w:rPr>
          <w:rFonts w:ascii="Times New Roman" w:hAnsi="Times New Roman" w:cs="Times New Roman"/>
          <w:lang w:val="pt-BR"/>
        </w:rPr>
        <w:t xml:space="preserve">visando a </w:t>
      </w:r>
      <w:r>
        <w:rPr>
          <w:rFonts w:ascii="Times New Roman" w:hAnsi="Times New Roman" w:eastAsia="SimSun" w:cs="Times New Roman"/>
          <w:sz w:val="24"/>
          <w:szCs w:val="24"/>
        </w:rPr>
        <w:t xml:space="preserve">aquisição de </w:t>
      </w:r>
      <w:r>
        <w:rPr>
          <w:rFonts w:hint="default" w:ascii="Times New Roman" w:hAnsi="Times New Roman" w:eastAsia="SimSun" w:cs="Times New Roman"/>
          <w:sz w:val="24"/>
          <w:szCs w:val="24"/>
          <w:lang w:val="pt-BR"/>
        </w:rPr>
        <w:t xml:space="preserve">lixeiras no tipo container destinado </w:t>
      </w:r>
      <w:r>
        <w:rPr>
          <w:rFonts w:ascii="Times New Roman" w:hAnsi="Times New Roman" w:cs="Times New Roman"/>
          <w:sz w:val="24"/>
          <w:szCs w:val="24"/>
        </w:rPr>
        <w:t>a serem adquirid</w:t>
      </w:r>
      <w:r>
        <w:rPr>
          <w:rFonts w:hint="default" w:ascii="Times New Roman" w:hAnsi="Times New Roman" w:cs="Times New Roman"/>
          <w:sz w:val="24"/>
          <w:szCs w:val="24"/>
          <w:lang w:val="pt-BR"/>
        </w:rPr>
        <w:t>a</w:t>
      </w:r>
      <w:r>
        <w:rPr>
          <w:rFonts w:ascii="Times New Roman" w:hAnsi="Times New Roman" w:cs="Times New Roman"/>
          <w:sz w:val="24"/>
          <w:szCs w:val="24"/>
        </w:rPr>
        <w:t>s conforme demanda e necessidade pelas Secretarias Municipais</w:t>
      </w: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color w:val="000000"/>
          <w:lang w:val="pt-BR"/>
        </w:rPr>
        <w:t xml:space="preserve">observadas </w:t>
      </w:r>
      <w:r>
        <w:rPr>
          <w:rFonts w:ascii="Times New Roman" w:hAnsi="Times New Roman" w:cs="Times New Roman"/>
        </w:rPr>
        <w:t xml:space="preserve">as disposições estabelecidas no Pregão na Forma Eletrônica </w:t>
      </w:r>
      <w:r>
        <w:rPr>
          <w:rFonts w:ascii="Times New Roman" w:hAnsi="Times New Roman" w:cs="Times New Roman"/>
          <w:lang w:val="pt-BR"/>
        </w:rPr>
        <w:t>n</w:t>
      </w:r>
      <w:r>
        <w:rPr>
          <w:rFonts w:ascii="Times New Roman" w:hAnsi="Times New Roman" w:cs="Times New Roman"/>
        </w:rPr>
        <w:t>º 0</w:t>
      </w:r>
      <w:r>
        <w:rPr>
          <w:rFonts w:hint="default" w:ascii="Times New Roman" w:hAnsi="Times New Roman" w:cs="Times New Roman"/>
          <w:lang w:val="pt-BR"/>
        </w:rPr>
        <w:t>3</w:t>
      </w:r>
      <w:r>
        <w:rPr>
          <w:rFonts w:ascii="Times New Roman" w:hAnsi="Times New Roman" w:cs="Times New Roman"/>
          <w:lang w:val="pt-BR"/>
        </w:rPr>
        <w:t xml:space="preserve">7/2026 </w:t>
      </w:r>
      <w:r>
        <w:rPr>
          <w:rFonts w:ascii="Times New Roman" w:hAnsi="Times New Roman" w:cs="Times New Roman"/>
        </w:rPr>
        <w:t>e a proposta da DETENTORA, independentemente de transcrição para este instrumento</w:t>
      </w:r>
      <w:r>
        <w:rPr>
          <w:rFonts w:ascii="Times New Roman" w:hAnsi="Times New Roman" w:cs="Times New Roman"/>
          <w:lang w:val="pt-BR"/>
        </w:rPr>
        <w:t xml:space="preserve">, </w:t>
      </w:r>
      <w:r>
        <w:rPr>
          <w:rFonts w:ascii="Times New Roman" w:hAnsi="Times New Roman" w:cs="Times New Roman"/>
        </w:rPr>
        <w:t>de acordo com o que segue:</w:t>
      </w:r>
    </w:p>
    <w:tbl>
      <w:tblPr>
        <w:tblStyle w:val="9"/>
        <w:tblpPr w:leftFromText="180" w:rightFromText="180" w:vertAnchor="text" w:horzAnchor="page" w:tblpX="1637" w:tblpY="18"/>
        <w:tblOverlap w:val="never"/>
        <w:tblW w:w="8970" w:type="dxa"/>
        <w:tblInd w:w="0" w:type="dxa"/>
        <w:tblLayout w:type="fixed"/>
        <w:tblCellMar>
          <w:top w:w="55" w:type="dxa"/>
          <w:left w:w="55" w:type="dxa"/>
          <w:bottom w:w="55" w:type="dxa"/>
          <w:right w:w="55" w:type="dxa"/>
        </w:tblCellMar>
      </w:tblPr>
      <w:tblGrid>
        <w:gridCol w:w="675"/>
        <w:gridCol w:w="660"/>
        <w:gridCol w:w="600"/>
        <w:gridCol w:w="4875"/>
        <w:gridCol w:w="1020"/>
        <w:gridCol w:w="1140"/>
      </w:tblGrid>
      <w:tr w14:paraId="37936FB2">
        <w:tblPrEx>
          <w:tblCellMar>
            <w:top w:w="55" w:type="dxa"/>
            <w:left w:w="55" w:type="dxa"/>
            <w:bottom w:w="55" w:type="dxa"/>
            <w:right w:w="55" w:type="dxa"/>
          </w:tblCellMar>
        </w:tblPrEx>
        <w:trPr>
          <w:trHeight w:val="286" w:hRule="atLeast"/>
          <w:tblHeader/>
        </w:trPr>
        <w:tc>
          <w:tcPr>
            <w:tcW w:w="675" w:type="dxa"/>
            <w:tcBorders>
              <w:top w:val="single" w:color="000000" w:sz="4" w:space="0"/>
              <w:left w:val="single" w:color="000000" w:sz="4" w:space="0"/>
              <w:bottom w:val="single" w:color="auto" w:sz="4" w:space="0"/>
              <w:right w:val="single" w:color="000000" w:sz="4" w:space="0"/>
            </w:tcBorders>
          </w:tcPr>
          <w:p w14:paraId="0BFB7D2C">
            <w:pPr>
              <w:pStyle w:val="30"/>
              <w:snapToGrid w:val="0"/>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Item</w:t>
            </w:r>
          </w:p>
        </w:tc>
        <w:tc>
          <w:tcPr>
            <w:tcW w:w="660" w:type="dxa"/>
            <w:tcBorders>
              <w:top w:val="single" w:color="000000" w:sz="4" w:space="0"/>
              <w:left w:val="single" w:color="000000" w:sz="4" w:space="0"/>
              <w:bottom w:val="single" w:color="auto" w:sz="4" w:space="0"/>
              <w:right w:val="single" w:color="000000" w:sz="4" w:space="0"/>
            </w:tcBorders>
          </w:tcPr>
          <w:p w14:paraId="563A2811">
            <w:pPr>
              <w:pStyle w:val="30"/>
              <w:snapToGrid w:val="0"/>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Qtde.</w:t>
            </w:r>
          </w:p>
        </w:tc>
        <w:tc>
          <w:tcPr>
            <w:tcW w:w="600" w:type="dxa"/>
            <w:tcBorders>
              <w:top w:val="single" w:color="000000" w:sz="4" w:space="0"/>
              <w:left w:val="single" w:color="000000" w:sz="4" w:space="0"/>
              <w:bottom w:val="single" w:color="auto" w:sz="4" w:space="0"/>
              <w:right w:val="single" w:color="000000" w:sz="4" w:space="0"/>
            </w:tcBorders>
          </w:tcPr>
          <w:p w14:paraId="5FAFA873">
            <w:pPr>
              <w:pStyle w:val="30"/>
              <w:snapToGrid w:val="0"/>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Un</w:t>
            </w:r>
          </w:p>
        </w:tc>
        <w:tc>
          <w:tcPr>
            <w:tcW w:w="4875" w:type="dxa"/>
            <w:tcBorders>
              <w:top w:val="single" w:color="000000" w:sz="4" w:space="0"/>
              <w:left w:val="single" w:color="000000" w:sz="4" w:space="0"/>
              <w:bottom w:val="single" w:color="auto" w:sz="4" w:space="0"/>
              <w:right w:val="single" w:color="000000" w:sz="4" w:space="0"/>
            </w:tcBorders>
          </w:tcPr>
          <w:p w14:paraId="30A2AC6B">
            <w:pPr>
              <w:pStyle w:val="30"/>
              <w:snapToGrid w:val="0"/>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Especificação/Marca</w:t>
            </w:r>
          </w:p>
        </w:tc>
        <w:tc>
          <w:tcPr>
            <w:tcW w:w="1020" w:type="dxa"/>
            <w:tcBorders>
              <w:top w:val="single" w:color="000000" w:sz="4" w:space="0"/>
              <w:left w:val="single" w:color="000000" w:sz="4" w:space="0"/>
              <w:bottom w:val="single" w:color="auto" w:sz="4" w:space="0"/>
              <w:right w:val="single" w:color="000000" w:sz="4" w:space="0"/>
            </w:tcBorders>
          </w:tcPr>
          <w:p w14:paraId="7810B317">
            <w:pPr>
              <w:pStyle w:val="30"/>
              <w:snapToGrid w:val="0"/>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Valor Un (R$)</w:t>
            </w:r>
          </w:p>
        </w:tc>
        <w:tc>
          <w:tcPr>
            <w:tcW w:w="1140" w:type="dxa"/>
            <w:tcBorders>
              <w:top w:val="single" w:color="000000" w:sz="4" w:space="0"/>
              <w:left w:val="single" w:color="000000" w:sz="4" w:space="0"/>
              <w:bottom w:val="single" w:color="auto" w:sz="4" w:space="0"/>
              <w:right w:val="single" w:color="000000" w:sz="4" w:space="0"/>
            </w:tcBorders>
          </w:tcPr>
          <w:p w14:paraId="1F506296">
            <w:pPr>
              <w:pStyle w:val="30"/>
              <w:snapToGrid w:val="0"/>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Valor Total (R$)</w:t>
            </w:r>
          </w:p>
        </w:tc>
      </w:tr>
      <w:tr w14:paraId="49E61452">
        <w:tblPrEx>
          <w:tblCellMar>
            <w:top w:w="55" w:type="dxa"/>
            <w:left w:w="55" w:type="dxa"/>
            <w:bottom w:w="55" w:type="dxa"/>
            <w:right w:w="55" w:type="dxa"/>
          </w:tblCellMar>
        </w:tblPrEx>
        <w:trPr>
          <w:trHeight w:val="639" w:hRule="atLeast"/>
        </w:trPr>
        <w:tc>
          <w:tcPr>
            <w:tcW w:w="675" w:type="dxa"/>
            <w:tcBorders>
              <w:top w:val="single" w:color="auto" w:sz="4" w:space="0"/>
              <w:left w:val="single" w:color="auto" w:sz="4" w:space="0"/>
              <w:bottom w:val="nil"/>
              <w:right w:val="single" w:color="000000" w:sz="4" w:space="0"/>
            </w:tcBorders>
            <w:vAlign w:val="center"/>
          </w:tcPr>
          <w:p w14:paraId="0D508B35">
            <w:pPr>
              <w:pStyle w:val="30"/>
              <w:snapToGrid w:val="0"/>
              <w:spacing w:before="0" w:after="0" w:line="240" w:lineRule="auto"/>
              <w:rPr>
                <w:rFonts w:ascii="Times New Roman" w:hAnsi="Times New Roman" w:cs="Times New Roman"/>
                <w:sz w:val="22"/>
                <w:szCs w:val="22"/>
              </w:rPr>
            </w:pPr>
            <w:r>
              <w:rPr>
                <w:rFonts w:ascii="Times New Roman" w:hAnsi="Times New Roman" w:cs="Times New Roman"/>
                <w:b w:val="0"/>
                <w:i w:val="0"/>
                <w:sz w:val="22"/>
                <w:szCs w:val="22"/>
              </w:rPr>
              <w:t>1</w:t>
            </w:r>
          </w:p>
        </w:tc>
        <w:tc>
          <w:tcPr>
            <w:tcW w:w="660" w:type="dxa"/>
            <w:tcBorders>
              <w:top w:val="single" w:color="auto" w:sz="4" w:space="0"/>
              <w:left w:val="single" w:color="000000" w:sz="4" w:space="0"/>
              <w:bottom w:val="nil"/>
              <w:right w:val="single" w:color="000000" w:sz="4" w:space="0"/>
            </w:tcBorders>
            <w:vAlign w:val="center"/>
          </w:tcPr>
          <w:p w14:paraId="08DED679">
            <w:pPr>
              <w:snapToGrid w:val="0"/>
              <w:spacing w:after="0" w:line="240" w:lineRule="auto"/>
              <w:jc w:val="center"/>
              <w:rPr>
                <w:rFonts w:ascii="Times New Roman" w:hAnsi="Times New Roman"/>
                <w:sz w:val="22"/>
                <w:szCs w:val="22"/>
              </w:rPr>
            </w:pPr>
            <w:r>
              <w:rPr>
                <w:rFonts w:hint="default" w:ascii="Times New Roman" w:hAnsi="Times New Roman"/>
                <w:sz w:val="22"/>
                <w:szCs w:val="22"/>
                <w:lang w:val="pt-BR"/>
              </w:rPr>
              <w:t>3</w:t>
            </w:r>
            <w:r>
              <w:rPr>
                <w:rFonts w:ascii="Times New Roman" w:hAnsi="Times New Roman"/>
                <w:sz w:val="22"/>
                <w:szCs w:val="22"/>
              </w:rPr>
              <w:t>5</w:t>
            </w:r>
          </w:p>
        </w:tc>
        <w:tc>
          <w:tcPr>
            <w:tcW w:w="600" w:type="dxa"/>
            <w:tcBorders>
              <w:top w:val="single" w:color="auto" w:sz="4" w:space="0"/>
              <w:left w:val="single" w:color="000000" w:sz="4" w:space="0"/>
              <w:bottom w:val="nil"/>
              <w:right w:val="single" w:color="000000" w:sz="4" w:space="0"/>
            </w:tcBorders>
            <w:vAlign w:val="center"/>
          </w:tcPr>
          <w:p w14:paraId="7F6031EE">
            <w:pPr>
              <w:snapToGrid w:val="0"/>
              <w:spacing w:after="0" w:line="240" w:lineRule="auto"/>
              <w:jc w:val="center"/>
              <w:rPr>
                <w:rFonts w:ascii="Times New Roman" w:hAnsi="Times New Roman"/>
                <w:sz w:val="22"/>
                <w:szCs w:val="22"/>
              </w:rPr>
            </w:pPr>
            <w:r>
              <w:rPr>
                <w:rFonts w:ascii="Times New Roman" w:hAnsi="Times New Roman"/>
                <w:sz w:val="22"/>
                <w:szCs w:val="22"/>
              </w:rPr>
              <w:t>UN</w:t>
            </w:r>
          </w:p>
        </w:tc>
        <w:tc>
          <w:tcPr>
            <w:tcW w:w="4875" w:type="dxa"/>
            <w:tcBorders>
              <w:top w:val="single" w:color="auto" w:sz="4" w:space="0"/>
              <w:left w:val="single" w:color="000000" w:sz="4" w:space="0"/>
              <w:bottom w:val="nil"/>
              <w:right w:val="single" w:color="000000" w:sz="4" w:space="0"/>
            </w:tcBorders>
            <w:shd w:val="clear" w:color="auto" w:fill="auto"/>
            <w:vAlign w:val="center"/>
          </w:tcPr>
          <w:p w14:paraId="5A95E904">
            <w:pPr>
              <w:spacing w:before="0" w:after="0" w:line="240" w:lineRule="auto"/>
              <w:jc w:val="both"/>
              <w:rPr>
                <w:rFonts w:hint="default" w:ascii="Times New Roman" w:hAnsi="Times New Roman" w:cs="Times New Roman"/>
                <w:sz w:val="22"/>
                <w:szCs w:val="22"/>
                <w:lang w:val="pt-BR"/>
              </w:rPr>
            </w:pPr>
            <w:r>
              <w:rPr>
                <w:rFonts w:hint="default" w:ascii="Times New Roman" w:hAnsi="Times New Roman" w:cs="Times New Roman"/>
                <w:sz w:val="22"/>
                <w:szCs w:val="22"/>
              </w:rPr>
              <w:t>LIXEIRA TIPO CONTAINER COM TAMPA, com capacidade de no mínimo 1.000 litros, na cor laranja. Produzida em PEAD (Polietileno de Alta Densidade) resistente às intempéries e soluções ácidas ou alcalinas, fungos, bactérias, detergentes de lavagem e higienização, que atendam às normas da ABNT NBR 15911-3. Com adaptação para basculamento direto em caminhões (elevação e basculamento). Medidas aproximadas 1,3 x 1,37 x 1,04 metros (altura x largura x profundidade). As medidas incluem os munhões. Deverá ter um munhão de cada lado, em aço, na cor preta, para ser utilizado na coleta de lixo mecanizada. Devem estar equipados com 4 rodas de borracha maciça de 200mm de diâmetro e núcleo de polipropileno, sendo que 2 rodas devem conter travas individuais, ou seja, freio que permite o container ficar estacionado, com garfos em aço com tratamento anticorrosão. As rodas devem fazer giros completos de 360°, ou seja, mobilidade total. Soldas com no mínimo 300kg/cm de resistência no corpo e na tampa, com proteção contra os raios solares UV. A tampa deverá possuir reforços em sua estrutura para dar sustentação, possuir puxador central, ser articulada ao corpo do container e produzida com o mesmo material do corpo. Deve possuir drenos para limpeza e escoamento de líquidos no seu interior, com cantos arredondad</w:t>
            </w:r>
            <w:r>
              <w:rPr>
                <w:rFonts w:hint="default" w:ascii="Times New Roman" w:hAnsi="Times New Roman" w:eastAsia="Calibri" w:cs="Times New Roman"/>
                <w:sz w:val="22"/>
                <w:szCs w:val="22"/>
              </w:rPr>
              <w:t>os. Garantia mínima de 24 (vinte e quatro) meses</w:t>
            </w:r>
            <w:r>
              <w:rPr>
                <w:rFonts w:hint="default" w:ascii="Times New Roman" w:hAnsi="Times New Roman" w:eastAsia="Calibri" w:cs="Times New Roman"/>
                <w:sz w:val="22"/>
                <w:szCs w:val="22"/>
                <w:lang w:val="pt-BR"/>
              </w:rPr>
              <w:t>.</w:t>
            </w:r>
          </w:p>
        </w:tc>
        <w:tc>
          <w:tcPr>
            <w:tcW w:w="1020" w:type="dxa"/>
            <w:tcBorders>
              <w:top w:val="single" w:color="auto" w:sz="4" w:space="0"/>
              <w:left w:val="single" w:color="000000" w:sz="4" w:space="0"/>
              <w:bottom w:val="nil"/>
              <w:right w:val="single" w:color="000000" w:sz="4" w:space="0"/>
            </w:tcBorders>
            <w:vAlign w:val="center"/>
          </w:tcPr>
          <w:p w14:paraId="3D246B66">
            <w:pPr>
              <w:pStyle w:val="30"/>
              <w:snapToGrid w:val="0"/>
              <w:spacing w:before="0" w:after="0" w:line="240" w:lineRule="auto"/>
              <w:rPr>
                <w:rFonts w:ascii="Times New Roman" w:hAnsi="Times New Roman" w:cs="Times New Roman"/>
                <w:sz w:val="22"/>
                <w:szCs w:val="22"/>
              </w:rPr>
            </w:pPr>
            <w:r>
              <w:rPr>
                <w:rFonts w:ascii="Times New Roman" w:hAnsi="Times New Roman" w:cs="Times New Roman"/>
                <w:b w:val="0"/>
                <w:i w:val="0"/>
                <w:sz w:val="22"/>
                <w:szCs w:val="22"/>
              </w:rPr>
              <w:t>***</w:t>
            </w:r>
          </w:p>
        </w:tc>
        <w:tc>
          <w:tcPr>
            <w:tcW w:w="1140" w:type="dxa"/>
            <w:tcBorders>
              <w:top w:val="single" w:color="auto" w:sz="4" w:space="0"/>
              <w:left w:val="single" w:color="000000" w:sz="4" w:space="0"/>
              <w:bottom w:val="nil"/>
              <w:right w:val="single" w:color="auto" w:sz="4" w:space="0"/>
            </w:tcBorders>
            <w:vAlign w:val="center"/>
          </w:tcPr>
          <w:p w14:paraId="75D5AF8B">
            <w:pPr>
              <w:pStyle w:val="30"/>
              <w:snapToGrid w:val="0"/>
              <w:spacing w:before="0" w:after="0" w:line="240" w:lineRule="auto"/>
              <w:rPr>
                <w:rFonts w:ascii="Times New Roman" w:hAnsi="Times New Roman" w:cs="Times New Roman"/>
                <w:sz w:val="22"/>
                <w:szCs w:val="22"/>
              </w:rPr>
            </w:pPr>
            <w:r>
              <w:rPr>
                <w:rFonts w:ascii="Times New Roman" w:hAnsi="Times New Roman" w:cs="Times New Roman"/>
                <w:b w:val="0"/>
                <w:i w:val="0"/>
                <w:sz w:val="22"/>
                <w:szCs w:val="22"/>
              </w:rPr>
              <w:t>***</w:t>
            </w:r>
          </w:p>
        </w:tc>
      </w:tr>
      <w:tr w14:paraId="24A52206">
        <w:tblPrEx>
          <w:tblCellMar>
            <w:top w:w="55" w:type="dxa"/>
            <w:left w:w="55" w:type="dxa"/>
            <w:bottom w:w="55" w:type="dxa"/>
            <w:right w:w="55" w:type="dxa"/>
          </w:tblCellMar>
        </w:tblPrEx>
        <w:tc>
          <w:tcPr>
            <w:tcW w:w="675" w:type="dxa"/>
            <w:tcBorders>
              <w:top w:val="nil"/>
              <w:left w:val="single" w:color="auto" w:sz="4" w:space="0"/>
              <w:bottom w:val="single" w:color="auto" w:sz="4" w:space="0"/>
              <w:right w:val="single" w:color="000000" w:sz="4" w:space="0"/>
            </w:tcBorders>
            <w:vAlign w:val="center"/>
          </w:tcPr>
          <w:p w14:paraId="3B68955E">
            <w:pPr>
              <w:pStyle w:val="30"/>
              <w:snapToGrid w:val="0"/>
              <w:spacing w:before="0" w:after="0" w:line="240" w:lineRule="auto"/>
              <w:rPr>
                <w:rFonts w:ascii="Times New Roman" w:hAnsi="Times New Roman" w:cs="Times New Roman"/>
                <w:b w:val="0"/>
                <w:i w:val="0"/>
                <w:sz w:val="21"/>
                <w:szCs w:val="21"/>
              </w:rPr>
            </w:pPr>
            <w:r>
              <w:rPr>
                <w:rFonts w:ascii="Times New Roman" w:hAnsi="Times New Roman" w:cs="Times New Roman"/>
                <w:b w:val="0"/>
                <w:i w:val="0"/>
                <w:sz w:val="21"/>
                <w:szCs w:val="21"/>
              </w:rPr>
              <w:t>...</w:t>
            </w:r>
          </w:p>
        </w:tc>
        <w:tc>
          <w:tcPr>
            <w:tcW w:w="660" w:type="dxa"/>
            <w:tcBorders>
              <w:top w:val="nil"/>
              <w:left w:val="single" w:color="000000" w:sz="4" w:space="0"/>
              <w:bottom w:val="single" w:color="auto" w:sz="4" w:space="0"/>
              <w:right w:val="single" w:color="000000" w:sz="4" w:space="0"/>
            </w:tcBorders>
            <w:vAlign w:val="center"/>
          </w:tcPr>
          <w:p w14:paraId="509964C7">
            <w:pPr>
              <w:pStyle w:val="30"/>
              <w:snapToGrid w:val="0"/>
              <w:spacing w:before="0" w:after="0" w:line="240" w:lineRule="auto"/>
              <w:rPr>
                <w:rFonts w:ascii="Times New Roman" w:hAnsi="Times New Roman" w:cs="Times New Roman"/>
                <w:b w:val="0"/>
                <w:i w:val="0"/>
                <w:sz w:val="21"/>
                <w:szCs w:val="21"/>
              </w:rPr>
            </w:pPr>
            <w:r>
              <w:rPr>
                <w:rFonts w:ascii="Times New Roman" w:hAnsi="Times New Roman" w:cs="Times New Roman"/>
                <w:b w:val="0"/>
                <w:i w:val="0"/>
                <w:sz w:val="21"/>
                <w:szCs w:val="21"/>
              </w:rPr>
              <w:t>..</w:t>
            </w:r>
          </w:p>
        </w:tc>
        <w:tc>
          <w:tcPr>
            <w:tcW w:w="600" w:type="dxa"/>
            <w:tcBorders>
              <w:top w:val="nil"/>
              <w:left w:val="single" w:color="000000" w:sz="4" w:space="0"/>
              <w:bottom w:val="single" w:color="auto" w:sz="4" w:space="0"/>
              <w:right w:val="single" w:color="000000" w:sz="4" w:space="0"/>
            </w:tcBorders>
            <w:vAlign w:val="center"/>
          </w:tcPr>
          <w:p w14:paraId="4AEC63EB">
            <w:pPr>
              <w:pStyle w:val="30"/>
              <w:snapToGrid w:val="0"/>
              <w:spacing w:before="0" w:after="0" w:line="240" w:lineRule="auto"/>
              <w:rPr>
                <w:rFonts w:ascii="Times New Roman" w:hAnsi="Times New Roman" w:cs="Times New Roman"/>
                <w:b w:val="0"/>
                <w:bCs/>
                <w:i w:val="0"/>
                <w:iCs/>
                <w:sz w:val="21"/>
                <w:szCs w:val="21"/>
              </w:rPr>
            </w:pPr>
            <w:r>
              <w:rPr>
                <w:rFonts w:ascii="Times New Roman" w:hAnsi="Times New Roman" w:cs="Times New Roman"/>
                <w:b w:val="0"/>
                <w:bCs/>
                <w:i w:val="0"/>
                <w:iCs/>
                <w:sz w:val="21"/>
                <w:szCs w:val="21"/>
              </w:rPr>
              <w:t>..</w:t>
            </w:r>
          </w:p>
        </w:tc>
        <w:tc>
          <w:tcPr>
            <w:tcW w:w="4875" w:type="dxa"/>
            <w:tcBorders>
              <w:top w:val="nil"/>
              <w:left w:val="single" w:color="000000" w:sz="4" w:space="0"/>
              <w:bottom w:val="single" w:color="auto" w:sz="4" w:space="0"/>
              <w:right w:val="single" w:color="000000" w:sz="4" w:space="0"/>
            </w:tcBorders>
            <w:shd w:val="clear" w:color="auto" w:fill="auto"/>
            <w:vAlign w:val="center"/>
          </w:tcPr>
          <w:p w14:paraId="7AD26E26">
            <w:pPr>
              <w:snapToGrid w:val="0"/>
              <w:spacing w:after="0" w:line="240" w:lineRule="auto"/>
              <w:rPr>
                <w:rFonts w:ascii="Times New Roman" w:hAnsi="Times New Roman"/>
                <w:sz w:val="21"/>
                <w:szCs w:val="21"/>
              </w:rPr>
            </w:pPr>
            <w:r>
              <w:rPr>
                <w:rFonts w:ascii="Times New Roman" w:hAnsi="Times New Roman"/>
                <w:sz w:val="21"/>
                <w:szCs w:val="21"/>
              </w:rPr>
              <w:t>...</w:t>
            </w:r>
          </w:p>
        </w:tc>
        <w:tc>
          <w:tcPr>
            <w:tcW w:w="1020" w:type="dxa"/>
            <w:tcBorders>
              <w:top w:val="nil"/>
              <w:left w:val="single" w:color="000000" w:sz="4" w:space="0"/>
              <w:bottom w:val="single" w:color="auto" w:sz="4" w:space="0"/>
              <w:right w:val="single" w:color="000000" w:sz="4" w:space="0"/>
            </w:tcBorders>
            <w:vAlign w:val="center"/>
          </w:tcPr>
          <w:p w14:paraId="7CA95C8B">
            <w:pPr>
              <w:pStyle w:val="30"/>
              <w:snapToGrid w:val="0"/>
              <w:spacing w:before="0" w:after="0" w:line="240" w:lineRule="auto"/>
              <w:rPr>
                <w:rFonts w:ascii="Times New Roman" w:hAnsi="Times New Roman" w:cs="Times New Roman"/>
                <w:b w:val="0"/>
                <w:i w:val="0"/>
                <w:sz w:val="21"/>
                <w:szCs w:val="21"/>
              </w:rPr>
            </w:pPr>
          </w:p>
        </w:tc>
        <w:tc>
          <w:tcPr>
            <w:tcW w:w="1140" w:type="dxa"/>
            <w:tcBorders>
              <w:top w:val="nil"/>
              <w:left w:val="single" w:color="000000" w:sz="4" w:space="0"/>
              <w:bottom w:val="single" w:color="auto" w:sz="4" w:space="0"/>
              <w:right w:val="single" w:color="auto" w:sz="4" w:space="0"/>
            </w:tcBorders>
            <w:vAlign w:val="center"/>
          </w:tcPr>
          <w:p w14:paraId="07B15CE8">
            <w:pPr>
              <w:pStyle w:val="30"/>
              <w:snapToGrid w:val="0"/>
              <w:spacing w:before="0" w:after="0" w:line="240" w:lineRule="auto"/>
              <w:rPr>
                <w:rFonts w:ascii="Times New Roman" w:hAnsi="Times New Roman" w:cs="Times New Roman"/>
                <w:b w:val="0"/>
                <w:i w:val="0"/>
                <w:sz w:val="21"/>
                <w:szCs w:val="21"/>
              </w:rPr>
            </w:pPr>
          </w:p>
        </w:tc>
      </w:tr>
    </w:tbl>
    <w:p w14:paraId="154D2282">
      <w:pPr>
        <w:suppressAutoHyphens/>
        <w:spacing w:after="0" w:line="240" w:lineRule="auto"/>
        <w:ind w:right="398" w:rightChars="181"/>
        <w:rPr>
          <w:rFonts w:ascii="Times New Roman" w:hAnsi="Times New Roman"/>
        </w:rPr>
      </w:pPr>
    </w:p>
    <w:p w14:paraId="2E2780AA">
      <w:pPr>
        <w:spacing w:after="0" w:line="240" w:lineRule="auto"/>
        <w:jc w:val="both"/>
        <w:rPr>
          <w:rFonts w:ascii="Times New Roman" w:hAnsi="Times New Roman" w:cs="Times New Roman"/>
        </w:rPr>
      </w:pPr>
      <w:r>
        <w:rPr>
          <w:rFonts w:ascii="Times New Roman" w:hAnsi="Times New Roman" w:cs="Times New Roman"/>
        </w:rPr>
        <w:t>§ 1º A entrega dos materiai</w:t>
      </w:r>
      <w:r>
        <w:rPr>
          <w:rFonts w:hint="default" w:ascii="Times New Roman" w:hAnsi="Times New Roman" w:cs="Times New Roman"/>
          <w:lang w:val="pt-BR"/>
        </w:rPr>
        <w:t>s</w:t>
      </w:r>
      <w:bookmarkStart w:id="6" w:name="_GoBack"/>
      <w:bookmarkEnd w:id="6"/>
      <w:r>
        <w:rPr>
          <w:rFonts w:ascii="Times New Roman" w:hAnsi="Times New Roman" w:cs="Times New Roman"/>
        </w:rPr>
        <w:t xml:space="preserve"> é de responsabilidade da Detentora da Ata, devendo ser entregues ao Poder Público de forma adequada. As despesas extras com encargos, fretes ou demais gastos incidentes já deverão estar inclusas nos preços dos produtos.</w:t>
      </w:r>
    </w:p>
    <w:p w14:paraId="4C9B588E">
      <w:pPr>
        <w:spacing w:after="0" w:line="240" w:lineRule="auto"/>
        <w:jc w:val="both"/>
        <w:rPr>
          <w:rFonts w:ascii="Times New Roman" w:hAnsi="Times New Roman" w:eastAsia="Calibri" w:cs="Times New Roman"/>
        </w:rPr>
      </w:pPr>
      <w:r>
        <w:rPr>
          <w:rFonts w:ascii="Times New Roman" w:hAnsi="Times New Roman" w:cs="Times New Roman"/>
        </w:rPr>
        <w:t xml:space="preserve">§ 2º Os materiais devem, preferencialmente, serem acondicionados em embalagem individual adequada, com o menor volume possível, que utilize materiais duráveis e recicláveis, de forma a </w:t>
      </w:r>
      <w:r>
        <w:rPr>
          <w:rFonts w:ascii="Times New Roman" w:hAnsi="Times New Roman" w:eastAsia="Calibri" w:cs="Times New Roman"/>
        </w:rPr>
        <w:t>garantir a máxima proteção durante transporte e armazenamento.</w:t>
      </w:r>
    </w:p>
    <w:p w14:paraId="7AB98DB0">
      <w:pPr>
        <w:spacing w:after="0" w:line="240" w:lineRule="auto"/>
        <w:jc w:val="both"/>
        <w:rPr>
          <w:rFonts w:ascii="Times New Roman" w:hAnsi="Times New Roman" w:cs="Times New Roman"/>
        </w:rPr>
      </w:pPr>
      <w:r>
        <w:rPr>
          <w:rFonts w:ascii="Times New Roman" w:hAnsi="Times New Roman" w:cs="Times New Roman"/>
        </w:rPr>
        <w:t xml:space="preserve">§ </w:t>
      </w:r>
      <w:r>
        <w:rPr>
          <w:rFonts w:hint="default" w:ascii="Times New Roman" w:hAnsi="Times New Roman" w:cs="Times New Roman"/>
          <w:lang w:val="pt-BR"/>
        </w:rPr>
        <w:t>3</w:t>
      </w:r>
      <w:r>
        <w:rPr>
          <w:rFonts w:ascii="Times New Roman" w:hAnsi="Times New Roman" w:cs="Times New Roman"/>
        </w:rPr>
        <w:t>º</w:t>
      </w:r>
      <w:r>
        <w:rPr>
          <w:rFonts w:hint="default" w:ascii="Times New Roman" w:hAnsi="Times New Roman" w:cs="Times New Roman"/>
          <w:lang w:val="pt-BR"/>
        </w:rPr>
        <w:t xml:space="preserve"> </w:t>
      </w:r>
      <w:r>
        <w:rPr>
          <w:rFonts w:ascii="Times New Roman" w:hAnsi="Times New Roman" w:eastAsia="Calibri" w:cs="Times New Roman"/>
        </w:rPr>
        <w:t>Durante o período de garantia, a contratada deverá substituir ou reparar, sem ônus ao Município, os containers que apresentarem defeitos de fabricação no prazo máximo de 15 dias.</w:t>
      </w:r>
    </w:p>
    <w:p w14:paraId="207E9A13">
      <w:pPr>
        <w:spacing w:after="0" w:line="240" w:lineRule="auto"/>
        <w:jc w:val="both"/>
        <w:rPr>
          <w:rFonts w:ascii="Times New Roman" w:hAnsi="Times New Roman" w:cs="Times New Roman"/>
        </w:rPr>
      </w:pPr>
      <w:r>
        <w:rPr>
          <w:rFonts w:ascii="Times New Roman" w:hAnsi="Times New Roman" w:cs="Times New Roman"/>
        </w:rPr>
        <w:t>§</w:t>
      </w:r>
      <w:r>
        <w:rPr>
          <w:rFonts w:hint="default" w:ascii="Times New Roman" w:hAnsi="Times New Roman" w:cs="Times New Roman"/>
          <w:lang w:val="pt-BR"/>
        </w:rPr>
        <w:t xml:space="preserve"> 4</w:t>
      </w:r>
      <w:r>
        <w:rPr>
          <w:rFonts w:ascii="Times New Roman" w:hAnsi="Times New Roman" w:cs="Times New Roman"/>
        </w:rPr>
        <w:t>º O não atendimento às exigências acima acarretará na recusa do recebimento do produto, conforme o caso.</w:t>
      </w:r>
    </w:p>
    <w:p w14:paraId="3E46AEB6">
      <w:pPr>
        <w:spacing w:after="0" w:line="240" w:lineRule="auto"/>
        <w:jc w:val="both"/>
        <w:rPr>
          <w:rFonts w:ascii="Times New Roman" w:hAnsi="Times New Roman" w:cs="Times New Roman"/>
        </w:rPr>
      </w:pPr>
      <w:r>
        <w:rPr>
          <w:rFonts w:ascii="Times New Roman" w:hAnsi="Times New Roman" w:cs="Times New Roman"/>
        </w:rPr>
        <w:t>§</w:t>
      </w:r>
      <w:r>
        <w:rPr>
          <w:rFonts w:hint="default" w:ascii="Times New Roman" w:hAnsi="Times New Roman" w:cs="Times New Roman"/>
          <w:lang w:val="pt-BR"/>
        </w:rPr>
        <w:t xml:space="preserve"> 5</w:t>
      </w:r>
      <w:r>
        <w:rPr>
          <w:rFonts w:ascii="Times New Roman" w:hAnsi="Times New Roman" w:cs="Times New Roman"/>
        </w:rPr>
        <w:t>º As quantidades são máximas, podendo, no entanto a Administração não fazer uso da totalidade.</w:t>
      </w:r>
    </w:p>
    <w:p w14:paraId="1A37F574">
      <w:pPr>
        <w:spacing w:after="0" w:line="240" w:lineRule="auto"/>
        <w:jc w:val="both"/>
        <w:rPr>
          <w:rFonts w:ascii="Times New Roman" w:hAnsi="Times New Roman" w:cs="Times New Roman"/>
        </w:rPr>
      </w:pPr>
      <w:r>
        <w:rPr>
          <w:rFonts w:ascii="Times New Roman" w:hAnsi="Times New Roman" w:cs="Times New Roman"/>
        </w:rPr>
        <w:t>§</w:t>
      </w:r>
      <w:r>
        <w:rPr>
          <w:rFonts w:hint="default" w:ascii="Times New Roman" w:hAnsi="Times New Roman" w:cs="Times New Roman"/>
          <w:lang w:val="pt-BR"/>
        </w:rPr>
        <w:t xml:space="preserve"> 6</w:t>
      </w:r>
      <w:r>
        <w:rPr>
          <w:rFonts w:ascii="Times New Roman" w:hAnsi="Times New Roman" w:cs="Times New Roman"/>
        </w:rPr>
        <w:t>º A Detentora da Ata ficará responsável pela substituição de toda e qualquer mercadoria que estiver fora dos padrões solicitados ou que seja considerada imprópria para o uso, no prazo máximo de 05 (cinco) dias, ficando ainda sujeita as demais penalidades legais.</w:t>
      </w:r>
    </w:p>
    <w:p w14:paraId="65428F73">
      <w:pPr>
        <w:pStyle w:val="16"/>
        <w:tabs>
          <w:tab w:val="left" w:pos="720"/>
          <w:tab w:val="clear" w:pos="2268"/>
        </w:tabs>
        <w:spacing w:beforeLines="100" w:after="0" w:line="240" w:lineRule="auto"/>
        <w:ind w:firstLine="0"/>
        <w:rPr>
          <w:rFonts w:ascii="Times New Roman" w:hAnsi="Times New Roman"/>
          <w:color w:val="auto"/>
          <w:sz w:val="22"/>
          <w:szCs w:val="22"/>
        </w:rPr>
      </w:pPr>
      <w:r>
        <w:rPr>
          <w:rFonts w:ascii="Times New Roman" w:hAnsi="Times New Roman"/>
          <w:b/>
          <w:bCs/>
          <w:sz w:val="22"/>
          <w:szCs w:val="22"/>
        </w:rPr>
        <w:t>CLÁUSULA SEGUNDA</w:t>
      </w:r>
      <w:r>
        <w:rPr>
          <w:rFonts w:ascii="Times New Roman" w:hAnsi="Times New Roman"/>
          <w:sz w:val="22"/>
          <w:szCs w:val="22"/>
        </w:rPr>
        <w:t xml:space="preserve"> – O acompanhamento e fiscalização desta Ata de Registro de Preços ficará a cargo dos servi</w:t>
      </w:r>
      <w:r>
        <w:rPr>
          <w:rFonts w:ascii="Times New Roman" w:hAnsi="Times New Roman"/>
          <w:color w:val="auto"/>
          <w:sz w:val="22"/>
          <w:szCs w:val="22"/>
        </w:rPr>
        <w:t xml:space="preserve">dores </w:t>
      </w:r>
      <w:r>
        <w:rPr>
          <w:rFonts w:ascii="Times New Roman" w:hAnsi="Times New Roman" w:eastAsia="Arial Unicode MS"/>
          <w:sz w:val="24"/>
          <w:szCs w:val="24"/>
          <w:lang w:eastAsia="pt-BR"/>
        </w:rPr>
        <w:t>servidore</w:t>
      </w:r>
      <w:r>
        <w:rPr>
          <w:rFonts w:ascii="Times New Roman" w:hAnsi="Times New Roman" w:eastAsia="Calibri" w:cs="Times New Roman"/>
          <w:color w:val="auto"/>
          <w:sz w:val="22"/>
          <w:szCs w:val="22"/>
          <w:lang w:val="pt-BR" w:eastAsia="pt-BR" w:bidi="ar-SA"/>
        </w:rPr>
        <w:t xml:space="preserve">s </w:t>
      </w:r>
      <w:r>
        <w:rPr>
          <w:rFonts w:hint="default" w:ascii="Times New Roman" w:hAnsi="Times New Roman" w:eastAsia="Calibri" w:cs="Times New Roman"/>
          <w:color w:val="auto"/>
          <w:sz w:val="22"/>
          <w:szCs w:val="22"/>
          <w:lang w:val="pt-BR" w:eastAsia="pt-BR" w:bidi="ar-SA"/>
        </w:rPr>
        <w:t>Lisangela Bagatini</w:t>
      </w:r>
      <w:r>
        <w:rPr>
          <w:rFonts w:ascii="Times New Roman" w:hAnsi="Times New Roman" w:eastAsia="Calibri" w:cs="Times New Roman"/>
          <w:color w:val="auto"/>
          <w:sz w:val="22"/>
          <w:szCs w:val="22"/>
          <w:lang w:val="pt-BR" w:eastAsia="pt-BR" w:bidi="ar-SA"/>
        </w:rPr>
        <w:t xml:space="preserve"> </w:t>
      </w:r>
      <w:r>
        <w:rPr>
          <w:rFonts w:hint="default" w:ascii="Times New Roman" w:hAnsi="Times New Roman" w:eastAsia="Calibri" w:cs="Times New Roman"/>
          <w:color w:val="auto"/>
          <w:sz w:val="22"/>
          <w:szCs w:val="22"/>
          <w:lang w:val="pt-BR" w:eastAsia="pt-BR" w:bidi="ar-SA"/>
        </w:rPr>
        <w:t>e Ronaldo José Machado</w:t>
      </w:r>
      <w:r>
        <w:rPr>
          <w:rFonts w:ascii="Times New Roman" w:hAnsi="Times New Roman" w:eastAsia="Calibri" w:cs="Times New Roman"/>
          <w:color w:val="auto"/>
          <w:sz w:val="22"/>
          <w:szCs w:val="22"/>
          <w:lang w:val="pt-BR" w:eastAsia="pt-BR" w:bidi="ar-SA"/>
        </w:rPr>
        <w:t xml:space="preserve">, os </w:t>
      </w:r>
      <w:r>
        <w:rPr>
          <w:rFonts w:ascii="Times New Roman" w:hAnsi="Times New Roman"/>
          <w:color w:val="auto"/>
          <w:sz w:val="22"/>
          <w:szCs w:val="22"/>
        </w:rPr>
        <w:t>quais poderão ser contatados pelo telefone 3762-7700, ramal 6163, e ainda pela Secretári</w:t>
      </w:r>
      <w:r>
        <w:rPr>
          <w:rFonts w:hint="default" w:ascii="Times New Roman" w:hAnsi="Times New Roman"/>
          <w:color w:val="auto"/>
          <w:sz w:val="22"/>
          <w:szCs w:val="22"/>
          <w:lang w:val="pt-BR"/>
        </w:rPr>
        <w:t>o</w:t>
      </w:r>
      <w:r>
        <w:rPr>
          <w:rFonts w:ascii="Times New Roman" w:hAnsi="Times New Roman"/>
          <w:color w:val="auto"/>
          <w:sz w:val="22"/>
          <w:szCs w:val="22"/>
        </w:rPr>
        <w:t xml:space="preserve"> Municipal de </w:t>
      </w:r>
      <w:r>
        <w:rPr>
          <w:rFonts w:hint="default" w:ascii="Times New Roman" w:hAnsi="Times New Roman"/>
          <w:color w:val="auto"/>
          <w:sz w:val="22"/>
          <w:szCs w:val="22"/>
          <w:lang w:val="pt-BR"/>
        </w:rPr>
        <w:t>Educação</w:t>
      </w:r>
      <w:r>
        <w:rPr>
          <w:rFonts w:ascii="Times New Roman" w:hAnsi="Times New Roman"/>
          <w:color w:val="auto"/>
          <w:sz w:val="22"/>
          <w:szCs w:val="22"/>
        </w:rPr>
        <w:t xml:space="preserve">, </w:t>
      </w:r>
      <w:r>
        <w:rPr>
          <w:rFonts w:hint="default" w:ascii="Times New Roman" w:hAnsi="Times New Roman" w:eastAsia="Arial Unicode MS"/>
          <w:sz w:val="22"/>
          <w:szCs w:val="22"/>
          <w:lang w:val="pt-BR"/>
        </w:rPr>
        <w:t>Evandro Biondo</w:t>
      </w:r>
      <w:r>
        <w:rPr>
          <w:rFonts w:ascii="Times New Roman" w:hAnsi="Times New Roman" w:eastAsia="Arial Unicode MS"/>
          <w:sz w:val="22"/>
          <w:szCs w:val="22"/>
        </w:rPr>
        <w:t xml:space="preserve">, </w:t>
      </w:r>
      <w:r>
        <w:rPr>
          <w:rFonts w:ascii="Times New Roman" w:hAnsi="Times New Roman"/>
          <w:color w:val="auto"/>
          <w:sz w:val="22"/>
          <w:szCs w:val="22"/>
        </w:rPr>
        <w:t>que atuará como gestor. Estes anotarão em livro próprio todas as ocorrências relacionadas com a sua execução, determinando o que for necess</w:t>
      </w:r>
      <w:r>
        <w:rPr>
          <w:rFonts w:ascii="Times New Roman" w:hAnsi="Times New Roman"/>
          <w:sz w:val="22"/>
          <w:szCs w:val="22"/>
        </w:rPr>
        <w:t>ário à regularização das faltas ou defeitos observados, tendo amplos poderes para recusar e/ou sustar os serviços que não tenham sido executados de acordo com as normas pertinentes, sendo que:</w:t>
      </w:r>
    </w:p>
    <w:p w14:paraId="467C1E47">
      <w:pPr>
        <w:pStyle w:val="16"/>
        <w:numPr>
          <w:ilvl w:val="0"/>
          <w:numId w:val="1"/>
        </w:numPr>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as decisões e providências que ultrapassem a sua competência serão solicitadas a seus superiores, em tempo hábil para adoção das medidas convenientes.</w:t>
      </w:r>
    </w:p>
    <w:p w14:paraId="1512F3E2">
      <w:pPr>
        <w:pStyle w:val="16"/>
        <w:numPr>
          <w:ilvl w:val="0"/>
          <w:numId w:val="1"/>
        </w:numPr>
        <w:tabs>
          <w:tab w:val="left" w:pos="720"/>
        </w:tabs>
        <w:spacing w:before="0" w:afterLines="50" w:line="240" w:lineRule="auto"/>
        <w:ind w:firstLine="0"/>
        <w:rPr>
          <w:rFonts w:ascii="Times New Roman" w:hAnsi="Times New Roman"/>
          <w:sz w:val="22"/>
          <w:szCs w:val="22"/>
        </w:rPr>
      </w:pPr>
      <w:r>
        <w:rPr>
          <w:rFonts w:ascii="Times New Roman" w:hAnsi="Times New Roman"/>
          <w:sz w:val="22"/>
          <w:szCs w:val="22"/>
        </w:rPr>
        <w:t>a fiscalização deste instrumento será auxiliada pelos órgãos de assessoramento jurídico e de controle interno do MUNICÍPIO, que deverão dirimir dúvidas e subsidiá-lo com informações relevantes para prevenir riscos na execução contratual, consoante disposto no artigo 117, § 3º, da Lei 14.133/2021.</w:t>
      </w:r>
    </w:p>
    <w:p w14:paraId="432217F0">
      <w:pPr>
        <w:tabs>
          <w:tab w:val="left" w:pos="9460"/>
        </w:tabs>
        <w:spacing w:after="0" w:line="240" w:lineRule="auto"/>
        <w:jc w:val="both"/>
        <w:rPr>
          <w:rFonts w:ascii="Times New Roman" w:hAnsi="Times New Roman"/>
        </w:rPr>
      </w:pPr>
      <w:r>
        <w:rPr>
          <w:rFonts w:ascii="Times New Roman" w:hAnsi="Times New Roman" w:cs="Times New Roman"/>
        </w:rPr>
        <w:t>§ 1° As atividades de gestão e fiscalização da execução contratual são o conjunto de ações que tem por objetivo aferir o cumprimento dos resultados previstos pelo MUNICÍPIO para o serviço contratado, verificar a regularidade das obrigações contratuais, bem como prestar apoio à instrução processual e o encaminhamento da documentação pertinente ao setor de contratos para a 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14:paraId="162B01FC">
      <w:pPr>
        <w:tabs>
          <w:tab w:val="left" w:pos="9460"/>
        </w:tabs>
        <w:spacing w:after="0" w:line="240" w:lineRule="auto"/>
        <w:jc w:val="both"/>
        <w:rPr>
          <w:rFonts w:ascii="Times New Roman" w:hAnsi="Times New Roman"/>
        </w:rPr>
      </w:pPr>
      <w:r>
        <w:rPr>
          <w:rFonts w:ascii="Times New Roman" w:hAnsi="Times New Roman" w:cs="Times New Roman"/>
        </w:rPr>
        <w:t>§ 2° O conjunto de atividades de gestão e fiscalização, são exercidas de acordo com as seguintes disposições:</w:t>
      </w:r>
    </w:p>
    <w:p w14:paraId="4623F8CA">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14:paraId="2576D9D4">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Fiscal do Contrato: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 vale-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14:paraId="77BB6E97">
      <w:pPr>
        <w:tabs>
          <w:tab w:val="left" w:pos="9460"/>
        </w:tabs>
        <w:spacing w:after="0" w:line="240" w:lineRule="auto"/>
        <w:jc w:val="both"/>
        <w:rPr>
          <w:rFonts w:ascii="Times New Roman" w:hAnsi="Times New Roman"/>
        </w:rPr>
      </w:pPr>
      <w:r>
        <w:rPr>
          <w:rFonts w:ascii="Times New Roman" w:hAnsi="Times New Roman" w:cs="Times New Roman"/>
        </w:rPr>
        <w:t>§ 3° É direito da Fiscalização rejeitar quaisquer serviços quando entender que a sua execução está fora dos padrões técnicos e de qualidade definidos nesta Ata de Registro de Preços, no Edital de Pregão Eletrônico n° 0</w:t>
      </w:r>
      <w:r>
        <w:rPr>
          <w:rFonts w:hint="default" w:ascii="Times New Roman" w:hAnsi="Times New Roman" w:cs="Times New Roman"/>
          <w:lang w:val="pt-BR"/>
        </w:rPr>
        <w:t>3</w:t>
      </w:r>
      <w:r>
        <w:rPr>
          <w:rFonts w:ascii="Times New Roman" w:hAnsi="Times New Roman" w:cs="Times New Roman"/>
        </w:rPr>
        <w:t>7/2026, no Termo de Referência e/ou na proposta da DETENTORA, devendo esta reparar, corrigir ou substituir os serviços e peças rejeitados pela fiscalização.</w:t>
      </w:r>
    </w:p>
    <w:p w14:paraId="1AFB4B0B">
      <w:pPr>
        <w:tabs>
          <w:tab w:val="left" w:pos="9460"/>
        </w:tabs>
        <w:spacing w:after="0" w:line="240" w:lineRule="auto"/>
        <w:jc w:val="both"/>
        <w:rPr>
          <w:rFonts w:ascii="Times New Roman" w:hAnsi="Times New Roman"/>
        </w:rPr>
      </w:pPr>
      <w:r>
        <w:rPr>
          <w:rFonts w:ascii="Times New Roman" w:hAnsi="Times New Roman" w:cs="Times New Roman"/>
        </w:rPr>
        <w:t>§ 4° Quaisquer exigências da FISCALIZAÇÃO, inerente ao objeto deste instrumento, deverão ser prontamente atendidas pela DETENTORA, sem ônus para o MUNICÍPIO.</w:t>
      </w:r>
    </w:p>
    <w:p w14:paraId="0689DE61">
      <w:pPr>
        <w:tabs>
          <w:tab w:val="left" w:pos="9460"/>
        </w:tabs>
        <w:spacing w:after="0" w:line="240" w:lineRule="auto"/>
        <w:jc w:val="both"/>
        <w:rPr>
          <w:rFonts w:ascii="Times New Roman" w:hAnsi="Times New Roman"/>
        </w:rPr>
      </w:pPr>
      <w:r>
        <w:rPr>
          <w:rFonts w:ascii="Times New Roman" w:hAnsi="Times New Roman" w:cs="Times New Roman"/>
        </w:rPr>
        <w:t>§ 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14:paraId="00837525">
      <w:pPr>
        <w:tabs>
          <w:tab w:val="left" w:pos="9460"/>
        </w:tabs>
        <w:spacing w:after="0" w:line="240" w:lineRule="auto"/>
        <w:jc w:val="both"/>
        <w:rPr>
          <w:rFonts w:ascii="Times New Roman" w:hAnsi="Times New Roman"/>
        </w:rPr>
      </w:pPr>
      <w:r>
        <w:rPr>
          <w:rFonts w:ascii="Times New Roman" w:hAnsi="Times New Roman" w:cs="Times New Roman"/>
        </w:rPr>
        <w:t>§ 6° A DETENTORA será responsável pelos danos causados diretamente ao MUNICÍPIO ou a terceiros em razão da execução desta Ata de Registro de Preço, e a fiscalização ou o acompanhamento pelo MUNICÍPIO não excluirá nem reduzirá essa responsabilidade.</w:t>
      </w:r>
    </w:p>
    <w:p w14:paraId="324EEAA0">
      <w:pPr>
        <w:pStyle w:val="11"/>
        <w:tabs>
          <w:tab w:val="left" w:pos="9460"/>
        </w:tabs>
        <w:spacing w:beforeLines="100" w:after="0" w:line="240" w:lineRule="auto"/>
        <w:rPr>
          <w:rFonts w:ascii="Times New Roman" w:hAnsi="Times New Roman" w:cs="Times New Roman"/>
        </w:rPr>
      </w:pPr>
      <w:r>
        <w:rPr>
          <w:rFonts w:ascii="Times New Roman" w:hAnsi="Times New Roman" w:cs="Times New Roman"/>
          <w:b/>
        </w:rPr>
        <w:t xml:space="preserve">CLÁUSULA TERCEIRA – </w:t>
      </w:r>
      <w:r>
        <w:rPr>
          <w:rFonts w:ascii="Times New Roman" w:hAnsi="Times New Roman" w:cs="Times New Roman"/>
        </w:rPr>
        <w:t xml:space="preserve">O prazo de vigência da Ata de Registro de Preços será de 12 (doze) meses, a contar de sua assinatura, prorrogável, na forma do art. 84, da Lei n° 14.133/2021, e artigo </w:t>
      </w:r>
      <w:r>
        <w:rPr>
          <w:rFonts w:ascii="Times New Roman" w:hAnsi="Times New Roman" w:cs="Times New Roman"/>
          <w:lang w:val="pt-BR"/>
        </w:rPr>
        <w:t>136</w:t>
      </w:r>
      <w:r>
        <w:rPr>
          <w:rFonts w:ascii="Times New Roman" w:hAnsi="Times New Roman" w:cs="Times New Roman"/>
        </w:rPr>
        <w:t>, do Decreto Municipal n° 3.2</w:t>
      </w:r>
      <w:r>
        <w:rPr>
          <w:rFonts w:ascii="Times New Roman" w:hAnsi="Times New Roman" w:cs="Times New Roman"/>
          <w:lang w:val="pt-BR"/>
        </w:rPr>
        <w:t>50</w:t>
      </w:r>
      <w:r>
        <w:rPr>
          <w:rFonts w:ascii="Times New Roman" w:hAnsi="Times New Roman" w:cs="Times New Roman"/>
        </w:rPr>
        <w:t>/2023, por igual período.</w:t>
      </w:r>
    </w:p>
    <w:p w14:paraId="0610C16F">
      <w:pPr>
        <w:pStyle w:val="11"/>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1º Durante o prazo de validade desta Ata de Registro de Preços, o MUNICÍPIO não será obrigado a firmar as contratações que dela poderão advir, facultando-se a realização de</w:t>
      </w:r>
      <w:r>
        <w:rPr>
          <w:rFonts w:ascii="Times New Roman" w:hAnsi="Times New Roman" w:cs="Times New Roman"/>
          <w:spacing w:val="-3"/>
        </w:rPr>
        <w:t xml:space="preserve"> </w:t>
      </w:r>
      <w:r>
        <w:rPr>
          <w:rFonts w:ascii="Times New Roman" w:hAnsi="Times New Roman" w:cs="Times New Roman"/>
        </w:rPr>
        <w:t>licitação específica para a contratação pretendida, sendo assegurado ao beneficiário do registro preferência na execução, em igualdade de condições.</w:t>
      </w:r>
    </w:p>
    <w:p w14:paraId="755BF08D">
      <w:pPr>
        <w:pStyle w:val="11"/>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2º A Administração não emitirá qualquer solicitação de aquisição sem a prévia existência do respectivo crédito orçamentário.</w:t>
      </w:r>
    </w:p>
    <w:p w14:paraId="5F82A5EF">
      <w:pPr>
        <w:pStyle w:val="11"/>
        <w:tabs>
          <w:tab w:val="left" w:pos="9460"/>
        </w:tabs>
        <w:spacing w:before="0" w:after="0" w:line="240" w:lineRule="auto"/>
        <w:rPr>
          <w:rFonts w:ascii="Times New Roman" w:hAnsi="Times New Roman" w:cs="Times New Roman"/>
        </w:rPr>
      </w:pPr>
    </w:p>
    <w:p w14:paraId="1D08E678">
      <w:pPr>
        <w:pStyle w:val="11"/>
        <w:spacing w:before="0" w:after="0" w:line="240" w:lineRule="auto"/>
        <w:rPr>
          <w:rFonts w:ascii="Times New Roman" w:hAnsi="Times New Roman" w:cs="Times New Roman"/>
        </w:rPr>
      </w:pPr>
      <w:r>
        <w:rPr>
          <w:rFonts w:ascii="Times New Roman" w:hAnsi="Times New Roman" w:cs="Times New Roman"/>
          <w:b/>
        </w:rPr>
        <w:t xml:space="preserve">CLÁUSULA QUARTA </w:t>
      </w:r>
      <w:r>
        <w:rPr>
          <w:rFonts w:ascii="Times New Roman" w:hAnsi="Times New Roman" w:cs="Times New Roman"/>
        </w:rPr>
        <w:t>– O objeto será recebido provisoriamente pelos fiscais desta Ata, quando da realização dos serviços, e definitivamente, de forma tácita, no prazo de vinte dias após o recebimento provisório, uma</w:t>
      </w:r>
      <w:r>
        <w:rPr>
          <w:rFonts w:ascii="Times New Roman" w:hAnsi="Times New Roman" w:cs="Times New Roman"/>
          <w:spacing w:val="-4"/>
        </w:rPr>
        <w:t xml:space="preserve"> </w:t>
      </w:r>
      <w:r>
        <w:rPr>
          <w:rFonts w:ascii="Times New Roman" w:hAnsi="Times New Roman" w:cs="Times New Roman"/>
        </w:rPr>
        <w:t>vez</w:t>
      </w:r>
      <w:r>
        <w:rPr>
          <w:rFonts w:ascii="Times New Roman" w:hAnsi="Times New Roman" w:cs="Times New Roman"/>
          <w:spacing w:val="-4"/>
        </w:rPr>
        <w:t xml:space="preserve"> </w:t>
      </w:r>
      <w:r>
        <w:rPr>
          <w:rFonts w:ascii="Times New Roman" w:hAnsi="Times New Roman" w:cs="Times New Roman"/>
        </w:rPr>
        <w:t>verificada</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qualidade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da</w:t>
      </w:r>
      <w:r>
        <w:rPr>
          <w:rFonts w:ascii="Times New Roman" w:hAnsi="Times New Roman" w:cs="Times New Roman"/>
          <w:spacing w:val="-4"/>
        </w:rPr>
        <w:t xml:space="preserve"> </w:t>
      </w:r>
      <w:r>
        <w:rPr>
          <w:rFonts w:ascii="Times New Roman" w:hAnsi="Times New Roman" w:cs="Times New Roman"/>
        </w:rPr>
        <w:t>quantidade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consequente</w:t>
      </w:r>
      <w:r>
        <w:rPr>
          <w:rFonts w:ascii="Times New Roman" w:hAnsi="Times New Roman" w:cs="Times New Roman"/>
          <w:spacing w:val="-4"/>
        </w:rPr>
        <w:t xml:space="preserve"> </w:t>
      </w:r>
      <w:r>
        <w:rPr>
          <w:rFonts w:ascii="Times New Roman" w:hAnsi="Times New Roman" w:cs="Times New Roman"/>
        </w:rPr>
        <w:t>aceitação, desde que até então nada conste em desabono aos serviços realizados e materiais fornecidos.</w:t>
      </w:r>
    </w:p>
    <w:p w14:paraId="524637B6">
      <w:pPr>
        <w:pStyle w:val="11"/>
        <w:spacing w:before="0" w:after="0" w:line="240" w:lineRule="auto"/>
        <w:rPr>
          <w:rFonts w:ascii="Times New Roman" w:hAnsi="Times New Roman" w:cs="Times New Roman"/>
        </w:rPr>
      </w:pPr>
    </w:p>
    <w:p w14:paraId="68CB4E4A">
      <w:pPr>
        <w:pStyle w:val="11"/>
        <w:tabs>
          <w:tab w:val="left" w:pos="10120"/>
        </w:tabs>
        <w:spacing w:before="0" w:after="0" w:line="240" w:lineRule="auto"/>
        <w:rPr>
          <w:rFonts w:ascii="Times New Roman" w:hAnsi="Times New Roman" w:cs="Times New Roman"/>
          <w:spacing w:val="-2"/>
        </w:rPr>
      </w:pPr>
      <w:r>
        <w:rPr>
          <w:rFonts w:ascii="Times New Roman" w:hAnsi="Times New Roman" w:cs="Times New Roman"/>
        </w:rPr>
        <w:t xml:space="preserve">Parágrafo Único. O recebimento provisório ou definitivo não exclui a responsabilidade civil pelo fornecimento dos materiais e serviços, nem a ético-profissional pela perfeita execução deste </w:t>
      </w:r>
      <w:r>
        <w:rPr>
          <w:rFonts w:ascii="Times New Roman" w:hAnsi="Times New Roman" w:cs="Times New Roman"/>
          <w:spacing w:val="-2"/>
        </w:rPr>
        <w:t>objeto.</w:t>
      </w:r>
    </w:p>
    <w:p w14:paraId="58EB0BF7">
      <w:pPr>
        <w:pStyle w:val="11"/>
        <w:tabs>
          <w:tab w:val="left" w:pos="10120"/>
        </w:tabs>
        <w:spacing w:before="0" w:after="0" w:line="240" w:lineRule="auto"/>
        <w:rPr>
          <w:rFonts w:ascii="Times New Roman" w:hAnsi="Times New Roman" w:cs="Times New Roman"/>
          <w:spacing w:val="-2"/>
        </w:rPr>
      </w:pPr>
    </w:p>
    <w:p w14:paraId="2609350E">
      <w:pPr>
        <w:pStyle w:val="11"/>
        <w:spacing w:before="1"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QUINTA </w:t>
      </w:r>
      <w:r>
        <w:rPr>
          <w:rFonts w:ascii="Times New Roman" w:hAnsi="Times New Roman" w:cs="Times New Roman"/>
        </w:rPr>
        <w:t xml:space="preserve">– O pagamento será depositado na conta bancária da DETENTORA, no prazo de até </w:t>
      </w:r>
      <w:r>
        <w:rPr>
          <w:rFonts w:ascii="Times New Roman" w:hAnsi="Times New Roman" w:cs="Times New Roman"/>
          <w:lang w:val="pt-BR"/>
        </w:rPr>
        <w:t>1</w:t>
      </w:r>
      <w:r>
        <w:rPr>
          <w:rFonts w:hint="default" w:ascii="Times New Roman" w:hAnsi="Times New Roman" w:cs="Times New Roman"/>
          <w:lang w:val="pt-BR"/>
        </w:rPr>
        <w:t>0</w:t>
      </w:r>
      <w:r>
        <w:rPr>
          <w:rFonts w:ascii="Times New Roman" w:hAnsi="Times New Roman" w:cs="Times New Roman"/>
          <w:lang w:val="pt-BR"/>
        </w:rPr>
        <w:t xml:space="preserve"> </w:t>
      </w:r>
      <w:r>
        <w:rPr>
          <w:rFonts w:ascii="Times New Roman" w:hAnsi="Times New Roman" w:cs="Times New Roman"/>
        </w:rPr>
        <w:t>(</w:t>
      </w:r>
      <w:r>
        <w:rPr>
          <w:rFonts w:hint="default" w:ascii="Times New Roman" w:hAnsi="Times New Roman" w:cs="Times New Roman"/>
          <w:lang w:val="pt-BR"/>
        </w:rPr>
        <w:t>dez</w:t>
      </w:r>
      <w:r>
        <w:rPr>
          <w:rFonts w:ascii="Times New Roman" w:hAnsi="Times New Roman" w:cs="Times New Roman"/>
        </w:rPr>
        <w:t>) dias</w:t>
      </w:r>
      <w:r>
        <w:rPr>
          <w:rFonts w:ascii="Times New Roman" w:hAnsi="Times New Roman" w:cs="Times New Roman"/>
          <w:lang w:val="pt-BR"/>
        </w:rPr>
        <w:t xml:space="preserve"> úteis</w:t>
      </w:r>
      <w:r>
        <w:rPr>
          <w:rFonts w:ascii="Times New Roman" w:hAnsi="Times New Roman" w:cs="Times New Roman"/>
        </w:rPr>
        <w:t>, após a entrega da respectiva Nota Fiscal, aprovada</w:t>
      </w:r>
      <w:r>
        <w:rPr>
          <w:rFonts w:ascii="Times New Roman" w:hAnsi="Times New Roman" w:cs="Times New Roman"/>
          <w:spacing w:val="-3"/>
        </w:rPr>
        <w:t xml:space="preserve"> </w:t>
      </w:r>
      <w:r>
        <w:rPr>
          <w:rFonts w:ascii="Times New Roman" w:hAnsi="Times New Roman" w:cs="Times New Roman"/>
        </w:rPr>
        <w:t>pelos fisca</w:t>
      </w:r>
      <w:r>
        <w:rPr>
          <w:rFonts w:ascii="Times New Roman" w:hAnsi="Times New Roman" w:cs="Times New Roman"/>
          <w:lang w:val="pt-BR"/>
        </w:rPr>
        <w:t>is</w:t>
      </w:r>
      <w:r>
        <w:rPr>
          <w:rFonts w:ascii="Times New Roman" w:hAnsi="Times New Roman" w:cs="Times New Roman"/>
        </w:rPr>
        <w:t xml:space="preserve"> desta Ata e pelo Gestor</w:t>
      </w:r>
      <w:r>
        <w:rPr>
          <w:rFonts w:ascii="Times New Roman" w:hAnsi="Times New Roman" w:cs="Times New Roman"/>
          <w:lang w:val="pt-BR"/>
        </w:rPr>
        <w:t>. O pagamento corresponderá a prestação de serviços realizados ou do produto fornecido, de acordo com as medições.</w:t>
      </w:r>
    </w:p>
    <w:p w14:paraId="725ADB5D">
      <w:pPr>
        <w:pStyle w:val="11"/>
        <w:spacing w:beforeLines="50" w:afterLines="5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1</w:t>
      </w:r>
      <w:r>
        <w:rPr>
          <w:rFonts w:ascii="Times New Roman" w:hAnsi="Times New Roman" w:cs="Times New Roman"/>
        </w:rPr>
        <w:t xml:space="preserve">º A </w:t>
      </w:r>
      <w:r>
        <w:rPr>
          <w:rFonts w:ascii="Times New Roman" w:hAnsi="Times New Roman" w:cs="Times New Roman"/>
          <w:lang w:val="pt-BR"/>
        </w:rPr>
        <w:t>N</w:t>
      </w:r>
      <w:r>
        <w:rPr>
          <w:rFonts w:ascii="Times New Roman" w:hAnsi="Times New Roman" w:cs="Times New Roman"/>
        </w:rPr>
        <w:t xml:space="preserve">ota </w:t>
      </w:r>
      <w:r>
        <w:rPr>
          <w:rFonts w:ascii="Times New Roman" w:hAnsi="Times New Roman" w:cs="Times New Roman"/>
          <w:lang w:val="pt-BR"/>
        </w:rPr>
        <w:t>F</w:t>
      </w:r>
      <w:r>
        <w:rPr>
          <w:rFonts w:ascii="Times New Roman" w:hAnsi="Times New Roman" w:cs="Times New Roman"/>
        </w:rPr>
        <w:t xml:space="preserve">iscal/fatura emitida pelo fornecedor deverá conter, em local de fácil visualização, a indicação do  número do pregão eletrônico e da </w:t>
      </w:r>
      <w:r>
        <w:rPr>
          <w:rFonts w:ascii="Times New Roman" w:hAnsi="Times New Roman" w:cs="Times New Roman"/>
          <w:lang w:val="pt-BR"/>
        </w:rPr>
        <w:t>Nota de Empenho</w:t>
      </w:r>
      <w:r>
        <w:rPr>
          <w:rFonts w:ascii="Times New Roman" w:hAnsi="Times New Roman" w:cs="Times New Roman"/>
        </w:rPr>
        <w:t>, a fim de se acelerar o trâmite de recebimento do</w:t>
      </w:r>
      <w:r>
        <w:rPr>
          <w:rFonts w:ascii="Times New Roman" w:hAnsi="Times New Roman" w:cs="Times New Roman"/>
          <w:lang w:val="pt-BR"/>
        </w:rPr>
        <w:t>s</w:t>
      </w:r>
      <w:r>
        <w:rPr>
          <w:rFonts w:ascii="Times New Roman" w:hAnsi="Times New Roman" w:cs="Times New Roman"/>
        </w:rPr>
        <w:t xml:space="preserve"> </w:t>
      </w:r>
      <w:r>
        <w:rPr>
          <w:rFonts w:ascii="Times New Roman" w:hAnsi="Times New Roman" w:cs="Times New Roman"/>
          <w:lang w:val="pt-BR"/>
        </w:rPr>
        <w:t>serviços e</w:t>
      </w:r>
      <w:r>
        <w:rPr>
          <w:rFonts w:ascii="Times New Roman" w:hAnsi="Times New Roman" w:cs="Times New Roman"/>
        </w:rPr>
        <w:t xml:space="preserve"> posterior liberação do documento fiscal para pagamento.</w:t>
      </w:r>
    </w:p>
    <w:p w14:paraId="7CE32E4A">
      <w:pPr>
        <w:pStyle w:val="16"/>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 2º Somente será autorizado o pagamento a fornecedores que estiverem quitas com a Fazenda Municipal de Teutônia.</w:t>
      </w:r>
    </w:p>
    <w:p w14:paraId="0C826EDD">
      <w:pPr>
        <w:pStyle w:val="31"/>
        <w:tabs>
          <w:tab w:val="left" w:pos="142"/>
          <w:tab w:val="left" w:pos="284"/>
          <w:tab w:val="left" w:pos="567"/>
        </w:tabs>
        <w:spacing w:line="240" w:lineRule="auto"/>
        <w:ind w:left="0"/>
        <w:rPr>
          <w:rFonts w:ascii="Times New Roman" w:hAnsi="Times New Roman"/>
          <w:szCs w:val="22"/>
        </w:rPr>
      </w:pPr>
      <w:r>
        <w:rPr>
          <w:rFonts w:ascii="Times New Roman" w:hAnsi="Times New Roman"/>
          <w:szCs w:val="22"/>
        </w:rPr>
        <w:t>§ 3º Serão processadas as retenções tributárias e previdenciárias nos termos da legislação que regula a matéria.</w:t>
      </w:r>
    </w:p>
    <w:p w14:paraId="45143D3B">
      <w:pPr>
        <w:spacing w:after="0" w:line="240" w:lineRule="auto"/>
        <w:jc w:val="both"/>
        <w:rPr>
          <w:rFonts w:ascii="Times New Roman" w:hAnsi="Times New Roman"/>
        </w:rPr>
      </w:pPr>
      <w:r>
        <w:rPr>
          <w:rFonts w:ascii="Times New Roman" w:hAnsi="Times New Roman" w:cs="Times New Roman"/>
          <w:lang w:val="pt-PT"/>
        </w:rPr>
        <w:t>§</w:t>
      </w:r>
      <w:r>
        <w:rPr>
          <w:rFonts w:ascii="Times New Roman" w:hAnsi="Times New Roman" w:cs="Times New Roman"/>
        </w:rPr>
        <w:t xml:space="preserve"> 4</w:t>
      </w:r>
      <w:r>
        <w:rPr>
          <w:rFonts w:ascii="Times New Roman" w:hAnsi="Times New Roman" w:cs="Times New Roman"/>
          <w:lang w:val="pt-PT"/>
        </w:rPr>
        <w:t xml:space="preserve">º </w:t>
      </w:r>
      <w:r>
        <w:rPr>
          <w:rFonts w:ascii="Times New Roman" w:hAnsi="Times New Roman" w:cs="Times New Roman"/>
        </w:rPr>
        <w:t xml:space="preserve"> P</w:t>
      </w:r>
      <w:r>
        <w:rPr>
          <w:rFonts w:ascii="Times New Roman" w:hAnsi="Times New Roman" w:cs="Times New Roman"/>
          <w:lang w:val="pt-PT"/>
        </w:rPr>
        <w:t>oderá o Município de Teutônia</w:t>
      </w:r>
      <w:r>
        <w:rPr>
          <w:rFonts w:ascii="Times New Roman" w:hAnsi="Times New Roman" w:cs="Times New Roman"/>
        </w:rPr>
        <w:t>/</w:t>
      </w:r>
      <w:r>
        <w:rPr>
          <w:rFonts w:ascii="Times New Roman" w:hAnsi="Times New Roman" w:cs="Times New Roman"/>
          <w:lang w:val="pt-PT"/>
        </w:rPr>
        <w:t>RS compensar multas aplicadas com valores contratados e ainda não pagos</w:t>
      </w:r>
      <w:r>
        <w:rPr>
          <w:rFonts w:ascii="Times New Roman" w:hAnsi="Times New Roman" w:cs="Times New Roman"/>
        </w:rPr>
        <w:t>.</w:t>
      </w:r>
    </w:p>
    <w:p w14:paraId="0B2A6687">
      <w:pPr>
        <w:spacing w:beforeLines="50" w:after="0" w:line="240" w:lineRule="auto"/>
        <w:jc w:val="both"/>
        <w:rPr>
          <w:rFonts w:ascii="Times New Roman" w:hAnsi="Times New Roman"/>
        </w:rPr>
      </w:pPr>
      <w:r>
        <w:rPr>
          <w:rFonts w:ascii="Times New Roman" w:hAnsi="Times New Roman" w:cs="Times New Roman"/>
        </w:rPr>
        <w:t>§ 5º A despesa correrá nas seguintes dotações orçamentárias:</w:t>
      </w:r>
    </w:p>
    <w:p w14:paraId="18A3D226">
      <w:pPr>
        <w:spacing w:after="0" w:line="276" w:lineRule="auto"/>
        <w:jc w:val="both"/>
        <w:rPr>
          <w:rFonts w:ascii="Times New Roman" w:hAnsi="Times New Roman"/>
          <w:sz w:val="22"/>
          <w:szCs w:val="22"/>
        </w:rPr>
      </w:pPr>
    </w:p>
    <w:p w14:paraId="77F7398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07 – SECRETARIA MUNICIPAL DE EDUCAÇÃO</w:t>
      </w:r>
    </w:p>
    <w:p w14:paraId="703A5ED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01 – FUNDO MUNICIPAL DA EDUCAÇÃO</w:t>
      </w:r>
    </w:p>
    <w:p w14:paraId="5759AC4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12.361.0047.2042 – MANUTENÇÃO DAS ATIVIDADES DE ENSINO</w:t>
      </w:r>
    </w:p>
    <w:p w14:paraId="2E9D962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FUNDAMENTAL</w:t>
      </w:r>
    </w:p>
    <w:p w14:paraId="0A00D68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1"/>
          <w:szCs w:val="21"/>
        </w:rPr>
      </w:pPr>
      <w:r>
        <w:rPr>
          <w:rFonts w:hint="default" w:ascii="Times New Roman" w:hAnsi="Times New Roman" w:cs="Times New Roman"/>
          <w:sz w:val="21"/>
          <w:szCs w:val="21"/>
        </w:rPr>
        <w:t>4.4.90.52.00.00.00.00 – EQUIPAMENTO E MATERIAL PERMANENTE – 774</w:t>
      </w:r>
    </w:p>
    <w:p w14:paraId="0F5F7662">
      <w:pPr>
        <w:spacing w:after="0" w:line="276" w:lineRule="auto"/>
        <w:jc w:val="both"/>
        <w:rPr>
          <w:rFonts w:ascii="Times New Roman" w:hAnsi="Times New Roman"/>
          <w:sz w:val="21"/>
          <w:szCs w:val="21"/>
        </w:rPr>
      </w:pPr>
    </w:p>
    <w:p w14:paraId="06FCEE5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1"/>
          <w:szCs w:val="21"/>
        </w:rPr>
      </w:pPr>
      <w:r>
        <w:rPr>
          <w:rFonts w:hint="default" w:ascii="Times New Roman" w:hAnsi="Times New Roman" w:eastAsia="Calibri" w:cs="Times New Roman"/>
          <w:b/>
          <w:bCs/>
          <w:sz w:val="21"/>
          <w:szCs w:val="21"/>
          <w:lang w:val="en-US" w:eastAsia="zh-CN"/>
        </w:rPr>
        <w:t>11 -  SEC MUN JUVENTUDE, CULTURA ESPORTE E LAZER</w:t>
      </w:r>
    </w:p>
    <w:p w14:paraId="79D7301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1"/>
          <w:szCs w:val="21"/>
        </w:rPr>
      </w:pPr>
      <w:r>
        <w:rPr>
          <w:rFonts w:hint="default" w:ascii="Times New Roman" w:hAnsi="Times New Roman" w:eastAsia="Calibri" w:cs="Times New Roman"/>
          <w:b/>
          <w:bCs/>
          <w:sz w:val="21"/>
          <w:szCs w:val="21"/>
          <w:lang w:val="en-US" w:eastAsia="zh-CN"/>
        </w:rPr>
        <w:t>1 - SEC MUN JUVENTUDE, CULTURA, ESPORTE E LAZER</w:t>
      </w:r>
    </w:p>
    <w:p w14:paraId="009FBA3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sz w:val="21"/>
          <w:szCs w:val="21"/>
        </w:rPr>
      </w:pPr>
      <w:r>
        <w:rPr>
          <w:rFonts w:hint="default" w:ascii="Times New Roman" w:hAnsi="Times New Roman" w:eastAsia="Calibri" w:cs="Times New Roman"/>
          <w:b/>
          <w:bCs/>
          <w:sz w:val="21"/>
          <w:szCs w:val="21"/>
          <w:lang w:val="en-US" w:eastAsia="zh-CN"/>
        </w:rPr>
        <w:t>27.813.0104.1014 - IMPLANTAÇÃO E MODERNIZAÇÃO INFRAESTRUTURA ESPORTES E LAZER</w:t>
      </w:r>
    </w:p>
    <w:p w14:paraId="0AA50B2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sz w:val="21"/>
          <w:szCs w:val="21"/>
          <w:lang w:val="pt-BR"/>
        </w:rPr>
      </w:pPr>
      <w:r>
        <w:rPr>
          <w:rFonts w:hint="default" w:ascii="Times New Roman" w:hAnsi="Times New Roman" w:eastAsia="Calibri" w:cs="Times New Roman"/>
          <w:sz w:val="21"/>
          <w:szCs w:val="21"/>
          <w:lang w:val="en-US" w:eastAsia="zh-CN"/>
        </w:rPr>
        <w:t>4.4.90.52.00.00.00.00 - EQUIPAMENTOS E MATERIAL PERMANENTE</w:t>
      </w:r>
      <w:r>
        <w:rPr>
          <w:rFonts w:hint="default" w:ascii="Times New Roman" w:hAnsi="Times New Roman" w:eastAsia="Calibri" w:cs="Times New Roman"/>
          <w:sz w:val="21"/>
          <w:szCs w:val="21"/>
          <w:lang w:val="pt-BR" w:eastAsia="zh-CN"/>
        </w:rPr>
        <w:t xml:space="preserve"> - 1158</w:t>
      </w:r>
    </w:p>
    <w:p w14:paraId="237A5577">
      <w:pPr>
        <w:spacing w:after="0" w:line="240" w:lineRule="auto"/>
        <w:jc w:val="both"/>
        <w:rPr>
          <w:rFonts w:ascii="Times New Roman" w:hAnsi="Times New Roman"/>
          <w:sz w:val="21"/>
          <w:szCs w:val="21"/>
        </w:rPr>
      </w:pPr>
    </w:p>
    <w:p w14:paraId="6BC00904">
      <w:pPr>
        <w:spacing w:after="0" w:line="240" w:lineRule="auto"/>
        <w:jc w:val="both"/>
        <w:rPr>
          <w:rFonts w:ascii="Times New Roman" w:hAnsi="Times New Roman"/>
        </w:rPr>
      </w:pPr>
      <w:r>
        <w:rPr>
          <w:rFonts w:ascii="Times New Roman" w:hAnsi="Times New Roman" w:cs="Times New Roman"/>
        </w:rPr>
        <w:t xml:space="preserve"> </w:t>
      </w:r>
      <w:r>
        <w:rPr>
          <w:rFonts w:ascii="Times New Roman" w:hAnsi="Times New Roman" w:cs="Times New Roman"/>
          <w:b/>
          <w:bCs/>
        </w:rPr>
        <w:t>CLÁUSULA SEXTA</w:t>
      </w:r>
      <w:r>
        <w:rPr>
          <w:rFonts w:ascii="Times New Roman" w:hAnsi="Times New Roman" w:cs="Times New Roman"/>
        </w:rPr>
        <w:t xml:space="preserve"> – A contratação junto à DETENTORA será formalizada pela Secretaria interessada por intermédio de emissão de Nota de Empenho de despesa e Ordem de Entrega dos produtos, os quais serão emitidas de acordo com a estrita necessidade da Administração.</w:t>
      </w:r>
    </w:p>
    <w:p w14:paraId="367F8197">
      <w:pPr>
        <w:tabs>
          <w:tab w:val="left" w:pos="9460"/>
        </w:tabs>
        <w:spacing w:beforeLines="50" w:afterLines="50" w:line="240" w:lineRule="auto"/>
        <w:jc w:val="both"/>
        <w:rPr>
          <w:rFonts w:ascii="Times New Roman" w:hAnsi="Times New Roman"/>
        </w:rPr>
      </w:pPr>
      <w:r>
        <w:rPr>
          <w:rFonts w:ascii="Times New Roman" w:hAnsi="Times New Roman" w:cs="Times New Roman"/>
        </w:rPr>
        <w:t>§ 1º A Administração não emitirá qualquer solicitação de aquisição sem a prévia existência do respectivo crédito orçamentário.</w:t>
      </w:r>
    </w:p>
    <w:p w14:paraId="775903E6">
      <w:pPr>
        <w:spacing w:beforeLines="50" w:after="0" w:line="240" w:lineRule="auto"/>
        <w:jc w:val="both"/>
        <w:rPr>
          <w:rFonts w:ascii="Times New Roman" w:hAnsi="Times New Roman"/>
        </w:rPr>
      </w:pPr>
      <w:r>
        <w:rPr>
          <w:rFonts w:ascii="Times New Roman" w:hAnsi="Times New Roman" w:cs="Times New Roman"/>
        </w:rPr>
        <w:t>§ 2° As ordens de compra poderão ser encaminhadas por meio eletrônico ou por outra forma admitida pela Administração.</w:t>
      </w:r>
    </w:p>
    <w:p w14:paraId="1007874B">
      <w:pPr>
        <w:spacing w:after="0" w:line="240" w:lineRule="auto"/>
        <w:ind w:right="398" w:rightChars="181"/>
        <w:jc w:val="both"/>
        <w:rPr>
          <w:rFonts w:ascii="Times New Roman" w:hAnsi="Times New Roman"/>
        </w:rPr>
      </w:pPr>
    </w:p>
    <w:p w14:paraId="4692CA37">
      <w:pPr>
        <w:tabs>
          <w:tab w:val="left" w:pos="1134"/>
        </w:tabs>
        <w:spacing w:after="0" w:line="20" w:lineRule="atLeast"/>
        <w:jc w:val="both"/>
        <w:rPr>
          <w:rFonts w:ascii="Times New Roman" w:hAnsi="Times New Roman"/>
        </w:rPr>
      </w:pPr>
      <w:r>
        <w:rPr>
          <w:rFonts w:ascii="Times New Roman" w:hAnsi="Times New Roman" w:eastAsia="Arial-BoldMT" w:cs="Times New Roman"/>
          <w:b/>
          <w:bCs/>
        </w:rPr>
        <w:t xml:space="preserve">CLÁUSULA SÉTIMA - </w:t>
      </w:r>
      <w:r>
        <w:rPr>
          <w:rFonts w:ascii="Times New Roman" w:hAnsi="Times New Roman" w:cs="Times New Roman"/>
        </w:rPr>
        <w:t>Os materiais deverão ser entregues conforme a necessidade, no prazo de até 15 (quinze) dias, a contar da data de envio do pedido pelo Setor de Compras (Nota de Empenho).</w:t>
      </w:r>
    </w:p>
    <w:p w14:paraId="1FCF6197">
      <w:pPr>
        <w:tabs>
          <w:tab w:val="left" w:pos="1134"/>
        </w:tabs>
        <w:spacing w:after="0" w:line="20" w:lineRule="atLeast"/>
        <w:jc w:val="both"/>
        <w:rPr>
          <w:rFonts w:ascii="Times New Roman" w:hAnsi="Times New Roman"/>
        </w:rPr>
      </w:pPr>
      <w:r>
        <w:rPr>
          <w:rFonts w:ascii="Times New Roman" w:hAnsi="Times New Roman"/>
          <w:bCs/>
        </w:rPr>
        <w:t>§ 1º Mediante escrita e justificada solicitação da Detentora da Ata, o prazo declinado acima poderá ser prorrogado uma única vez por igual período, contanto que a empresa Contratada proceda a tal solicitação durante o transcurso do prazo que, originariamente, lhe foi concedida para entrega dos itens, e sendo conveniente para a Administração tal pedido.</w:t>
      </w:r>
    </w:p>
    <w:p w14:paraId="7174AF7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rPr>
      </w:pPr>
      <w:r>
        <w:rPr>
          <w:rFonts w:ascii="Times New Roman" w:hAnsi="Times New Roman" w:cs="Times New Roman"/>
          <w:bCs/>
        </w:rPr>
        <w:t xml:space="preserve">§ 2º Os materiais </w:t>
      </w:r>
      <w:r>
        <w:rPr>
          <w:rFonts w:ascii="Times New Roman" w:hAnsi="Times New Roman" w:cs="Times New Roman"/>
        </w:rPr>
        <w:t>deverã</w:t>
      </w:r>
      <w:r>
        <w:rPr>
          <w:rFonts w:ascii="Times New Roman" w:hAnsi="Times New Roman"/>
          <w:bCs/>
        </w:rPr>
        <w:t xml:space="preserve">o ser entregues no </w:t>
      </w:r>
      <w:r>
        <w:rPr>
          <w:rFonts w:hint="default" w:ascii="Times New Roman" w:hAnsi="Times New Roman"/>
          <w:bCs/>
          <w:lang w:val="pt-BR" w:eastAsia="pt-BR"/>
        </w:rPr>
        <w:t>Almoxarifado Central, localizado  na Avenida 01 Oeste, nº 507, Bairro Centro Administrativo, Teutônia/RS.</w:t>
      </w:r>
      <w:r>
        <w:rPr>
          <w:rFonts w:ascii="Times New Roman" w:hAnsi="Times New Roman"/>
          <w:bCs/>
        </w:rPr>
        <w:t xml:space="preserve"> Não haverá limitação e/ou carga mínima de quantitativos.</w:t>
      </w:r>
    </w:p>
    <w:p w14:paraId="66B52075">
      <w:pPr>
        <w:tabs>
          <w:tab w:val="left" w:pos="1134"/>
        </w:tabs>
        <w:spacing w:after="0" w:line="20" w:lineRule="atLeast"/>
        <w:jc w:val="both"/>
        <w:rPr>
          <w:rFonts w:ascii="Times New Roman" w:hAnsi="Times New Roman"/>
          <w:bCs/>
        </w:rPr>
      </w:pPr>
      <w:r>
        <w:rPr>
          <w:rFonts w:ascii="Times New Roman" w:hAnsi="Times New Roman" w:cs="Times New Roman"/>
          <w:bCs/>
        </w:rPr>
        <w:t>§ 3º Os produtos devem vir acompanhados da Nota Fiscal/Fatura (constando o nº da Nota de Empenho).</w:t>
      </w:r>
    </w:p>
    <w:p w14:paraId="6EBA1B30">
      <w:pPr>
        <w:tabs>
          <w:tab w:val="left" w:pos="1134"/>
        </w:tabs>
        <w:spacing w:after="0" w:line="20" w:lineRule="atLeast"/>
        <w:jc w:val="both"/>
        <w:rPr>
          <w:rFonts w:ascii="Times New Roman" w:hAnsi="Times New Roman"/>
          <w:b/>
          <w:bCs/>
        </w:rPr>
      </w:pPr>
      <w:r>
        <w:rPr>
          <w:rFonts w:ascii="Times New Roman" w:hAnsi="Times New Roman" w:cs="Times New Roman"/>
          <w:bCs/>
        </w:rPr>
        <w:t xml:space="preserve">§ 4º </w:t>
      </w:r>
      <w:r>
        <w:rPr>
          <w:rFonts w:ascii="Times New Roman" w:hAnsi="Times New Roman" w:cs="Times New Roman"/>
        </w:rPr>
        <w:t>Verificada a desconformidade de algum dos produtos, a licitante vencedora deverá promover as correções necessárias no prazo máximo de 05 (cinco) dias, sujeitando-se às penalidades previstas neste edital.</w:t>
      </w:r>
    </w:p>
    <w:p w14:paraId="6FB659E9">
      <w:pPr>
        <w:spacing w:after="0" w:line="240" w:lineRule="auto"/>
        <w:ind w:right="398" w:rightChars="181"/>
        <w:jc w:val="both"/>
        <w:rPr>
          <w:rFonts w:ascii="Times New Roman" w:hAnsi="Times New Roman"/>
        </w:rPr>
      </w:pPr>
    </w:p>
    <w:p w14:paraId="20604FC8">
      <w:pPr>
        <w:tabs>
          <w:tab w:val="left" w:pos="9240"/>
          <w:tab w:val="left" w:pos="9460"/>
        </w:tabs>
        <w:spacing w:after="0" w:line="240" w:lineRule="auto"/>
        <w:jc w:val="both"/>
        <w:rPr>
          <w:rFonts w:ascii="Times New Roman" w:hAnsi="Times New Roman"/>
        </w:rPr>
      </w:pPr>
      <w:r>
        <w:rPr>
          <w:rFonts w:ascii="Times New Roman" w:hAnsi="Times New Roman" w:cs="Times New Roman"/>
          <w:b/>
          <w:bCs/>
        </w:rPr>
        <w:t xml:space="preserve">CLÁUSULA OITAVA </w:t>
      </w:r>
      <w:r>
        <w:rPr>
          <w:rFonts w:ascii="Times New Roman" w:hAnsi="Times New Roman" w:cs="Times New Roman"/>
        </w:rPr>
        <w:t>– São obrigações da DETENTORA:</w:t>
      </w:r>
    </w:p>
    <w:p w14:paraId="7AC9F65C">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manter, durante toda a vigência da Ata de Registro de Preço, compatibilidade com as obrigações por ela assumidas e as condições e qualificação exigidas no Edital da licitação;</w:t>
      </w:r>
    </w:p>
    <w:p w14:paraId="137B1E41">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indicar preposto, bem como seu contato telefônico e eletrônico, para representá-la durante a execução desta Ata de Registro de Preços;</w:t>
      </w:r>
    </w:p>
    <w:p w14:paraId="26566EF6">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no caso de solicitações extras, atender prontamente ao MUNICÍPIO;</w:t>
      </w:r>
    </w:p>
    <w:p w14:paraId="22A74FAF">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efetuar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14:paraId="1BB924D3">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prestar todos os esclarecimentos que forem solicitados pelo MUNICÍPIO;</w:t>
      </w:r>
    </w:p>
    <w:p w14:paraId="618F5664">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fornecer, sempre que solicitado pelo Município, comprovantes de pagamentos de empregados e do recolhimento dos encargos sociais, trabalhistas e fiscais, decorrentes da execução desta Ata de Registro de Preço;</w:t>
      </w:r>
    </w:p>
    <w:p w14:paraId="6AB2416A">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não transferir a outrem, no todo ou em parte, o objeto do presente instrumento, sem prévia e expressa anuência do MUNICÍPIO;</w:t>
      </w:r>
    </w:p>
    <w:p w14:paraId="46313F79">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não caucionar ou utilizar esta Ata de Registro de Preço para qualquer operação financeira, sem a prévia e expressa anuência do MUNICÍPIO, sob pena de rescisão contratual;</w:t>
      </w:r>
    </w:p>
    <w:p w14:paraId="450E81DD">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manter quadro de pessoal suficiente para atendimento das solicitações, conforme previsto neste instrumento, sem interrupção, seja por motivo de férias, descanso semanal, licença, falta ao serviço e demissão de empregado;</w:t>
      </w:r>
    </w:p>
    <w:p w14:paraId="6F0C5FA1">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utilizar pessoal qualificado, identificado, uniformizado, utilizando EPI's conforme determina a legislação, se for o caso, com bom comportamento, podendo ser exigida a substituição de qualquer empregado cujo comportamento seja julgado impróprio pelo MUNICÍPIO;</w:t>
      </w:r>
    </w:p>
    <w:p w14:paraId="3883BD7D">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responder por quaisquer danos pessoais e materiais ocasionados por seus funcionários durante a execução desta Ata de Registro de Preços;</w:t>
      </w:r>
    </w:p>
    <w:p w14:paraId="15AF0EE2">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reparar, corrigir, remover ou substituir às suas expensas, qualquer dano que venha a surgir pelos serviços prestados;</w:t>
      </w:r>
    </w:p>
    <w:p w14:paraId="2DAAA460">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relatar ao MUNICÍPIO toda e qualquer irregularidade verificada no decorrer da execução desta Ata de Registro de Preço;</w:t>
      </w:r>
    </w:p>
    <w:p w14:paraId="2737DB9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indenizar o MUNICÍPIO e/ou terceiros em razão de prejuízos ou danos causados pela DETENTORA, decorrentes de dolo ou culpa, durante a execução desta Ata de Registro de Preço;</w:t>
      </w:r>
    </w:p>
    <w:p w14:paraId="397799F0">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comunicar ao MUNICÍPIO, no prazo máximo de 2 (dois) dias que antecedem a data de entrega do objeto, os motivos que impossibilitem o cumprimento do prazo previsto, com a devida comprovação, sem prejuízo de eventuais penalidades, caso a justificativa não seja aceita.</w:t>
      </w:r>
    </w:p>
    <w:p w14:paraId="5E1D004E">
      <w:pPr>
        <w:tabs>
          <w:tab w:val="left" w:pos="9460"/>
        </w:tabs>
        <w:spacing w:beforeLines="50" w:after="0" w:line="240" w:lineRule="auto"/>
        <w:jc w:val="both"/>
        <w:rPr>
          <w:rFonts w:ascii="Times New Roman" w:hAnsi="Times New Roman"/>
        </w:rPr>
      </w:pPr>
      <w:r>
        <w:rPr>
          <w:rFonts w:ascii="Times New Roman" w:hAnsi="Times New Roman" w:cs="Times New Roman"/>
        </w:rPr>
        <w:t>§1° O MUNICÍPIO reserva-se ao direito de promover avaliações, inspeções e diligências visando esclarecer quaisquer situações relacionadas ao fornecimento do objeto contratado, sendo obrigação da DETENTORA acolhê-las.</w:t>
      </w:r>
    </w:p>
    <w:p w14:paraId="40DCA9DD">
      <w:pPr>
        <w:tabs>
          <w:tab w:val="left" w:pos="9460"/>
        </w:tabs>
        <w:spacing w:beforeLines="50" w:after="0" w:line="240" w:lineRule="auto"/>
        <w:jc w:val="both"/>
        <w:rPr>
          <w:rFonts w:ascii="Times New Roman" w:hAnsi="Times New Roman"/>
        </w:rPr>
      </w:pPr>
      <w:r>
        <w:rPr>
          <w:rFonts w:ascii="Times New Roman" w:hAnsi="Times New Roman" w:cs="Times New Roman"/>
        </w:rPr>
        <w:t>§2° Para a execução do objeto desta Ata, não será permitida a subcontratação de empresa terceirizada, salvo sob expressa anuência do MUNICÍPIO, a qual deverá ser emitida pelo Gestor deste instrumento.</w:t>
      </w:r>
    </w:p>
    <w:p w14:paraId="348270B2">
      <w:pPr>
        <w:tabs>
          <w:tab w:val="left" w:pos="9460"/>
        </w:tabs>
        <w:spacing w:beforeLines="50" w:after="0" w:line="240" w:lineRule="auto"/>
        <w:jc w:val="both"/>
        <w:rPr>
          <w:rFonts w:ascii="Times New Roman" w:hAnsi="Times New Roman"/>
        </w:rPr>
      </w:pPr>
      <w:r>
        <w:rPr>
          <w:rFonts w:ascii="Times New Roman" w:hAnsi="Times New Roman" w:cs="Times New Roman"/>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14:paraId="001F7F0D">
      <w:pPr>
        <w:tabs>
          <w:tab w:val="left" w:pos="9460"/>
        </w:tabs>
        <w:spacing w:after="0" w:line="240" w:lineRule="auto"/>
        <w:jc w:val="both"/>
        <w:rPr>
          <w:rFonts w:ascii="Times New Roman" w:hAnsi="Times New Roman"/>
        </w:rPr>
      </w:pPr>
    </w:p>
    <w:p w14:paraId="77B82541">
      <w:pPr>
        <w:tabs>
          <w:tab w:val="left" w:pos="9460"/>
        </w:tabs>
        <w:spacing w:after="0" w:line="240" w:lineRule="auto"/>
        <w:jc w:val="both"/>
        <w:rPr>
          <w:rFonts w:ascii="Times New Roman" w:hAnsi="Times New Roman"/>
        </w:rPr>
      </w:pPr>
      <w:r>
        <w:rPr>
          <w:rFonts w:ascii="Times New Roman" w:hAnsi="Times New Roman" w:cs="Times New Roman"/>
          <w:b/>
          <w:bCs/>
        </w:rPr>
        <w:t>CLÁUSULA NONA</w:t>
      </w:r>
      <w:r>
        <w:rPr>
          <w:rFonts w:ascii="Times New Roman" w:hAnsi="Times New Roman" w:cs="Times New Roman"/>
        </w:rPr>
        <w:t xml:space="preserve"> – O MUNICÍPIO obriga-se a:</w:t>
      </w:r>
    </w:p>
    <w:p w14:paraId="5770B43B">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solicitar à DETENTORA, em tempo hábil, os serviços para atender às suas necessidades;</w:t>
      </w:r>
    </w:p>
    <w:p w14:paraId="07E07066">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fiscalizar o cumprimento desta Ata, por intermédio dos servidores designados;</w:t>
      </w:r>
    </w:p>
    <w:p w14:paraId="57DF3DF9">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verificar a conformidade dos serviços prestados com as disposições desta Ata de Registro de Preço, do Edital da Licitação e da proposta da DETENTORA;</w:t>
      </w:r>
    </w:p>
    <w:p w14:paraId="599F4EEC">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efetuar o pagamento à DETENTORA, de acordo com a forma e prazo estabelecidos neste instrumento; e</w:t>
      </w:r>
    </w:p>
    <w:p w14:paraId="2397F218">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comunicar à DETENTORA a ocorrência de quaisquer fatos que, a seu critério, exijam correção por parte desta.</w:t>
      </w:r>
    </w:p>
    <w:p w14:paraId="3E6AE186">
      <w:pPr>
        <w:tabs>
          <w:tab w:val="left" w:pos="9460"/>
        </w:tabs>
        <w:spacing w:beforeLines="50" w:after="0" w:line="240" w:lineRule="auto"/>
        <w:jc w:val="both"/>
        <w:rPr>
          <w:rFonts w:ascii="Times New Roman" w:hAnsi="Times New Roman"/>
        </w:rPr>
      </w:pPr>
      <w:r>
        <w:rPr>
          <w:rFonts w:ascii="Times New Roman" w:hAnsi="Times New Roman" w:cs="Times New Roman"/>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14:paraId="679BD283">
      <w:pPr>
        <w:pStyle w:val="11"/>
        <w:tabs>
          <w:tab w:val="left" w:pos="9460"/>
        </w:tabs>
        <w:spacing w:before="253"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DÉCIMA </w:t>
      </w:r>
      <w:r>
        <w:rPr>
          <w:rFonts w:ascii="Times New Roman" w:hAnsi="Times New Roman" w:cs="Times New Roman"/>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r>
        <w:rPr>
          <w:rFonts w:ascii="Times New Roman" w:hAnsi="Times New Roman" w:cs="Times New Roman"/>
          <w:lang w:val="pt-BR"/>
        </w:rPr>
        <w:t xml:space="preserve"> </w:t>
      </w:r>
    </w:p>
    <w:p w14:paraId="42648CDF">
      <w:pPr>
        <w:pStyle w:val="11"/>
        <w:tabs>
          <w:tab w:val="left" w:pos="9460"/>
          <w:tab w:val="left" w:pos="10120"/>
        </w:tabs>
        <w:spacing w:before="253" w:line="240" w:lineRule="auto"/>
        <w:rPr>
          <w:rFonts w:ascii="Times New Roman" w:hAnsi="Times New Roman" w:cs="Times New Roman"/>
          <w:b/>
          <w:lang w:val="pt-BR"/>
        </w:rPr>
      </w:pPr>
      <w:r>
        <w:rPr>
          <w:rFonts w:ascii="Times New Roman" w:hAnsi="Times New Roman" w:cs="Times New Roman"/>
          <w:b/>
          <w:lang w:val="pt-BR"/>
        </w:rPr>
        <w:t xml:space="preserve">CLÁUSULA DÉCIMA PRIMEIRA - </w:t>
      </w:r>
      <w:r>
        <w:rPr>
          <w:rFonts w:ascii="Times New Roman" w:hAnsi="Times New Roman" w:cs="Times New Roman"/>
        </w:rPr>
        <w:t xml:space="preserve"> </w:t>
      </w:r>
      <w:r>
        <w:rPr>
          <w:rFonts w:ascii="Times New Roman" w:hAnsi="Times New Roman" w:eastAsia="ArialMT" w:cs="Times New Roman"/>
        </w:rPr>
        <w:t>A Ata de Registro de Preços poderá ser cancelada pela Administração, de pleno direito</w:t>
      </w:r>
      <w:r>
        <w:rPr>
          <w:rFonts w:ascii="Times New Roman" w:hAnsi="Times New Roman" w:eastAsia="ArialMT" w:cs="Times New Roman"/>
          <w:lang w:val="pt-BR"/>
        </w:rPr>
        <w:t>, quando:</w:t>
      </w:r>
    </w:p>
    <w:p w14:paraId="4AA8E299">
      <w:pPr>
        <w:numPr>
          <w:ilvl w:val="0"/>
          <w:numId w:val="5"/>
        </w:numPr>
        <w:tabs>
          <w:tab w:val="left" w:pos="2268"/>
          <w:tab w:val="left" w:pos="9460"/>
        </w:tabs>
        <w:spacing w:after="0" w:line="240" w:lineRule="auto"/>
        <w:jc w:val="both"/>
        <w:rPr>
          <w:rFonts w:ascii="Times New Roman" w:hAnsi="Times New Roman"/>
        </w:rPr>
      </w:pPr>
      <w:r>
        <w:rPr>
          <w:rFonts w:ascii="Times New Roman" w:hAnsi="Times New Roman" w:cs="Times New Roman"/>
        </w:rPr>
        <w:t>o fornecedor descumprir total ou parcialmente as condições da ata de registro de preços;</w:t>
      </w:r>
    </w:p>
    <w:p w14:paraId="37104F30">
      <w:pPr>
        <w:tabs>
          <w:tab w:val="left" w:pos="9460"/>
        </w:tabs>
        <w:spacing w:after="0" w:line="240" w:lineRule="auto"/>
        <w:jc w:val="both"/>
        <w:rPr>
          <w:rFonts w:ascii="Times New Roman" w:hAnsi="Times New Roman"/>
        </w:rPr>
      </w:pPr>
      <w:r>
        <w:rPr>
          <w:rFonts w:ascii="Times New Roman" w:hAnsi="Times New Roman" w:cs="Times New Roman"/>
        </w:rPr>
        <w:t xml:space="preserve">b) o fornecedor não retirar a nota de empenho, ou instrumento equivalente, no prazo estabelecido pela Administração, sem justificativa aceitável; </w:t>
      </w:r>
    </w:p>
    <w:p w14:paraId="3B682F68">
      <w:pPr>
        <w:tabs>
          <w:tab w:val="left" w:pos="9460"/>
        </w:tabs>
        <w:spacing w:after="0" w:line="240" w:lineRule="auto"/>
        <w:jc w:val="both"/>
        <w:rPr>
          <w:rFonts w:ascii="Times New Roman" w:hAnsi="Times New Roman"/>
        </w:rPr>
      </w:pPr>
      <w:r>
        <w:rPr>
          <w:rFonts w:ascii="Times New Roman" w:hAnsi="Times New Roman" w:cs="Times New Roman"/>
        </w:rPr>
        <w:t xml:space="preserve">c) </w:t>
      </w:r>
      <w:r>
        <w:rPr>
          <w:rFonts w:ascii="Times New Roman" w:hAnsi="Times New Roman" w:eastAsia="SimSun" w:cs="Times New Roman"/>
        </w:rPr>
        <w:t>não aceitar reduzir o seu preço registrado, na hipótese deste se tornar superior àqueles praticados no mercado;</w:t>
      </w:r>
    </w:p>
    <w:p w14:paraId="03D0F867">
      <w:pPr>
        <w:tabs>
          <w:tab w:val="left" w:pos="9460"/>
        </w:tabs>
        <w:spacing w:after="0" w:line="240" w:lineRule="auto"/>
        <w:jc w:val="both"/>
        <w:rPr>
          <w:rFonts w:ascii="Times New Roman" w:hAnsi="Times New Roman"/>
        </w:rPr>
      </w:pPr>
      <w:r>
        <w:rPr>
          <w:rFonts w:ascii="Times New Roman" w:hAnsi="Times New Roman" w:cs="Times New Roman"/>
        </w:rPr>
        <w:t>d) o fornecedor sofrer a sanção prevista nos incisos III ou IV do caput do art. 156 da Lei Federal nº 14.133/2021.</w:t>
      </w:r>
    </w:p>
    <w:p w14:paraId="45DA2E31">
      <w:pPr>
        <w:tabs>
          <w:tab w:val="left" w:pos="9460"/>
        </w:tabs>
        <w:spacing w:after="0" w:line="240" w:lineRule="auto"/>
        <w:jc w:val="both"/>
        <w:rPr>
          <w:rFonts w:ascii="Times New Roman" w:hAnsi="Times New Roman"/>
        </w:rPr>
      </w:pPr>
      <w:r>
        <w:rPr>
          <w:rFonts w:ascii="Times New Roman" w:hAnsi="Times New Roman" w:cs="Times New Roman"/>
        </w:rPr>
        <w:t>e) ocorrer fato superveniente, decorrente de caso fortuito ou força maior, que prejudique o cumprimento da ata, devidamente comprovados e justificados, por razão de interesse público ou a pedido do fornecedor.</w:t>
      </w:r>
    </w:p>
    <w:p w14:paraId="725A7236">
      <w:pPr>
        <w:spacing w:after="0" w:line="240" w:lineRule="auto"/>
        <w:ind w:right="398" w:rightChars="181"/>
        <w:jc w:val="both"/>
        <w:rPr>
          <w:rFonts w:ascii="Times New Roman" w:hAnsi="Times New Roman"/>
        </w:rPr>
      </w:pPr>
    </w:p>
    <w:p w14:paraId="121E2AEC">
      <w:pPr>
        <w:spacing w:after="0" w:line="240" w:lineRule="auto"/>
        <w:jc w:val="both"/>
        <w:rPr>
          <w:rFonts w:ascii="Times New Roman" w:hAnsi="Times New Roman" w:eastAsia="ArialMT"/>
        </w:rPr>
      </w:pPr>
      <w:r>
        <w:rPr>
          <w:rFonts w:ascii="Times New Roman" w:hAnsi="Times New Roman" w:cs="Times New Roman"/>
          <w:b/>
          <w:bCs/>
        </w:rPr>
        <w:t>CLÁUSULA DÉCIMA SEGUNDA</w:t>
      </w:r>
      <w:r>
        <w:rPr>
          <w:rFonts w:ascii="Times New Roman" w:hAnsi="Times New Roman" w:cs="Times New Roman"/>
        </w:rPr>
        <w:t xml:space="preserve"> - </w:t>
      </w:r>
      <w:r>
        <w:rPr>
          <w:rFonts w:ascii="Times New Roman" w:hAnsi="Times New Roman" w:eastAsia="ArialMT" w:cs="Times New Roman"/>
        </w:rPr>
        <w:t>A recusa injustificada da empresa em prestar os serviços descrito na Cláusula Primeira, de conformidade com a proposta classificada na licitação, ensejará a aplicação das penalidades previstas em Edital e no art. 155 da Lei nº 14.133/2021, a critério da Administração, podendo ser aplicada sanção de:</w:t>
      </w:r>
    </w:p>
    <w:p w14:paraId="00E7F960">
      <w:pPr>
        <w:spacing w:after="0" w:line="240" w:lineRule="auto"/>
        <w:jc w:val="both"/>
        <w:rPr>
          <w:rFonts w:ascii="Times New Roman" w:hAnsi="Times New Roman"/>
        </w:rPr>
      </w:pPr>
      <w:r>
        <w:rPr>
          <w:rFonts w:ascii="Times New Roman" w:hAnsi="Times New Roman" w:cs="Times New Roman"/>
        </w:rPr>
        <w:t>a) advertência;</w:t>
      </w:r>
    </w:p>
    <w:p w14:paraId="24F785E5">
      <w:pPr>
        <w:spacing w:after="0" w:line="240" w:lineRule="auto"/>
        <w:jc w:val="both"/>
        <w:rPr>
          <w:rFonts w:ascii="Times New Roman" w:hAnsi="Times New Roman"/>
        </w:rPr>
      </w:pPr>
      <w:bookmarkStart w:id="0" w:name="art156ii"/>
      <w:bookmarkEnd w:id="0"/>
      <w:r>
        <w:rPr>
          <w:rFonts w:ascii="Times New Roman" w:hAnsi="Times New Roman" w:cs="Times New Roman"/>
        </w:rPr>
        <w:t>b) multa de no mínimo 0,5% (cinco décimos por cento) e máximo de 30% (trinta por cento) do valor do objeto licitado ou contratado;</w:t>
      </w:r>
    </w:p>
    <w:p w14:paraId="49EDDC05">
      <w:pPr>
        <w:spacing w:after="0" w:line="240" w:lineRule="auto"/>
        <w:jc w:val="both"/>
        <w:rPr>
          <w:rFonts w:ascii="Times New Roman" w:hAnsi="Times New Roman"/>
        </w:rPr>
      </w:pPr>
      <w:bookmarkStart w:id="1" w:name="art156iii"/>
      <w:bookmarkEnd w:id="1"/>
      <w:r>
        <w:rPr>
          <w:rFonts w:ascii="Times New Roman" w:hAnsi="Times New Roman" w:cs="Times New Roman"/>
        </w:rPr>
        <w:t>c) impedimento de licitar e contratar, no âmbito da Administração Pública direta e indireta do órgão licitante, pelo prazo máximo de 3 (três) anos.</w:t>
      </w:r>
    </w:p>
    <w:p w14:paraId="472660FE">
      <w:pPr>
        <w:spacing w:after="0" w:line="240" w:lineRule="auto"/>
        <w:jc w:val="both"/>
        <w:rPr>
          <w:rFonts w:ascii="Times New Roman" w:hAnsi="Times New Roman"/>
        </w:rPr>
      </w:pPr>
      <w:bookmarkStart w:id="2" w:name="art156iv"/>
      <w:bookmarkEnd w:id="2"/>
      <w:r>
        <w:rPr>
          <w:rFonts w:ascii="Times New Roman" w:hAnsi="Times New Roman" w:cs="Times New Roman"/>
        </w:rPr>
        <w:t>d) declaração de inidoneidade para licitar ou contratar</w:t>
      </w:r>
      <w:bookmarkStart w:id="3" w:name="art156§1"/>
      <w:bookmarkEnd w:id="3"/>
      <w:bookmarkStart w:id="4" w:name="art156§5"/>
      <w:bookmarkEnd w:id="4"/>
      <w:bookmarkStart w:id="5" w:name="art156§2"/>
      <w:bookmarkEnd w:id="5"/>
      <w:r>
        <w:rPr>
          <w:rFonts w:ascii="Times New Roman" w:hAnsi="Times New Roman" w:cs="Times New Roman"/>
        </w:rPr>
        <w:t xml:space="preserve"> no âmbito da Administração Pública direta e indireta de todos os entes federativos, pelo prazo mínimo de 3 (três) anos e máximo de 6 (seis) anos.</w:t>
      </w:r>
    </w:p>
    <w:p w14:paraId="4D8D1BDF">
      <w:pPr>
        <w:spacing w:after="0" w:line="240" w:lineRule="auto"/>
        <w:jc w:val="both"/>
        <w:rPr>
          <w:rFonts w:ascii="Times New Roman" w:hAnsi="Times New Roman"/>
        </w:rPr>
      </w:pPr>
    </w:p>
    <w:p w14:paraId="59AD439D">
      <w:pPr>
        <w:pStyle w:val="11"/>
        <w:tabs>
          <w:tab w:val="left" w:pos="9900"/>
          <w:tab w:val="left" w:pos="10120"/>
        </w:tabs>
        <w:spacing w:before="1" w:line="240" w:lineRule="auto"/>
        <w:rPr>
          <w:rFonts w:ascii="Times New Roman" w:hAnsi="Times New Roman" w:cs="Times New Roman"/>
          <w:bCs/>
          <w:lang w:val="pt-BR"/>
        </w:rPr>
      </w:pPr>
      <w:r>
        <w:rPr>
          <w:rFonts w:ascii="Times New Roman" w:hAnsi="Times New Roman" w:cs="Times New Roman"/>
          <w:b/>
          <w:lang w:val="pt-BR"/>
        </w:rPr>
        <w:t>CL</w:t>
      </w:r>
      <w:r>
        <w:rPr>
          <w:rFonts w:ascii="Times New Roman" w:hAnsi="Times New Roman" w:cs="Times New Roman"/>
          <w:b/>
        </w:rPr>
        <w:t xml:space="preserve">ÁUSULA DÉCIMA </w:t>
      </w:r>
      <w:r>
        <w:rPr>
          <w:rFonts w:ascii="Times New Roman" w:hAnsi="Times New Roman" w:cs="Times New Roman"/>
          <w:b/>
          <w:lang w:val="pt-BR"/>
        </w:rPr>
        <w:t xml:space="preserve">TERCEIRA </w:t>
      </w:r>
      <w:r>
        <w:rPr>
          <w:rFonts w:ascii="Times New Roman" w:hAnsi="Times New Roman" w:cs="Times New Roman"/>
          <w:b/>
        </w:rPr>
        <w:t xml:space="preserve">– </w:t>
      </w:r>
      <w:r>
        <w:rPr>
          <w:rFonts w:ascii="Times New Roman" w:hAnsi="Times New Roman" w:cs="Times New Roman"/>
          <w:bCs/>
        </w:rPr>
        <w:t xml:space="preserve">Da </w:t>
      </w:r>
      <w:r>
        <w:rPr>
          <w:rFonts w:ascii="Times New Roman" w:hAnsi="Times New Roman" w:cs="Times New Roman"/>
          <w:bCs/>
          <w:lang w:val="pt-BR"/>
        </w:rPr>
        <w:t>a</w:t>
      </w:r>
      <w:r>
        <w:rPr>
          <w:rFonts w:ascii="Times New Roman" w:hAnsi="Times New Roman" w:cs="Times New Roman"/>
          <w:bCs/>
        </w:rPr>
        <w:t xml:space="preserve">dequação à Lei Geral </w:t>
      </w:r>
      <w:r>
        <w:rPr>
          <w:rFonts w:ascii="Times New Roman" w:hAnsi="Times New Roman" w:cs="Times New Roman"/>
          <w:bCs/>
          <w:lang w:val="pt-BR"/>
        </w:rPr>
        <w:t>d</w:t>
      </w:r>
      <w:r>
        <w:rPr>
          <w:rFonts w:ascii="Times New Roman" w:hAnsi="Times New Roman" w:cs="Times New Roman"/>
          <w:bCs/>
        </w:rPr>
        <w:t xml:space="preserve">e Proteção </w:t>
      </w:r>
      <w:r>
        <w:rPr>
          <w:rFonts w:ascii="Times New Roman" w:hAnsi="Times New Roman" w:cs="Times New Roman"/>
          <w:bCs/>
          <w:lang w:val="pt-BR"/>
        </w:rPr>
        <w:t>d</w:t>
      </w:r>
      <w:r>
        <w:rPr>
          <w:rFonts w:ascii="Times New Roman" w:hAnsi="Times New Roman" w:cs="Times New Roman"/>
          <w:bCs/>
        </w:rPr>
        <w:t>e Dados Pessoais - Lei Nº 13.709/2018 (L</w:t>
      </w:r>
      <w:r>
        <w:rPr>
          <w:rFonts w:ascii="Times New Roman" w:hAnsi="Times New Roman" w:cs="Times New Roman"/>
          <w:bCs/>
          <w:lang w:val="pt-BR"/>
        </w:rPr>
        <w:t>GPD</w:t>
      </w:r>
      <w:r>
        <w:rPr>
          <w:rFonts w:ascii="Times New Roman" w:hAnsi="Times New Roman" w:cs="Times New Roman"/>
          <w:bCs/>
        </w:rPr>
        <w:t>)</w:t>
      </w:r>
      <w:r>
        <w:rPr>
          <w:rFonts w:ascii="Times New Roman" w:hAnsi="Times New Roman" w:cs="Times New Roman"/>
          <w:bCs/>
          <w:lang w:val="pt-BR"/>
        </w:rPr>
        <w:t>.</w:t>
      </w:r>
    </w:p>
    <w:p w14:paraId="7AAD8922">
      <w:pPr>
        <w:numPr>
          <w:ilvl w:val="0"/>
          <w:numId w:val="6"/>
        </w:numPr>
        <w:tabs>
          <w:tab w:val="left" w:pos="2268"/>
        </w:tabs>
        <w:spacing w:after="0" w:line="240" w:lineRule="auto"/>
        <w:jc w:val="both"/>
        <w:rPr>
          <w:rFonts w:ascii="Times New Roman" w:hAnsi="Times New Roman"/>
        </w:rPr>
      </w:pPr>
      <w:r>
        <w:rPr>
          <w:rFonts w:ascii="Times New Roman" w:hAnsi="Times New Roman" w:cs="Times New Roman"/>
        </w:rPr>
        <w:t>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a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14:paraId="0BB1167B">
      <w:pPr>
        <w:spacing w:after="0" w:line="240" w:lineRule="auto"/>
        <w:jc w:val="both"/>
        <w:rPr>
          <w:rFonts w:ascii="Times New Roman" w:hAnsi="Times New Roman"/>
        </w:rPr>
      </w:pPr>
      <w:r>
        <w:rPr>
          <w:rFonts w:ascii="Times New Roman" w:hAnsi="Times New Roman" w:cs="Times New Roman"/>
        </w:rPr>
        <w:t xml:space="preserve">b) A definição das PARTES enquanto controladores, operadores ou controladores conjuntos será prevista no Relatório de Atividade de Tratamento (RAT), elaborado pelo(s) controlador(es),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 </w:t>
      </w:r>
    </w:p>
    <w:p w14:paraId="17247692">
      <w:pPr>
        <w:spacing w:after="0" w:line="240" w:lineRule="auto"/>
        <w:jc w:val="both"/>
        <w:rPr>
          <w:rFonts w:ascii="Times New Roman" w:hAnsi="Times New Roman"/>
        </w:rPr>
      </w:pPr>
      <w:r>
        <w:rPr>
          <w:rFonts w:ascii="Times New Roman" w:hAnsi="Times New Roman" w:cs="Times New Roman"/>
        </w:rPr>
        <w:t xml:space="preserve">c)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 </w:t>
      </w:r>
    </w:p>
    <w:p w14:paraId="7DEA2FEF">
      <w:pPr>
        <w:spacing w:after="0" w:line="240" w:lineRule="auto"/>
        <w:jc w:val="both"/>
        <w:rPr>
          <w:rFonts w:ascii="Times New Roman" w:hAnsi="Times New Roman"/>
        </w:rPr>
      </w:pPr>
    </w:p>
    <w:p w14:paraId="1B348D55">
      <w:pPr>
        <w:spacing w:after="0" w:line="240" w:lineRule="auto"/>
        <w:jc w:val="both"/>
        <w:rPr>
          <w:rFonts w:ascii="Times New Roman" w:hAnsi="Times New Roman"/>
        </w:rPr>
      </w:pPr>
      <w:r>
        <w:rPr>
          <w:rFonts w:ascii="Times New Roman" w:hAnsi="Times New Roman" w:cs="Times New Roman"/>
          <w:b/>
          <w:bCs/>
        </w:rPr>
        <w:t>CLÁUSULA DÉCIMA QUARTA</w:t>
      </w:r>
      <w:r>
        <w:rPr>
          <w:rFonts w:ascii="Times New Roman" w:hAnsi="Times New Roman" w:cs="Times New Roman"/>
        </w:rPr>
        <w:t xml:space="preserve"> - Integram este instrumento o Edital no Pregão na Forma Eletrônica nº </w:t>
      </w:r>
      <w:r>
        <w:rPr>
          <w:rFonts w:ascii="Times New Roman" w:hAnsi="Times New Roman"/>
        </w:rPr>
        <w:t>0</w:t>
      </w:r>
      <w:r>
        <w:rPr>
          <w:rFonts w:hint="default" w:ascii="Times New Roman" w:hAnsi="Times New Roman"/>
          <w:lang w:val="pt-BR"/>
        </w:rPr>
        <w:t>3</w:t>
      </w:r>
      <w:r>
        <w:rPr>
          <w:rFonts w:ascii="Times New Roman" w:hAnsi="Times New Roman"/>
        </w:rPr>
        <w:t>7/2026</w:t>
      </w:r>
      <w:r>
        <w:rPr>
          <w:rFonts w:ascii="Times New Roman" w:hAnsi="Times New Roman" w:cs="Times New Roman"/>
        </w:rPr>
        <w:t xml:space="preserve">, seus anexos, em especial o Termo de Referência, e a proposta da </w:t>
      </w:r>
      <w:r>
        <w:rPr>
          <w:rFonts w:ascii="Times New Roman" w:hAnsi="Times New Roman" w:cs="Times New Roman"/>
          <w:spacing w:val="-2"/>
        </w:rPr>
        <w:t>DETENTORA.</w:t>
      </w:r>
    </w:p>
    <w:p w14:paraId="48379B28">
      <w:pPr>
        <w:spacing w:before="253" w:after="0" w:line="240" w:lineRule="auto"/>
        <w:jc w:val="both"/>
        <w:rPr>
          <w:rFonts w:ascii="Times New Roman" w:hAnsi="Times New Roman"/>
        </w:rPr>
      </w:pPr>
      <w:r>
        <w:rPr>
          <w:rFonts w:ascii="Times New Roman" w:hAnsi="Times New Roman" w:cs="Times New Roman"/>
          <w:b/>
        </w:rPr>
        <w:t xml:space="preserve">CLÁUSULA DÉCIMA QUINTA – </w:t>
      </w:r>
      <w:r>
        <w:rPr>
          <w:rFonts w:ascii="Times New Roman" w:hAnsi="Times New Roman" w:cs="Times New Roman"/>
        </w:rPr>
        <w:t>Fica eleito o Foro da Comarca de Teutônia/RS para as questões resultantes desta Ata.</w:t>
      </w:r>
    </w:p>
    <w:p w14:paraId="56719E05">
      <w:pPr>
        <w:spacing w:after="0" w:line="240" w:lineRule="auto"/>
        <w:ind w:right="398" w:rightChars="181"/>
        <w:rPr>
          <w:rFonts w:ascii="Times New Roman" w:hAnsi="Times New Roman"/>
        </w:rPr>
      </w:pPr>
    </w:p>
    <w:p w14:paraId="25F8C1E3">
      <w:pPr>
        <w:tabs>
          <w:tab w:val="left" w:pos="4253"/>
        </w:tabs>
        <w:spacing w:after="0" w:line="240" w:lineRule="auto"/>
        <w:ind w:right="398" w:rightChars="181"/>
        <w:rPr>
          <w:rFonts w:ascii="Times New Roman" w:hAnsi="Times New Roman"/>
        </w:rPr>
      </w:pPr>
    </w:p>
    <w:p w14:paraId="5AE5F4C5">
      <w:pPr>
        <w:tabs>
          <w:tab w:val="left" w:pos="4253"/>
        </w:tabs>
        <w:spacing w:after="0" w:line="240" w:lineRule="auto"/>
        <w:ind w:right="398" w:rightChars="181"/>
        <w:rPr>
          <w:rFonts w:ascii="Times New Roman" w:hAnsi="Times New Roman"/>
        </w:rPr>
      </w:pPr>
    </w:p>
    <w:p w14:paraId="6EA28339">
      <w:pPr>
        <w:tabs>
          <w:tab w:val="left" w:pos="4253"/>
        </w:tabs>
        <w:spacing w:after="0" w:line="240" w:lineRule="auto"/>
        <w:ind w:right="398" w:rightChars="181" w:firstLine="220" w:firstLineChars="100"/>
        <w:rPr>
          <w:rFonts w:ascii="Times New Roman" w:hAnsi="Times New Roman"/>
        </w:rPr>
      </w:pPr>
      <w:r>
        <w:rPr>
          <w:rFonts w:ascii="Times New Roman" w:hAnsi="Times New Roman" w:cs="Times New Roman"/>
        </w:rPr>
        <w:t>______________________                                                       _________________________</w:t>
      </w:r>
    </w:p>
    <w:p w14:paraId="752326FE">
      <w:pPr>
        <w:tabs>
          <w:tab w:val="left" w:pos="4253"/>
        </w:tabs>
        <w:spacing w:after="0" w:line="240" w:lineRule="auto"/>
        <w:ind w:right="398" w:rightChars="181"/>
        <w:rPr>
          <w:rFonts w:ascii="Times New Roman" w:hAnsi="Times New Roman"/>
        </w:rPr>
      </w:pPr>
      <w:r>
        <w:rPr>
          <w:rFonts w:ascii="Times New Roman" w:hAnsi="Times New Roman" w:cs="Times New Roman"/>
        </w:rPr>
        <w:t>RENATO AIRTON ALTMANN                                                           CONTRATADA</w:t>
      </w:r>
    </w:p>
    <w:p w14:paraId="41963678">
      <w:pPr>
        <w:tabs>
          <w:tab w:val="left" w:pos="4253"/>
        </w:tabs>
        <w:spacing w:after="0" w:line="240" w:lineRule="auto"/>
        <w:ind w:right="398" w:rightChars="181" w:firstLine="440" w:firstLineChars="200"/>
        <w:rPr>
          <w:rFonts w:ascii="Times New Roman" w:hAnsi="Times New Roman"/>
        </w:rPr>
      </w:pPr>
      <w:r>
        <w:rPr>
          <w:rFonts w:ascii="Times New Roman" w:hAnsi="Times New Roman" w:cs="Times New Roman"/>
        </w:rPr>
        <w:t>Prefeito Municipal                                                            Representante da CONTRATADA</w:t>
      </w:r>
    </w:p>
    <w:p w14:paraId="4DFEBFAC">
      <w:pPr>
        <w:rPr>
          <w:szCs w:val="24"/>
        </w:rPr>
      </w:pPr>
    </w:p>
    <w:sectPr>
      <w:headerReference r:id="rId7" w:type="first"/>
      <w:footerReference r:id="rId10" w:type="first"/>
      <w:headerReference r:id="rId5" w:type="default"/>
      <w:footerReference r:id="rId8" w:type="default"/>
      <w:headerReference r:id="rId6" w:type="even"/>
      <w:footerReference r:id="rId9" w:type="even"/>
      <w:pgSz w:w="11906" w:h="16838"/>
      <w:pgMar w:top="398" w:right="1440"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Lucida Sans Unicode">
    <w:panose1 w:val="020B0602030504020204"/>
    <w:charset w:val="00"/>
    <w:family w:val="swiss"/>
    <w:pitch w:val="default"/>
    <w:sig w:usb0="80001AFF" w:usb1="0000396B" w:usb2="00000000" w:usb3="00000000" w:csb0="200000BF" w:csb1="D7F70000"/>
  </w:font>
  <w:font w:name="Mangal">
    <w:altName w:val="Segoe Print"/>
    <w:panose1 w:val="00000400000000000000"/>
    <w:charset w:val="01"/>
    <w:family w:val="roman"/>
    <w:pitch w:val="default"/>
    <w:sig w:usb0="00000000" w:usb1="00000000" w:usb2="00000000" w:usb3="00000000" w:csb0="00000000" w:csb1="00000000"/>
  </w:font>
  <w:font w:name="Arial-BoldMT">
    <w:altName w:val="Segoe Print"/>
    <w:panose1 w:val="00000000000000000000"/>
    <w:charset w:val="00"/>
    <w:family w:val="auto"/>
    <w:pitch w:val="default"/>
    <w:sig w:usb0="00000000" w:usb1="00000000" w:usb2="00000000" w:usb3="00000000" w:csb0="00000001" w:csb1="00000000"/>
  </w:font>
  <w:font w:name="ArialMT">
    <w:altName w:val="Times New Roman"/>
    <w:panose1 w:val="00000000000000000000"/>
    <w:charset w:val="00"/>
    <w:family w:val="auto"/>
    <w:pitch w:val="default"/>
    <w:sig w:usb0="00000000" w:usb1="00000000" w:usb2="00000000" w:usb3="00000000" w:csb0="00000001" w:csb1="00000000"/>
  </w:font>
  <w:font w:name="Arial Unicode MS">
    <w:panose1 w:val="020B0604020202020204"/>
    <w:charset w:val="80"/>
    <w:family w:val="swiss"/>
    <w:pitch w:val="default"/>
    <w:sig w:usb0="FFFFFFFF" w:usb1="E9FFFFFF" w:usb2="0000003F" w:usb3="00000000" w:csb0="603F01FF" w:csb1="FFFF0000"/>
  </w:font>
  <w:font w:name="Quire Sans Pro Light">
    <w:altName w:val="Segoe Print"/>
    <w:panose1 w:val="00000000000000000000"/>
    <w:charset w:val="00"/>
    <w:family w:val="swiss"/>
    <w:pitch w:val="default"/>
    <w:sig w:usb0="00000000" w:usb1="00000000" w:usb2="00000000" w:usb3="00000000" w:csb0="00000001" w:csb1="00000000"/>
  </w:font>
  <w:font w:name="Montserrat">
    <w:altName w:val="Times New Roman"/>
    <w:panose1 w:val="00000000000000000000"/>
    <w:charset w:val="00"/>
    <w:family w:val="auto"/>
    <w:pitch w:val="default"/>
    <w:sig w:usb0="00000000" w:usb1="00000000" w:usb2="00000000" w:usb3="00000000" w:csb0="00000197"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446E7">
    <w:pPr>
      <w:tabs>
        <w:tab w:val="center" w:pos="4680"/>
        <w:tab w:val="right" w:pos="10050"/>
      </w:tabs>
      <w:spacing w:after="0" w:line="240" w:lineRule="auto"/>
      <w:ind w:left="-992" w:right="-1032"/>
      <w:jc w:val="center"/>
      <w:rPr>
        <w:rFonts w:ascii="Times New Roman" w:hAnsi="Times New Roman" w:eastAsia="Montserrat" w:cs="Times New Roman"/>
        <w:color w:val="1155CC"/>
      </w:rPr>
    </w:pPr>
    <w:r>
      <w:rPr>
        <w:rFonts w:ascii="Times New Roman" w:hAnsi="Times New Roman" w:eastAsia="Montserrat" w:cs="Times New Roman"/>
        <w:color w:val="1155CC"/>
      </w:rPr>
      <w:t xml:space="preserve">Av. 1 Oeste, 878, Bairro Centro Administrativo, Teutônia | RS | (51) 3762-7700  </w:t>
    </w:r>
  </w:p>
  <w:p w14:paraId="19C68602">
    <w:pPr>
      <w:pStyle w:val="15"/>
      <w:jc w:val="center"/>
      <w:rPr>
        <w:rFonts w:ascii="Times New Roman" w:hAnsi="Times New Roman" w:cs="Times New Roman"/>
      </w:rPr>
    </w:pPr>
    <w:r>
      <w:rPr>
        <w:rFonts w:ascii="Times New Roman" w:hAnsi="Times New Roman" w:eastAsia="Montserrat" w:cs="Times New Roman"/>
        <w:color w:val="1155CC"/>
      </w:rPr>
      <w:t>e-mail: contratos@teutonia.rs.gov.br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A8505">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CAE67">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6"/>
      <w:tblW w:w="9090" w:type="dxa"/>
      <w:jc w:val="center"/>
      <w:tblLayout w:type="fixed"/>
      <w:tblCellMar>
        <w:top w:w="0" w:type="dxa"/>
        <w:left w:w="108" w:type="dxa"/>
        <w:bottom w:w="0" w:type="dxa"/>
        <w:right w:w="108" w:type="dxa"/>
      </w:tblCellMar>
    </w:tblPr>
    <w:tblGrid>
      <w:gridCol w:w="9090"/>
    </w:tblGrid>
    <w:tr w14:paraId="5BCAA2AF">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368220A2">
          <w:pP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36967CE2">
    <w:pPr>
      <w:tabs>
        <w:tab w:val="center" w:pos="4680"/>
        <w:tab w:val="right" w:pos="9360"/>
      </w:tabs>
      <w:spacing w:after="0" w:line="240" w:lineRule="auto"/>
      <w:rPr>
        <w:color w:val="000000"/>
      </w:rPr>
    </w:pPr>
    <w:r>
      <w:pict>
        <v:shape id="WordPictureWatermark1" o:spid="_x0000_s1025" o:spt="75" type="#_x0000_t75" style="position:absolute;left:0pt;margin-top:-12.9pt;height:623.75pt;width:445.75pt;mso-position-horizontal:center;mso-position-horizontal-relative:margin;mso-position-vertical-relative:margin;z-index:-251657216;mso-width-relative:page;mso-height-relative:page;" filled="f" o:preferrelative="t" stroked="f" coordsize="21600,21600">
          <v:path/>
          <v:fill on="f" focussize="0,0"/>
          <v:stroke on="f" joinstyle="miter"/>
          <v:imagedata r:id="rId2" gain="19661f" blacklevel="22938f" o:title="image3"/>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FEA85">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1625E">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A06309"/>
    <w:multiLevelType w:val="singleLevel"/>
    <w:tmpl w:val="9AA06309"/>
    <w:lvl w:ilvl="0" w:tentative="0">
      <w:start w:val="1"/>
      <w:numFmt w:val="lowerLetter"/>
      <w:suff w:val="space"/>
      <w:lvlText w:val="%1)"/>
      <w:lvlJc w:val="left"/>
    </w:lvl>
  </w:abstractNum>
  <w:abstractNum w:abstractNumId="1">
    <w:nsid w:val="A9066C10"/>
    <w:multiLevelType w:val="singleLevel"/>
    <w:tmpl w:val="A9066C10"/>
    <w:lvl w:ilvl="0" w:tentative="0">
      <w:start w:val="1"/>
      <w:numFmt w:val="lowerLetter"/>
      <w:suff w:val="space"/>
      <w:lvlText w:val="%1)"/>
      <w:lvlJc w:val="left"/>
    </w:lvl>
  </w:abstractNum>
  <w:abstractNum w:abstractNumId="2">
    <w:nsid w:val="AC2083D9"/>
    <w:multiLevelType w:val="singleLevel"/>
    <w:tmpl w:val="AC2083D9"/>
    <w:lvl w:ilvl="0" w:tentative="0">
      <w:start w:val="1"/>
      <w:numFmt w:val="lowerLetter"/>
      <w:suff w:val="space"/>
      <w:lvlText w:val="%1)"/>
      <w:lvlJc w:val="left"/>
    </w:lvl>
  </w:abstractNum>
  <w:abstractNum w:abstractNumId="3">
    <w:nsid w:val="489D8CFE"/>
    <w:multiLevelType w:val="singleLevel"/>
    <w:tmpl w:val="489D8CFE"/>
    <w:lvl w:ilvl="0" w:tentative="0">
      <w:start w:val="1"/>
      <w:numFmt w:val="lowerLetter"/>
      <w:suff w:val="space"/>
      <w:lvlText w:val="%1)"/>
      <w:lvlJc w:val="left"/>
    </w:lvl>
  </w:abstractNum>
  <w:abstractNum w:abstractNumId="4">
    <w:nsid w:val="7415575B"/>
    <w:multiLevelType w:val="singleLevel"/>
    <w:tmpl w:val="7415575B"/>
    <w:lvl w:ilvl="0" w:tentative="0">
      <w:start w:val="1"/>
      <w:numFmt w:val="lowerLetter"/>
      <w:suff w:val="space"/>
      <w:lvlText w:val="%1)"/>
      <w:lvlJc w:val="left"/>
    </w:lvl>
  </w:abstractNum>
  <w:abstractNum w:abstractNumId="5">
    <w:nsid w:val="75872450"/>
    <w:multiLevelType w:val="singleLevel"/>
    <w:tmpl w:val="75872450"/>
    <w:lvl w:ilvl="0" w:tentative="0">
      <w:start w:val="1"/>
      <w:numFmt w:val="lowerLetter"/>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hdrShapeDefaults>
    <o:shapelayout v:ext="edit">
      <o:idmap v:ext="edit" data="1"/>
    </o:shapelayout>
  </w:hdrShapeDefaults>
  <w:footnotePr>
    <w:footnote w:id="0"/>
    <w:footnote w:id="1"/>
  </w:footnotePr>
  <w:endnotePr>
    <w:endnote w:id="0"/>
    <w:endnote w:id="1"/>
  </w:endnotePr>
  <w:compat>
    <w:doNotExpandShiftReturn/>
    <w:doNotWrapTextWithPunct/>
    <w:doNotUseEastAsianBreakRules/>
    <w:compatSetting w:name="compatibilityMode" w:uri="http://schemas.microsoft.com/office/word" w:val="12"/>
  </w:compat>
  <w:rsids>
    <w:rsidRoot w:val="00DD05C7"/>
    <w:rsid w:val="000D30D1"/>
    <w:rsid w:val="00120CA5"/>
    <w:rsid w:val="001361D2"/>
    <w:rsid w:val="00143317"/>
    <w:rsid w:val="0019142F"/>
    <w:rsid w:val="001C6628"/>
    <w:rsid w:val="002017A7"/>
    <w:rsid w:val="00305A3F"/>
    <w:rsid w:val="003A6F98"/>
    <w:rsid w:val="0040361B"/>
    <w:rsid w:val="004245D2"/>
    <w:rsid w:val="004509F5"/>
    <w:rsid w:val="004C2293"/>
    <w:rsid w:val="004D27E2"/>
    <w:rsid w:val="004D2F54"/>
    <w:rsid w:val="00532771"/>
    <w:rsid w:val="0055751E"/>
    <w:rsid w:val="005A7840"/>
    <w:rsid w:val="00707EF1"/>
    <w:rsid w:val="00710BDD"/>
    <w:rsid w:val="00742D45"/>
    <w:rsid w:val="0079516A"/>
    <w:rsid w:val="007D1974"/>
    <w:rsid w:val="0084451C"/>
    <w:rsid w:val="00850783"/>
    <w:rsid w:val="008A7458"/>
    <w:rsid w:val="008F31A1"/>
    <w:rsid w:val="009E6F53"/>
    <w:rsid w:val="00A0182F"/>
    <w:rsid w:val="00A245CA"/>
    <w:rsid w:val="00A25E2D"/>
    <w:rsid w:val="00A77C75"/>
    <w:rsid w:val="00A85D9E"/>
    <w:rsid w:val="00AC3D80"/>
    <w:rsid w:val="00AD0487"/>
    <w:rsid w:val="00B02493"/>
    <w:rsid w:val="00B039BC"/>
    <w:rsid w:val="00BF55EB"/>
    <w:rsid w:val="00C158C7"/>
    <w:rsid w:val="00C31491"/>
    <w:rsid w:val="00C37427"/>
    <w:rsid w:val="00C73FB5"/>
    <w:rsid w:val="00C85173"/>
    <w:rsid w:val="00CF71AA"/>
    <w:rsid w:val="00D470C6"/>
    <w:rsid w:val="00DD05C7"/>
    <w:rsid w:val="00DD4EFA"/>
    <w:rsid w:val="00E278AF"/>
    <w:rsid w:val="00E439EF"/>
    <w:rsid w:val="00E43BFC"/>
    <w:rsid w:val="00EE2C84"/>
    <w:rsid w:val="00F87924"/>
    <w:rsid w:val="00FE709C"/>
    <w:rsid w:val="017D6500"/>
    <w:rsid w:val="03E80AA6"/>
    <w:rsid w:val="04E600CB"/>
    <w:rsid w:val="09A14019"/>
    <w:rsid w:val="122F2209"/>
    <w:rsid w:val="139B38AF"/>
    <w:rsid w:val="15D10483"/>
    <w:rsid w:val="2F424F98"/>
    <w:rsid w:val="304624E1"/>
    <w:rsid w:val="32296673"/>
    <w:rsid w:val="36832FFC"/>
    <w:rsid w:val="39487007"/>
    <w:rsid w:val="42DB6A0E"/>
    <w:rsid w:val="4F7B5A41"/>
    <w:rsid w:val="5C2B6672"/>
    <w:rsid w:val="684E6EE8"/>
    <w:rsid w:val="691936F4"/>
    <w:rsid w:val="72492579"/>
    <w:rsid w:val="757F321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6"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Strong"/>
    <w:qFormat/>
    <w:uiPriority w:val="6"/>
    <w:rPr>
      <w:b/>
      <w:bCs/>
    </w:rPr>
  </w:style>
  <w:style w:type="paragraph" w:styleId="11">
    <w:name w:val="Body Text"/>
    <w:basedOn w:val="1"/>
    <w:link w:val="28"/>
    <w:qFormat/>
    <w:uiPriority w:val="1"/>
    <w:pPr>
      <w:tabs>
        <w:tab w:val="left" w:pos="2268"/>
      </w:tabs>
      <w:spacing w:before="120" w:after="120" w:line="360" w:lineRule="auto"/>
      <w:jc w:val="both"/>
    </w:pPr>
    <w:rPr>
      <w:rFonts w:ascii="Arial MT" w:hAnsi="Arial MT" w:eastAsia="Arial MT" w:cs="Arial MT"/>
      <w:lang w:val="pt-PT" w:eastAsia="en-US"/>
    </w:rPr>
  </w:style>
  <w:style w:type="paragraph" w:styleId="12">
    <w:name w:val="Title"/>
    <w:basedOn w:val="1"/>
    <w:next w:val="1"/>
    <w:qFormat/>
    <w:uiPriority w:val="10"/>
    <w:pPr>
      <w:keepNext/>
      <w:keepLines/>
      <w:spacing w:before="480" w:after="120"/>
    </w:pPr>
    <w:rPr>
      <w:b/>
      <w:sz w:val="72"/>
      <w:szCs w:val="72"/>
    </w:rPr>
  </w:style>
  <w:style w:type="paragraph" w:styleId="13">
    <w:name w:val="Normal (Web)"/>
    <w:basedOn w:val="1"/>
    <w:qFormat/>
    <w:uiPriority w:val="0"/>
    <w:pPr>
      <w:tabs>
        <w:tab w:val="left" w:pos="2268"/>
      </w:tabs>
      <w:spacing w:before="280" w:after="280" w:line="360" w:lineRule="auto"/>
      <w:jc w:val="both"/>
    </w:pPr>
    <w:rPr>
      <w:rFonts w:ascii="Arial" w:hAnsi="Arial" w:eastAsia="SimSun" w:cs="Times New Roman"/>
      <w:szCs w:val="20"/>
      <w:lang w:eastAsia="ar-SA"/>
    </w:rPr>
  </w:style>
  <w:style w:type="paragraph" w:styleId="14">
    <w:name w:val="header"/>
    <w:basedOn w:val="1"/>
    <w:link w:val="21"/>
    <w:unhideWhenUsed/>
    <w:qFormat/>
    <w:uiPriority w:val="99"/>
    <w:pPr>
      <w:tabs>
        <w:tab w:val="center" w:pos="4680"/>
        <w:tab w:val="right" w:pos="9360"/>
      </w:tabs>
      <w:spacing w:after="0" w:line="240" w:lineRule="auto"/>
    </w:pPr>
  </w:style>
  <w:style w:type="paragraph" w:styleId="15">
    <w:name w:val="footer"/>
    <w:basedOn w:val="1"/>
    <w:link w:val="22"/>
    <w:unhideWhenUsed/>
    <w:qFormat/>
    <w:uiPriority w:val="99"/>
    <w:pPr>
      <w:tabs>
        <w:tab w:val="center" w:pos="4680"/>
        <w:tab w:val="right" w:pos="9360"/>
      </w:tabs>
      <w:spacing w:after="0" w:line="240" w:lineRule="auto"/>
    </w:pPr>
  </w:style>
  <w:style w:type="paragraph" w:styleId="16">
    <w:name w:val="Body Text Indent 3"/>
    <w:basedOn w:val="1"/>
    <w:link w:val="29"/>
    <w:qFormat/>
    <w:uiPriority w:val="0"/>
    <w:pPr>
      <w:widowControl w:val="0"/>
      <w:tabs>
        <w:tab w:val="left" w:pos="2268"/>
      </w:tabs>
      <w:autoSpaceDE w:val="0"/>
      <w:autoSpaceDN w:val="0"/>
      <w:spacing w:before="120" w:after="120" w:line="360" w:lineRule="auto"/>
      <w:ind w:firstLine="850"/>
      <w:jc w:val="both"/>
    </w:pPr>
    <w:rPr>
      <w:rFonts w:ascii="Courier New" w:hAnsi="Courier New" w:eastAsia="SimSun" w:cs="Times New Roman"/>
      <w:color w:val="000000"/>
      <w:sz w:val="20"/>
      <w:szCs w:val="20"/>
      <w:lang w:eastAsia="ar-SA"/>
    </w:rPr>
  </w:style>
  <w:style w:type="paragraph" w:styleId="17">
    <w:name w:val="Balloon Text"/>
    <w:basedOn w:val="1"/>
    <w:link w:val="27"/>
    <w:semiHidden/>
    <w:unhideWhenUsed/>
    <w:qFormat/>
    <w:uiPriority w:val="99"/>
    <w:pPr>
      <w:spacing w:after="0" w:line="240" w:lineRule="auto"/>
    </w:pPr>
    <w:rPr>
      <w:rFonts w:ascii="Tahoma" w:hAnsi="Tahoma" w:cs="Tahoma"/>
      <w:sz w:val="16"/>
      <w:szCs w:val="16"/>
    </w:rPr>
  </w:style>
  <w:style w:type="paragraph" w:styleId="18">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19">
    <w:name w:val="Table Grid"/>
    <w:basedOn w:val="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20">
    <w:name w:val="Table Normal"/>
    <w:qFormat/>
    <w:uiPriority w:val="0"/>
    <w:tblPr>
      <w:tblCellMar>
        <w:top w:w="0" w:type="dxa"/>
        <w:left w:w="0" w:type="dxa"/>
        <w:bottom w:w="0" w:type="dxa"/>
        <w:right w:w="0" w:type="dxa"/>
      </w:tblCellMar>
    </w:tblPr>
  </w:style>
  <w:style w:type="character" w:customStyle="1" w:styleId="21">
    <w:name w:val="Cabeçalho Char"/>
    <w:basedOn w:val="8"/>
    <w:link w:val="14"/>
    <w:qFormat/>
    <w:uiPriority w:val="99"/>
  </w:style>
  <w:style w:type="character" w:customStyle="1" w:styleId="22">
    <w:name w:val="Rodapé Char"/>
    <w:basedOn w:val="8"/>
    <w:link w:val="15"/>
    <w:qFormat/>
    <w:uiPriority w:val="99"/>
  </w:style>
  <w:style w:type="paragraph" w:styleId="23">
    <w:name w:val="List Paragraph"/>
    <w:basedOn w:val="1"/>
    <w:link w:val="32"/>
    <w:qFormat/>
    <w:uiPriority w:val="34"/>
    <w:pPr>
      <w:ind w:left="720"/>
      <w:contextualSpacing/>
    </w:pPr>
  </w:style>
  <w:style w:type="table" w:customStyle="1" w:styleId="24">
    <w:name w:val="Grid Table Light"/>
    <w:basedOn w:val="9"/>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25">
    <w:name w:val="_Style 20"/>
    <w:basedOn w:val="9"/>
    <w:qFormat/>
    <w:uiPriority w:val="0"/>
    <w:tblPr>
      <w:tblCellMar>
        <w:top w:w="0" w:type="dxa"/>
        <w:left w:w="108" w:type="dxa"/>
        <w:bottom w:w="0" w:type="dxa"/>
        <w:right w:w="108" w:type="dxa"/>
      </w:tblCellMar>
    </w:tblPr>
  </w:style>
  <w:style w:type="table" w:customStyle="1" w:styleId="26">
    <w:name w:val="_Style 21"/>
    <w:basedOn w:val="9"/>
    <w:qFormat/>
    <w:uiPriority w:val="0"/>
    <w:tblPr>
      <w:tblCellMar>
        <w:top w:w="0" w:type="dxa"/>
        <w:left w:w="108" w:type="dxa"/>
        <w:bottom w:w="0" w:type="dxa"/>
        <w:right w:w="108" w:type="dxa"/>
      </w:tblCellMar>
    </w:tblPr>
  </w:style>
  <w:style w:type="character" w:customStyle="1" w:styleId="27">
    <w:name w:val="Texto de balão Char"/>
    <w:basedOn w:val="8"/>
    <w:link w:val="17"/>
    <w:semiHidden/>
    <w:qFormat/>
    <w:uiPriority w:val="99"/>
    <w:rPr>
      <w:rFonts w:ascii="Tahoma" w:hAnsi="Tahoma" w:cs="Tahoma"/>
      <w:sz w:val="16"/>
      <w:szCs w:val="16"/>
    </w:rPr>
  </w:style>
  <w:style w:type="character" w:customStyle="1" w:styleId="28">
    <w:name w:val="Corpo de texto Char"/>
    <w:basedOn w:val="8"/>
    <w:link w:val="11"/>
    <w:qFormat/>
    <w:uiPriority w:val="1"/>
    <w:rPr>
      <w:rFonts w:ascii="Arial MT" w:hAnsi="Arial MT" w:eastAsia="Arial MT" w:cs="Arial MT"/>
      <w:lang w:val="pt-PT" w:eastAsia="en-US"/>
    </w:rPr>
  </w:style>
  <w:style w:type="character" w:customStyle="1" w:styleId="29">
    <w:name w:val="Recuo de corpo de texto 3 Char"/>
    <w:basedOn w:val="8"/>
    <w:link w:val="16"/>
    <w:qFormat/>
    <w:uiPriority w:val="0"/>
    <w:rPr>
      <w:rFonts w:ascii="Courier New" w:hAnsi="Courier New" w:eastAsia="SimSun" w:cs="Times New Roman"/>
      <w:color w:val="000000"/>
      <w:sz w:val="20"/>
      <w:szCs w:val="20"/>
      <w:lang w:eastAsia="ar-SA"/>
    </w:rPr>
  </w:style>
  <w:style w:type="paragraph" w:customStyle="1" w:styleId="30">
    <w:name w:val="Título de tabela"/>
    <w:basedOn w:val="1"/>
    <w:qFormat/>
    <w:uiPriority w:val="0"/>
    <w:pPr>
      <w:widowControl w:val="0"/>
      <w:suppressLineNumbers/>
      <w:tabs>
        <w:tab w:val="left" w:pos="2268"/>
      </w:tabs>
      <w:spacing w:before="120" w:after="120" w:line="360" w:lineRule="auto"/>
      <w:jc w:val="center"/>
    </w:pPr>
    <w:rPr>
      <w:rFonts w:ascii="Arial" w:hAnsi="Arial" w:eastAsia="Lucida Sans Unicode" w:cs="Mangal"/>
      <w:b/>
      <w:i/>
      <w:kern w:val="1"/>
      <w:szCs w:val="20"/>
      <w:lang w:eastAsia="zh-CN" w:bidi="hi-IN"/>
    </w:rPr>
  </w:style>
  <w:style w:type="paragraph" w:customStyle="1" w:styleId="31">
    <w:name w:val="Corpo de texto 21"/>
    <w:basedOn w:val="1"/>
    <w:qFormat/>
    <w:uiPriority w:val="0"/>
    <w:pPr>
      <w:tabs>
        <w:tab w:val="left" w:pos="2268"/>
      </w:tabs>
      <w:overflowPunct w:val="0"/>
      <w:autoSpaceDE w:val="0"/>
      <w:spacing w:before="120" w:after="120" w:line="360" w:lineRule="auto"/>
      <w:ind w:left="360"/>
      <w:jc w:val="both"/>
      <w:textAlignment w:val="baseline"/>
    </w:pPr>
    <w:rPr>
      <w:rFonts w:ascii="Arial" w:hAnsi="Arial" w:eastAsia="SimSun" w:cs="Times New Roman"/>
      <w:szCs w:val="20"/>
      <w:lang w:eastAsia="ar-SA"/>
    </w:rPr>
  </w:style>
  <w:style w:type="character" w:customStyle="1" w:styleId="32">
    <w:name w:val="Parágrafo da Lista Char"/>
    <w:link w:val="23"/>
    <w:qFormat/>
    <w:locked/>
    <w:uiPriority w:val="34"/>
  </w:style>
  <w:style w:type="character" w:customStyle="1" w:styleId="33">
    <w:name w:val="Link da Internet"/>
    <w:unhideWhenUsed/>
    <w:qFormat/>
    <w:uiPriority w:val="99"/>
    <w:rPr>
      <w:color w:val="0563C1"/>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customXml/itemProps3.xml><?xml version="1.0" encoding="utf-8"?>
<ds:datastoreItem xmlns:ds="http://schemas.openxmlformats.org/officeDocument/2006/customXml" ds:itemID="{0F1CCE40-2C3A-43AD-AF60-4D0462B8F229}">
  <ds:schemaRefs/>
</ds:datastoreItem>
</file>

<file path=docProps/app.xml><?xml version="1.0" encoding="utf-8"?>
<Properties xmlns="http://schemas.openxmlformats.org/officeDocument/2006/extended-properties" xmlns:vt="http://schemas.openxmlformats.org/officeDocument/2006/docPropsVTypes">
  <Template>Normal.dotm</Template>
  <Pages>7</Pages>
  <Words>3712</Words>
  <Characters>20050</Characters>
  <Lines>167</Lines>
  <Paragraphs>47</Paragraphs>
  <TotalTime>1</TotalTime>
  <ScaleCrop>false</ScaleCrop>
  <LinksUpToDate>false</LinksUpToDate>
  <CharactersWithSpaces>23715</CharactersWithSpaces>
  <Application>WPS Office_12.2.0.23202_F1E327BC-269C-435d-A152-05C5408002CA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2026-04-09T14:03:00Z</dcterms:created>
  <dc:creator>nicole leyser alves</dc:creator>
  <cp:lastModifiedBy>rafaela.allebrandt</cp:lastModifiedBy>
  <dcterms:modified xsi:type="dcterms:W3CDTF">2026-06-15T18:16:55Z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1046-12.2.0.23202</vt:lpwstr>
  </property>
  <property fmtid="{D5CDD505-2E9C-101B-9397-08002B2CF9AE}" pid="3" name="ICV">
    <vt:lpwstr>A7359C8554784BB6BCE85EAE83E0FD2C_12</vt:lpwstr>
  </property>
</Properties>
</file>