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DDAEE">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Minuta Ata de Registro de Preços</w:t>
      </w:r>
    </w:p>
    <w:p w14:paraId="717B5EE2">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Nº xxx-01/2026</w:t>
      </w:r>
    </w:p>
    <w:p w14:paraId="382F78A5">
      <w:pPr>
        <w:tabs>
          <w:tab w:val="left" w:pos="8360"/>
        </w:tabs>
        <w:ind w:right="-53" w:rightChars="-24"/>
        <w:rPr>
          <w:rFonts w:ascii="Times New Roman" w:hAnsi="Times New Roman" w:eastAsia="Arial-BoldMT"/>
          <w:b/>
          <w:bCs/>
        </w:rPr>
      </w:pPr>
      <w:r>
        <w:rPr>
          <w:rFonts w:ascii="Times New Roman" w:hAnsi="Times New Roman" w:cs="Times New Roman"/>
          <w:b/>
        </w:rPr>
        <w:tab/>
      </w:r>
    </w:p>
    <w:p w14:paraId="351294A8">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PREGÃO ELETRÔNICO Nº 04</w:t>
      </w:r>
      <w:r>
        <w:rPr>
          <w:rFonts w:hint="default" w:ascii="Times New Roman" w:hAnsi="Times New Roman" w:eastAsia="Arial-BoldMT" w:cs="Times New Roman"/>
          <w:b/>
          <w:bCs/>
          <w:lang w:val="pt-BR"/>
        </w:rPr>
        <w:t>4</w:t>
      </w:r>
      <w:r>
        <w:rPr>
          <w:rFonts w:ascii="Times New Roman" w:hAnsi="Times New Roman" w:eastAsia="Arial-BoldMT" w:cs="Times New Roman"/>
          <w:b/>
          <w:bCs/>
        </w:rPr>
        <w:t>/2026</w:t>
      </w:r>
    </w:p>
    <w:p w14:paraId="4328D0C5">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NÚMERO CONTROLE: 0</w:t>
      </w:r>
      <w:r>
        <w:rPr>
          <w:rFonts w:ascii="Times New Roman" w:hAnsi="Times New Roman" w:eastAsia="Arial-BoldMT"/>
          <w:b/>
          <w:bCs/>
        </w:rPr>
        <w:t>4</w:t>
      </w:r>
      <w:r>
        <w:rPr>
          <w:rFonts w:hint="default" w:ascii="Times New Roman" w:hAnsi="Times New Roman" w:eastAsia="Arial-BoldMT"/>
          <w:b/>
          <w:bCs/>
          <w:lang w:val="pt-BR"/>
        </w:rPr>
        <w:t>4</w:t>
      </w:r>
      <w:r>
        <w:rPr>
          <w:rFonts w:ascii="Times New Roman" w:hAnsi="Times New Roman" w:eastAsia="Arial-BoldMT"/>
          <w:b/>
          <w:bCs/>
        </w:rPr>
        <w:t>/2026</w:t>
      </w:r>
    </w:p>
    <w:p w14:paraId="6EAE3E79">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VALIDADE: 12 (DOZE) MESES</w:t>
      </w:r>
    </w:p>
    <w:p w14:paraId="4C0BE026">
      <w:pPr>
        <w:pStyle w:val="10"/>
        <w:tabs>
          <w:tab w:val="left" w:leader="dot" w:pos="7610"/>
          <w:tab w:val="left" w:pos="8360"/>
          <w:tab w:val="left" w:pos="8800"/>
        </w:tabs>
        <w:spacing w:line="240" w:lineRule="auto"/>
        <w:ind w:right="-53" w:rightChars="-24"/>
        <w:rPr>
          <w:rFonts w:ascii="Times New Roman" w:hAnsi="Times New Roman" w:cs="Times New Roman"/>
        </w:rPr>
      </w:pPr>
    </w:p>
    <w:p w14:paraId="3DA2ECC6">
      <w:pPr>
        <w:pStyle w:val="10"/>
        <w:tabs>
          <w:tab w:val="left" w:leader="dot" w:pos="7610"/>
          <w:tab w:val="left" w:pos="8360"/>
          <w:tab w:val="left" w:pos="8800"/>
        </w:tabs>
        <w:spacing w:line="240" w:lineRule="auto"/>
        <w:ind w:right="-53" w:rightChars="-24" w:firstLine="1210" w:firstLineChars="550"/>
        <w:rPr>
          <w:rFonts w:ascii="Times New Roman" w:hAnsi="Times New Roman" w:cs="Times New Roman"/>
        </w:rPr>
      </w:pPr>
      <w:r>
        <w:rPr>
          <w:rFonts w:ascii="Times New Roman" w:hAnsi="Times New Roman" w:cs="Times New Roman"/>
        </w:rPr>
        <w:t xml:space="preserve">Aos ……. dias do mês de ……. do ano de dois mil e vinte e </w:t>
      </w:r>
      <w:r>
        <w:rPr>
          <w:rFonts w:ascii="Times New Roman" w:hAnsi="Times New Roman" w:cs="Times New Roman"/>
          <w:lang w:val="pt-BR"/>
        </w:rPr>
        <w:t>seis</w:t>
      </w:r>
      <w:r>
        <w:rPr>
          <w:rFonts w:ascii="Times New Roman" w:hAnsi="Times New Roman" w:cs="Times New Roman"/>
        </w:rPr>
        <w:t xml:space="preserve">, o </w:t>
      </w:r>
      <w:r>
        <w:rPr>
          <w:rFonts w:ascii="Times New Roman" w:hAnsi="Times New Roman" w:cs="Times New Roman"/>
          <w:b/>
        </w:rPr>
        <w:t>MUNICÍPIO DE</w:t>
      </w:r>
      <w:r>
        <w:rPr>
          <w:rFonts w:ascii="Times New Roman" w:hAnsi="Times New Roman" w:cs="Times New Roman"/>
          <w:b/>
          <w:spacing w:val="40"/>
        </w:rPr>
        <w:t xml:space="preserve"> </w:t>
      </w:r>
      <w:r>
        <w:rPr>
          <w:rFonts w:ascii="Times New Roman" w:hAnsi="Times New Roman" w:cs="Times New Roman"/>
          <w:b/>
          <w:lang w:val="pt-BR"/>
        </w:rPr>
        <w:t>TEUTÔNIA</w:t>
      </w:r>
      <w:r>
        <w:rPr>
          <w:rFonts w:ascii="Times New Roman" w:hAnsi="Times New Roman" w:cs="Times New Roman"/>
          <w:b/>
        </w:rPr>
        <w:t>/RS</w:t>
      </w:r>
      <w:r>
        <w:rPr>
          <w:rFonts w:ascii="Times New Roman" w:hAnsi="Times New Roman" w:cs="Times New Roman"/>
        </w:rPr>
        <w:t xml:space="preserve">, pessoa jurídica de direito público, inscrito no CNPJ sob nº </w:t>
      </w:r>
      <w:r>
        <w:rPr>
          <w:rFonts w:ascii="Times New Roman" w:hAnsi="Times New Roman" w:cs="Times New Roman"/>
          <w:lang w:val="pt-BR"/>
        </w:rPr>
        <w:t xml:space="preserve">88.661.400/0001-99, </w:t>
      </w:r>
      <w:r>
        <w:rPr>
          <w:rFonts w:ascii="Times New Roman" w:hAnsi="Times New Roman" w:eastAsia="ArialMT" w:cs="Times New Roman"/>
        </w:rPr>
        <w:t xml:space="preserve">sita na </w:t>
      </w:r>
      <w:r>
        <w:rPr>
          <w:rFonts w:ascii="Times New Roman" w:hAnsi="Times New Roman" w:cs="Times New Roman"/>
          <w:shd w:val="clear" w:color="auto" w:fill="FFFFFF"/>
        </w:rPr>
        <w:t>Avenida 1 Oeste, 878, Bairro Centro Administrativo</w:t>
      </w:r>
      <w:r>
        <w:rPr>
          <w:rFonts w:ascii="Times New Roman" w:hAnsi="Times New Roman" w:eastAsia="ArialMT" w:cs="Times New Roman"/>
        </w:rPr>
        <w:t>, Teutônia/RS</w:t>
      </w:r>
      <w:r>
        <w:rPr>
          <w:rFonts w:ascii="Times New Roman" w:hAnsi="Times New Roman" w:cs="Times New Roman"/>
        </w:rPr>
        <w:t xml:space="preserve">, neste ato representado pelo Prefeito Municipal, Sr. </w:t>
      </w:r>
      <w:r>
        <w:rPr>
          <w:rFonts w:ascii="Times New Roman" w:hAnsi="Times New Roman" w:cs="Times New Roman"/>
          <w:lang w:val="pt-BR"/>
        </w:rPr>
        <w:t>Renato Airton Altmann</w:t>
      </w:r>
      <w:r>
        <w:rPr>
          <w:rFonts w:ascii="Times New Roman" w:hAnsi="Times New Roman" w:cs="Times New Roman"/>
        </w:rPr>
        <w:t xml:space="preserve">, brasileiro, </w:t>
      </w:r>
      <w:r>
        <w:rPr>
          <w:rFonts w:ascii="Times New Roman" w:hAnsi="Times New Roman" w:cs="Times New Roman"/>
          <w:lang w:val="pt-BR"/>
        </w:rPr>
        <w:t xml:space="preserve">inscrito no </w:t>
      </w:r>
      <w:r>
        <w:rPr>
          <w:rFonts w:ascii="Times New Roman" w:hAnsi="Times New Roman" w:cs="Times New Roman"/>
        </w:rPr>
        <w:t>CPF</w:t>
      </w:r>
      <w:r>
        <w:rPr>
          <w:rFonts w:ascii="Times New Roman" w:hAnsi="Times New Roman" w:cs="Times New Roman"/>
          <w:lang w:val="pt-BR"/>
        </w:rPr>
        <w:t xml:space="preserve"> sob o</w:t>
      </w:r>
      <w:r>
        <w:rPr>
          <w:rFonts w:ascii="Times New Roman" w:hAnsi="Times New Roman" w:cs="Times New Roman"/>
        </w:rPr>
        <w:t xml:space="preserve"> nº  381.251.610-15, residente e domiciliado em </w:t>
      </w:r>
      <w:r>
        <w:rPr>
          <w:rFonts w:ascii="Times New Roman" w:hAnsi="Times New Roman" w:cs="Times New Roman"/>
          <w:lang w:val="pt-BR"/>
        </w:rPr>
        <w:t>Teutônia</w:t>
      </w:r>
      <w:r>
        <w:rPr>
          <w:rFonts w:ascii="Times New Roman" w:hAnsi="Times New Roman" w:cs="Times New Roman"/>
        </w:rPr>
        <w:t xml:space="preserve">/RS, doravante denominado </w:t>
      </w:r>
      <w:r>
        <w:rPr>
          <w:rFonts w:ascii="Times New Roman" w:hAnsi="Times New Roman" w:cs="Times New Roman"/>
          <w:b/>
        </w:rPr>
        <w:t>MUNICÍPIO</w:t>
      </w:r>
      <w:r>
        <w:rPr>
          <w:rFonts w:ascii="Times New Roman" w:hAnsi="Times New Roman" w:cs="Times New Roman"/>
        </w:rPr>
        <w:t>, resolve</w:t>
      </w:r>
      <w:r>
        <w:rPr>
          <w:rFonts w:ascii="Times New Roman" w:hAnsi="Times New Roman" w:cs="Times New Roman"/>
          <w:spacing w:val="7"/>
        </w:rPr>
        <w:t xml:space="preserve"> </w:t>
      </w:r>
      <w:r>
        <w:rPr>
          <w:rFonts w:ascii="Times New Roman" w:hAnsi="Times New Roman" w:cs="Times New Roman"/>
        </w:rPr>
        <w:t>REGISTRAR</w:t>
      </w:r>
      <w:r>
        <w:rPr>
          <w:rFonts w:ascii="Times New Roman" w:hAnsi="Times New Roman" w:cs="Times New Roman"/>
          <w:spacing w:val="9"/>
        </w:rPr>
        <w:t xml:space="preserve"> </w:t>
      </w:r>
      <w:r>
        <w:rPr>
          <w:rFonts w:ascii="Times New Roman" w:hAnsi="Times New Roman" w:cs="Times New Roman"/>
        </w:rPr>
        <w:t>o</w:t>
      </w:r>
      <w:r>
        <w:rPr>
          <w:rFonts w:ascii="Times New Roman" w:hAnsi="Times New Roman" w:cs="Times New Roman"/>
          <w:spacing w:val="9"/>
        </w:rPr>
        <w:t xml:space="preserve"> </w:t>
      </w:r>
      <w:r>
        <w:rPr>
          <w:rFonts w:ascii="Times New Roman" w:hAnsi="Times New Roman" w:cs="Times New Roman"/>
        </w:rPr>
        <w:t>preço</w:t>
      </w:r>
      <w:r>
        <w:rPr>
          <w:rFonts w:ascii="Times New Roman" w:hAnsi="Times New Roman" w:cs="Times New Roman"/>
          <w:spacing w:val="9"/>
        </w:rPr>
        <w:t xml:space="preserve"> </w:t>
      </w:r>
      <w:r>
        <w:rPr>
          <w:rFonts w:ascii="Times New Roman" w:hAnsi="Times New Roman" w:cs="Times New Roman"/>
        </w:rPr>
        <w:t>oferecido</w:t>
      </w:r>
      <w:r>
        <w:rPr>
          <w:rFonts w:ascii="Times New Roman" w:hAnsi="Times New Roman" w:cs="Times New Roman"/>
          <w:spacing w:val="9"/>
        </w:rPr>
        <w:t xml:space="preserve"> </w:t>
      </w:r>
      <w:r>
        <w:rPr>
          <w:rFonts w:ascii="Times New Roman" w:hAnsi="Times New Roman" w:cs="Times New Roman"/>
        </w:rPr>
        <w:t>pela</w:t>
      </w:r>
      <w:r>
        <w:rPr>
          <w:rFonts w:ascii="Times New Roman" w:hAnsi="Times New Roman" w:cs="Times New Roman"/>
          <w:spacing w:val="10"/>
        </w:rPr>
        <w:t xml:space="preserve"> </w:t>
      </w:r>
      <w:r>
        <w:rPr>
          <w:rFonts w:ascii="Times New Roman" w:hAnsi="Times New Roman" w:cs="Times New Roman"/>
          <w:spacing w:val="-2"/>
        </w:rPr>
        <w:t>empresa</w:t>
      </w:r>
      <w:r>
        <w:rPr>
          <w:rFonts w:ascii="Times New Roman" w:hAnsi="Times New Roman" w:cs="Times New Roman"/>
          <w:spacing w:val="-2"/>
          <w:lang w:val="pt-BR"/>
        </w:rPr>
        <w:t xml:space="preserve"> XX</w:t>
      </w:r>
      <w:r>
        <w:rPr>
          <w:rFonts w:ascii="Times New Roman" w:hAnsi="Times New Roman" w:cs="Times New Roman"/>
        </w:rPr>
        <w:t>,</w:t>
      </w:r>
      <w:r>
        <w:rPr>
          <w:rFonts w:ascii="Times New Roman" w:hAnsi="Times New Roman" w:cs="Times New Roman"/>
          <w:spacing w:val="8"/>
        </w:rPr>
        <w:t xml:space="preserve"> </w:t>
      </w:r>
      <w:r>
        <w:rPr>
          <w:rFonts w:ascii="Times New Roman" w:hAnsi="Times New Roman" w:cs="Times New Roman"/>
        </w:rPr>
        <w:t>inscrita</w:t>
      </w:r>
      <w:r>
        <w:rPr>
          <w:rFonts w:ascii="Times New Roman" w:hAnsi="Times New Roman" w:cs="Times New Roman"/>
          <w:spacing w:val="11"/>
        </w:rPr>
        <w:t xml:space="preserve"> </w:t>
      </w:r>
      <w:r>
        <w:rPr>
          <w:rFonts w:ascii="Times New Roman" w:hAnsi="Times New Roman" w:cs="Times New Roman"/>
        </w:rPr>
        <w:t>no</w:t>
      </w:r>
      <w:r>
        <w:rPr>
          <w:rFonts w:ascii="Times New Roman" w:hAnsi="Times New Roman" w:cs="Times New Roman"/>
          <w:spacing w:val="-3"/>
        </w:rPr>
        <w:t xml:space="preserve"> </w:t>
      </w:r>
      <w:r>
        <w:rPr>
          <w:rFonts w:ascii="Times New Roman" w:hAnsi="Times New Roman" w:cs="Times New Roman"/>
        </w:rPr>
        <w:t>CNPJ</w:t>
      </w:r>
      <w:r>
        <w:rPr>
          <w:rFonts w:ascii="Times New Roman" w:hAnsi="Times New Roman" w:cs="Times New Roman"/>
          <w:spacing w:val="-3"/>
        </w:rPr>
        <w:t xml:space="preserve"> </w:t>
      </w:r>
      <w:r>
        <w:rPr>
          <w:rFonts w:ascii="Times New Roman" w:hAnsi="Times New Roman" w:cs="Times New Roman"/>
          <w:spacing w:val="-5"/>
        </w:rPr>
        <w:t>sob</w:t>
      </w:r>
      <w:r>
        <w:rPr>
          <w:rFonts w:ascii="Times New Roman" w:hAnsi="Times New Roman" w:cs="Times New Roman"/>
          <w:spacing w:val="-5"/>
          <w:lang w:val="pt-BR"/>
        </w:rPr>
        <w:t xml:space="preserve"> </w:t>
      </w:r>
      <w:r>
        <w:rPr>
          <w:rFonts w:ascii="Times New Roman" w:hAnsi="Times New Roman" w:cs="Times New Roman"/>
        </w:rPr>
        <w:t xml:space="preserve">nº …………...…., com sede na Rua ..., doravante denominada </w:t>
      </w:r>
      <w:r>
        <w:rPr>
          <w:rFonts w:ascii="Times New Roman" w:hAnsi="Times New Roman" w:cs="Times New Roman"/>
          <w:b/>
        </w:rPr>
        <w:t>DETENTORA</w:t>
      </w:r>
      <w:r>
        <w:rPr>
          <w:rFonts w:ascii="Times New Roman" w:hAnsi="Times New Roman" w:cs="Times New Roman"/>
        </w:rPr>
        <w:t>, neste ato representada por seu(a) responsável legal, Sr(a). ….., inscrito no CPF sob o nº …., residente e domiciliado(a) na ….., em face da proposta classificada em primeiro lugar no Pregão na Forma Eletrônica nº 0</w:t>
      </w:r>
      <w:r>
        <w:rPr>
          <w:rFonts w:ascii="Times New Roman" w:hAnsi="Times New Roman" w:cs="Times New Roman"/>
          <w:lang w:val="pt-BR"/>
        </w:rPr>
        <w:t>4</w:t>
      </w:r>
      <w:r>
        <w:rPr>
          <w:rFonts w:hint="default" w:ascii="Times New Roman" w:hAnsi="Times New Roman" w:cs="Times New Roman"/>
          <w:lang w:val="pt-BR"/>
        </w:rPr>
        <w:t>4</w:t>
      </w:r>
      <w:r>
        <w:rPr>
          <w:rFonts w:ascii="Times New Roman" w:hAnsi="Times New Roman" w:cs="Times New Roman"/>
          <w:lang w:val="pt-BR"/>
        </w:rPr>
        <w:t>/2026</w:t>
      </w:r>
      <w:r>
        <w:rPr>
          <w:rFonts w:ascii="Times New Roman" w:hAnsi="Times New Roman" w:cs="Times New Roman"/>
        </w:rPr>
        <w:t>, elaborado com fulcro na Lei Federal 14.133/2021,</w:t>
      </w:r>
      <w:r>
        <w:rPr>
          <w:rFonts w:ascii="Times New Roman" w:hAnsi="Times New Roman" w:cs="Times New Roman"/>
          <w:spacing w:val="-4"/>
        </w:rPr>
        <w:t xml:space="preserve"> </w:t>
      </w:r>
      <w:r>
        <w:rPr>
          <w:rFonts w:ascii="Times New Roman" w:hAnsi="Times New Roman" w:cs="Times New Roman"/>
        </w:rPr>
        <w:t>no</w:t>
      </w:r>
      <w:r>
        <w:rPr>
          <w:rFonts w:ascii="Times New Roman" w:hAnsi="Times New Roman" w:cs="Times New Roman"/>
          <w:spacing w:val="-4"/>
        </w:rPr>
        <w:t xml:space="preserve"> </w:t>
      </w:r>
      <w:r>
        <w:rPr>
          <w:rFonts w:ascii="Times New Roman" w:hAnsi="Times New Roman" w:cs="Times New Roman"/>
        </w:rPr>
        <w:t>Decreto</w:t>
      </w:r>
      <w:r>
        <w:rPr>
          <w:rFonts w:ascii="Times New Roman" w:hAnsi="Times New Roman" w:cs="Times New Roman"/>
          <w:spacing w:val="-4"/>
        </w:rPr>
        <w:t xml:space="preserve"> </w:t>
      </w:r>
      <w:r>
        <w:rPr>
          <w:rFonts w:ascii="Times New Roman" w:hAnsi="Times New Roman" w:cs="Times New Roman"/>
        </w:rPr>
        <w:t>Municipal</w:t>
      </w:r>
      <w:r>
        <w:rPr>
          <w:rFonts w:ascii="Times New Roman" w:hAnsi="Times New Roman" w:cs="Times New Roman"/>
          <w:spacing w:val="-4"/>
        </w:rPr>
        <w:t xml:space="preserve"> </w:t>
      </w:r>
      <w:r>
        <w:rPr>
          <w:rFonts w:ascii="Times New Roman" w:hAnsi="Times New Roman" w:cs="Times New Roman"/>
        </w:rPr>
        <w:t xml:space="preserve">n° </w:t>
      </w:r>
      <w:r>
        <w:rPr>
          <w:rFonts w:ascii="Times New Roman" w:hAnsi="Times New Roman" w:cs="Times New Roman"/>
          <w:lang w:val="pt-BR"/>
        </w:rPr>
        <w:t>3.250</w:t>
      </w:r>
      <w:r>
        <w:rPr>
          <w:rFonts w:ascii="Times New Roman" w:hAnsi="Times New Roman" w:cs="Times New Roman"/>
        </w:rPr>
        <w:t>/2023</w:t>
      </w:r>
      <w:r>
        <w:rPr>
          <w:rFonts w:ascii="Times New Roman" w:hAnsi="Times New Roman" w:cs="Times New Roman"/>
          <w:lang w:val="pt-BR"/>
        </w:rPr>
        <w:t xml:space="preserve">, </w:t>
      </w:r>
      <w:r>
        <w:rPr>
          <w:rFonts w:ascii="Times New Roman" w:hAnsi="Times New Roman" w:eastAsia="Arial Unicode MS" w:cs="Times New Roman"/>
          <w:snapToGrid w:val="0"/>
          <w:lang w:eastAsia="pt-BR"/>
        </w:rPr>
        <w:t xml:space="preserve">Protocolo nº </w:t>
      </w:r>
      <w:r>
        <w:rPr>
          <w:rFonts w:ascii="Times New Roman" w:hAnsi="Times New Roman" w:eastAsia="Arial Unicode MS" w:cs="Times New Roman"/>
          <w:snapToGrid w:val="0"/>
          <w:lang w:val="en-US" w:eastAsia="pt-BR"/>
        </w:rPr>
        <w:t>2026/</w:t>
      </w:r>
      <w:r>
        <w:rPr>
          <w:rFonts w:hint="default" w:ascii="Times New Roman" w:hAnsi="Times New Roman" w:eastAsia="Arial Unicode MS" w:cs="Times New Roman"/>
          <w:snapToGrid w:val="0"/>
          <w:lang w:val="en-US" w:eastAsia="pt-BR"/>
        </w:rPr>
        <w:t>3075</w:t>
      </w:r>
      <w:r>
        <w:rPr>
          <w:rFonts w:ascii="Times New Roman" w:hAnsi="Times New Roman" w:eastAsia="Arial Unicode MS" w:cs="Times New Roman"/>
          <w:snapToGrid w:val="0"/>
          <w:lang w:val="en-US" w:eastAsia="pt-BR"/>
        </w:rPr>
        <w:t xml:space="preserve"> </w:t>
      </w:r>
      <w:r>
        <w:rPr>
          <w:rFonts w:ascii="Times New Roman" w:hAnsi="Times New Roman" w:cs="Times New Roman"/>
        </w:rPr>
        <w:t>e demais normas</w:t>
      </w:r>
      <w:r>
        <w:rPr>
          <w:rFonts w:ascii="Times New Roman" w:hAnsi="Times New Roman" w:cs="Times New Roman"/>
          <w:spacing w:val="-3"/>
        </w:rPr>
        <w:t xml:space="preserve"> </w:t>
      </w:r>
      <w:r>
        <w:rPr>
          <w:rFonts w:ascii="Times New Roman" w:hAnsi="Times New Roman" w:cs="Times New Roman"/>
        </w:rPr>
        <w:t>aplicáveis,</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eventual</w:t>
      </w:r>
      <w:r>
        <w:rPr>
          <w:rFonts w:ascii="Times New Roman" w:hAnsi="Times New Roman" w:cs="Times New Roman"/>
          <w:spacing w:val="-3"/>
        </w:rPr>
        <w:t xml:space="preserve"> </w:t>
      </w:r>
      <w:r>
        <w:rPr>
          <w:rFonts w:ascii="Times New Roman" w:hAnsi="Times New Roman" w:cs="Times New Roman"/>
        </w:rPr>
        <w:t>aquisição,</w:t>
      </w:r>
      <w:r>
        <w:rPr>
          <w:rFonts w:ascii="Times New Roman" w:hAnsi="Times New Roman" w:cs="Times New Roman"/>
          <w:spacing w:val="-3"/>
        </w:rPr>
        <w:t xml:space="preserve"> </w:t>
      </w:r>
      <w:r>
        <w:rPr>
          <w:rFonts w:ascii="Times New Roman" w:hAnsi="Times New Roman" w:cs="Times New Roman"/>
        </w:rPr>
        <w:t>nas</w:t>
      </w:r>
      <w:r>
        <w:rPr>
          <w:rFonts w:ascii="Times New Roman" w:hAnsi="Times New Roman" w:cs="Times New Roman"/>
          <w:spacing w:val="-3"/>
        </w:rPr>
        <w:t xml:space="preserve"> </w:t>
      </w:r>
      <w:r>
        <w:rPr>
          <w:rFonts w:ascii="Times New Roman" w:hAnsi="Times New Roman" w:cs="Times New Roman"/>
        </w:rPr>
        <w:t>condições</w:t>
      </w:r>
      <w:r>
        <w:rPr>
          <w:rFonts w:ascii="Times New Roman" w:hAnsi="Times New Roman" w:cs="Times New Roman"/>
          <w:spacing w:val="-3"/>
        </w:rPr>
        <w:t xml:space="preserve"> </w:t>
      </w:r>
      <w:r>
        <w:rPr>
          <w:rFonts w:ascii="Times New Roman" w:hAnsi="Times New Roman" w:cs="Times New Roman"/>
        </w:rPr>
        <w:t>estabelecidas neste instrumento, dos objetos abaixo discriminados.</w:t>
      </w:r>
    </w:p>
    <w:p w14:paraId="06880349">
      <w:pPr>
        <w:pStyle w:val="10"/>
        <w:tabs>
          <w:tab w:val="left" w:pos="8360"/>
        </w:tabs>
        <w:spacing w:before="253" w:line="240" w:lineRule="auto"/>
        <w:ind w:right="-53" w:rightChars="-24"/>
        <w:rPr>
          <w:rFonts w:ascii="Times New Roman" w:hAnsi="Times New Roman" w:eastAsia="SimSun"/>
          <w:lang w:val="pt-BR"/>
        </w:rPr>
      </w:pPr>
      <w:r>
        <w:rPr>
          <w:rFonts w:ascii="Times New Roman" w:hAnsi="Times New Roman" w:cs="Times New Roman"/>
          <w:b/>
        </w:rPr>
        <w:t>CLÁUSULA</w:t>
      </w:r>
      <w:r>
        <w:rPr>
          <w:rFonts w:ascii="Times New Roman" w:hAnsi="Times New Roman" w:cs="Times New Roman"/>
          <w:b/>
          <w:spacing w:val="40"/>
        </w:rPr>
        <w:t xml:space="preserve"> </w:t>
      </w:r>
      <w:r>
        <w:rPr>
          <w:rFonts w:ascii="Times New Roman" w:hAnsi="Times New Roman" w:cs="Times New Roman"/>
          <w:b/>
        </w:rPr>
        <w:t>PRIMEIRA</w:t>
      </w:r>
      <w:r>
        <w:rPr>
          <w:rFonts w:ascii="Times New Roman" w:hAnsi="Times New Roman" w:cs="Times New Roman"/>
          <w:b/>
          <w:spacing w:val="40"/>
        </w:rPr>
        <w:t xml:space="preserve"> </w:t>
      </w:r>
      <w:r>
        <w:rPr>
          <w:rFonts w:ascii="Times New Roman" w:hAnsi="Times New Roman" w:cs="Times New Roman"/>
        </w:rPr>
        <w:t>–</w:t>
      </w:r>
      <w:r>
        <w:rPr>
          <w:rFonts w:ascii="Times New Roman" w:hAnsi="Times New Roman" w:cs="Times New Roman"/>
          <w:spacing w:val="40"/>
        </w:rPr>
        <w:t xml:space="preserve"> </w:t>
      </w:r>
      <w:r>
        <w:rPr>
          <w:rFonts w:ascii="Times New Roman" w:hAnsi="Times New Roman" w:eastAsia="ArialMT" w:cs="Times New Roman"/>
        </w:rPr>
        <w:t>A presente Ata tem por objeto o Registro de Preços</w:t>
      </w:r>
      <w:r>
        <w:rPr>
          <w:rFonts w:ascii="Times New Roman" w:hAnsi="Times New Roman" w:eastAsia="ArialMT" w:cs="Times New Roman"/>
          <w:lang w:val="pt-BR"/>
        </w:rPr>
        <w:t xml:space="preserve"> </w:t>
      </w:r>
      <w:r>
        <w:rPr>
          <w:rFonts w:ascii="Times New Roman" w:hAnsi="Times New Roman" w:cs="Times New Roman"/>
          <w:lang w:val="pt-BR"/>
        </w:rPr>
        <w:t xml:space="preserve">visando a </w:t>
      </w:r>
      <w:r>
        <w:rPr>
          <w:rFonts w:ascii="Times New Roman" w:hAnsi="Times New Roman" w:eastAsia="SimSun" w:cs="Times New Roman"/>
        </w:rPr>
        <w:t xml:space="preserve">aquisição </w:t>
      </w:r>
      <w:r>
        <w:rPr>
          <w:rFonts w:hint="default" w:ascii="Times New Roman" w:hAnsi="Times New Roman" w:cs="Times New Roman"/>
          <w:sz w:val="24"/>
          <w:szCs w:val="24"/>
        </w:rPr>
        <w:t>de insumos para monitoramento de glicemia capilar e insumos para aplicação de insulina em pacientes portadores de diabetes e insulino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dependentes</w:t>
      </w:r>
      <w:r>
        <w:rPr>
          <w:rFonts w:hint="default" w:ascii="Times New Roman" w:hAnsi="Times New Roman" w:cs="Times New Roman"/>
          <w:sz w:val="24"/>
          <w:szCs w:val="24"/>
          <w:lang w:val="pt-BR"/>
        </w:rPr>
        <w:t>,</w:t>
      </w:r>
      <w:r>
        <w:rPr>
          <w:rFonts w:ascii="Times New Roman" w:hAnsi="Times New Roman" w:cs="Times New Roman"/>
          <w:color w:val="000000"/>
          <w:lang w:val="pt-BR"/>
        </w:rPr>
        <w:t xml:space="preserve"> </w:t>
      </w:r>
      <w:r>
        <w:rPr>
          <w:rFonts w:ascii="Times New Roman" w:hAnsi="Times New Roman" w:cs="Times New Roman"/>
        </w:rPr>
        <w:t xml:space="preserve">conforme as disposições estabelecidas no Pregão na Forma Eletrônica </w:t>
      </w:r>
      <w:r>
        <w:rPr>
          <w:rFonts w:ascii="Times New Roman" w:hAnsi="Times New Roman" w:cs="Times New Roman"/>
          <w:lang w:val="pt-BR"/>
        </w:rPr>
        <w:t>n</w:t>
      </w:r>
      <w:r>
        <w:rPr>
          <w:rFonts w:ascii="Times New Roman" w:hAnsi="Times New Roman" w:cs="Times New Roman"/>
        </w:rPr>
        <w:t>º 0</w:t>
      </w:r>
      <w:r>
        <w:rPr>
          <w:rFonts w:ascii="Times New Roman" w:hAnsi="Times New Roman" w:cs="Times New Roman"/>
          <w:lang w:val="pt-BR"/>
        </w:rPr>
        <w:t>4</w:t>
      </w:r>
      <w:r>
        <w:rPr>
          <w:rFonts w:hint="default" w:ascii="Times New Roman" w:hAnsi="Times New Roman" w:cs="Times New Roman"/>
          <w:lang w:val="pt-BR"/>
        </w:rPr>
        <w:t>4</w:t>
      </w:r>
      <w:r>
        <w:rPr>
          <w:rFonts w:ascii="Times New Roman" w:hAnsi="Times New Roman" w:cs="Times New Roman"/>
          <w:lang w:val="pt-BR"/>
        </w:rPr>
        <w:t xml:space="preserve">/2026 </w:t>
      </w:r>
      <w:r>
        <w:rPr>
          <w:rFonts w:ascii="Times New Roman" w:hAnsi="Times New Roman" w:cs="Times New Roman"/>
        </w:rPr>
        <w:t>e a proposta da DETENTORA, independentemente de transcrição para este instrumento</w:t>
      </w:r>
      <w:r>
        <w:rPr>
          <w:rFonts w:ascii="Times New Roman" w:hAnsi="Times New Roman" w:cs="Times New Roman"/>
          <w:lang w:val="pt-BR"/>
        </w:rPr>
        <w:t xml:space="preserve">, </w:t>
      </w:r>
      <w:r>
        <w:rPr>
          <w:rFonts w:ascii="Times New Roman" w:hAnsi="Times New Roman" w:cs="Times New Roman"/>
        </w:rPr>
        <w:t>de acordo com o que segue:</w:t>
      </w:r>
    </w:p>
    <w:tbl>
      <w:tblPr>
        <w:tblStyle w:val="9"/>
        <w:tblpPr w:leftFromText="180" w:rightFromText="180" w:vertAnchor="text" w:horzAnchor="page" w:tblpX="1637" w:tblpY="18"/>
        <w:tblOverlap w:val="never"/>
        <w:tblW w:w="8970" w:type="dxa"/>
        <w:tblInd w:w="0" w:type="dxa"/>
        <w:tblLayout w:type="fixed"/>
        <w:tblCellMar>
          <w:top w:w="55" w:type="dxa"/>
          <w:left w:w="55" w:type="dxa"/>
          <w:bottom w:w="55" w:type="dxa"/>
          <w:right w:w="55" w:type="dxa"/>
        </w:tblCellMar>
      </w:tblPr>
      <w:tblGrid>
        <w:gridCol w:w="629"/>
        <w:gridCol w:w="646"/>
        <w:gridCol w:w="660"/>
        <w:gridCol w:w="4875"/>
        <w:gridCol w:w="1020"/>
        <w:gridCol w:w="1140"/>
      </w:tblGrid>
      <w:tr w14:paraId="56A1A761">
        <w:tblPrEx>
          <w:tblCellMar>
            <w:top w:w="55" w:type="dxa"/>
            <w:left w:w="55" w:type="dxa"/>
            <w:bottom w:w="55" w:type="dxa"/>
            <w:right w:w="55" w:type="dxa"/>
          </w:tblCellMar>
        </w:tblPrEx>
        <w:trPr>
          <w:trHeight w:val="286" w:hRule="atLeast"/>
          <w:tblHeader/>
        </w:trPr>
        <w:tc>
          <w:tcPr>
            <w:tcW w:w="629" w:type="dxa"/>
            <w:tcBorders>
              <w:top w:val="single" w:color="000000" w:sz="4" w:space="0"/>
              <w:left w:val="single" w:color="000000" w:sz="4" w:space="0"/>
              <w:bottom w:val="single" w:color="auto" w:sz="4" w:space="0"/>
              <w:right w:val="single" w:color="000000" w:sz="4" w:space="0"/>
            </w:tcBorders>
          </w:tcPr>
          <w:p w14:paraId="1946E4C2">
            <w:pPr>
              <w:pStyle w:val="29"/>
              <w:spacing w:before="0" w:after="0" w:line="240" w:lineRule="auto"/>
              <w:rPr>
                <w:rFonts w:ascii="Times New Roman" w:hAnsi="Times New Roman" w:cs="Times New Roman"/>
                <w:szCs w:val="22"/>
              </w:rPr>
            </w:pPr>
            <w:r>
              <w:rPr>
                <w:rFonts w:ascii="Times New Roman" w:hAnsi="Times New Roman" w:cs="Times New Roman"/>
                <w:bCs/>
                <w:i w:val="0"/>
                <w:szCs w:val="22"/>
              </w:rPr>
              <w:t>Item</w:t>
            </w:r>
          </w:p>
        </w:tc>
        <w:tc>
          <w:tcPr>
            <w:tcW w:w="646" w:type="dxa"/>
            <w:tcBorders>
              <w:top w:val="single" w:color="000000" w:sz="4" w:space="0"/>
              <w:left w:val="single" w:color="000000" w:sz="4" w:space="0"/>
              <w:bottom w:val="single" w:color="auto" w:sz="4" w:space="0"/>
              <w:right w:val="single" w:color="000000" w:sz="4" w:space="0"/>
            </w:tcBorders>
          </w:tcPr>
          <w:p w14:paraId="08CCDFBF">
            <w:pPr>
              <w:pStyle w:val="29"/>
              <w:spacing w:before="0" w:after="0" w:line="240" w:lineRule="auto"/>
              <w:rPr>
                <w:rFonts w:ascii="Times New Roman" w:hAnsi="Times New Roman" w:cs="Times New Roman"/>
                <w:szCs w:val="22"/>
              </w:rPr>
            </w:pPr>
            <w:r>
              <w:rPr>
                <w:rFonts w:ascii="Times New Roman" w:hAnsi="Times New Roman" w:cs="Times New Roman"/>
                <w:bCs/>
                <w:i w:val="0"/>
                <w:szCs w:val="22"/>
              </w:rPr>
              <w:t>Qtde.</w:t>
            </w:r>
          </w:p>
        </w:tc>
        <w:tc>
          <w:tcPr>
            <w:tcW w:w="660" w:type="dxa"/>
            <w:tcBorders>
              <w:top w:val="single" w:color="000000" w:sz="4" w:space="0"/>
              <w:left w:val="single" w:color="000000" w:sz="4" w:space="0"/>
              <w:bottom w:val="single" w:color="auto" w:sz="4" w:space="0"/>
              <w:right w:val="single" w:color="000000" w:sz="4" w:space="0"/>
            </w:tcBorders>
          </w:tcPr>
          <w:p w14:paraId="6055EEFC">
            <w:pPr>
              <w:pStyle w:val="29"/>
              <w:spacing w:before="0" w:after="0" w:line="240" w:lineRule="auto"/>
              <w:rPr>
                <w:rFonts w:ascii="Times New Roman" w:hAnsi="Times New Roman" w:cs="Times New Roman"/>
                <w:szCs w:val="22"/>
              </w:rPr>
            </w:pPr>
            <w:r>
              <w:rPr>
                <w:rFonts w:ascii="Times New Roman" w:hAnsi="Times New Roman" w:cs="Times New Roman"/>
                <w:bCs/>
                <w:i w:val="0"/>
                <w:szCs w:val="22"/>
              </w:rPr>
              <w:t>Un</w:t>
            </w:r>
          </w:p>
        </w:tc>
        <w:tc>
          <w:tcPr>
            <w:tcW w:w="4875" w:type="dxa"/>
            <w:tcBorders>
              <w:top w:val="single" w:color="000000" w:sz="4" w:space="0"/>
              <w:left w:val="single" w:color="000000" w:sz="4" w:space="0"/>
              <w:bottom w:val="single" w:color="auto" w:sz="4" w:space="0"/>
              <w:right w:val="single" w:color="000000" w:sz="4" w:space="0"/>
            </w:tcBorders>
          </w:tcPr>
          <w:p w14:paraId="2EE81FF7">
            <w:pPr>
              <w:pStyle w:val="29"/>
              <w:spacing w:before="0" w:after="0" w:line="240" w:lineRule="auto"/>
              <w:rPr>
                <w:rFonts w:ascii="Times New Roman" w:hAnsi="Times New Roman" w:cs="Times New Roman"/>
                <w:szCs w:val="22"/>
              </w:rPr>
            </w:pPr>
            <w:r>
              <w:rPr>
                <w:rFonts w:ascii="Times New Roman" w:hAnsi="Times New Roman" w:cs="Times New Roman"/>
                <w:bCs/>
                <w:i w:val="0"/>
                <w:szCs w:val="22"/>
              </w:rPr>
              <w:t>Especificação/Marca</w:t>
            </w:r>
          </w:p>
        </w:tc>
        <w:tc>
          <w:tcPr>
            <w:tcW w:w="1020" w:type="dxa"/>
            <w:tcBorders>
              <w:top w:val="single" w:color="000000" w:sz="4" w:space="0"/>
              <w:left w:val="single" w:color="000000" w:sz="4" w:space="0"/>
              <w:bottom w:val="single" w:color="auto" w:sz="4" w:space="0"/>
              <w:right w:val="single" w:color="000000" w:sz="4" w:space="0"/>
            </w:tcBorders>
          </w:tcPr>
          <w:p w14:paraId="4E07057A">
            <w:pPr>
              <w:pStyle w:val="29"/>
              <w:spacing w:before="0" w:after="0" w:line="240" w:lineRule="auto"/>
              <w:rPr>
                <w:rFonts w:ascii="Times New Roman" w:hAnsi="Times New Roman" w:cs="Times New Roman"/>
                <w:szCs w:val="22"/>
              </w:rPr>
            </w:pPr>
            <w:r>
              <w:rPr>
                <w:rFonts w:ascii="Times New Roman" w:hAnsi="Times New Roman" w:cs="Times New Roman"/>
                <w:bCs/>
                <w:i w:val="0"/>
                <w:szCs w:val="22"/>
              </w:rPr>
              <w:t>Valor Un (R$)</w:t>
            </w:r>
          </w:p>
        </w:tc>
        <w:tc>
          <w:tcPr>
            <w:tcW w:w="1140" w:type="dxa"/>
            <w:tcBorders>
              <w:top w:val="single" w:color="000000" w:sz="4" w:space="0"/>
              <w:left w:val="single" w:color="000000" w:sz="4" w:space="0"/>
              <w:bottom w:val="single" w:color="auto" w:sz="4" w:space="0"/>
              <w:right w:val="single" w:color="000000" w:sz="4" w:space="0"/>
            </w:tcBorders>
          </w:tcPr>
          <w:p w14:paraId="4CF0A9A4">
            <w:pPr>
              <w:pStyle w:val="29"/>
              <w:spacing w:before="0" w:after="0" w:line="240" w:lineRule="auto"/>
              <w:rPr>
                <w:rFonts w:ascii="Times New Roman" w:hAnsi="Times New Roman" w:cs="Times New Roman"/>
                <w:szCs w:val="22"/>
              </w:rPr>
            </w:pPr>
            <w:r>
              <w:rPr>
                <w:rFonts w:ascii="Times New Roman" w:hAnsi="Times New Roman" w:cs="Times New Roman"/>
                <w:bCs/>
                <w:i w:val="0"/>
                <w:szCs w:val="22"/>
              </w:rPr>
              <w:t>Valor Total (R$)</w:t>
            </w:r>
          </w:p>
        </w:tc>
      </w:tr>
      <w:tr w14:paraId="213E4AFD">
        <w:tblPrEx>
          <w:tblCellMar>
            <w:top w:w="55" w:type="dxa"/>
            <w:left w:w="55" w:type="dxa"/>
            <w:bottom w:w="55" w:type="dxa"/>
            <w:right w:w="55" w:type="dxa"/>
          </w:tblCellMar>
        </w:tblPrEx>
        <w:trPr>
          <w:trHeight w:val="664" w:hRule="atLeast"/>
        </w:trPr>
        <w:tc>
          <w:tcPr>
            <w:tcW w:w="629" w:type="dxa"/>
            <w:tcBorders>
              <w:top w:val="single" w:color="auto" w:sz="4" w:space="0"/>
              <w:left w:val="single" w:color="auto" w:sz="4" w:space="0"/>
              <w:bottom w:val="nil"/>
              <w:right w:val="single" w:color="000000" w:sz="4" w:space="0"/>
            </w:tcBorders>
            <w:vAlign w:val="center"/>
          </w:tcPr>
          <w:p w14:paraId="4E87CB8C">
            <w:pPr>
              <w:pStyle w:val="29"/>
              <w:spacing w:before="0" w:after="0" w:line="240" w:lineRule="auto"/>
              <w:rPr>
                <w:rFonts w:ascii="Times New Roman" w:hAnsi="Times New Roman" w:cs="Times New Roman"/>
                <w:szCs w:val="22"/>
              </w:rPr>
            </w:pPr>
            <w:r>
              <w:rPr>
                <w:rFonts w:ascii="Times New Roman" w:hAnsi="Times New Roman" w:cs="Times New Roman"/>
                <w:b w:val="0"/>
                <w:i w:val="0"/>
                <w:szCs w:val="22"/>
              </w:rPr>
              <w:t>1</w:t>
            </w:r>
          </w:p>
        </w:tc>
        <w:tc>
          <w:tcPr>
            <w:tcW w:w="646" w:type="dxa"/>
            <w:tcBorders>
              <w:top w:val="single" w:color="auto" w:sz="4" w:space="0"/>
              <w:left w:val="single" w:color="000000" w:sz="4" w:space="0"/>
              <w:bottom w:val="nil"/>
              <w:right w:val="single" w:color="000000" w:sz="4" w:space="0"/>
            </w:tcBorders>
            <w:vAlign w:val="center"/>
          </w:tcPr>
          <w:p w14:paraId="5EF7A93B">
            <w:pPr>
              <w:keepNext w:val="0"/>
              <w:keepLines w:val="0"/>
              <w:widowControl/>
              <w:suppressLineNumbers w:val="0"/>
              <w:suppressAutoHyphens/>
              <w:spacing w:before="0" w:beforeAutospacing="0" w:after="0" w:afterAutospacing="0"/>
              <w:ind w:left="0" w:leftChars="0" w:right="0" w:rightChars="0"/>
              <w:jc w:val="center"/>
              <w:rPr>
                <w:rFonts w:hint="default" w:ascii="Times New Roman" w:hAnsi="Times New Roman"/>
                <w:lang w:val="pt-BR"/>
              </w:rPr>
            </w:pPr>
            <w:r>
              <w:rPr>
                <w:rFonts w:hint="default" w:ascii="Times New Roman" w:hAnsi="Times New Roman" w:eastAsia="NSimSun" w:cs="Times New Roman"/>
                <w:color w:val="000000"/>
                <w:kern w:val="2"/>
                <w:sz w:val="21"/>
                <w:szCs w:val="21"/>
                <w:lang w:val="en-US" w:eastAsia="zh-CN" w:bidi="ar"/>
              </w:rPr>
              <w:t>200</w:t>
            </w:r>
          </w:p>
        </w:tc>
        <w:tc>
          <w:tcPr>
            <w:tcW w:w="660" w:type="dxa"/>
            <w:tcBorders>
              <w:top w:val="single" w:color="auto" w:sz="4" w:space="0"/>
              <w:left w:val="single" w:color="000000" w:sz="4" w:space="0"/>
              <w:bottom w:val="nil"/>
              <w:right w:val="single" w:color="000000" w:sz="4" w:space="0"/>
            </w:tcBorders>
            <w:vAlign w:val="center"/>
          </w:tcPr>
          <w:p w14:paraId="0475B129">
            <w:pPr>
              <w:keepNext w:val="0"/>
              <w:keepLines w:val="0"/>
              <w:widowControl/>
              <w:suppressLineNumbers w:val="0"/>
              <w:suppressAutoHyphens/>
              <w:spacing w:before="0" w:beforeAutospacing="0" w:after="0" w:afterAutospacing="0"/>
              <w:ind w:left="0" w:leftChars="0" w:right="0" w:rightChars="0"/>
              <w:jc w:val="center"/>
              <w:rPr>
                <w:rFonts w:ascii="Times New Roman" w:hAnsi="Times New Roman"/>
              </w:rPr>
            </w:pPr>
            <w:r>
              <w:rPr>
                <w:rFonts w:hint="default" w:ascii="Times New Roman" w:hAnsi="Times New Roman" w:eastAsia="NSimSun" w:cs="Times New Roman"/>
                <w:color w:val="000000"/>
                <w:kern w:val="2"/>
                <w:sz w:val="21"/>
                <w:szCs w:val="21"/>
                <w:lang w:val="en-US" w:eastAsia="zh-CN" w:bidi="ar"/>
              </w:rPr>
              <w:t>CX</w:t>
            </w:r>
          </w:p>
        </w:tc>
        <w:tc>
          <w:tcPr>
            <w:tcW w:w="4875" w:type="dxa"/>
            <w:tcBorders>
              <w:top w:val="single" w:color="auto" w:sz="4" w:space="0"/>
              <w:left w:val="single" w:color="000000" w:sz="4" w:space="0"/>
              <w:bottom w:val="nil"/>
              <w:right w:val="single" w:color="000000" w:sz="4" w:space="0"/>
            </w:tcBorders>
            <w:shd w:val="clear" w:color="auto" w:fill="auto"/>
            <w:vAlign w:val="top"/>
          </w:tcPr>
          <w:p w14:paraId="6F576C0A">
            <w:pPr>
              <w:keepNext w:val="0"/>
              <w:keepLines w:val="0"/>
              <w:widowControl/>
              <w:suppressLineNumbers w:val="0"/>
              <w:suppressAutoHyphens/>
              <w:spacing w:before="0" w:beforeAutospacing="0" w:after="0" w:afterAutospacing="0"/>
              <w:ind w:left="0" w:leftChars="0" w:right="0" w:rightChars="0"/>
              <w:jc w:val="both"/>
              <w:rPr>
                <w:rFonts w:ascii="Times New Roman" w:hAnsi="Times New Roman" w:cs="Times New Roman"/>
                <w:color w:val="000000"/>
              </w:rPr>
            </w:pPr>
            <w:r>
              <w:rPr>
                <w:rFonts w:hint="default" w:ascii="Times New Roman" w:hAnsi="Times New Roman" w:eastAsia="NSimSun" w:cs="Times New Roman"/>
                <w:color w:val="000000"/>
                <w:kern w:val="2"/>
                <w:sz w:val="21"/>
                <w:szCs w:val="21"/>
                <w:lang w:val="en-US" w:eastAsia="zh-CN" w:bidi="ar"/>
              </w:rPr>
              <w:t xml:space="preserve"> AGULHA PARA CANETA DE INSULINA, 5MM. CAIXA 100 UNIDADES Agulha para caneta de insulina, extra curta, comprimento 5mm (3/16&amp;quot;) e calibre 0,25mm (31G). Caixa com 100 agulhas. Registro na ANVISA. </w:t>
            </w:r>
          </w:p>
        </w:tc>
        <w:tc>
          <w:tcPr>
            <w:tcW w:w="1020" w:type="dxa"/>
            <w:tcBorders>
              <w:top w:val="single" w:color="auto" w:sz="4" w:space="0"/>
              <w:left w:val="single" w:color="000000" w:sz="4" w:space="0"/>
              <w:bottom w:val="nil"/>
              <w:right w:val="single" w:color="000000" w:sz="4" w:space="0"/>
            </w:tcBorders>
            <w:vAlign w:val="center"/>
          </w:tcPr>
          <w:p w14:paraId="6E6EA0F0">
            <w:pPr>
              <w:pStyle w:val="29"/>
              <w:snapToGrid w:val="0"/>
              <w:spacing w:before="0" w:after="0" w:line="240" w:lineRule="auto"/>
              <w:rPr>
                <w:rFonts w:ascii="Times New Roman" w:hAnsi="Times New Roman" w:cs="Times New Roman"/>
                <w:szCs w:val="22"/>
              </w:rPr>
            </w:pPr>
            <w:r>
              <w:rPr>
                <w:rFonts w:ascii="Times New Roman" w:hAnsi="Times New Roman" w:cs="Times New Roman"/>
                <w:b w:val="0"/>
                <w:i w:val="0"/>
                <w:szCs w:val="22"/>
              </w:rPr>
              <w:t>***</w:t>
            </w:r>
          </w:p>
        </w:tc>
        <w:tc>
          <w:tcPr>
            <w:tcW w:w="1140" w:type="dxa"/>
            <w:tcBorders>
              <w:top w:val="single" w:color="auto" w:sz="4" w:space="0"/>
              <w:left w:val="single" w:color="000000" w:sz="4" w:space="0"/>
              <w:bottom w:val="nil"/>
              <w:right w:val="single" w:color="auto" w:sz="4" w:space="0"/>
            </w:tcBorders>
            <w:vAlign w:val="center"/>
          </w:tcPr>
          <w:p w14:paraId="1CCFFD6F">
            <w:pPr>
              <w:pStyle w:val="29"/>
              <w:snapToGrid w:val="0"/>
              <w:spacing w:before="0" w:after="0" w:line="240" w:lineRule="auto"/>
              <w:rPr>
                <w:rFonts w:ascii="Times New Roman" w:hAnsi="Times New Roman" w:cs="Times New Roman"/>
                <w:szCs w:val="22"/>
              </w:rPr>
            </w:pPr>
            <w:r>
              <w:rPr>
                <w:rFonts w:ascii="Times New Roman" w:hAnsi="Times New Roman" w:cs="Times New Roman"/>
                <w:b w:val="0"/>
                <w:i w:val="0"/>
                <w:szCs w:val="22"/>
              </w:rPr>
              <w:t>***</w:t>
            </w:r>
          </w:p>
        </w:tc>
      </w:tr>
      <w:tr w14:paraId="1B84514E">
        <w:tblPrEx>
          <w:tblCellMar>
            <w:top w:w="55" w:type="dxa"/>
            <w:left w:w="55" w:type="dxa"/>
            <w:bottom w:w="55" w:type="dxa"/>
            <w:right w:w="55" w:type="dxa"/>
          </w:tblCellMar>
        </w:tblPrEx>
        <w:trPr>
          <w:trHeight w:val="740" w:hRule="atLeast"/>
        </w:trPr>
        <w:tc>
          <w:tcPr>
            <w:tcW w:w="629" w:type="dxa"/>
            <w:tcBorders>
              <w:top w:val="nil"/>
              <w:left w:val="single" w:color="auto" w:sz="4" w:space="0"/>
              <w:bottom w:val="nil"/>
              <w:right w:val="single" w:color="000000" w:sz="4" w:space="0"/>
            </w:tcBorders>
            <w:vAlign w:val="center"/>
          </w:tcPr>
          <w:p w14:paraId="20922466">
            <w:pPr>
              <w:pStyle w:val="29"/>
              <w:spacing w:before="0" w:after="0" w:line="240" w:lineRule="auto"/>
              <w:rPr>
                <w:rFonts w:ascii="Times New Roman" w:hAnsi="Times New Roman" w:cs="Times New Roman"/>
                <w:szCs w:val="22"/>
              </w:rPr>
            </w:pPr>
            <w:r>
              <w:rPr>
                <w:rFonts w:ascii="Times New Roman" w:hAnsi="Times New Roman" w:cs="Times New Roman"/>
                <w:b w:val="0"/>
                <w:i w:val="0"/>
                <w:szCs w:val="22"/>
              </w:rPr>
              <w:t>2</w:t>
            </w:r>
          </w:p>
        </w:tc>
        <w:tc>
          <w:tcPr>
            <w:tcW w:w="646" w:type="dxa"/>
            <w:tcBorders>
              <w:top w:val="nil"/>
              <w:left w:val="single" w:color="000000" w:sz="4" w:space="0"/>
              <w:bottom w:val="nil"/>
              <w:right w:val="single" w:color="000000" w:sz="4" w:space="0"/>
            </w:tcBorders>
            <w:vAlign w:val="center"/>
          </w:tcPr>
          <w:p w14:paraId="78B19155">
            <w:pPr>
              <w:keepNext w:val="0"/>
              <w:keepLines w:val="0"/>
              <w:widowControl/>
              <w:suppressLineNumbers w:val="0"/>
              <w:suppressAutoHyphens/>
              <w:spacing w:before="0" w:beforeAutospacing="0" w:after="0" w:afterAutospacing="0"/>
              <w:ind w:left="0" w:leftChars="0" w:right="0" w:rightChars="0"/>
              <w:jc w:val="center"/>
              <w:rPr>
                <w:rFonts w:hint="default" w:ascii="Times New Roman" w:hAnsi="Times New Roman"/>
                <w:lang w:val="en-US"/>
              </w:rPr>
            </w:pPr>
            <w:r>
              <w:rPr>
                <w:rFonts w:hint="default" w:ascii="Times New Roman" w:hAnsi="Times New Roman" w:eastAsia="NSimSun" w:cs="Times New Roman"/>
                <w:color w:val="000000"/>
                <w:kern w:val="2"/>
                <w:sz w:val="21"/>
                <w:szCs w:val="21"/>
                <w:lang w:val="en-US" w:eastAsia="zh-CN" w:bidi="ar"/>
              </w:rPr>
              <w:t>1.000</w:t>
            </w:r>
          </w:p>
        </w:tc>
        <w:tc>
          <w:tcPr>
            <w:tcW w:w="660" w:type="dxa"/>
            <w:tcBorders>
              <w:top w:val="nil"/>
              <w:left w:val="single" w:color="000000" w:sz="4" w:space="0"/>
              <w:bottom w:val="nil"/>
              <w:right w:val="single" w:color="000000" w:sz="4" w:space="0"/>
            </w:tcBorders>
            <w:vAlign w:val="center"/>
          </w:tcPr>
          <w:p w14:paraId="14DC516E">
            <w:pPr>
              <w:keepNext w:val="0"/>
              <w:keepLines w:val="0"/>
              <w:widowControl/>
              <w:suppressLineNumbers w:val="0"/>
              <w:suppressAutoHyphens/>
              <w:spacing w:before="0" w:beforeAutospacing="0" w:after="0" w:afterAutospacing="0"/>
              <w:ind w:left="0" w:leftChars="0" w:right="0" w:rightChars="0"/>
              <w:jc w:val="center"/>
              <w:rPr>
                <w:rFonts w:ascii="Times New Roman" w:hAnsi="Times New Roman"/>
              </w:rPr>
            </w:pPr>
            <w:r>
              <w:rPr>
                <w:rFonts w:hint="default" w:ascii="Times New Roman" w:hAnsi="Times New Roman" w:eastAsia="NSimSun" w:cs="Times New Roman"/>
                <w:color w:val="000000"/>
                <w:kern w:val="2"/>
                <w:sz w:val="21"/>
                <w:szCs w:val="21"/>
                <w:lang w:val="en-US" w:eastAsia="zh-CN" w:bidi="ar"/>
              </w:rPr>
              <w:t>CX</w:t>
            </w:r>
          </w:p>
        </w:tc>
        <w:tc>
          <w:tcPr>
            <w:tcW w:w="4875" w:type="dxa"/>
            <w:tcBorders>
              <w:top w:val="nil"/>
              <w:left w:val="single" w:color="000000" w:sz="4" w:space="0"/>
              <w:bottom w:val="nil"/>
              <w:right w:val="single" w:color="000000" w:sz="4" w:space="0"/>
            </w:tcBorders>
            <w:shd w:val="clear" w:color="auto" w:fill="auto"/>
            <w:vAlign w:val="top"/>
          </w:tcPr>
          <w:p w14:paraId="5EA8AE06">
            <w:pPr>
              <w:keepNext w:val="0"/>
              <w:keepLines w:val="0"/>
              <w:widowControl/>
              <w:suppressLineNumbers w:val="0"/>
              <w:suppressAutoHyphens/>
              <w:spacing w:before="0" w:beforeAutospacing="0" w:after="0" w:afterAutospacing="0"/>
              <w:ind w:left="0" w:leftChars="0" w:right="0" w:rightChars="0"/>
              <w:jc w:val="both"/>
              <w:rPr>
                <w:rFonts w:ascii="Times New Roman" w:hAnsi="Times New Roman" w:cs="Times New Roman"/>
              </w:rPr>
            </w:pPr>
            <w:r>
              <w:rPr>
                <w:rFonts w:hint="default" w:ascii="Times New Roman" w:hAnsi="Times New Roman" w:eastAsia="NSimSun" w:cs="Times New Roman"/>
                <w:color w:val="000000"/>
                <w:kern w:val="2"/>
                <w:sz w:val="21"/>
                <w:szCs w:val="21"/>
                <w:lang w:val="en-US" w:eastAsia="zh-CN" w:bidi="ar"/>
              </w:rPr>
              <w:t xml:space="preserve">LANCETA PARA COLETA DE SANGUE CAPILAR, 28G, CAIXA COM 100 UNIDADES Lanceta para coleta de sangue capilar, 28G, confeccionada em plástico rígido com design ergonômico, possui protetor plástico e dispositivo de segurança para fácil manuseio e segurança na punção: agulha de 28G com 1,5mm de profundidade, retrátil acionada por contato, estéril, uso único e com número de lote impresso no produto. Esterilizado a Radiação Gama. Embalagem com dados de identificação, nº de lote, registro no Ministério da Saúde e procedência, data e tipo de esterilização e tempo de validade. Caixa com no mínimo 100 unidades. Validade mínima de 2 anos. </w:t>
            </w:r>
          </w:p>
        </w:tc>
        <w:tc>
          <w:tcPr>
            <w:tcW w:w="1020" w:type="dxa"/>
            <w:tcBorders>
              <w:top w:val="nil"/>
              <w:left w:val="single" w:color="000000" w:sz="4" w:space="0"/>
              <w:bottom w:val="nil"/>
              <w:right w:val="single" w:color="000000" w:sz="4" w:space="0"/>
            </w:tcBorders>
            <w:vAlign w:val="center"/>
          </w:tcPr>
          <w:p w14:paraId="36ACFA06">
            <w:pPr>
              <w:pStyle w:val="29"/>
              <w:snapToGrid w:val="0"/>
              <w:spacing w:before="0" w:after="0" w:line="240" w:lineRule="auto"/>
              <w:rPr>
                <w:rFonts w:ascii="Times New Roman" w:hAnsi="Times New Roman" w:cs="Times New Roman"/>
                <w:b w:val="0"/>
                <w:i w:val="0"/>
                <w:szCs w:val="22"/>
              </w:rPr>
            </w:pPr>
            <w:r>
              <w:rPr>
                <w:rFonts w:ascii="Times New Roman" w:hAnsi="Times New Roman" w:cs="Times New Roman"/>
                <w:b w:val="0"/>
                <w:i w:val="0"/>
                <w:szCs w:val="22"/>
              </w:rPr>
              <w:t>***</w:t>
            </w:r>
          </w:p>
        </w:tc>
        <w:tc>
          <w:tcPr>
            <w:tcW w:w="1140" w:type="dxa"/>
            <w:tcBorders>
              <w:top w:val="nil"/>
              <w:left w:val="single" w:color="000000" w:sz="4" w:space="0"/>
              <w:bottom w:val="nil"/>
              <w:right w:val="single" w:color="auto" w:sz="4" w:space="0"/>
            </w:tcBorders>
            <w:vAlign w:val="center"/>
          </w:tcPr>
          <w:p w14:paraId="3BE60903">
            <w:pPr>
              <w:pStyle w:val="29"/>
              <w:snapToGrid w:val="0"/>
              <w:spacing w:before="0" w:after="0" w:line="240" w:lineRule="auto"/>
              <w:rPr>
                <w:rFonts w:ascii="Times New Roman" w:hAnsi="Times New Roman" w:cs="Times New Roman"/>
                <w:b w:val="0"/>
                <w:i w:val="0"/>
                <w:szCs w:val="22"/>
              </w:rPr>
            </w:pPr>
            <w:r>
              <w:rPr>
                <w:rFonts w:ascii="Times New Roman" w:hAnsi="Times New Roman" w:cs="Times New Roman"/>
                <w:b w:val="0"/>
                <w:i w:val="0"/>
                <w:szCs w:val="22"/>
              </w:rPr>
              <w:t>***</w:t>
            </w:r>
          </w:p>
        </w:tc>
      </w:tr>
      <w:tr w14:paraId="32F76ABD">
        <w:tblPrEx>
          <w:tblCellMar>
            <w:top w:w="55" w:type="dxa"/>
            <w:left w:w="55" w:type="dxa"/>
            <w:bottom w:w="55" w:type="dxa"/>
            <w:right w:w="55" w:type="dxa"/>
          </w:tblCellMar>
        </w:tblPrEx>
        <w:tc>
          <w:tcPr>
            <w:tcW w:w="629" w:type="dxa"/>
            <w:tcBorders>
              <w:top w:val="nil"/>
              <w:left w:val="single" w:color="auto" w:sz="4" w:space="0"/>
              <w:bottom w:val="single" w:color="auto" w:sz="4" w:space="0"/>
              <w:right w:val="single" w:color="000000" w:sz="4" w:space="0"/>
            </w:tcBorders>
            <w:vAlign w:val="center"/>
          </w:tcPr>
          <w:p w14:paraId="63493B5D">
            <w:pPr>
              <w:pStyle w:val="29"/>
              <w:spacing w:before="0" w:after="0" w:line="240" w:lineRule="auto"/>
              <w:rPr>
                <w:rFonts w:ascii="Times New Roman" w:hAnsi="Times New Roman" w:cs="Times New Roman"/>
                <w:b w:val="0"/>
                <w:i w:val="0"/>
                <w:szCs w:val="22"/>
              </w:rPr>
            </w:pPr>
            <w:r>
              <w:rPr>
                <w:rFonts w:ascii="Times New Roman" w:hAnsi="Times New Roman" w:cs="Times New Roman"/>
                <w:b w:val="0"/>
                <w:i w:val="0"/>
                <w:szCs w:val="22"/>
              </w:rPr>
              <w:t>...</w:t>
            </w:r>
          </w:p>
        </w:tc>
        <w:tc>
          <w:tcPr>
            <w:tcW w:w="646" w:type="dxa"/>
            <w:tcBorders>
              <w:top w:val="nil"/>
              <w:left w:val="single" w:color="000000" w:sz="4" w:space="0"/>
              <w:bottom w:val="single" w:color="auto" w:sz="4" w:space="0"/>
              <w:right w:val="single" w:color="000000" w:sz="4" w:space="0"/>
            </w:tcBorders>
            <w:vAlign w:val="center"/>
          </w:tcPr>
          <w:p w14:paraId="25F8FC93">
            <w:pPr>
              <w:pStyle w:val="29"/>
              <w:spacing w:before="0" w:after="0" w:line="240" w:lineRule="auto"/>
              <w:rPr>
                <w:rFonts w:ascii="Times New Roman" w:hAnsi="Times New Roman" w:cs="Times New Roman"/>
                <w:b w:val="0"/>
                <w:i w:val="0"/>
                <w:szCs w:val="22"/>
              </w:rPr>
            </w:pPr>
            <w:r>
              <w:rPr>
                <w:rFonts w:ascii="Times New Roman" w:hAnsi="Times New Roman" w:cs="Times New Roman"/>
                <w:b w:val="0"/>
                <w:i w:val="0"/>
                <w:szCs w:val="22"/>
              </w:rPr>
              <w:t>..</w:t>
            </w:r>
          </w:p>
        </w:tc>
        <w:tc>
          <w:tcPr>
            <w:tcW w:w="660" w:type="dxa"/>
            <w:tcBorders>
              <w:top w:val="nil"/>
              <w:left w:val="single" w:color="000000" w:sz="4" w:space="0"/>
              <w:bottom w:val="single" w:color="auto" w:sz="4" w:space="0"/>
              <w:right w:val="single" w:color="000000" w:sz="4" w:space="0"/>
            </w:tcBorders>
            <w:vAlign w:val="center"/>
          </w:tcPr>
          <w:p w14:paraId="6D6EB175">
            <w:pPr>
              <w:pStyle w:val="29"/>
              <w:spacing w:before="0" w:after="0" w:line="240" w:lineRule="auto"/>
              <w:rPr>
                <w:rFonts w:ascii="Times New Roman" w:hAnsi="Times New Roman" w:cs="Times New Roman"/>
                <w:b w:val="0"/>
                <w:bCs/>
                <w:i w:val="0"/>
                <w:iCs/>
                <w:szCs w:val="22"/>
              </w:rPr>
            </w:pPr>
            <w:r>
              <w:rPr>
                <w:rFonts w:ascii="Times New Roman" w:hAnsi="Times New Roman" w:cs="Times New Roman"/>
                <w:b w:val="0"/>
                <w:bCs/>
                <w:i w:val="0"/>
                <w:iCs/>
                <w:szCs w:val="22"/>
              </w:rPr>
              <w:t>..</w:t>
            </w:r>
          </w:p>
        </w:tc>
        <w:tc>
          <w:tcPr>
            <w:tcW w:w="4875" w:type="dxa"/>
            <w:tcBorders>
              <w:top w:val="nil"/>
              <w:left w:val="single" w:color="000000" w:sz="4" w:space="0"/>
              <w:bottom w:val="single" w:color="auto" w:sz="4" w:space="0"/>
              <w:right w:val="single" w:color="000000" w:sz="4" w:space="0"/>
            </w:tcBorders>
            <w:shd w:val="clear" w:color="auto" w:fill="auto"/>
            <w:vAlign w:val="center"/>
          </w:tcPr>
          <w:p w14:paraId="0C61F450">
            <w:pPr>
              <w:spacing w:after="0" w:line="240" w:lineRule="auto"/>
              <w:rPr>
                <w:rFonts w:ascii="Times New Roman" w:hAnsi="Times New Roman"/>
              </w:rPr>
            </w:pPr>
            <w:r>
              <w:rPr>
                <w:rFonts w:ascii="Times New Roman" w:hAnsi="Times New Roman"/>
              </w:rPr>
              <w:t>...</w:t>
            </w:r>
          </w:p>
        </w:tc>
        <w:tc>
          <w:tcPr>
            <w:tcW w:w="1020" w:type="dxa"/>
            <w:tcBorders>
              <w:top w:val="nil"/>
              <w:left w:val="single" w:color="000000" w:sz="4" w:space="0"/>
              <w:bottom w:val="single" w:color="auto" w:sz="4" w:space="0"/>
              <w:right w:val="single" w:color="000000" w:sz="4" w:space="0"/>
            </w:tcBorders>
            <w:vAlign w:val="center"/>
          </w:tcPr>
          <w:p w14:paraId="573ACFBA">
            <w:pPr>
              <w:pStyle w:val="29"/>
              <w:snapToGrid w:val="0"/>
              <w:spacing w:before="0" w:after="0" w:line="240" w:lineRule="auto"/>
              <w:rPr>
                <w:rFonts w:ascii="Times New Roman" w:hAnsi="Times New Roman" w:cs="Times New Roman"/>
                <w:b w:val="0"/>
                <w:i w:val="0"/>
                <w:szCs w:val="22"/>
              </w:rPr>
            </w:pPr>
          </w:p>
        </w:tc>
        <w:tc>
          <w:tcPr>
            <w:tcW w:w="1140" w:type="dxa"/>
            <w:tcBorders>
              <w:top w:val="nil"/>
              <w:left w:val="single" w:color="000000" w:sz="4" w:space="0"/>
              <w:bottom w:val="single" w:color="auto" w:sz="4" w:space="0"/>
              <w:right w:val="single" w:color="auto" w:sz="4" w:space="0"/>
            </w:tcBorders>
            <w:vAlign w:val="center"/>
          </w:tcPr>
          <w:p w14:paraId="4F1D55FC">
            <w:pPr>
              <w:pStyle w:val="29"/>
              <w:snapToGrid w:val="0"/>
              <w:spacing w:before="0" w:after="0" w:line="240" w:lineRule="auto"/>
              <w:rPr>
                <w:rFonts w:ascii="Times New Roman" w:hAnsi="Times New Roman" w:cs="Times New Roman"/>
                <w:b w:val="0"/>
                <w:i w:val="0"/>
                <w:szCs w:val="22"/>
              </w:rPr>
            </w:pPr>
          </w:p>
        </w:tc>
      </w:tr>
    </w:tbl>
    <w:p w14:paraId="556D08FA">
      <w:pPr>
        <w:suppressAutoHyphens/>
        <w:spacing w:after="0" w:line="240" w:lineRule="auto"/>
        <w:ind w:right="398" w:rightChars="181"/>
        <w:rPr>
          <w:rFonts w:ascii="Times New Roman" w:hAnsi="Times New Roman"/>
        </w:rPr>
      </w:pPr>
    </w:p>
    <w:p w14:paraId="60ABD75D">
      <w:pPr>
        <w:tabs>
          <w:tab w:val="left" w:pos="2835"/>
        </w:tabs>
        <w:autoSpaceDE w:val="0"/>
        <w:spacing w:after="0" w:line="240" w:lineRule="auto"/>
        <w:jc w:val="both"/>
        <w:rPr>
          <w:rFonts w:ascii="Times New Roman" w:hAnsi="Times New Roman"/>
        </w:rPr>
      </w:pPr>
      <w:r>
        <w:rPr>
          <w:rFonts w:ascii="Times New Roman" w:hAnsi="Times New Roman" w:cs="Times New Roman"/>
        </w:rPr>
        <w:t>§ 1º A entrega dos materiais/produtos é de responsabilidade da Detentora da Ata, devendo ser entregues ao Poder Público de forma adequada. As despesas extras com encargos, fretes ou demais gastos incidentes já deverão estar inclusas nos preços dos produtos.</w:t>
      </w:r>
    </w:p>
    <w:p w14:paraId="684F52DF">
      <w:pPr>
        <w:pStyle w:val="12"/>
        <w:spacing w:before="0" w:after="0" w:line="240" w:lineRule="auto"/>
        <w:rPr>
          <w:rFonts w:ascii="Times New Roman" w:hAnsi="Times New Roman"/>
        </w:rPr>
      </w:pPr>
      <w:r>
        <w:rPr>
          <w:rFonts w:ascii="Times New Roman" w:hAnsi="Times New Roman"/>
        </w:rPr>
        <w:t>§ 2º Os materiais devem, preferencialmente, serem acondicionados em embalagem individual adequada, com o menor volume possível, que utilize materiais duráveis e recicláveis, de forma a garantir a máxima proteção durante transporte e armazenamento.</w:t>
      </w:r>
    </w:p>
    <w:p w14:paraId="23892AB7">
      <w:pPr>
        <w:pStyle w:val="22"/>
        <w:spacing w:after="0" w:line="240" w:lineRule="auto"/>
        <w:ind w:left="0" w:right="6"/>
        <w:jc w:val="both"/>
        <w:rPr>
          <w:rFonts w:ascii="Times New Roman" w:hAnsi="Times New Roman" w:cs="Times New Roman"/>
        </w:rPr>
      </w:pPr>
      <w:r>
        <w:rPr>
          <w:rFonts w:ascii="Times New Roman" w:hAnsi="Times New Roman" w:cs="Times New Roman"/>
        </w:rPr>
        <w:t>§ 3º A Detentora deverá observar as normas técnicas, elaboradas pela ABNT, para aferição e garantia da aplicação dos requisitos mínimos de qualidade, utilidade, resistência e segurança dos materiais utilizados.</w:t>
      </w:r>
    </w:p>
    <w:p w14:paraId="7A1791C3">
      <w:pPr>
        <w:pStyle w:val="22"/>
        <w:spacing w:after="0" w:line="240" w:lineRule="auto"/>
        <w:ind w:left="0" w:right="6"/>
        <w:jc w:val="both"/>
        <w:rPr>
          <w:rFonts w:ascii="Times New Roman" w:hAnsi="Times New Roman" w:cs="Times New Roman"/>
        </w:rPr>
      </w:pPr>
      <w:r>
        <w:rPr>
          <w:rFonts w:ascii="Times New Roman" w:hAnsi="Times New Roman" w:cs="Times New Roman"/>
        </w:rPr>
        <w:t>§ 4º Os produtos e materiais ofertados deverão estar em conformidade com os regulamentos técnicos pertinentes em vigor expedidos pela ANVISA, de forma a assegurar aspectos relativos à saúde, à segurança, ao meio ambiente ou à proteção do consumidor.</w:t>
      </w:r>
    </w:p>
    <w:p w14:paraId="1C9A920D">
      <w:pPr>
        <w:spacing w:after="0" w:line="240" w:lineRule="auto"/>
        <w:jc w:val="both"/>
        <w:rPr>
          <w:rFonts w:ascii="Times New Roman" w:hAnsi="Times New Roman"/>
        </w:rPr>
      </w:pPr>
      <w:r>
        <w:rPr>
          <w:rFonts w:ascii="Times New Roman" w:hAnsi="Times New Roman" w:cs="Times New Roman"/>
        </w:rPr>
        <w:t>§ 5º As quantidades são máximas, podendo, no entanto a Administração não fazer uso da totalidade.</w:t>
      </w:r>
    </w:p>
    <w:p w14:paraId="2F6B09CE">
      <w:pPr>
        <w:spacing w:after="0" w:line="240" w:lineRule="auto"/>
        <w:jc w:val="both"/>
        <w:rPr>
          <w:rFonts w:ascii="Times New Roman" w:hAnsi="Times New Roman"/>
        </w:rPr>
      </w:pPr>
      <w:r>
        <w:rPr>
          <w:rFonts w:ascii="Times New Roman" w:hAnsi="Times New Roman" w:cs="Times New Roman"/>
        </w:rPr>
        <w:t>§ 6º A Detentora da Ata ficará responsável pela substituição de toda e qualquer mercadoria que estiver fora dos padrões solicitados ou que seja considerada imprópria para o uso, no prazo máximo de 72 (setenta e duas) horas, ficando ainda sujeita as demais penalidades legais.</w:t>
      </w:r>
    </w:p>
    <w:p w14:paraId="7F274BED">
      <w:pPr>
        <w:pStyle w:val="15"/>
        <w:tabs>
          <w:tab w:val="left" w:pos="720"/>
          <w:tab w:val="clear" w:pos="2268"/>
        </w:tabs>
        <w:spacing w:line="240" w:lineRule="auto"/>
        <w:ind w:firstLine="0"/>
        <w:rPr>
          <w:rFonts w:ascii="Times New Roman" w:hAnsi="Times New Roman"/>
          <w:color w:val="auto"/>
          <w:sz w:val="22"/>
          <w:szCs w:val="22"/>
        </w:rPr>
      </w:pPr>
      <w:r>
        <w:rPr>
          <w:rFonts w:ascii="Times New Roman" w:hAnsi="Times New Roman"/>
          <w:b/>
          <w:bCs/>
          <w:sz w:val="22"/>
          <w:szCs w:val="22"/>
        </w:rPr>
        <w:t>CLÁUSULA SEGUNDA</w:t>
      </w:r>
      <w:r>
        <w:rPr>
          <w:rFonts w:ascii="Times New Roman" w:hAnsi="Times New Roman"/>
          <w:sz w:val="22"/>
          <w:szCs w:val="22"/>
        </w:rPr>
        <w:t xml:space="preserve"> – O acompanhamento e fiscalização desta Ata de Registro de Preços ficará a cargo da servidora </w:t>
      </w:r>
      <w:r>
        <w:rPr>
          <w:rFonts w:hint="default" w:ascii="Times New Roman" w:hAnsi="Times New Roman"/>
          <w:color w:val="000000"/>
          <w:sz w:val="24"/>
          <w:szCs w:val="24"/>
        </w:rPr>
        <w:t>Caroline Grohe Schirmer Brandão</w:t>
      </w:r>
      <w:r>
        <w:rPr>
          <w:rFonts w:ascii="Times New Roman" w:hAnsi="Times New Roman"/>
          <w:sz w:val="22"/>
          <w:szCs w:val="22"/>
        </w:rPr>
        <w:t>, a</w:t>
      </w:r>
      <w:r>
        <w:rPr>
          <w:rFonts w:hint="default" w:ascii="Times New Roman" w:hAnsi="Times New Roman"/>
          <w:sz w:val="22"/>
          <w:szCs w:val="22"/>
          <w:lang w:val="pt-BR"/>
        </w:rPr>
        <w:t xml:space="preserve"> </w:t>
      </w:r>
      <w:r>
        <w:rPr>
          <w:rFonts w:ascii="Times New Roman" w:hAnsi="Times New Roman"/>
          <w:sz w:val="22"/>
          <w:szCs w:val="22"/>
        </w:rPr>
        <w:t>qua</w:t>
      </w:r>
      <w:r>
        <w:rPr>
          <w:rFonts w:hint="default" w:ascii="Times New Roman" w:hAnsi="Times New Roman"/>
          <w:sz w:val="22"/>
          <w:szCs w:val="22"/>
          <w:lang w:val="pt-BR"/>
        </w:rPr>
        <w:t>L</w:t>
      </w:r>
      <w:r>
        <w:rPr>
          <w:rFonts w:ascii="Times New Roman" w:hAnsi="Times New Roman"/>
          <w:sz w:val="22"/>
          <w:szCs w:val="22"/>
        </w:rPr>
        <w:t xml:space="preserve"> poder</w:t>
      </w:r>
      <w:r>
        <w:rPr>
          <w:rFonts w:hint="default" w:ascii="Times New Roman" w:hAnsi="Times New Roman"/>
          <w:sz w:val="22"/>
          <w:szCs w:val="22"/>
          <w:lang w:val="pt-BR"/>
        </w:rPr>
        <w:t>á</w:t>
      </w:r>
      <w:r>
        <w:rPr>
          <w:rFonts w:ascii="Times New Roman" w:hAnsi="Times New Roman"/>
          <w:sz w:val="22"/>
          <w:szCs w:val="22"/>
        </w:rPr>
        <w:t xml:space="preserve"> ser contatadas pelo telefone 3762-7700, ramal 6163 e ainda pelo(a) Secretário(a) Municipal de Saúde, que atuará como gestor(a). Estes anotarão em livro próprio todas as ocorrências relacionadas com a sua execução, determinando o que for necessário à regularização das faltas ou defeitos observados, tendo amplos poderes para recusar e/ou sustar os serviços que não tenham sido executados de acordo com as normas pertinentes, sendo que:</w:t>
      </w:r>
    </w:p>
    <w:p w14:paraId="50C85342">
      <w:pPr>
        <w:pStyle w:val="15"/>
        <w:numPr>
          <w:ilvl w:val="0"/>
          <w:numId w:val="1"/>
        </w:numPr>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as decisões e providências que ultrapassem a sua competência serão solicitadas a seus superiores, em tempo hábil para adoção das medidas convenientes.</w:t>
      </w:r>
    </w:p>
    <w:p w14:paraId="620F85ED">
      <w:pPr>
        <w:pStyle w:val="15"/>
        <w:numPr>
          <w:ilvl w:val="0"/>
          <w:numId w:val="1"/>
        </w:numPr>
        <w:tabs>
          <w:tab w:val="left" w:pos="720"/>
        </w:tabs>
        <w:spacing w:before="0" w:afterLines="50" w:line="240" w:lineRule="auto"/>
        <w:ind w:firstLine="0"/>
        <w:rPr>
          <w:rFonts w:ascii="Times New Roman" w:hAnsi="Times New Roman"/>
          <w:sz w:val="22"/>
          <w:szCs w:val="22"/>
        </w:rPr>
      </w:pPr>
      <w:r>
        <w:rPr>
          <w:rFonts w:ascii="Times New Roman" w:hAnsi="Times New Roman"/>
          <w:sz w:val="22"/>
          <w:szCs w:val="22"/>
        </w:rPr>
        <w:t>a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14:paraId="3337B93A">
      <w:pPr>
        <w:tabs>
          <w:tab w:val="left" w:pos="9460"/>
        </w:tabs>
        <w:spacing w:after="0" w:line="240" w:lineRule="auto"/>
        <w:jc w:val="both"/>
        <w:rPr>
          <w:rFonts w:ascii="Times New Roman" w:hAnsi="Times New Roman"/>
        </w:rPr>
      </w:pPr>
      <w:r>
        <w:rPr>
          <w:rFonts w:ascii="Times New Roman" w:hAnsi="Times New Roman" w:cs="Times New Roman"/>
        </w:rPr>
        <w:t>§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44BAE593">
      <w:pPr>
        <w:tabs>
          <w:tab w:val="left" w:pos="9460"/>
        </w:tabs>
        <w:spacing w:after="0" w:line="240" w:lineRule="auto"/>
        <w:jc w:val="both"/>
        <w:rPr>
          <w:rFonts w:ascii="Times New Roman" w:hAnsi="Times New Roman"/>
        </w:rPr>
      </w:pPr>
      <w:r>
        <w:rPr>
          <w:rFonts w:ascii="Times New Roman" w:hAnsi="Times New Roman" w:cs="Times New Roman"/>
        </w:rPr>
        <w:t>§ 2° O conjunto de atividades de gestão e fiscalização, são exercidas de acordo com as seguintes disposições:</w:t>
      </w:r>
    </w:p>
    <w:p w14:paraId="414BE7F4">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767A7647">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14:paraId="21657ABD">
      <w:pPr>
        <w:tabs>
          <w:tab w:val="left" w:pos="9460"/>
        </w:tabs>
        <w:spacing w:after="0" w:line="240" w:lineRule="auto"/>
        <w:jc w:val="both"/>
        <w:rPr>
          <w:rFonts w:ascii="Times New Roman" w:hAnsi="Times New Roman"/>
        </w:rPr>
      </w:pPr>
      <w:r>
        <w:rPr>
          <w:rFonts w:ascii="Times New Roman" w:hAnsi="Times New Roman" w:cs="Times New Roman"/>
        </w:rPr>
        <w:t>§ 3° É direito da Fiscalização rejeitar quaisquer serviços quando entender que a sua execução está fora dos padrões técnicos e de qualidade definidos nesta Ata de Registro de Preços, no Edital de Pregão Eletrônico n° 040/2026, no Termo de Referência e/ou na proposta da DETENTORA, devendo esta reparar, corrigir ou substituir os serviços e peças rejeitados pela fiscalização.</w:t>
      </w:r>
    </w:p>
    <w:p w14:paraId="0B3DEE43">
      <w:pPr>
        <w:tabs>
          <w:tab w:val="left" w:pos="9460"/>
        </w:tabs>
        <w:spacing w:after="0" w:line="240" w:lineRule="auto"/>
        <w:jc w:val="both"/>
        <w:rPr>
          <w:rFonts w:ascii="Times New Roman" w:hAnsi="Times New Roman"/>
        </w:rPr>
      </w:pPr>
      <w:r>
        <w:rPr>
          <w:rFonts w:ascii="Times New Roman" w:hAnsi="Times New Roman" w:cs="Times New Roman"/>
        </w:rPr>
        <w:t>§ 4° Quaisquer exigências da FISCALIZAÇÃO, inerente ao objeto deste instrumento, deverão ser prontamente atendidas pela DETENTORA, sem ônus para o MUNICÍPIO.</w:t>
      </w:r>
    </w:p>
    <w:p w14:paraId="73D8EC75">
      <w:pPr>
        <w:tabs>
          <w:tab w:val="left" w:pos="9460"/>
        </w:tabs>
        <w:spacing w:after="0" w:line="240" w:lineRule="auto"/>
        <w:jc w:val="both"/>
        <w:rPr>
          <w:rFonts w:ascii="Times New Roman" w:hAnsi="Times New Roman"/>
        </w:rPr>
      </w:pPr>
      <w:r>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14:paraId="4EE16F6D">
      <w:pPr>
        <w:tabs>
          <w:tab w:val="left" w:pos="9460"/>
        </w:tabs>
        <w:spacing w:after="0" w:line="240" w:lineRule="auto"/>
        <w:jc w:val="both"/>
        <w:rPr>
          <w:rFonts w:ascii="Times New Roman" w:hAnsi="Times New Roman"/>
        </w:rPr>
      </w:pPr>
      <w:r>
        <w:rPr>
          <w:rFonts w:ascii="Times New Roman" w:hAnsi="Times New Roman" w:cs="Times New Roman"/>
        </w:rPr>
        <w:t>§ 6° A DETENTORA será responsável pelos danos causados diretamente ao MUNICÍPIO ou a terceiros em razão da execução desta Ata de Registro de Preço, e a fiscalização ou o acompanhamento pelo MUNICÍPIO não excluirá nem reduzirá essa responsabilidade.</w:t>
      </w:r>
    </w:p>
    <w:p w14:paraId="476D2C78">
      <w:pPr>
        <w:pStyle w:val="10"/>
        <w:tabs>
          <w:tab w:val="left" w:pos="9460"/>
        </w:tabs>
        <w:spacing w:beforeLines="100" w:after="0" w:line="240" w:lineRule="auto"/>
        <w:rPr>
          <w:rFonts w:ascii="Times New Roman" w:hAnsi="Times New Roman" w:cs="Times New Roman"/>
        </w:rPr>
      </w:pPr>
      <w:r>
        <w:rPr>
          <w:rFonts w:ascii="Times New Roman" w:hAnsi="Times New Roman" w:cs="Times New Roman"/>
          <w:b/>
        </w:rPr>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14:paraId="4B7296A1">
      <w:pPr>
        <w:pStyle w:val="10"/>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14:paraId="34D71743">
      <w:pPr>
        <w:pStyle w:val="10"/>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14:paraId="769D68D3">
      <w:pPr>
        <w:pStyle w:val="10"/>
        <w:tabs>
          <w:tab w:val="left" w:pos="9460"/>
        </w:tabs>
        <w:spacing w:before="0" w:after="0" w:line="240" w:lineRule="auto"/>
        <w:rPr>
          <w:rFonts w:ascii="Times New Roman" w:hAnsi="Times New Roman" w:cs="Times New Roman"/>
        </w:rPr>
      </w:pPr>
    </w:p>
    <w:p w14:paraId="3A346A83">
      <w:pPr>
        <w:pStyle w:val="10"/>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14:paraId="1EDD0DAC">
      <w:pPr>
        <w:pStyle w:val="10"/>
        <w:spacing w:before="0" w:after="0" w:line="240" w:lineRule="auto"/>
        <w:rPr>
          <w:rFonts w:ascii="Times New Roman" w:hAnsi="Times New Roman" w:cs="Times New Roman"/>
        </w:rPr>
      </w:pPr>
    </w:p>
    <w:p w14:paraId="30145D90">
      <w:pPr>
        <w:pStyle w:val="10"/>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14:paraId="567E5C3C">
      <w:pPr>
        <w:pStyle w:val="10"/>
        <w:tabs>
          <w:tab w:val="left" w:pos="10120"/>
        </w:tabs>
        <w:spacing w:before="0" w:after="0" w:line="240" w:lineRule="auto"/>
        <w:rPr>
          <w:rFonts w:ascii="Times New Roman" w:hAnsi="Times New Roman" w:cs="Times New Roman"/>
          <w:spacing w:val="-2"/>
        </w:rPr>
      </w:pPr>
    </w:p>
    <w:p w14:paraId="4FB82587">
      <w:pPr>
        <w:pStyle w:val="10"/>
        <w:keepNext w:val="0"/>
        <w:keepLines w:val="0"/>
        <w:pageBreakBefore w:val="0"/>
        <w:kinsoku/>
        <w:wordWrap/>
        <w:topLinePunct w:val="0"/>
        <w:bidi w:val="0"/>
        <w:adjustRightInd/>
        <w:snapToGrid/>
        <w:spacing w:before="0" w:after="0"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 xml:space="preserve">15 </w:t>
      </w:r>
      <w:r>
        <w:rPr>
          <w:rFonts w:ascii="Times New Roman" w:hAnsi="Times New Roman" w:cs="Times New Roman"/>
        </w:rPr>
        <w:t>(</w:t>
      </w:r>
      <w:r>
        <w:rPr>
          <w:rFonts w:ascii="Times New Roman" w:hAnsi="Times New Roman" w:cs="Times New Roman"/>
          <w:lang w:val="pt-BR"/>
        </w:rPr>
        <w:t>quinze</w:t>
      </w:r>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após a entrega da respectiva Nota Fiscal, 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w:t>
      </w:r>
      <w:bookmarkStart w:id="6" w:name="_GoBack"/>
      <w:r>
        <w:rPr>
          <w:rFonts w:ascii="Times New Roman" w:hAnsi="Times New Roman" w:cs="Times New Roman"/>
        </w:rPr>
        <w:t xml:space="preserve"> Gestor</w:t>
      </w:r>
      <w:r>
        <w:rPr>
          <w:rFonts w:ascii="Times New Roman" w:hAnsi="Times New Roman" w:cs="Times New Roman"/>
          <w:lang w:val="pt-BR"/>
        </w:rPr>
        <w:t>. O pagamento corresponderá a prestação de serviços realizados ou do produto fornecido, de acordo com as medições.</w:t>
      </w:r>
    </w:p>
    <w:p w14:paraId="4DE43F5C">
      <w:pPr>
        <w:pStyle w:val="10"/>
        <w:keepNext w:val="0"/>
        <w:keepLines w:val="0"/>
        <w:pageBreakBefore w:val="0"/>
        <w:kinsoku/>
        <w:wordWrap/>
        <w:topLinePunct w:val="0"/>
        <w:bidi w:val="0"/>
        <w:adjustRightInd/>
        <w:snapToGrid/>
        <w:spacing w:before="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14:paraId="3FF1C138">
      <w:pPr>
        <w:pStyle w:val="15"/>
        <w:keepNext w:val="0"/>
        <w:keepLines w:val="0"/>
        <w:pageBreakBefore w:val="0"/>
        <w:tabs>
          <w:tab w:val="left" w:pos="720"/>
        </w:tabs>
        <w:kinsoku/>
        <w:wordWrap/>
        <w:topLinePunct w:val="0"/>
        <w:bidi w:val="0"/>
        <w:adjustRightInd/>
        <w:snapToGrid/>
        <w:spacing w:before="0" w:after="0" w:line="240" w:lineRule="auto"/>
        <w:ind w:firstLine="0"/>
        <w:rPr>
          <w:rFonts w:ascii="Times New Roman" w:hAnsi="Times New Roman"/>
          <w:sz w:val="22"/>
          <w:szCs w:val="22"/>
        </w:rPr>
      </w:pPr>
      <w:r>
        <w:rPr>
          <w:rFonts w:ascii="Times New Roman" w:hAnsi="Times New Roman"/>
          <w:sz w:val="22"/>
          <w:szCs w:val="22"/>
        </w:rPr>
        <w:t>§ 2º Somente será autorizado o pagamento a fornecedores que estiverem quitas com a Fazenda Municipal de Teutônia.</w:t>
      </w:r>
    </w:p>
    <w:p w14:paraId="5C6A08D8">
      <w:pPr>
        <w:pStyle w:val="30"/>
        <w:keepNext w:val="0"/>
        <w:keepLines w:val="0"/>
        <w:pageBreakBefore w:val="0"/>
        <w:tabs>
          <w:tab w:val="left" w:pos="142"/>
          <w:tab w:val="left" w:pos="284"/>
          <w:tab w:val="left" w:pos="567"/>
        </w:tabs>
        <w:kinsoku/>
        <w:wordWrap/>
        <w:topLinePunct w:val="0"/>
        <w:bidi w:val="0"/>
        <w:adjustRightInd/>
        <w:snapToGrid/>
        <w:spacing w:before="0" w:after="0"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14:paraId="79AC28FB">
      <w:pPr>
        <w:keepNext w:val="0"/>
        <w:keepLines w:val="0"/>
        <w:pageBreakBefore w:val="0"/>
        <w:kinsoku/>
        <w:wordWrap/>
        <w:topLinePunct w:val="0"/>
        <w:bidi w:val="0"/>
        <w:adjustRightInd/>
        <w:snapToGrid/>
        <w:spacing w:after="0" w:line="240" w:lineRule="auto"/>
        <w:jc w:val="both"/>
        <w:rPr>
          <w:rFonts w:ascii="Times New Roman" w:hAnsi="Times New Roman"/>
        </w:rPr>
      </w:pPr>
      <w:r>
        <w:rPr>
          <w:rFonts w:ascii="Times New Roman" w:hAnsi="Times New Roman" w:cs="Times New Roman"/>
          <w:lang w:val="pt-PT"/>
        </w:rPr>
        <w:t>§</w:t>
      </w:r>
      <w:r>
        <w:rPr>
          <w:rFonts w:ascii="Times New Roman" w:hAnsi="Times New Roman" w:cs="Times New Roman"/>
        </w:rPr>
        <w:t xml:space="preserve"> 4</w:t>
      </w:r>
      <w:r>
        <w:rPr>
          <w:rFonts w:ascii="Times New Roman" w:hAnsi="Times New Roman" w:cs="Times New Roman"/>
          <w:lang w:val="pt-PT"/>
        </w:rPr>
        <w:t xml:space="preserve">º </w:t>
      </w:r>
      <w:r>
        <w:rPr>
          <w:rFonts w:ascii="Times New Roman" w:hAnsi="Times New Roman" w:cs="Times New Roman"/>
        </w:rPr>
        <w:t xml:space="preserve"> P</w:t>
      </w:r>
      <w:r>
        <w:rPr>
          <w:rFonts w:ascii="Times New Roman" w:hAnsi="Times New Roman" w:cs="Times New Roman"/>
          <w:lang w:val="pt-PT"/>
        </w:rPr>
        <w:t>oderá o Município de Teutônia</w:t>
      </w:r>
      <w:r>
        <w:rPr>
          <w:rFonts w:ascii="Times New Roman" w:hAnsi="Times New Roman" w:cs="Times New Roman"/>
        </w:rPr>
        <w:t>/</w:t>
      </w:r>
      <w:r>
        <w:rPr>
          <w:rFonts w:ascii="Times New Roman" w:hAnsi="Times New Roman" w:cs="Times New Roman"/>
          <w:lang w:val="pt-PT"/>
        </w:rPr>
        <w:t>RS compensar multas aplicadas com valores contratados e ainda não pagos</w:t>
      </w:r>
      <w:r>
        <w:rPr>
          <w:rFonts w:ascii="Times New Roman" w:hAnsi="Times New Roman" w:cs="Times New Roman"/>
        </w:rPr>
        <w:t>.</w:t>
      </w:r>
    </w:p>
    <w:p w14:paraId="4C1FC9D9">
      <w:pPr>
        <w:keepNext w:val="0"/>
        <w:keepLines w:val="0"/>
        <w:pageBreakBefore w:val="0"/>
        <w:kinsoku/>
        <w:wordWrap/>
        <w:topLinePunct w:val="0"/>
        <w:bidi w:val="0"/>
        <w:adjustRightInd/>
        <w:snapToGrid/>
        <w:spacing w:after="0" w:line="240" w:lineRule="auto"/>
        <w:jc w:val="both"/>
        <w:rPr>
          <w:rFonts w:ascii="Times New Roman" w:hAnsi="Times New Roman"/>
        </w:rPr>
      </w:pPr>
      <w:r>
        <w:rPr>
          <w:rFonts w:ascii="Times New Roman" w:hAnsi="Times New Roman" w:cs="Times New Roman"/>
        </w:rPr>
        <w:t>§ 5º A despesa c</w:t>
      </w:r>
      <w:bookmarkEnd w:id="6"/>
      <w:r>
        <w:rPr>
          <w:rFonts w:ascii="Times New Roman" w:hAnsi="Times New Roman" w:cs="Times New Roman"/>
        </w:rPr>
        <w:t>orrerá nas seguintes dotações orçamentárias:</w:t>
      </w:r>
    </w:p>
    <w:p w14:paraId="176A98C1">
      <w:pPr>
        <w:spacing w:after="0" w:line="276" w:lineRule="auto"/>
        <w:jc w:val="both"/>
        <w:rPr>
          <w:rFonts w:ascii="Times New Roman" w:hAnsi="Times New Roman"/>
          <w:sz w:val="21"/>
          <w:szCs w:val="21"/>
        </w:rPr>
      </w:pPr>
    </w:p>
    <w:p w14:paraId="4B89CE01">
      <w:pPr>
        <w:pStyle w:val="10"/>
        <w:keepNext w:val="0"/>
        <w:keepLines w:val="0"/>
        <w:pageBreakBefore w:val="0"/>
        <w:widowControl w:val="0"/>
        <w:tabs>
          <w:tab w:val="left" w:pos="4962"/>
          <w:tab w:val="clear" w:pos="2268"/>
        </w:tabs>
        <w:suppressAutoHyphen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06. SECRETARIA MUNICIPAL DE SAÚDE</w:t>
      </w:r>
    </w:p>
    <w:p w14:paraId="349D399C">
      <w:pPr>
        <w:pStyle w:val="10"/>
        <w:keepNext w:val="0"/>
        <w:keepLines w:val="0"/>
        <w:pageBreakBefore w:val="0"/>
        <w:widowControl w:val="0"/>
        <w:tabs>
          <w:tab w:val="left" w:pos="4962"/>
          <w:tab w:val="clear" w:pos="2268"/>
        </w:tabs>
        <w:suppressAutoHyphen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06.01  FUNDO MUNICIPAL DA SAÚDE</w:t>
      </w:r>
    </w:p>
    <w:p w14:paraId="6CC43E9E">
      <w:pPr>
        <w:pStyle w:val="10"/>
        <w:keepNext w:val="0"/>
        <w:keepLines w:val="0"/>
        <w:pageBreakBefore w:val="0"/>
        <w:widowControl w:val="0"/>
        <w:tabs>
          <w:tab w:val="left" w:pos="4962"/>
          <w:tab w:val="clear" w:pos="2268"/>
        </w:tabs>
        <w:suppressAutoHyphen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10.303.0035.2019 MEDICAMENTOS</w:t>
      </w:r>
    </w:p>
    <w:p w14:paraId="6DD1779C">
      <w:pPr>
        <w:pStyle w:val="10"/>
        <w:keepNext w:val="0"/>
        <w:keepLines w:val="0"/>
        <w:pageBreakBefore w:val="0"/>
        <w:widowControl w:val="0"/>
        <w:tabs>
          <w:tab w:val="left" w:pos="4962"/>
          <w:tab w:val="clear" w:pos="2268"/>
        </w:tabs>
        <w:suppressAutoHyphen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3.3.3.90.3200000000 MATERIAL, BEM OU SERVIÇO DISTRIB. GRATUITA - 636</w:t>
      </w:r>
    </w:p>
    <w:p w14:paraId="59AE0C45">
      <w:pPr>
        <w:keepNext w:val="0"/>
        <w:keepLines w:val="0"/>
        <w:pageBreakBefore w:val="0"/>
        <w:kinsoku/>
        <w:wordWrap/>
        <w:overflowPunct/>
        <w:topLinePunct w:val="0"/>
        <w:autoSpaceDE/>
        <w:autoSpaceDN/>
        <w:bidi w:val="0"/>
        <w:adjustRightInd/>
        <w:snapToGrid/>
        <w:spacing w:after="0" w:line="240" w:lineRule="auto"/>
        <w:jc w:val="both"/>
        <w:textAlignment w:val="auto"/>
        <w:rPr>
          <w:rFonts w:ascii="Times New Roman" w:hAnsi="Times New Roman"/>
          <w:sz w:val="21"/>
          <w:szCs w:val="21"/>
        </w:rPr>
      </w:pPr>
    </w:p>
    <w:p w14:paraId="6DC6EC92">
      <w:pPr>
        <w:spacing w:after="0" w:line="240" w:lineRule="auto"/>
        <w:jc w:val="both"/>
        <w:rPr>
          <w:rFonts w:ascii="Times New Roman" w:hAnsi="Times New Roman"/>
        </w:rPr>
      </w:pPr>
      <w:r>
        <w:rPr>
          <w:rFonts w:ascii="Times New Roman" w:hAnsi="Times New Roman" w:cs="Times New Roman"/>
        </w:rPr>
        <w:t xml:space="preserve"> </w:t>
      </w:r>
      <w:r>
        <w:rPr>
          <w:rFonts w:ascii="Times New Roman" w:hAnsi="Times New Roman" w:cs="Times New Roman"/>
          <w:b/>
          <w:bCs/>
        </w:rPr>
        <w:t>CLÁUSULA SEXTA</w:t>
      </w:r>
      <w:r>
        <w:rPr>
          <w:rFonts w:ascii="Times New Roman" w:hAnsi="Times New Roman" w:cs="Times New Roman"/>
        </w:rPr>
        <w:t xml:space="preserve"> – A contratação junto à DETENTORA será formalizada pela Secretaria interessada por intermédio de emissão de Nota de Empenho de despesa e Ordem de Entrega dos produtos, os quais serão emitidas de acordo com a estrita necessidade da Administração.</w:t>
      </w:r>
    </w:p>
    <w:p w14:paraId="68EF2A4D">
      <w:pPr>
        <w:tabs>
          <w:tab w:val="left" w:pos="9460"/>
        </w:tabs>
        <w:spacing w:beforeLines="50" w:afterLines="50" w:line="240" w:lineRule="auto"/>
        <w:jc w:val="both"/>
        <w:rPr>
          <w:rFonts w:ascii="Times New Roman" w:hAnsi="Times New Roman"/>
        </w:rPr>
      </w:pPr>
      <w:r>
        <w:rPr>
          <w:rFonts w:ascii="Times New Roman" w:hAnsi="Times New Roman" w:cs="Times New Roman"/>
        </w:rPr>
        <w:t>§ 1º A Administração não emitirá qualquer solicitação de aquisição sem a prévia existência do respectivo crédito orçamentário.</w:t>
      </w:r>
    </w:p>
    <w:p w14:paraId="22884200">
      <w:pPr>
        <w:spacing w:beforeLines="50" w:after="0" w:line="240" w:lineRule="auto"/>
        <w:jc w:val="both"/>
        <w:rPr>
          <w:rFonts w:ascii="Times New Roman" w:hAnsi="Times New Roman"/>
        </w:rPr>
      </w:pPr>
      <w:r>
        <w:rPr>
          <w:rFonts w:ascii="Times New Roman" w:hAnsi="Times New Roman" w:cs="Times New Roman"/>
        </w:rPr>
        <w:t>§ 2° As ordens de compra poderão ser encaminhadas por meio eletrônico ou por outra forma admitida pela Administração.</w:t>
      </w:r>
    </w:p>
    <w:p w14:paraId="50EEAC90">
      <w:pPr>
        <w:spacing w:after="0" w:line="240" w:lineRule="auto"/>
        <w:ind w:right="398" w:rightChars="181"/>
        <w:jc w:val="both"/>
        <w:rPr>
          <w:rFonts w:ascii="Times New Roman" w:hAnsi="Times New Roman"/>
        </w:rPr>
      </w:pPr>
    </w:p>
    <w:p w14:paraId="4C1C4A4C">
      <w:pPr>
        <w:tabs>
          <w:tab w:val="left" w:pos="1134"/>
        </w:tabs>
        <w:spacing w:after="0" w:line="240" w:lineRule="auto"/>
        <w:jc w:val="both"/>
        <w:rPr>
          <w:rFonts w:ascii="Times New Roman" w:hAnsi="Times New Roman"/>
        </w:rPr>
      </w:pPr>
      <w:r>
        <w:rPr>
          <w:rFonts w:ascii="Times New Roman" w:hAnsi="Times New Roman" w:eastAsia="Arial-BoldMT" w:cs="Times New Roman"/>
          <w:b/>
          <w:bCs/>
        </w:rPr>
        <w:t xml:space="preserve">CLÁUSULA SÉTIMA - </w:t>
      </w:r>
      <w:r>
        <w:rPr>
          <w:rFonts w:ascii="Times New Roman" w:hAnsi="Times New Roman" w:cs="Times New Roman"/>
        </w:rPr>
        <w:t>Os produtos deverão ser entregues conforme a necessidade, no prazo de até 15 (quinze) dias, a contar da data de envio do pedido pelo Setor de Compras (Nota de Empenho).</w:t>
      </w:r>
    </w:p>
    <w:p w14:paraId="77B1A4FE">
      <w:pPr>
        <w:tabs>
          <w:tab w:val="left" w:pos="1134"/>
        </w:tabs>
        <w:spacing w:after="0" w:line="240" w:lineRule="auto"/>
        <w:jc w:val="both"/>
        <w:rPr>
          <w:rFonts w:ascii="Times New Roman" w:hAnsi="Times New Roman"/>
        </w:rPr>
      </w:pPr>
      <w:r>
        <w:rPr>
          <w:rFonts w:ascii="Times New Roman" w:hAnsi="Times New Roman"/>
          <w:bCs/>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concedida para entrega dos itens, e sendo conveniente para a Administração tal pedido.</w:t>
      </w:r>
    </w:p>
    <w:p w14:paraId="5BF017FB">
      <w:pPr>
        <w:tabs>
          <w:tab w:val="left" w:pos="675"/>
        </w:tabs>
        <w:suppressAutoHyphens/>
        <w:spacing w:after="0" w:line="240" w:lineRule="auto"/>
        <w:jc w:val="both"/>
        <w:rPr>
          <w:rFonts w:ascii="Times New Roman" w:hAnsi="Times New Roman" w:cs="Times New Roman"/>
          <w:bCs/>
        </w:rPr>
      </w:pPr>
      <w:r>
        <w:rPr>
          <w:rFonts w:ascii="Times New Roman" w:hAnsi="Times New Roman" w:cs="Times New Roman"/>
          <w:bCs/>
          <w:sz w:val="24"/>
          <w:szCs w:val="24"/>
        </w:rPr>
        <w:t xml:space="preserve">§ </w:t>
      </w:r>
      <w:r>
        <w:rPr>
          <w:rFonts w:ascii="Times New Roman" w:hAnsi="Times New Roman" w:cs="Times New Roman"/>
          <w:bCs/>
        </w:rPr>
        <w:t>2º Os produtos deverão ser entregues no Almoxarifado de Medicamentos, situado na Rua 31 de Agosto, nº 227, Bairro Alesgut, Teutônia/RS, nos horários entre 07h30 e 11h e 13h30min às 16h, mediante agendamento pelo fone (51) 3762-7808</w:t>
      </w:r>
      <w:r>
        <w:rPr>
          <w:rFonts w:ascii="Times New Roman" w:hAnsi="Times New Roman" w:cs="Times New Roman"/>
        </w:rPr>
        <w:t>. Não haverá limitação e/ou carga mínima de quantitativos.</w:t>
      </w:r>
    </w:p>
    <w:p w14:paraId="3B4A61DD">
      <w:pPr>
        <w:tabs>
          <w:tab w:val="left" w:pos="1134"/>
        </w:tabs>
        <w:spacing w:after="0" w:line="240" w:lineRule="auto"/>
        <w:jc w:val="both"/>
        <w:rPr>
          <w:rFonts w:ascii="Times New Roman" w:hAnsi="Times New Roman"/>
          <w:bCs/>
        </w:rPr>
      </w:pPr>
      <w:r>
        <w:rPr>
          <w:rFonts w:ascii="Times New Roman" w:hAnsi="Times New Roman" w:cs="Times New Roman"/>
          <w:bCs/>
        </w:rPr>
        <w:t>§ 3º Os produtos devem vir acompanhados da Nota Fiscal/Fatura (constando o nº da Nota de Empenho).</w:t>
      </w:r>
    </w:p>
    <w:p w14:paraId="567D2D4A">
      <w:pPr>
        <w:tabs>
          <w:tab w:val="left" w:pos="1134"/>
        </w:tabs>
        <w:spacing w:after="0" w:line="240" w:lineRule="auto"/>
        <w:jc w:val="both"/>
        <w:rPr>
          <w:rFonts w:ascii="Times New Roman" w:hAnsi="Times New Roman"/>
          <w:b/>
          <w:bCs/>
        </w:rPr>
      </w:pPr>
      <w:r>
        <w:rPr>
          <w:rFonts w:ascii="Times New Roman" w:hAnsi="Times New Roman" w:cs="Times New Roman"/>
          <w:bCs/>
        </w:rPr>
        <w:t xml:space="preserve">§ 4º </w:t>
      </w:r>
      <w:r>
        <w:rPr>
          <w:rFonts w:ascii="Times New Roman" w:hAnsi="Times New Roman" w:cs="Times New Roman"/>
        </w:rPr>
        <w:t>Verificada a desconformidade de algum dos produtos, a licitante vencedora deverá promover as correções necessárias no prazo máximo de 72 (setenta e duas) horas, sujeitando-se às penalidades previstas neste edital.</w:t>
      </w:r>
    </w:p>
    <w:p w14:paraId="09D12CAB">
      <w:pPr>
        <w:spacing w:after="0" w:line="240" w:lineRule="auto"/>
        <w:ind w:right="398" w:rightChars="181"/>
        <w:jc w:val="both"/>
        <w:rPr>
          <w:rFonts w:ascii="Times New Roman" w:hAnsi="Times New Roman"/>
        </w:rPr>
      </w:pPr>
    </w:p>
    <w:p w14:paraId="48A85939">
      <w:pPr>
        <w:tabs>
          <w:tab w:val="left" w:pos="9240"/>
          <w:tab w:val="left" w:pos="9460"/>
        </w:tabs>
        <w:spacing w:after="0" w:line="240" w:lineRule="auto"/>
        <w:jc w:val="both"/>
        <w:rPr>
          <w:rFonts w:ascii="Times New Roman" w:hAnsi="Times New Roman"/>
        </w:rPr>
      </w:pPr>
      <w:r>
        <w:rPr>
          <w:rFonts w:ascii="Times New Roman" w:hAnsi="Times New Roman" w:cs="Times New Roman"/>
          <w:b/>
          <w:bCs/>
        </w:rPr>
        <w:t xml:space="preserve">CLÁUSULA OITAVA </w:t>
      </w:r>
      <w:r>
        <w:rPr>
          <w:rFonts w:ascii="Times New Roman" w:hAnsi="Times New Roman" w:cs="Times New Roman"/>
        </w:rPr>
        <w:t>– São obrigações da DETENTORA:</w:t>
      </w:r>
    </w:p>
    <w:p w14:paraId="2A78BF41">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durante toda a vigência da Ata de Registro de Preço, compatibilidade com as obrigações por ela assumidas e as condições e qualificação exigidas no Edital da licitação;</w:t>
      </w:r>
    </w:p>
    <w:p w14:paraId="779D19A6">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indicar preposto, bem como seu contato telefônico e eletrônico, para representá-la durante a execução desta Ata de Registro de Preços;</w:t>
      </w:r>
    </w:p>
    <w:p w14:paraId="6FCCC262">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no caso de solicitações extras, atender prontamente ao MUNICÍPIO;</w:t>
      </w:r>
    </w:p>
    <w:p w14:paraId="16C1D8E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efetuar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14:paraId="3F5F3114">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prestar todos os esclarecimentos que forem solicitados pelo MUNICÍPIO;</w:t>
      </w:r>
    </w:p>
    <w:p w14:paraId="0CDE3700">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fornecer, sempre que solicitado pelo Município, comprovantes de pagamentos de empregados e do recolhimento dos encargos sociais, trabalhistas e fiscais, decorrentes da execução desta Ata de Registro de Preço;</w:t>
      </w:r>
    </w:p>
    <w:p w14:paraId="10FB1D94">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transferir a outrem, no todo ou em parte, o objeto do presente instrumento, sem prévia e expressa anuência do MUNICÍPIO;</w:t>
      </w:r>
    </w:p>
    <w:p w14:paraId="73E1C6EA">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caucionar ou utilizar esta Ata de Registro de Preço para qualquer operação financeira, sem a prévia e expressa anuência do MUNICÍPIO, sob pena de rescisão contratual;</w:t>
      </w:r>
    </w:p>
    <w:p w14:paraId="7EE9C992">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quadro de pessoal suficiente para atendimento das solicitações, conforme previsto neste instrumento, sem interrupção, seja por motivo de férias, descanso semanal, licença, falta ao serviço e demissão de empregado;</w:t>
      </w:r>
    </w:p>
    <w:p w14:paraId="150F6895">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utilizar pessoal qualificado, identificado, uniformizado, utilizando EPI's conforme determina a legislação, se for o caso, com bom comportamento, podendo ser exigida a substituição de qualquer empregado cujo comportamento seja julgado impróprio pelo MUNICÍPIO;</w:t>
      </w:r>
    </w:p>
    <w:p w14:paraId="4CAB20B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responder por quaisquer danos pessoais e materiais ocasionados por seus funcionários durante a execução desta Ata de Registro de Preços;</w:t>
      </w:r>
    </w:p>
    <w:p w14:paraId="61D6654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reparar, corrigir, remover ou substituir às suas expensas, qualquer dano que venha a surgir pelos serviços prestados;</w:t>
      </w:r>
    </w:p>
    <w:p w14:paraId="21E37D11">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relatar ao MUNICÍPIO toda e qualquer irregularidade verificada no decorrer da execução desta Ata de Registro de Preço;</w:t>
      </w:r>
    </w:p>
    <w:p w14:paraId="0B97AA35">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indenizar o MUNICÍPIO e/ou terceiros em razão de prejuízos ou danos causados pela DETENTORA, decorrentes de dolo ou culpa, durante a execução desta Ata de Registro de Preço;</w:t>
      </w:r>
    </w:p>
    <w:p w14:paraId="5BF429C7">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comunicar ao MUNICÍPIO, no prazo máximo de 2 (dois) dias que antecedem a data de entrega do objeto, os motivos que impossibilitem o cumprimento do prazo previsto, com a devida comprovação, sem prejuízo de eventuais penalidades, caso a justificativa não seja aceita.</w:t>
      </w:r>
    </w:p>
    <w:p w14:paraId="19DB982F">
      <w:pPr>
        <w:tabs>
          <w:tab w:val="left" w:pos="9460"/>
        </w:tabs>
        <w:spacing w:beforeLines="50" w:after="0" w:line="240" w:lineRule="auto"/>
        <w:jc w:val="both"/>
        <w:rPr>
          <w:rFonts w:ascii="Times New Roman" w:hAnsi="Times New Roman"/>
        </w:rPr>
      </w:pPr>
      <w:r>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14:paraId="206A27A6">
      <w:pPr>
        <w:tabs>
          <w:tab w:val="left" w:pos="9460"/>
        </w:tabs>
        <w:spacing w:beforeLines="50" w:after="0" w:line="240" w:lineRule="auto"/>
        <w:jc w:val="both"/>
        <w:rPr>
          <w:rFonts w:ascii="Times New Roman" w:hAnsi="Times New Roman"/>
        </w:rPr>
      </w:pPr>
      <w:r>
        <w:rPr>
          <w:rFonts w:ascii="Times New Roman" w:hAnsi="Times New Roman" w:cs="Times New Roman"/>
        </w:rPr>
        <w:t>§2° Para a execução do objeto desta Ata, não será permitida a subcontratação de empresa terceirizada, salvo sob expressa anuência do MUNICÍPIO, a qual deverá ser emitida pelo Gestor deste instrumento.</w:t>
      </w:r>
    </w:p>
    <w:p w14:paraId="14E7C697">
      <w:pPr>
        <w:tabs>
          <w:tab w:val="left" w:pos="9460"/>
        </w:tabs>
        <w:spacing w:beforeLines="50" w:after="0" w:line="240" w:lineRule="auto"/>
        <w:jc w:val="both"/>
        <w:rPr>
          <w:rFonts w:ascii="Times New Roman" w:hAnsi="Times New Roman"/>
        </w:rPr>
      </w:pPr>
      <w:r>
        <w:rPr>
          <w:rFonts w:ascii="Times New Roman" w:hAnsi="Times New Roman" w:cs="Times New Roman"/>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14:paraId="7FF869DA">
      <w:pPr>
        <w:tabs>
          <w:tab w:val="left" w:pos="9460"/>
        </w:tabs>
        <w:spacing w:after="0" w:line="240" w:lineRule="auto"/>
        <w:jc w:val="both"/>
        <w:rPr>
          <w:rFonts w:ascii="Times New Roman" w:hAnsi="Times New Roman"/>
        </w:rPr>
      </w:pPr>
    </w:p>
    <w:p w14:paraId="34CC9CA9">
      <w:pPr>
        <w:tabs>
          <w:tab w:val="left" w:pos="9460"/>
        </w:tabs>
        <w:spacing w:after="0" w:line="240" w:lineRule="auto"/>
        <w:jc w:val="both"/>
        <w:rPr>
          <w:rFonts w:ascii="Times New Roman" w:hAnsi="Times New Roman"/>
        </w:rPr>
      </w:pPr>
      <w:r>
        <w:rPr>
          <w:rFonts w:ascii="Times New Roman" w:hAnsi="Times New Roman" w:cs="Times New Roman"/>
          <w:b/>
          <w:bCs/>
        </w:rPr>
        <w:t>CLÁUSULA NONA</w:t>
      </w:r>
      <w:r>
        <w:rPr>
          <w:rFonts w:ascii="Times New Roman" w:hAnsi="Times New Roman" w:cs="Times New Roman"/>
        </w:rPr>
        <w:t xml:space="preserve"> – O MUNICÍPIO obriga-se a:</w:t>
      </w:r>
    </w:p>
    <w:p w14:paraId="76B00981">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solicitar à DETENTORA, em tempo hábil, os serviços para atender às suas necessidades;</w:t>
      </w:r>
    </w:p>
    <w:p w14:paraId="49BAD776">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fiscalizar o cumprimento desta Ata, por intermédio dos servidores designados;</w:t>
      </w:r>
    </w:p>
    <w:p w14:paraId="3EF6F7E5">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verificar a conformidade dos serviços prestados com as disposições desta Ata de Registro de Preço, do Edital da Licitação e da proposta da DETENTORA;</w:t>
      </w:r>
    </w:p>
    <w:p w14:paraId="511C23CA">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efetuar o pagamento à DETENTORA, de acordo com a forma e prazo estabelecidos neste instrumento; e</w:t>
      </w:r>
    </w:p>
    <w:p w14:paraId="0485303B">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comunicar à DETENTORA a ocorrência de quaisquer fatos que, a seu critério, exijam correção por parte desta.</w:t>
      </w:r>
    </w:p>
    <w:p w14:paraId="20C12EF6">
      <w:pPr>
        <w:tabs>
          <w:tab w:val="left" w:pos="9460"/>
        </w:tabs>
        <w:spacing w:beforeLines="50" w:after="0" w:line="240" w:lineRule="auto"/>
        <w:jc w:val="both"/>
        <w:rPr>
          <w:rFonts w:ascii="Times New Roman" w:hAnsi="Times New Roman"/>
        </w:rPr>
      </w:pPr>
      <w:r>
        <w:rPr>
          <w:rFonts w:ascii="Times New Roman" w:hAnsi="Times New Roman" w:cs="Times New Roman"/>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14:paraId="22F9B5E1">
      <w:pPr>
        <w:pStyle w:val="10"/>
        <w:tabs>
          <w:tab w:val="left" w:pos="9460"/>
        </w:tabs>
        <w:spacing w:before="253"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DÉCIMA </w:t>
      </w:r>
      <w:r>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Pr>
          <w:rFonts w:ascii="Times New Roman" w:hAnsi="Times New Roman" w:cs="Times New Roman"/>
          <w:lang w:val="pt-BR"/>
        </w:rPr>
        <w:t xml:space="preserve"> </w:t>
      </w:r>
    </w:p>
    <w:p w14:paraId="1A4BEC27">
      <w:pPr>
        <w:pStyle w:val="10"/>
        <w:tabs>
          <w:tab w:val="left" w:pos="9460"/>
          <w:tab w:val="left" w:pos="10120"/>
        </w:tabs>
        <w:spacing w:before="253" w:line="240" w:lineRule="auto"/>
        <w:rPr>
          <w:rFonts w:ascii="Times New Roman" w:hAnsi="Times New Roman" w:cs="Times New Roman"/>
          <w:b/>
          <w:lang w:val="pt-BR"/>
        </w:rPr>
      </w:pPr>
      <w:r>
        <w:rPr>
          <w:rFonts w:ascii="Times New Roman" w:hAnsi="Times New Roman" w:cs="Times New Roman"/>
          <w:b/>
          <w:lang w:val="pt-BR"/>
        </w:rPr>
        <w:t xml:space="preserve">CLÁUSULA DÉCIMA PRIMEIRA - </w:t>
      </w:r>
      <w:r>
        <w:rPr>
          <w:rFonts w:ascii="Times New Roman" w:hAnsi="Times New Roman" w:eastAsia="ArialMT" w:cs="Times New Roman"/>
        </w:rPr>
        <w:t>A Ata de Registro de Preços poderá ser cancelada pela Administração, de pleno direito</w:t>
      </w:r>
      <w:r>
        <w:rPr>
          <w:rFonts w:ascii="Times New Roman" w:hAnsi="Times New Roman" w:eastAsia="ArialMT" w:cs="Times New Roman"/>
          <w:lang w:val="pt-BR"/>
        </w:rPr>
        <w:t>, quando:</w:t>
      </w:r>
    </w:p>
    <w:p w14:paraId="2DFD43D3">
      <w:pPr>
        <w:numPr>
          <w:ilvl w:val="0"/>
          <w:numId w:val="5"/>
        </w:numPr>
        <w:tabs>
          <w:tab w:val="left" w:pos="2268"/>
          <w:tab w:val="left" w:pos="9460"/>
        </w:tabs>
        <w:spacing w:after="0" w:line="240" w:lineRule="auto"/>
        <w:jc w:val="both"/>
        <w:rPr>
          <w:rFonts w:ascii="Times New Roman" w:hAnsi="Times New Roman"/>
        </w:rPr>
      </w:pPr>
      <w:r>
        <w:rPr>
          <w:rFonts w:ascii="Times New Roman" w:hAnsi="Times New Roman" w:cs="Times New Roman"/>
        </w:rPr>
        <w:t>o fornecedor descumprir total ou parcialmente as condições da ata de registro de preços;</w:t>
      </w:r>
    </w:p>
    <w:p w14:paraId="25A43C87">
      <w:pPr>
        <w:tabs>
          <w:tab w:val="left" w:pos="9460"/>
        </w:tabs>
        <w:spacing w:after="0" w:line="240" w:lineRule="auto"/>
        <w:jc w:val="both"/>
        <w:rPr>
          <w:rFonts w:ascii="Times New Roman" w:hAnsi="Times New Roman"/>
        </w:rPr>
      </w:pPr>
      <w:r>
        <w:rPr>
          <w:rFonts w:ascii="Times New Roman" w:hAnsi="Times New Roman" w:cs="Times New Roman"/>
        </w:rPr>
        <w:t xml:space="preserve">b) o fornecedor não retirar a nota de empenho, ou instrumento equivalente, no prazo estabelecido pela Administração, sem justificativa aceitável; </w:t>
      </w:r>
    </w:p>
    <w:p w14:paraId="3072364A">
      <w:pPr>
        <w:tabs>
          <w:tab w:val="left" w:pos="9460"/>
        </w:tabs>
        <w:spacing w:after="0" w:line="240" w:lineRule="auto"/>
        <w:jc w:val="both"/>
        <w:rPr>
          <w:rFonts w:ascii="Times New Roman" w:hAnsi="Times New Roman"/>
        </w:rPr>
      </w:pPr>
      <w:r>
        <w:rPr>
          <w:rFonts w:ascii="Times New Roman" w:hAnsi="Times New Roman" w:cs="Times New Roman"/>
        </w:rPr>
        <w:t xml:space="preserve">c) </w:t>
      </w:r>
      <w:r>
        <w:rPr>
          <w:rFonts w:ascii="Times New Roman" w:hAnsi="Times New Roman" w:eastAsia="SimSun" w:cs="Times New Roman"/>
        </w:rPr>
        <w:t>não aceitar reduzir o seu preço registrado, na hipótese deste se tornar superior àqueles praticados no mercado;</w:t>
      </w:r>
    </w:p>
    <w:p w14:paraId="32EB0894">
      <w:pPr>
        <w:tabs>
          <w:tab w:val="left" w:pos="9460"/>
        </w:tabs>
        <w:spacing w:after="0" w:line="240" w:lineRule="auto"/>
        <w:jc w:val="both"/>
        <w:rPr>
          <w:rFonts w:ascii="Times New Roman" w:hAnsi="Times New Roman"/>
        </w:rPr>
      </w:pPr>
      <w:r>
        <w:rPr>
          <w:rFonts w:ascii="Times New Roman" w:hAnsi="Times New Roman" w:cs="Times New Roman"/>
        </w:rPr>
        <w:t>d) o fornecedor sofrer a sanção prevista nos incisos III ou IV do caput do art. 156 da Lei Federal nº 14.133/2021.</w:t>
      </w:r>
    </w:p>
    <w:p w14:paraId="1B58C8F1">
      <w:pPr>
        <w:tabs>
          <w:tab w:val="left" w:pos="9460"/>
        </w:tabs>
        <w:spacing w:after="0" w:line="240" w:lineRule="auto"/>
        <w:jc w:val="both"/>
        <w:rPr>
          <w:rFonts w:ascii="Times New Roman" w:hAnsi="Times New Roman"/>
        </w:rPr>
      </w:pPr>
      <w:r>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14:paraId="38E43AC6">
      <w:pPr>
        <w:spacing w:after="0" w:line="240" w:lineRule="auto"/>
        <w:ind w:right="398" w:rightChars="181"/>
        <w:jc w:val="both"/>
        <w:rPr>
          <w:rFonts w:ascii="Times New Roman" w:hAnsi="Times New Roman"/>
        </w:rPr>
      </w:pPr>
    </w:p>
    <w:p w14:paraId="3D1DD3DB">
      <w:pPr>
        <w:spacing w:after="0" w:line="240" w:lineRule="auto"/>
        <w:jc w:val="both"/>
        <w:rPr>
          <w:rFonts w:ascii="Times New Roman" w:hAnsi="Times New Roman" w:eastAsia="ArialMT"/>
        </w:rPr>
      </w:pPr>
      <w:r>
        <w:rPr>
          <w:rFonts w:ascii="Times New Roman" w:hAnsi="Times New Roman" w:cs="Times New Roman"/>
          <w:b/>
          <w:bCs/>
        </w:rPr>
        <w:t>CLÁUSULA DÉCIMA SEGUNDA</w:t>
      </w:r>
      <w:r>
        <w:rPr>
          <w:rFonts w:ascii="Times New Roman" w:hAnsi="Times New Roman" w:cs="Times New Roman"/>
        </w:rPr>
        <w:t xml:space="preserve"> - </w:t>
      </w:r>
      <w:r>
        <w:rPr>
          <w:rFonts w:ascii="Times New Roman" w:hAnsi="Times New Roman" w:eastAsia="ArialMT" w:cs="Times New Roman"/>
        </w:rPr>
        <w:t>A recusa injustificada da empresa em prestar os serviços descrito na Cláusula Primeira, de conformidade com a proposta classificada na licitação, ensejará a aplicação das penalidades previstas em Edital e no art. 155 da Lei nº 14.133/2021, a critério da Administração, podendo ser aplicada sanção de:</w:t>
      </w:r>
    </w:p>
    <w:p w14:paraId="4D566A7E">
      <w:pPr>
        <w:spacing w:after="0" w:line="240" w:lineRule="auto"/>
        <w:jc w:val="both"/>
        <w:rPr>
          <w:rFonts w:ascii="Times New Roman" w:hAnsi="Times New Roman"/>
        </w:rPr>
      </w:pPr>
      <w:r>
        <w:rPr>
          <w:rFonts w:ascii="Times New Roman" w:hAnsi="Times New Roman" w:cs="Times New Roman"/>
        </w:rPr>
        <w:t>a) advertência;</w:t>
      </w:r>
    </w:p>
    <w:p w14:paraId="48CE1D27">
      <w:pPr>
        <w:spacing w:after="0" w:line="240" w:lineRule="auto"/>
        <w:jc w:val="both"/>
        <w:rPr>
          <w:rFonts w:ascii="Times New Roman" w:hAnsi="Times New Roman"/>
        </w:rPr>
      </w:pPr>
      <w:bookmarkStart w:id="0" w:name="art156ii"/>
      <w:bookmarkEnd w:id="0"/>
      <w:r>
        <w:rPr>
          <w:rFonts w:ascii="Times New Roman" w:hAnsi="Times New Roman" w:cs="Times New Roman"/>
        </w:rPr>
        <w:t>b) multa de no mínimo 0,5% (cinco décimos por cento) e máximo de 30% (trinta por cento) do valor do objeto licitado ou contratado;</w:t>
      </w:r>
    </w:p>
    <w:p w14:paraId="1B6B928E">
      <w:pPr>
        <w:spacing w:after="0" w:line="240" w:lineRule="auto"/>
        <w:jc w:val="both"/>
        <w:rPr>
          <w:rFonts w:ascii="Times New Roman" w:hAnsi="Times New Roman"/>
        </w:rPr>
      </w:pPr>
      <w:bookmarkStart w:id="1" w:name="art156iii"/>
      <w:bookmarkEnd w:id="1"/>
      <w:r>
        <w:rPr>
          <w:rFonts w:ascii="Times New Roman" w:hAnsi="Times New Roman" w:cs="Times New Roman"/>
        </w:rPr>
        <w:t>c) impedimento de licitar e contratar, no âmbito da Administração Pública direta e indireta do órgão licitante, pelo prazo máximo de 3 (três) anos.</w:t>
      </w:r>
    </w:p>
    <w:p w14:paraId="6584B99B">
      <w:pPr>
        <w:spacing w:after="0" w:line="240" w:lineRule="auto"/>
        <w:jc w:val="both"/>
        <w:rPr>
          <w:rFonts w:ascii="Times New Roman" w:hAnsi="Times New Roman"/>
        </w:rPr>
      </w:pPr>
      <w:bookmarkStart w:id="2" w:name="art156iv"/>
      <w:bookmarkEnd w:id="2"/>
      <w:r>
        <w:rPr>
          <w:rFonts w:ascii="Times New Roman" w:hAnsi="Times New Roman" w:cs="Times New Roman"/>
        </w:rPr>
        <w:t>d) declaração de inidoneidade para licitar ou contratar</w:t>
      </w:r>
      <w:bookmarkStart w:id="3" w:name="art156§5"/>
      <w:bookmarkEnd w:id="3"/>
      <w:bookmarkStart w:id="4" w:name="art156§2"/>
      <w:bookmarkEnd w:id="4"/>
      <w:bookmarkStart w:id="5" w:name="art156§1"/>
      <w:bookmarkEnd w:id="5"/>
      <w:r>
        <w:rPr>
          <w:rFonts w:ascii="Times New Roman" w:hAnsi="Times New Roman" w:cs="Times New Roman"/>
        </w:rPr>
        <w:t xml:space="preserve"> no âmbito da Administração Pública direta e indireta de todos os entes federativos, pelo prazo mínimo de 3 (três) anos e máximo de 6 (seis) anos.</w:t>
      </w:r>
    </w:p>
    <w:p w14:paraId="4ED2DCC1">
      <w:pPr>
        <w:spacing w:after="0" w:line="240" w:lineRule="auto"/>
        <w:jc w:val="both"/>
        <w:rPr>
          <w:rFonts w:ascii="Times New Roman" w:hAnsi="Times New Roman"/>
        </w:rPr>
      </w:pPr>
    </w:p>
    <w:p w14:paraId="407512F4">
      <w:pPr>
        <w:pStyle w:val="10"/>
        <w:tabs>
          <w:tab w:val="left" w:pos="9900"/>
          <w:tab w:val="left" w:pos="10120"/>
        </w:tabs>
        <w:spacing w:before="1" w:line="240" w:lineRule="auto"/>
        <w:rPr>
          <w:rFonts w:ascii="Times New Roman" w:hAnsi="Times New Roman" w:cs="Times New Roman"/>
          <w:bCs/>
          <w:lang w:val="pt-BR"/>
        </w:rPr>
      </w:pPr>
      <w:r>
        <w:rPr>
          <w:rFonts w:ascii="Times New Roman" w:hAnsi="Times New Roman" w:cs="Times New Roman"/>
          <w:b/>
          <w:lang w:val="pt-BR"/>
        </w:rPr>
        <w:t>CL</w:t>
      </w:r>
      <w:r>
        <w:rPr>
          <w:rFonts w:ascii="Times New Roman" w:hAnsi="Times New Roman" w:cs="Times New Roman"/>
          <w:b/>
        </w:rPr>
        <w:t xml:space="preserve">ÁUSULA DÉCIMA </w:t>
      </w:r>
      <w:r>
        <w:rPr>
          <w:rFonts w:ascii="Times New Roman" w:hAnsi="Times New Roman" w:cs="Times New Roman"/>
          <w:b/>
          <w:lang w:val="pt-BR"/>
        </w:rPr>
        <w:t xml:space="preserve">TERCEIRA </w:t>
      </w:r>
      <w:r>
        <w:rPr>
          <w:rFonts w:ascii="Times New Roman" w:hAnsi="Times New Roman" w:cs="Times New Roman"/>
          <w:b/>
        </w:rPr>
        <w:t xml:space="preserve">– </w:t>
      </w:r>
      <w:r>
        <w:rPr>
          <w:rFonts w:ascii="Times New Roman" w:hAnsi="Times New Roman" w:cs="Times New Roman"/>
          <w:bCs/>
        </w:rPr>
        <w:t xml:space="preserve">Da </w:t>
      </w:r>
      <w:r>
        <w:rPr>
          <w:rFonts w:ascii="Times New Roman" w:hAnsi="Times New Roman" w:cs="Times New Roman"/>
          <w:bCs/>
          <w:lang w:val="pt-BR"/>
        </w:rPr>
        <w:t>a</w:t>
      </w:r>
      <w:r>
        <w:rPr>
          <w:rFonts w:ascii="Times New Roman" w:hAnsi="Times New Roman" w:cs="Times New Roman"/>
          <w:bCs/>
        </w:rPr>
        <w:t xml:space="preserve">dequação à Lei Geral </w:t>
      </w:r>
      <w:r>
        <w:rPr>
          <w:rFonts w:ascii="Times New Roman" w:hAnsi="Times New Roman" w:cs="Times New Roman"/>
          <w:bCs/>
          <w:lang w:val="pt-BR"/>
        </w:rPr>
        <w:t>d</w:t>
      </w:r>
      <w:r>
        <w:rPr>
          <w:rFonts w:ascii="Times New Roman" w:hAnsi="Times New Roman" w:cs="Times New Roman"/>
          <w:bCs/>
        </w:rPr>
        <w:t xml:space="preserve">e Proteção </w:t>
      </w:r>
      <w:r>
        <w:rPr>
          <w:rFonts w:ascii="Times New Roman" w:hAnsi="Times New Roman" w:cs="Times New Roman"/>
          <w:bCs/>
          <w:lang w:val="pt-BR"/>
        </w:rPr>
        <w:t>d</w:t>
      </w:r>
      <w:r>
        <w:rPr>
          <w:rFonts w:ascii="Times New Roman" w:hAnsi="Times New Roman" w:cs="Times New Roman"/>
          <w:bCs/>
        </w:rPr>
        <w:t>e Dados Pessoais - Lei Nº 13.709/2018 (L</w:t>
      </w:r>
      <w:r>
        <w:rPr>
          <w:rFonts w:ascii="Times New Roman" w:hAnsi="Times New Roman" w:cs="Times New Roman"/>
          <w:bCs/>
          <w:lang w:val="pt-BR"/>
        </w:rPr>
        <w:t>GPD</w:t>
      </w:r>
      <w:r>
        <w:rPr>
          <w:rFonts w:ascii="Times New Roman" w:hAnsi="Times New Roman" w:cs="Times New Roman"/>
          <w:bCs/>
        </w:rPr>
        <w:t>)</w:t>
      </w:r>
      <w:r>
        <w:rPr>
          <w:rFonts w:ascii="Times New Roman" w:hAnsi="Times New Roman" w:cs="Times New Roman"/>
          <w:bCs/>
          <w:lang w:val="pt-BR"/>
        </w:rPr>
        <w:t>.</w:t>
      </w:r>
    </w:p>
    <w:p w14:paraId="70B15768">
      <w:pPr>
        <w:numPr>
          <w:ilvl w:val="0"/>
          <w:numId w:val="6"/>
        </w:numPr>
        <w:tabs>
          <w:tab w:val="left" w:pos="2268"/>
        </w:tabs>
        <w:spacing w:after="0" w:line="240" w:lineRule="auto"/>
        <w:jc w:val="both"/>
        <w:rPr>
          <w:rFonts w:ascii="Times New Roman" w:hAnsi="Times New Roman"/>
        </w:rPr>
      </w:pPr>
      <w:r>
        <w:rPr>
          <w:rFonts w:ascii="Times New Roman" w:hAnsi="Times New Roman" w:cs="Times New Roman"/>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68BC9A20">
      <w:pPr>
        <w:spacing w:after="0" w:line="240" w:lineRule="auto"/>
        <w:jc w:val="both"/>
        <w:rPr>
          <w:rFonts w:ascii="Times New Roman" w:hAnsi="Times New Roman"/>
        </w:rPr>
      </w:pPr>
      <w:r>
        <w:rPr>
          <w:rFonts w:ascii="Times New Roman" w:hAnsi="Times New Roman" w:cs="Times New Roman"/>
        </w:rPr>
        <w:t xml:space="preserve">b) 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14:paraId="4ECC24C8">
      <w:pPr>
        <w:spacing w:after="0" w:line="240" w:lineRule="auto"/>
        <w:jc w:val="both"/>
        <w:rPr>
          <w:rFonts w:ascii="Times New Roman" w:hAnsi="Times New Roman"/>
        </w:rPr>
      </w:pPr>
      <w:r>
        <w:rPr>
          <w:rFonts w:ascii="Times New Roman" w:hAnsi="Times New Roman" w:cs="Times New Roman"/>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14:paraId="3F0B21A2">
      <w:pPr>
        <w:spacing w:after="0" w:line="240" w:lineRule="auto"/>
        <w:jc w:val="both"/>
        <w:rPr>
          <w:rFonts w:ascii="Times New Roman" w:hAnsi="Times New Roman"/>
        </w:rPr>
      </w:pPr>
    </w:p>
    <w:p w14:paraId="54E684B7">
      <w:pPr>
        <w:spacing w:after="0" w:line="240" w:lineRule="auto"/>
        <w:jc w:val="both"/>
        <w:rPr>
          <w:rFonts w:ascii="Times New Roman" w:hAnsi="Times New Roman"/>
        </w:rPr>
      </w:pPr>
      <w:r>
        <w:rPr>
          <w:rFonts w:ascii="Times New Roman" w:hAnsi="Times New Roman" w:cs="Times New Roman"/>
          <w:b/>
          <w:bCs/>
        </w:rPr>
        <w:t>CLÁUSULA DÉCIMA QUARTA</w:t>
      </w:r>
      <w:r>
        <w:rPr>
          <w:rFonts w:ascii="Times New Roman" w:hAnsi="Times New Roman" w:cs="Times New Roman"/>
        </w:rPr>
        <w:t xml:space="preserve"> - Integram este instrumento o Edital no Pregão na Forma Eletrônica nº </w:t>
      </w:r>
      <w:r>
        <w:rPr>
          <w:rFonts w:ascii="Times New Roman" w:hAnsi="Times New Roman"/>
        </w:rPr>
        <w:t>04</w:t>
      </w:r>
      <w:r>
        <w:rPr>
          <w:rFonts w:hint="default" w:ascii="Times New Roman" w:hAnsi="Times New Roman"/>
          <w:lang w:val="pt-BR"/>
        </w:rPr>
        <w:t>4</w:t>
      </w:r>
      <w:r>
        <w:rPr>
          <w:rFonts w:ascii="Times New Roman" w:hAnsi="Times New Roman"/>
        </w:rPr>
        <w:t>/2026</w:t>
      </w:r>
      <w:r>
        <w:rPr>
          <w:rFonts w:ascii="Times New Roman" w:hAnsi="Times New Roman" w:cs="Times New Roman"/>
        </w:rPr>
        <w:t xml:space="preserve">, seus anexos, em especial o Termo de Referência, e a proposta da </w:t>
      </w:r>
      <w:r>
        <w:rPr>
          <w:rFonts w:ascii="Times New Roman" w:hAnsi="Times New Roman" w:cs="Times New Roman"/>
          <w:spacing w:val="-2"/>
        </w:rPr>
        <w:t>DETENTORA.</w:t>
      </w:r>
    </w:p>
    <w:p w14:paraId="604A0C4E">
      <w:pPr>
        <w:spacing w:before="253" w:after="0" w:line="240" w:lineRule="auto"/>
        <w:jc w:val="both"/>
        <w:rPr>
          <w:rFonts w:ascii="Times New Roman" w:hAnsi="Times New Roman"/>
        </w:rPr>
      </w:pPr>
      <w:r>
        <w:rPr>
          <w:rFonts w:ascii="Times New Roman" w:hAnsi="Times New Roman" w:cs="Times New Roman"/>
          <w:b/>
        </w:rPr>
        <w:t xml:space="preserve">CLÁUSULA DÉCIMA QUINTA – </w:t>
      </w:r>
      <w:r>
        <w:rPr>
          <w:rFonts w:ascii="Times New Roman" w:hAnsi="Times New Roman" w:cs="Times New Roman"/>
        </w:rPr>
        <w:t>Fica eleito o Foro da Comarca de Teutônia/RS para as questões resultantes desta Ata.</w:t>
      </w:r>
    </w:p>
    <w:p w14:paraId="224B614D">
      <w:pPr>
        <w:spacing w:after="0" w:line="240" w:lineRule="auto"/>
        <w:ind w:right="398" w:rightChars="181"/>
        <w:rPr>
          <w:rFonts w:ascii="Times New Roman" w:hAnsi="Times New Roman"/>
        </w:rPr>
      </w:pPr>
    </w:p>
    <w:p w14:paraId="159E57C0">
      <w:pPr>
        <w:tabs>
          <w:tab w:val="left" w:pos="4253"/>
        </w:tabs>
        <w:spacing w:after="0" w:line="240" w:lineRule="auto"/>
        <w:ind w:right="398" w:rightChars="181"/>
        <w:rPr>
          <w:rFonts w:ascii="Times New Roman" w:hAnsi="Times New Roman"/>
        </w:rPr>
      </w:pPr>
    </w:p>
    <w:p w14:paraId="1AAB38C1">
      <w:pPr>
        <w:tabs>
          <w:tab w:val="left" w:pos="4253"/>
        </w:tabs>
        <w:spacing w:after="0" w:line="240" w:lineRule="auto"/>
        <w:ind w:right="398" w:rightChars="181"/>
        <w:rPr>
          <w:rFonts w:ascii="Times New Roman" w:hAnsi="Times New Roman"/>
        </w:rPr>
      </w:pPr>
    </w:p>
    <w:p w14:paraId="0F5D256F">
      <w:pPr>
        <w:tabs>
          <w:tab w:val="left" w:pos="4253"/>
        </w:tabs>
        <w:spacing w:after="0" w:line="240" w:lineRule="auto"/>
        <w:ind w:right="398" w:rightChars="181" w:firstLine="220" w:firstLineChars="100"/>
        <w:rPr>
          <w:rFonts w:ascii="Times New Roman" w:hAnsi="Times New Roman"/>
        </w:rPr>
      </w:pPr>
      <w:r>
        <w:rPr>
          <w:rFonts w:ascii="Times New Roman" w:hAnsi="Times New Roman" w:cs="Times New Roman"/>
        </w:rPr>
        <w:t>______________________                                                       _________________________</w:t>
      </w:r>
    </w:p>
    <w:p w14:paraId="1737E90C">
      <w:pPr>
        <w:tabs>
          <w:tab w:val="left" w:pos="4253"/>
        </w:tabs>
        <w:spacing w:after="0" w:line="240" w:lineRule="auto"/>
        <w:ind w:right="398" w:rightChars="181"/>
        <w:rPr>
          <w:rFonts w:ascii="Times New Roman" w:hAnsi="Times New Roman"/>
        </w:rPr>
      </w:pPr>
      <w:r>
        <w:rPr>
          <w:rFonts w:ascii="Times New Roman" w:hAnsi="Times New Roman" w:cs="Times New Roman"/>
        </w:rPr>
        <w:t>RENATO AIRTON ALTMANN                                                           CONTRATADA</w:t>
      </w:r>
    </w:p>
    <w:p w14:paraId="1A126862">
      <w:pPr>
        <w:tabs>
          <w:tab w:val="left" w:pos="4253"/>
        </w:tabs>
        <w:spacing w:after="0" w:line="240" w:lineRule="auto"/>
        <w:ind w:right="398" w:rightChars="181" w:firstLine="440" w:firstLineChars="200"/>
        <w:rPr>
          <w:rFonts w:ascii="Times New Roman" w:hAnsi="Times New Roman"/>
        </w:rPr>
      </w:pPr>
      <w:r>
        <w:rPr>
          <w:rFonts w:ascii="Times New Roman" w:hAnsi="Times New Roman" w:cs="Times New Roman"/>
        </w:rPr>
        <w:t>Prefeito Municipal                                                            Representante da CONTRATADA</w:t>
      </w:r>
    </w:p>
    <w:p w14:paraId="0832DDF7">
      <w:pPr>
        <w:rPr>
          <w:szCs w:val="24"/>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Lucida Sans Unicode">
    <w:panose1 w:val="020B0602030504020204"/>
    <w:charset w:val="00"/>
    <w:family w:val="swiss"/>
    <w:pitch w:val="default"/>
    <w:sig w:usb0="80001AFF" w:usb1="0000396B" w:usb2="00000000" w:usb3="00000000" w:csb0="200000BF" w:csb1="D7F70000"/>
  </w:font>
  <w:font w:name="Mangal">
    <w:altName w:val="Segoe Print"/>
    <w:panose1 w:val="00000400000000000000"/>
    <w:charset w:val="01"/>
    <w:family w:val="roman"/>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1" w:csb1="00000000"/>
  </w:font>
  <w:font w:name="ArialMT">
    <w:altName w:val="Arial"/>
    <w:panose1 w:val="00000000000000000000"/>
    <w:charset w:val="00"/>
    <w:family w:val="swiss"/>
    <w:pitch w:val="default"/>
    <w:sig w:usb0="00000000" w:usb1="00000000" w:usb2="00000000" w:usb3="00000000" w:csb0="00040001" w:csb1="00000000"/>
  </w:font>
  <w:font w:name="Arial Unicode MS">
    <w:panose1 w:val="020B0604020202020204"/>
    <w:charset w:val="80"/>
    <w:family w:val="swiss"/>
    <w:pitch w:val="default"/>
    <w:sig w:usb0="FFFFFFFF" w:usb1="E9FFFFFF" w:usb2="0000003F" w:usb3="00000000" w:csb0="603F01FF" w:csb1="FFFF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00"/>
    <w:family w:val="swiss"/>
    <w:pitch w:val="default"/>
    <w:sig w:usb0="E4002EFF" w:usb1="C000247B" w:usb2="00000009" w:usb3="00000000" w:csb0="200001FF" w:csb1="00000000"/>
  </w:font>
  <w:font w:name="NSimSun">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479DC">
    <w:pPr>
      <w:tabs>
        <w:tab w:val="center" w:pos="4680"/>
        <w:tab w:val="right" w:pos="10050"/>
      </w:tabs>
      <w:spacing w:after="0" w:line="240" w:lineRule="auto"/>
      <w:ind w:left="-992" w:right="-1032"/>
      <w:jc w:val="center"/>
      <w:rPr>
        <w:rFonts w:ascii="Times New Roman" w:hAnsi="Times New Roman" w:eastAsia="Montserrat" w:cs="Times New Roman"/>
        <w:color w:val="1155CC"/>
        <w:sz w:val="20"/>
        <w:szCs w:val="20"/>
      </w:rPr>
    </w:pPr>
    <w:r>
      <w:rPr>
        <w:rFonts w:ascii="Times New Roman" w:hAnsi="Times New Roman" w:eastAsia="Montserrat" w:cs="Times New Roman"/>
        <w:color w:val="1155CC"/>
        <w:sz w:val="20"/>
        <w:szCs w:val="20"/>
      </w:rPr>
      <w:t xml:space="preserve">Av. 1 Oeste, 878, Bairro Centro Administrativo, Teutônia | RS | (51) 3762-7700  </w:t>
    </w:r>
  </w:p>
  <w:p w14:paraId="60FB4236">
    <w:pPr>
      <w:pStyle w:val="14"/>
      <w:jc w:val="center"/>
      <w:rPr>
        <w:rFonts w:ascii="Times New Roman" w:hAnsi="Times New Roman" w:cs="Times New Roman"/>
      </w:rPr>
    </w:pPr>
    <w:r>
      <w:rPr>
        <w:rFonts w:ascii="Times New Roman" w:hAnsi="Times New Roman" w:eastAsia="Montserrat" w:cs="Times New Roman"/>
        <w:color w:val="1155CC"/>
        <w:sz w:val="20"/>
        <w:szCs w:val="20"/>
      </w:rPr>
      <w:t>e-mail: licita1@teutonia.rs.gov.br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0CC9E">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4042D">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5"/>
      <w:tblW w:w="9090" w:type="dxa"/>
      <w:jc w:val="center"/>
      <w:tblLayout w:type="fixed"/>
      <w:tblCellMar>
        <w:top w:w="0" w:type="dxa"/>
        <w:left w:w="108" w:type="dxa"/>
        <w:bottom w:w="0" w:type="dxa"/>
        <w:right w:w="108" w:type="dxa"/>
      </w:tblCellMar>
    </w:tblPr>
    <w:tblGrid>
      <w:gridCol w:w="9090"/>
    </w:tblGrid>
    <w:tr w14:paraId="468359DA">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4FA3ACC6">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4502B23C">
    <w:pP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C8ECB">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887BC">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06309"/>
    <w:multiLevelType w:val="singleLevel"/>
    <w:tmpl w:val="9AA06309"/>
    <w:lvl w:ilvl="0" w:tentative="0">
      <w:start w:val="1"/>
      <w:numFmt w:val="lowerLetter"/>
      <w:suff w:val="space"/>
      <w:lvlText w:val="%1)"/>
      <w:lvlJc w:val="left"/>
    </w:lvl>
  </w:abstractNum>
  <w:abstractNum w:abstractNumId="1">
    <w:nsid w:val="A9066C10"/>
    <w:multiLevelType w:val="singleLevel"/>
    <w:tmpl w:val="A9066C10"/>
    <w:lvl w:ilvl="0" w:tentative="0">
      <w:start w:val="1"/>
      <w:numFmt w:val="lowerLetter"/>
      <w:suff w:val="space"/>
      <w:lvlText w:val="%1)"/>
      <w:lvlJc w:val="left"/>
    </w:lvl>
  </w:abstractNum>
  <w:abstractNum w:abstractNumId="2">
    <w:nsid w:val="AC2083D9"/>
    <w:multiLevelType w:val="singleLevel"/>
    <w:tmpl w:val="AC2083D9"/>
    <w:lvl w:ilvl="0" w:tentative="0">
      <w:start w:val="1"/>
      <w:numFmt w:val="lowerLetter"/>
      <w:suff w:val="space"/>
      <w:lvlText w:val="%1)"/>
      <w:lvlJc w:val="left"/>
    </w:lvl>
  </w:abstractNum>
  <w:abstractNum w:abstractNumId="3">
    <w:nsid w:val="489D8CFE"/>
    <w:multiLevelType w:val="singleLevel"/>
    <w:tmpl w:val="489D8CFE"/>
    <w:lvl w:ilvl="0" w:tentative="0">
      <w:start w:val="1"/>
      <w:numFmt w:val="lowerLetter"/>
      <w:suff w:val="space"/>
      <w:lvlText w:val="%1)"/>
      <w:lvlJc w:val="left"/>
    </w:lvl>
  </w:abstractNum>
  <w:abstractNum w:abstractNumId="4">
    <w:nsid w:val="7415575B"/>
    <w:multiLevelType w:val="singleLevel"/>
    <w:tmpl w:val="7415575B"/>
    <w:lvl w:ilvl="0" w:tentative="0">
      <w:start w:val="1"/>
      <w:numFmt w:val="lowerLetter"/>
      <w:suff w:val="space"/>
      <w:lvlText w:val="%1)"/>
      <w:lvlJc w:val="left"/>
    </w:lvl>
  </w:abstractNum>
  <w:abstractNum w:abstractNumId="5">
    <w:nsid w:val="75872450"/>
    <w:multiLevelType w:val="singleLevel"/>
    <w:tmpl w:val="75872450"/>
    <w:lvl w:ilvl="0" w:tentative="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hdrShapeDefaults>
    <o:shapelayout v:ext="edit">
      <o:idmap v:ext="edit" data="1"/>
    </o:shapelayout>
  </w:hdrShapeDefaults>
  <w:footnotePr>
    <w:footnote w:id="0"/>
    <w:footnote w:id="1"/>
  </w:footnotePr>
  <w:endnotePr>
    <w:endnote w:id="0"/>
    <w:endnote w:id="1"/>
  </w:endnotePr>
  <w:compat>
    <w:compatSetting w:name="compatibilityMode" w:uri="http://schemas.microsoft.com/office/word" w:val="12"/>
  </w:compat>
  <w:rsids>
    <w:rsidRoot w:val="00DD05C7"/>
    <w:rsid w:val="00037E02"/>
    <w:rsid w:val="000D30D1"/>
    <w:rsid w:val="001361D2"/>
    <w:rsid w:val="00143317"/>
    <w:rsid w:val="0019142F"/>
    <w:rsid w:val="001C6628"/>
    <w:rsid w:val="002017A7"/>
    <w:rsid w:val="00305A3F"/>
    <w:rsid w:val="003A6F98"/>
    <w:rsid w:val="003E3956"/>
    <w:rsid w:val="0040361B"/>
    <w:rsid w:val="004245D2"/>
    <w:rsid w:val="004509F5"/>
    <w:rsid w:val="004D27E2"/>
    <w:rsid w:val="004D2F54"/>
    <w:rsid w:val="00532771"/>
    <w:rsid w:val="005A7840"/>
    <w:rsid w:val="00707EF1"/>
    <w:rsid w:val="00710BDD"/>
    <w:rsid w:val="00742D45"/>
    <w:rsid w:val="0079516A"/>
    <w:rsid w:val="007D1974"/>
    <w:rsid w:val="0084451C"/>
    <w:rsid w:val="00850783"/>
    <w:rsid w:val="008A7458"/>
    <w:rsid w:val="008F31A1"/>
    <w:rsid w:val="009E6F53"/>
    <w:rsid w:val="00A0182F"/>
    <w:rsid w:val="00A245CA"/>
    <w:rsid w:val="00A25E2D"/>
    <w:rsid w:val="00A77C75"/>
    <w:rsid w:val="00A85D9E"/>
    <w:rsid w:val="00AD0487"/>
    <w:rsid w:val="00B02493"/>
    <w:rsid w:val="00B039BC"/>
    <w:rsid w:val="00BF55EB"/>
    <w:rsid w:val="00C158C7"/>
    <w:rsid w:val="00C31491"/>
    <w:rsid w:val="00C37427"/>
    <w:rsid w:val="00C73FB5"/>
    <w:rsid w:val="00C85173"/>
    <w:rsid w:val="00CF71AA"/>
    <w:rsid w:val="00D470C6"/>
    <w:rsid w:val="00D7362D"/>
    <w:rsid w:val="00DD05C7"/>
    <w:rsid w:val="00E278AF"/>
    <w:rsid w:val="00E439EF"/>
    <w:rsid w:val="00EE2C84"/>
    <w:rsid w:val="00F87924"/>
    <w:rsid w:val="00FE709C"/>
    <w:rsid w:val="15FE087F"/>
    <w:rsid w:val="1F641B0F"/>
    <w:rsid w:val="36832FFC"/>
    <w:rsid w:val="47F8293B"/>
    <w:rsid w:val="61724E6F"/>
    <w:rsid w:val="691936F4"/>
    <w:rsid w:val="6942776D"/>
    <w:rsid w:val="69CC5CF5"/>
    <w:rsid w:val="6BE02D0B"/>
    <w:rsid w:val="7DE74313"/>
    <w:rsid w:val="7E5C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ody Text"/>
    <w:basedOn w:val="1"/>
    <w:link w:val="27"/>
    <w:qFormat/>
    <w:uiPriority w:val="1"/>
    <w:pPr>
      <w:tabs>
        <w:tab w:val="left" w:pos="2268"/>
      </w:tabs>
      <w:spacing w:before="120" w:after="120" w:line="360" w:lineRule="auto"/>
      <w:jc w:val="both"/>
    </w:pPr>
    <w:rPr>
      <w:rFonts w:ascii="Arial MT" w:hAnsi="Arial MT" w:eastAsia="Arial MT" w:cs="Arial MT"/>
      <w:lang w:val="pt-PT" w:eastAsia="en-US"/>
    </w:rPr>
  </w:style>
  <w:style w:type="paragraph" w:styleId="11">
    <w:name w:val="Title"/>
    <w:basedOn w:val="1"/>
    <w:next w:val="1"/>
    <w:qFormat/>
    <w:uiPriority w:val="10"/>
    <w:pPr>
      <w:keepNext/>
      <w:keepLines/>
      <w:spacing w:before="480" w:after="120"/>
    </w:pPr>
    <w:rPr>
      <w:b/>
      <w:sz w:val="72"/>
      <w:szCs w:val="72"/>
    </w:rPr>
  </w:style>
  <w:style w:type="paragraph" w:styleId="12">
    <w:name w:val="Normal (Web)"/>
    <w:basedOn w:val="1"/>
    <w:qFormat/>
    <w:uiPriority w:val="0"/>
    <w:pPr>
      <w:tabs>
        <w:tab w:val="left" w:pos="2268"/>
      </w:tabs>
      <w:spacing w:before="280" w:after="280" w:line="360" w:lineRule="auto"/>
      <w:jc w:val="both"/>
    </w:pPr>
    <w:rPr>
      <w:rFonts w:ascii="Arial" w:hAnsi="Arial" w:eastAsia="SimSun" w:cs="Times New Roman"/>
      <w:szCs w:val="20"/>
      <w:lang w:eastAsia="ar-SA"/>
    </w:rPr>
  </w:style>
  <w:style w:type="paragraph" w:styleId="13">
    <w:name w:val="header"/>
    <w:basedOn w:val="1"/>
    <w:link w:val="20"/>
    <w:unhideWhenUsed/>
    <w:qFormat/>
    <w:uiPriority w:val="99"/>
    <w:pPr>
      <w:tabs>
        <w:tab w:val="center" w:pos="4680"/>
        <w:tab w:val="right" w:pos="9360"/>
      </w:tabs>
      <w:spacing w:after="0" w:line="240" w:lineRule="auto"/>
    </w:pPr>
  </w:style>
  <w:style w:type="paragraph" w:styleId="14">
    <w:name w:val="footer"/>
    <w:basedOn w:val="1"/>
    <w:link w:val="21"/>
    <w:unhideWhenUsed/>
    <w:qFormat/>
    <w:uiPriority w:val="99"/>
    <w:pPr>
      <w:tabs>
        <w:tab w:val="center" w:pos="4680"/>
        <w:tab w:val="right" w:pos="9360"/>
      </w:tabs>
      <w:spacing w:after="0" w:line="240" w:lineRule="auto"/>
    </w:pPr>
  </w:style>
  <w:style w:type="paragraph" w:styleId="15">
    <w:name w:val="Body Text Indent 3"/>
    <w:basedOn w:val="1"/>
    <w:link w:val="28"/>
    <w:qFormat/>
    <w:uiPriority w:val="0"/>
    <w:pPr>
      <w:widowControl w:val="0"/>
      <w:tabs>
        <w:tab w:val="left" w:pos="2268"/>
      </w:tabs>
      <w:autoSpaceDE w:val="0"/>
      <w:autoSpaceDN w:val="0"/>
      <w:spacing w:before="120" w:after="120" w:line="360" w:lineRule="auto"/>
      <w:ind w:firstLine="850"/>
      <w:jc w:val="both"/>
    </w:pPr>
    <w:rPr>
      <w:rFonts w:ascii="Courier New" w:hAnsi="Courier New" w:eastAsia="SimSun" w:cs="Times New Roman"/>
      <w:color w:val="000000"/>
      <w:sz w:val="20"/>
      <w:szCs w:val="20"/>
      <w:lang w:eastAsia="ar-SA"/>
    </w:rPr>
  </w:style>
  <w:style w:type="paragraph" w:styleId="16">
    <w:name w:val="Balloon Text"/>
    <w:basedOn w:val="1"/>
    <w:link w:val="26"/>
    <w:semiHidden/>
    <w:unhideWhenUsed/>
    <w:qFormat/>
    <w:uiPriority w:val="99"/>
    <w:pPr>
      <w:spacing w:after="0" w:line="240" w:lineRule="auto"/>
    </w:pPr>
    <w:rPr>
      <w:rFonts w:ascii="Tahoma" w:hAnsi="Tahoma" w:cs="Tahoma"/>
      <w:sz w:val="16"/>
      <w:szCs w:val="16"/>
    </w:rPr>
  </w:style>
  <w:style w:type="paragraph" w:styleId="17">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8">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19">
    <w:name w:val="Table Normal"/>
    <w:qFormat/>
    <w:uiPriority w:val="0"/>
    <w:tblPr>
      <w:tblCellMar>
        <w:top w:w="0" w:type="dxa"/>
        <w:left w:w="0" w:type="dxa"/>
        <w:bottom w:w="0" w:type="dxa"/>
        <w:right w:w="0" w:type="dxa"/>
      </w:tblCellMar>
    </w:tblPr>
  </w:style>
  <w:style w:type="character" w:customStyle="1" w:styleId="20">
    <w:name w:val="Cabeçalho Char"/>
    <w:basedOn w:val="8"/>
    <w:link w:val="13"/>
    <w:qFormat/>
    <w:uiPriority w:val="99"/>
  </w:style>
  <w:style w:type="character" w:customStyle="1" w:styleId="21">
    <w:name w:val="Rodapé Char"/>
    <w:basedOn w:val="8"/>
    <w:link w:val="14"/>
    <w:qFormat/>
    <w:uiPriority w:val="99"/>
  </w:style>
  <w:style w:type="paragraph" w:styleId="22">
    <w:name w:val="List Paragraph"/>
    <w:basedOn w:val="1"/>
    <w:link w:val="31"/>
    <w:qFormat/>
    <w:uiPriority w:val="34"/>
    <w:pPr>
      <w:ind w:left="720"/>
      <w:contextualSpacing/>
    </w:pPr>
  </w:style>
  <w:style w:type="table" w:customStyle="1" w:styleId="23">
    <w:name w:val="Grid Table Light"/>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4">
    <w:name w:val="_Style 20"/>
    <w:basedOn w:val="9"/>
    <w:qFormat/>
    <w:uiPriority w:val="0"/>
    <w:tblPr>
      <w:tblCellMar>
        <w:top w:w="0" w:type="dxa"/>
        <w:left w:w="108" w:type="dxa"/>
        <w:bottom w:w="0" w:type="dxa"/>
        <w:right w:w="108" w:type="dxa"/>
      </w:tblCellMar>
    </w:tblPr>
  </w:style>
  <w:style w:type="table" w:customStyle="1" w:styleId="25">
    <w:name w:val="_Style 21"/>
    <w:basedOn w:val="9"/>
    <w:qFormat/>
    <w:uiPriority w:val="0"/>
    <w:tblPr>
      <w:tblCellMar>
        <w:top w:w="0" w:type="dxa"/>
        <w:left w:w="108" w:type="dxa"/>
        <w:bottom w:w="0" w:type="dxa"/>
        <w:right w:w="108" w:type="dxa"/>
      </w:tblCellMar>
    </w:tblPr>
  </w:style>
  <w:style w:type="character" w:customStyle="1" w:styleId="26">
    <w:name w:val="Texto de balão Char"/>
    <w:basedOn w:val="8"/>
    <w:link w:val="16"/>
    <w:semiHidden/>
    <w:qFormat/>
    <w:uiPriority w:val="99"/>
    <w:rPr>
      <w:rFonts w:ascii="Tahoma" w:hAnsi="Tahoma" w:cs="Tahoma"/>
      <w:sz w:val="16"/>
      <w:szCs w:val="16"/>
    </w:rPr>
  </w:style>
  <w:style w:type="character" w:customStyle="1" w:styleId="27">
    <w:name w:val="Corpo de texto Char"/>
    <w:basedOn w:val="8"/>
    <w:link w:val="10"/>
    <w:qFormat/>
    <w:uiPriority w:val="1"/>
    <w:rPr>
      <w:rFonts w:ascii="Arial MT" w:hAnsi="Arial MT" w:eastAsia="Arial MT" w:cs="Arial MT"/>
      <w:lang w:val="pt-PT" w:eastAsia="en-US"/>
    </w:rPr>
  </w:style>
  <w:style w:type="character" w:customStyle="1" w:styleId="28">
    <w:name w:val="Recuo de corpo de texto 3 Char"/>
    <w:basedOn w:val="8"/>
    <w:link w:val="15"/>
    <w:qFormat/>
    <w:uiPriority w:val="0"/>
    <w:rPr>
      <w:rFonts w:ascii="Courier New" w:hAnsi="Courier New" w:eastAsia="SimSun" w:cs="Times New Roman"/>
      <w:color w:val="000000"/>
      <w:sz w:val="20"/>
      <w:szCs w:val="20"/>
      <w:lang w:eastAsia="ar-SA"/>
    </w:rPr>
  </w:style>
  <w:style w:type="paragraph" w:customStyle="1" w:styleId="29">
    <w:name w:val="Título de tabela"/>
    <w:basedOn w:val="1"/>
    <w:qFormat/>
    <w:uiPriority w:val="0"/>
    <w:pPr>
      <w:widowControl w:val="0"/>
      <w:suppressLineNumbers/>
      <w:tabs>
        <w:tab w:val="left" w:pos="2268"/>
      </w:tabs>
      <w:spacing w:before="120" w:after="120" w:line="360" w:lineRule="auto"/>
      <w:jc w:val="center"/>
    </w:pPr>
    <w:rPr>
      <w:rFonts w:ascii="Arial" w:hAnsi="Arial" w:eastAsia="Lucida Sans Unicode" w:cs="Mangal"/>
      <w:b/>
      <w:i/>
      <w:kern w:val="1"/>
      <w:szCs w:val="20"/>
      <w:lang w:eastAsia="zh-CN" w:bidi="hi-IN"/>
    </w:rPr>
  </w:style>
  <w:style w:type="paragraph" w:customStyle="1" w:styleId="30">
    <w:name w:val="Corpo de texto 21"/>
    <w:basedOn w:val="1"/>
    <w:qFormat/>
    <w:uiPriority w:val="0"/>
    <w:pPr>
      <w:tabs>
        <w:tab w:val="left" w:pos="2268"/>
      </w:tabs>
      <w:overflowPunct w:val="0"/>
      <w:autoSpaceDE w:val="0"/>
      <w:spacing w:before="120" w:after="120" w:line="360" w:lineRule="auto"/>
      <w:ind w:left="360"/>
      <w:jc w:val="both"/>
      <w:textAlignment w:val="baseline"/>
    </w:pPr>
    <w:rPr>
      <w:rFonts w:ascii="Arial" w:hAnsi="Arial" w:eastAsia="SimSun" w:cs="Times New Roman"/>
      <w:szCs w:val="20"/>
      <w:lang w:eastAsia="ar-SA"/>
    </w:rPr>
  </w:style>
  <w:style w:type="character" w:customStyle="1" w:styleId="31">
    <w:name w:val="Parágrafo da Lista Char"/>
    <w:link w:val="22"/>
    <w:qFormat/>
    <w:locked/>
    <w:uiPriority w:val="34"/>
  </w:style>
  <w:style w:type="character" w:customStyle="1" w:styleId="32">
    <w:name w:val="Link da Internet"/>
    <w:unhideWhenUsed/>
    <w:qFormat/>
    <w:uiPriority w:val="99"/>
    <w:rPr>
      <w:color w:val="0563C1"/>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A489EC-30A5-4AC1-8799-1D972766DA4D}">
  <ds:schemaRefs/>
</ds:datastoreItem>
</file>

<file path=customXml/itemProps3.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7</Pages>
  <Words>3642</Words>
  <Characters>19669</Characters>
  <Lines>163</Lines>
  <Paragraphs>46</Paragraphs>
  <TotalTime>0</TotalTime>
  <ScaleCrop>false</ScaleCrop>
  <LinksUpToDate>false</LinksUpToDate>
  <CharactersWithSpaces>23265</CharactersWithSpaces>
  <Application>WPS Office_12.2.0.23206_F1E327BC-269C-435d-A152-05C5408002CA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2026-07-14T17:59:00Z</dcterms:created>
  <dc:creator>nicole leyser alves</dc:creator>
  <cp:lastModifiedBy>rafaela.allebrandt</cp:lastModifiedBy>
  <dcterms:modified xsi:type="dcterms:W3CDTF">2026-07-24T11:18:06Z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1046-12.2.0.23206</vt:lpwstr>
  </property>
  <property fmtid="{D5CDD505-2E9C-101B-9397-08002B2CF9AE}" pid="3" name="ICV">
    <vt:lpwstr>A7359C8554784BB6BCE85EAE83E0FD2C_12</vt:lpwstr>
  </property>
</Properties>
</file>