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eastAsia="Times New Roman" w:cs="Times New Roman"/>
          <w:b/>
          <w:bCs/>
          <w:sz w:val="24"/>
          <w:szCs w:val="24"/>
        </w:rPr>
      </w:pPr>
      <w:r>
        <w:rPr>
          <w:rFonts w:eastAsia="Times New Roman" w:cs="Times New Roman"/>
          <w:b/>
          <w:bCs/>
          <w:sz w:val="24"/>
          <w:szCs w:val="24"/>
        </w:rPr>
        <w:drawing>
          <wp:anchor behindDoc="1" distT="0" distB="0" distL="0" distR="0" simplePos="0" locked="0" layoutInCell="1" allowOverlap="1" relativeHeight="92">
            <wp:simplePos x="0" y="0"/>
            <wp:positionH relativeFrom="column">
              <wp:posOffset>-89535</wp:posOffset>
            </wp:positionH>
            <wp:positionV relativeFrom="paragraph">
              <wp:posOffset>106045</wp:posOffset>
            </wp:positionV>
            <wp:extent cx="6631305" cy="8006715"/>
            <wp:effectExtent l="0" t="0" r="0" b="0"/>
            <wp:wrapNone/>
            <wp:docPr id="1" name="image2.png"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orma&#10;&#10;Descrição gerada automaticamente"/>
                    <pic:cNvPicPr>
                      <a:picLocks noChangeAspect="1" noChangeArrowheads="1"/>
                    </pic:cNvPicPr>
                  </pic:nvPicPr>
                  <pic:blipFill>
                    <a:blip r:embed="rId2"/>
                    <a:stretch>
                      <a:fillRect/>
                    </a:stretch>
                  </pic:blipFill>
                  <pic:spPr bwMode="auto">
                    <a:xfrm>
                      <a:off x="0" y="0"/>
                      <a:ext cx="6631305" cy="8006715"/>
                    </a:xfrm>
                    <a:prstGeom prst="rect">
                      <a:avLst/>
                    </a:prstGeom>
                    <a:noFill/>
                  </pic:spPr>
                </pic:pic>
              </a:graphicData>
            </a:graphic>
          </wp:anchor>
        </w:drawing>
      </w:r>
    </w:p>
    <w:p>
      <w:pPr>
        <w:pStyle w:val="Normal"/>
        <w:jc w:val="left"/>
        <w:rPr>
          <w:rFonts w:ascii="Times New Roman" w:hAnsi="Times New Roman" w:eastAsia="Times New Roman" w:cs="Times New Roman"/>
          <w:b/>
          <w:bCs/>
          <w:color w:val="066301"/>
          <w:sz w:val="48"/>
          <w:szCs w:val="48"/>
        </w:rPr>
      </w:pPr>
      <w:r>
        <w:rPr>
          <w:rFonts w:eastAsia="Times New Roman" w:cs="Times New Roman"/>
          <w:b/>
          <w:bCs/>
          <w:color w:val="066301"/>
          <w:sz w:val="48"/>
          <w:szCs w:val="48"/>
        </w:rPr>
        <w:t>DISPENSA DE LICITAÇÃO ELETRÔNICA</w:t>
      </w:r>
    </w:p>
    <w:p>
      <w:pPr>
        <w:pStyle w:val="Normal"/>
        <w:jc w:val="left"/>
        <w:rPr>
          <w:rFonts w:ascii="Times New Roman" w:hAnsi="Times New Roman" w:eastAsia="Times New Roman" w:cs="Times New Roman"/>
          <w:b/>
          <w:bCs/>
          <w:sz w:val="36"/>
          <w:szCs w:val="36"/>
        </w:rPr>
      </w:pPr>
      <w:r>
        <w:rPr>
          <w:rFonts w:eastAsia="Times New Roman" w:cs="Times New Roman"/>
          <w:b/>
          <w:bCs/>
          <w:sz w:val="36"/>
          <w:szCs w:val="36"/>
        </w:rPr>
        <w:t>001/2025</w:t>
      </w:r>
    </w:p>
    <w:p>
      <w:pPr>
        <w:pStyle w:val="Normal"/>
        <w:jc w:val="left"/>
        <w:rPr>
          <w:rFonts w:ascii="Times New Roman" w:hAnsi="Times New Roman" w:eastAsia="Times New Roman" w:cs="Times New Roman"/>
          <w:b/>
          <w:bCs/>
          <w:sz w:val="24"/>
          <w:szCs w:val="24"/>
        </w:rPr>
      </w:pPr>
      <w:r>
        <w:rPr>
          <w:rFonts w:eastAsia="Times New Roman" w:cs="Times New Roman"/>
          <w:b/>
          <w:bCs/>
          <w:sz w:val="24"/>
          <w:szCs w:val="24"/>
        </w:rPr>
      </w:r>
    </w:p>
    <w:p>
      <w:pPr>
        <w:pStyle w:val="Normal"/>
        <w:jc w:val="left"/>
        <w:rPr>
          <w:rFonts w:ascii="Times New Roman" w:hAnsi="Times New Roman" w:eastAsia="Times New Roman" w:cs="Times New Roman"/>
          <w:b/>
          <w:bCs/>
          <w:color w:val="066301"/>
          <w:sz w:val="36"/>
          <w:szCs w:val="36"/>
        </w:rPr>
      </w:pPr>
      <w:r>
        <w:rPr>
          <w:rFonts w:eastAsia="Times New Roman" w:cs="Times New Roman"/>
          <w:b/>
          <w:bCs/>
          <w:color w:val="066301"/>
          <w:sz w:val="36"/>
          <w:szCs w:val="36"/>
        </w:rPr>
        <w:t>OBJETO</w:t>
      </w:r>
    </w:p>
    <w:p>
      <w:pPr>
        <w:pStyle w:val="Normal"/>
        <w:suppressLineNumbers w:val="0"/>
        <w:bidi w:val="0"/>
        <w:spacing w:lineRule="auto" w:line="360" w:beforeAutospacing="0" w:before="0" w:afterAutospacing="0" w:after="0"/>
        <w:ind w:left="0" w:right="0"/>
        <w:jc w:val="left"/>
        <w:rPr>
          <w:rFonts w:ascii="Times New Roman" w:hAnsi="Times New Roman" w:eastAsia="Times New Roman" w:cs="Times New Roman"/>
          <w:b/>
          <w:bCs/>
          <w:sz w:val="32"/>
          <w:szCs w:val="32"/>
        </w:rPr>
      </w:pPr>
      <w:r>
        <w:rPr>
          <w:rFonts w:eastAsia="Times New Roman" w:cs="Times New Roman"/>
          <w:b/>
          <w:bCs/>
          <w:sz w:val="32"/>
          <w:szCs w:val="32"/>
        </w:rPr>
        <w:t>CONSERVAÇÃO DE BENS IMÓVEIS</w:t>
      </w:r>
    </w:p>
    <w:p>
      <w:pPr>
        <w:pStyle w:val="Normal"/>
        <w:jc w:val="left"/>
        <w:rPr>
          <w:rFonts w:ascii="Times New Roman" w:hAnsi="Times New Roman" w:eastAsia="Times New Roman" w:cs="Times New Roman"/>
          <w:b/>
          <w:bCs/>
          <w:sz w:val="24"/>
          <w:szCs w:val="24"/>
        </w:rPr>
      </w:pPr>
      <w:r>
        <w:rPr>
          <w:rFonts w:eastAsia="Times New Roman" w:cs="Times New Roman"/>
          <w:b/>
          <w:bCs/>
          <w:sz w:val="24"/>
          <w:szCs w:val="24"/>
        </w:rPr>
      </w:r>
    </w:p>
    <w:p>
      <w:pPr>
        <w:pStyle w:val="Normal"/>
        <w:jc w:val="left"/>
        <w:rPr>
          <w:rFonts w:ascii="Times New Roman" w:hAnsi="Times New Roman" w:eastAsia="Times New Roman" w:cs="Times New Roman"/>
          <w:b/>
          <w:bCs/>
          <w:color w:val="066301"/>
          <w:sz w:val="36"/>
          <w:szCs w:val="36"/>
        </w:rPr>
      </w:pPr>
      <w:r>
        <w:rPr>
          <w:rFonts w:eastAsia="Times New Roman" w:cs="Times New Roman"/>
          <w:b/>
          <w:bCs/>
          <w:color w:val="066301"/>
          <w:sz w:val="36"/>
          <w:szCs w:val="36"/>
        </w:rPr>
        <w:t>VALOR TOTAL DA CONTRATAÇÃO</w:t>
      </w:r>
    </w:p>
    <w:p>
      <w:pPr>
        <w:pStyle w:val="Normal"/>
        <w:jc w:val="left"/>
        <w:rPr>
          <w:rFonts w:ascii="Times New Roman" w:hAnsi="Times New Roman" w:eastAsia="Times New Roman" w:cs="Times New Roman"/>
          <w:b/>
          <w:bCs/>
          <w:color w:val="auto"/>
          <w:sz w:val="32"/>
          <w:szCs w:val="32"/>
        </w:rPr>
      </w:pPr>
      <w:r>
        <w:rPr>
          <w:rFonts w:eastAsia="Times New Roman" w:cs="Times New Roman"/>
          <w:b/>
          <w:bCs/>
          <w:color w:val="auto"/>
          <w:sz w:val="32"/>
          <w:szCs w:val="32"/>
        </w:rPr>
        <w:t>R$ 5.034,24</w:t>
      </w:r>
    </w:p>
    <w:p>
      <w:pPr>
        <w:pStyle w:val="Normal"/>
        <w:jc w:val="left"/>
        <w:rPr>
          <w:rFonts w:ascii="Times New Roman" w:hAnsi="Times New Roman" w:eastAsia="Times New Roman" w:cs="Times New Roman"/>
          <w:b/>
          <w:bCs/>
          <w:color w:val="066301"/>
          <w:sz w:val="36"/>
          <w:szCs w:val="36"/>
        </w:rPr>
      </w:pPr>
      <w:r>
        <w:rPr>
          <w:rFonts w:eastAsia="Times New Roman" w:cs="Times New Roman"/>
          <w:b/>
          <w:bCs/>
          <w:color w:val="066301"/>
          <w:sz w:val="36"/>
          <w:szCs w:val="36"/>
        </w:rPr>
        <w:t>DATA DA ABERTURA</w:t>
      </w:r>
    </w:p>
    <w:p>
      <w:pPr>
        <w:pStyle w:val="Normal"/>
        <w:jc w:val="left"/>
        <w:rPr>
          <w:rFonts w:ascii="Times New Roman" w:hAnsi="Times New Roman" w:eastAsia="Times New Roman" w:cs="Times New Roman"/>
          <w:b/>
          <w:bCs/>
          <w:sz w:val="32"/>
          <w:szCs w:val="32"/>
        </w:rPr>
      </w:pPr>
      <w:r>
        <w:rPr>
          <w:rFonts w:eastAsia="Times New Roman" w:cs="Times New Roman"/>
          <w:b/>
          <w:bCs/>
          <w:sz w:val="32"/>
          <w:szCs w:val="32"/>
        </w:rPr>
        <w:t>04/04/2025</w:t>
      </w:r>
    </w:p>
    <w:p>
      <w:pPr>
        <w:pStyle w:val="Normal"/>
        <w:jc w:val="left"/>
        <w:rPr>
          <w:rFonts w:ascii="Times New Roman" w:hAnsi="Times New Roman" w:eastAsia="Times New Roman" w:cs="Times New Roman"/>
          <w:b/>
          <w:bCs/>
          <w:color w:val="066301"/>
          <w:sz w:val="40"/>
          <w:szCs w:val="40"/>
        </w:rPr>
      </w:pPr>
      <w:r>
        <w:rPr>
          <w:rFonts w:eastAsia="Times New Roman" w:cs="Times New Roman"/>
          <w:b/>
          <w:bCs/>
          <w:color w:val="066301"/>
          <w:sz w:val="36"/>
          <w:szCs w:val="36"/>
        </w:rPr>
        <w:t>CRITÉRIO DE JULGAMENTO</w:t>
      </w:r>
    </w:p>
    <w:p>
      <w:pPr>
        <w:pStyle w:val="Normal"/>
        <w:tabs>
          <w:tab w:val="clear" w:pos="720"/>
          <w:tab w:val="left" w:pos="6061" w:leader="none"/>
        </w:tabs>
        <w:jc w:val="left"/>
        <w:rPr>
          <w:rFonts w:ascii="Times New Roman" w:hAnsi="Times New Roman" w:eastAsia="Times New Roman" w:cs="Times New Roman"/>
          <w:b/>
          <w:bCs/>
          <w:color w:val="008A3E"/>
          <w:sz w:val="36"/>
          <w:szCs w:val="36"/>
        </w:rPr>
      </w:pPr>
      <w:r>
        <w:rPr>
          <w:rFonts w:eastAsia="Times New Roman" w:cs="Times New Roman"/>
          <w:b/>
          <w:bCs/>
          <w:sz w:val="32"/>
          <w:szCs w:val="32"/>
        </w:rPr>
        <w:t>MENOR PREÇO</w:t>
      </w:r>
      <w:r>
        <w:rPr/>
        <w:tab/>
      </w:r>
    </w:p>
    <w:p>
      <w:pPr>
        <w:pStyle w:val="Normal"/>
        <w:jc w:val="left"/>
        <w:rPr>
          <w:rFonts w:ascii="Times New Roman" w:hAnsi="Times New Roman" w:eastAsia="Times New Roman" w:cs="Times New Roman"/>
          <w:b/>
          <w:bCs/>
          <w:color w:val="008A3E"/>
          <w:sz w:val="40"/>
          <w:szCs w:val="40"/>
        </w:rPr>
      </w:pPr>
      <w:r>
        <w:rPr>
          <w:rFonts w:eastAsia="Times New Roman" w:cs="Times New Roman"/>
          <w:b/>
          <w:bCs/>
          <w:color w:val="008A3E"/>
          <w:sz w:val="40"/>
          <w:szCs w:val="40"/>
        </w:rPr>
      </w:r>
      <w:r>
        <w:br w:type="page"/>
      </w:r>
    </w:p>
    <w:p>
      <w:pPr>
        <w:pStyle w:val="Normal"/>
        <w:spacing w:before="0" w:after="0"/>
        <w:jc w:val="center"/>
        <w:rPr>
          <w:rFonts w:ascii="Times New Roman" w:hAnsi="Times New Roman" w:eastAsia="Times New Roman" w:cs="Times New Roman"/>
          <w:b/>
          <w:bCs/>
          <w:sz w:val="20"/>
          <w:szCs w:val="20"/>
        </w:rPr>
      </w:pPr>
      <w:r>
        <w:rPr>
          <w:rFonts w:eastAsia="Times New Roman" w:cs="Times New Roman"/>
          <w:b/>
          <w:bCs/>
          <w:sz w:val="20"/>
          <w:szCs w:val="20"/>
        </w:rPr>
      </w:r>
    </w:p>
    <w:p>
      <w:pPr>
        <w:pStyle w:val="Normal"/>
        <w:jc w:val="center"/>
        <w:rPr>
          <w:rFonts w:ascii="Times New Roman" w:hAnsi="Times New Roman" w:eastAsia="Times New Roman" w:cs="Times New Roman"/>
          <w:b/>
          <w:bCs/>
          <w:sz w:val="20"/>
          <w:szCs w:val="20"/>
        </w:rPr>
      </w:pPr>
      <w:r>
        <w:rPr>
          <w:rFonts w:eastAsia="Times New Roman" w:cs="Times New Roman"/>
          <w:b/>
          <w:bCs/>
          <w:sz w:val="20"/>
          <w:szCs w:val="20"/>
        </w:rPr>
        <w:t>EDITAL DE DISPENSA DE LICITAÇÃO - FORNECIMENTO DE BENS</w:t>
      </w:r>
    </w:p>
    <w:p>
      <w:pPr>
        <w:pStyle w:val="Normal"/>
        <w:jc w:val="center"/>
        <w:rPr>
          <w:rFonts w:ascii="Times New Roman" w:hAnsi="Times New Roman" w:eastAsia="Times New Roman" w:cs="Times New Roman"/>
          <w:b/>
          <w:bCs/>
          <w:sz w:val="20"/>
          <w:szCs w:val="20"/>
        </w:rPr>
      </w:pPr>
      <w:r>
        <w:rPr>
          <w:rFonts w:eastAsia="Times New Roman" w:cs="Times New Roman"/>
          <w:b/>
          <w:bCs/>
          <w:sz w:val="20"/>
          <w:szCs w:val="20"/>
        </w:rPr>
        <w:t>PROCESSO ADMINISTRATIVO Nº 25/1203-0006793-0</w:t>
      </w:r>
    </w:p>
    <w:p>
      <w:pPr>
        <w:pStyle w:val="Normal"/>
        <w:rPr>
          <w:rFonts w:ascii="Times New Roman" w:hAnsi="Times New Roman" w:eastAsia="Times New Roman" w:cs="Times New Roman"/>
          <w:b/>
          <w:bCs/>
          <w:sz w:val="20"/>
          <w:szCs w:val="20"/>
        </w:rPr>
      </w:pPr>
      <w:r>
        <w:rPr>
          <w:rFonts w:eastAsia="Times New Roman" w:cs="Times New Roman"/>
          <w:b/>
          <w:bCs/>
          <w:sz w:val="20"/>
          <w:szCs w:val="20"/>
        </w:rPr>
      </w:r>
    </w:p>
    <w:p>
      <w:pPr>
        <w:pStyle w:val="Normal"/>
        <w:rPr>
          <w:rFonts w:ascii="Times New Roman" w:hAnsi="Times New Roman" w:eastAsia="Times New Roman" w:cs="Times New Roman"/>
          <w:b/>
          <w:bCs/>
          <w:sz w:val="20"/>
          <w:szCs w:val="20"/>
        </w:rPr>
      </w:pPr>
      <w:r>
        <w:rPr>
          <w:rFonts w:eastAsia="Times New Roman" w:cs="Times New Roman"/>
          <w:b/>
          <w:bCs/>
          <w:sz w:val="20"/>
          <w:szCs w:val="20"/>
        </w:rPr>
        <w:t>CONDIÇÕES GERAIS DA DISPENSA LICITAÇÃO – ÍNDICE</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 DO OBJETO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 DA DISPONIBILIZAÇÃO DO TERMO DE DISPENSA DE LICITAÇÃO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3. DA DATA E DO HORÁRIO DA DISPENSA LICITAÇÃO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4. DA PARTICIPAÇÃO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5. DA PARTICIPAÇÃO DE MICROEMPRESAS E DE EMPRESAS DE PEQUENO PORTE</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6. DO CREDENCIAMENTO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 xml:space="preserve">7. DA PROPOSTA DE PREÇOS </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8. DA SESSÃO PÚBLICA DE DISPENSA DE LICITAÇÃO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9. DA REFERÊNCIA DE TEMPO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10.DA ABERTURA DA PROPOSTA E DA ETAPA COMPETITIVA</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11. DA NEGOCIAÇÃO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12. DA ACEITABILIDADE E DO JULGAMENTO DAS PROPOSTAS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13. DA HABILITAÇÃO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14. DOS PEDIDOS DE ESCLARECIMENTOS, IMPUGNAÇÕES E RECURSOS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15. DA ADJUDICAÇÃO E DA HOMOLOGAÇÃO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16. DO TERMO DE CONTRATO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17. DO ACORDO DE NÍVEL DE SERVIÇO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18. DO PAGAMENTO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19. DO REAJUSTE</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20. DA FONTE DE RECURSOS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21. DAS OBRIGAÇÕES DO ADJUDICATÁRIO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22. DA GARANTIA DE EXECUÇÃO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23. DAS INFRAÇÕES E SANÇÕES ADMINISTRATIVAS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24. DAS DISPOSIÇÕES FINAIS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 I - MINUTA DE CONTRATO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 II - PLANILHA DE CUSTOS E FORMAÇÃO DE PREÇOS (a ser preenchida pelo vencedor)</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 III - CARTA DE FIANÇA BANCÁRIA PARA GARANTIA DE EXECUÇÃO CONTRATUAL (se for o caso)</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 IV – FOLHA DE DADOS</w:t>
      </w:r>
    </w:p>
    <w:p>
      <w:pPr>
        <w:pStyle w:val="Normal"/>
        <w:widowControl w:val="false"/>
        <w:rPr>
          <w:rFonts w:ascii="Times New Roman" w:hAnsi="Times New Roman" w:eastAsia="Times New Roman" w:cs="Times New Roman"/>
          <w:b/>
          <w:bCs/>
          <w:sz w:val="20"/>
          <w:szCs w:val="20"/>
        </w:rPr>
      </w:pPr>
      <w:r>
        <w:rPr>
          <w:rFonts w:eastAsia="Times New Roman" w:cs="Times New Roman"/>
          <w:b/>
          <w:bCs/>
          <w:sz w:val="20"/>
          <w:szCs w:val="20"/>
        </w:rPr>
        <w:t>ANEXO V – TERMO DE REFERÊNCIA</w:t>
      </w:r>
    </w:p>
    <w:p>
      <w:pPr>
        <w:pStyle w:val="Normal"/>
        <w:widowControl w:val="false"/>
        <w:jc w:val="left"/>
        <w:rPr>
          <w:rFonts w:ascii="Times New Roman" w:hAnsi="Times New Roman" w:eastAsia="Times New Roman" w:cs="Times New Roman"/>
          <w:b/>
          <w:bCs/>
          <w:sz w:val="24"/>
          <w:szCs w:val="24"/>
        </w:rPr>
      </w:pPr>
      <w:r>
        <w:rPr>
          <w:rFonts w:eastAsia="Times New Roman" w:cs="Times New Roman"/>
          <w:b/>
          <w:bCs/>
          <w:sz w:val="24"/>
          <w:szCs w:val="24"/>
        </w:rPr>
      </w:r>
      <w:bookmarkStart w:id="0" w:name="_heading=h.3znysh7"/>
      <w:bookmarkStart w:id="1" w:name="_heading=h.3znysh7"/>
      <w:bookmarkEnd w:id="1"/>
    </w:p>
    <w:p>
      <w:pPr>
        <w:pStyle w:val="Normal"/>
        <w:jc w:val="center"/>
        <w:rPr>
          <w:rFonts w:ascii="Times New Roman" w:hAnsi="Times New Roman" w:eastAsia="Times New Roman" w:cs="Times New Roman"/>
          <w:b/>
          <w:bCs/>
          <w:color w:val="auto"/>
          <w:sz w:val="24"/>
          <w:szCs w:val="24"/>
        </w:rPr>
      </w:pPr>
      <w:r>
        <w:rPr>
          <w:rFonts w:eastAsia="Times New Roman" w:cs="Times New Roman"/>
          <w:b/>
          <w:bCs/>
          <w:sz w:val="24"/>
          <w:szCs w:val="24"/>
        </w:rPr>
        <w:t>EDITAL DE DISPENSA DE L</w:t>
      </w:r>
      <w:r>
        <w:rPr>
          <w:rFonts w:eastAsia="Times New Roman" w:cs="Times New Roman"/>
          <w:b/>
          <w:bCs/>
          <w:color w:val="auto"/>
          <w:sz w:val="24"/>
          <w:szCs w:val="24"/>
        </w:rPr>
        <w:t>ICITAÇÃO Nº 001/2025</w:t>
      </w:r>
    </w:p>
    <w:p>
      <w:pPr>
        <w:pStyle w:val="Normal"/>
        <w:jc w:val="center"/>
        <w:rPr>
          <w:rFonts w:ascii="Times New Roman" w:hAnsi="Times New Roman" w:eastAsia="Times New Roman" w:cs="Times New Roman"/>
          <w:b/>
          <w:bCs/>
          <w:color w:val="auto"/>
          <w:sz w:val="24"/>
          <w:szCs w:val="24"/>
        </w:rPr>
      </w:pPr>
      <w:r>
        <w:rPr>
          <w:rFonts w:eastAsia="Times New Roman" w:cs="Times New Roman"/>
          <w:b/>
          <w:bCs/>
          <w:color w:val="auto"/>
          <w:sz w:val="24"/>
          <w:szCs w:val="24"/>
        </w:rPr>
        <w:t>PROCESSO ADMINISTRATIVO Nº 25/1203-0006793-0</w:t>
      </w:r>
    </w:p>
    <w:p>
      <w:pPr>
        <w:pStyle w:val="Normal"/>
        <w:jc w:val="center"/>
        <w:rPr>
          <w:rFonts w:ascii="Times New Roman" w:hAnsi="Times New Roman" w:eastAsia="Times New Roman" w:cs="Times New Roman"/>
          <w:b/>
          <w:bCs/>
          <w:sz w:val="24"/>
          <w:szCs w:val="24"/>
        </w:rPr>
      </w:pPr>
      <w:r>
        <w:rPr>
          <w:rFonts w:eastAsia="Times New Roman" w:cs="Times New Roman"/>
          <w:b/>
          <w:bCs/>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 xml:space="preserve">O ESTADO DO RIO GRANDE DO SUL por intermédio do COMANDO REGIONAL DE POLÍCIA OSTENSIVA DELTA DO JACUÍ, com sede no município de Alvorada/RS, conforme </w:t>
      </w:r>
      <w:r>
        <w:rPr>
          <w:rFonts w:eastAsia="Times New Roman" w:cs="Times New Roman"/>
          <w:b/>
          <w:bCs/>
          <w:sz w:val="24"/>
          <w:szCs w:val="24"/>
        </w:rPr>
        <w:t>Anexo IV – FOLHA DE DADOS (CGDL - Preâmbulo)</w:t>
      </w:r>
      <w:r>
        <w:rPr>
          <w:rFonts w:eastAsia="Times New Roman" w:cs="Times New Roman"/>
          <w:sz w:val="24"/>
          <w:szCs w:val="24"/>
        </w:rPr>
        <w:t xml:space="preserve"> torna público que realizará </w:t>
      </w:r>
      <w:r>
        <w:rPr>
          <w:rFonts w:eastAsia="Times New Roman" w:cs="Times New Roman"/>
          <w:b/>
          <w:bCs/>
          <w:sz w:val="24"/>
          <w:szCs w:val="24"/>
        </w:rPr>
        <w:t>DISPENSA DE LICITAÇÃO</w:t>
      </w:r>
      <w:r>
        <w:rPr>
          <w:rFonts w:eastAsia="Times New Roman" w:cs="Times New Roman"/>
          <w:sz w:val="24"/>
          <w:szCs w:val="24"/>
        </w:rPr>
        <w:t xml:space="preserve"> por meio da INTERNET, regida pela Lei federal nº 14.133, de 1º de abril de 2021; Lei Complementar federal nº 123, de 14 de dezembro de 2006; Decreto-Lei nº 2.848, de 7 de dezembro de 1940; Lei estadual nº 13.706, de 06 de abril de 2011; Lei estadual nº 11.389, de 25 de novembro de 1999; Lei estadual 10.697, de 12 de janeiro de 1996; Decreto estadual nº 42.250, de 19 de maio de 2003; Decreto estadual 36.888, de 02 de setembro de 1996; Decreto estadual nº 55.717, de 12 de janeiro de 2021; Decreto estadual nº 57.037, de 22 de maio de 2023, e suas alterações, pelas condições previstas neste Edital e seus anexos.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 xml:space="preserve">1. DO OBJETO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1.1. O objeto da presente dispensa de licitação visa </w:t>
      </w:r>
      <w:r>
        <w:rPr>
          <w:rFonts w:eastAsia="Times New Roman" w:cs="Times New Roman"/>
          <w:b w:val="false"/>
          <w:bCs w:val="false"/>
          <w:i w:val="false"/>
          <w:iCs w:val="false"/>
          <w:caps w:val="false"/>
          <w:smallCaps w:val="false"/>
          <w:strike w:val="false"/>
          <w:dstrike w:val="false"/>
          <w:color w:themeColor="text1" w:val="000000"/>
          <w:sz w:val="24"/>
          <w:szCs w:val="24"/>
          <w:u w:val="none"/>
          <w:lang w:val="pt-BR"/>
        </w:rPr>
        <w:t>à aquisição de bens</w:t>
      </w:r>
      <w:r>
        <w:rPr>
          <w:rFonts w:eastAsia="Times New Roman" w:cs="Times New Roman"/>
          <w:sz w:val="24"/>
          <w:szCs w:val="24"/>
        </w:rPr>
        <w:t xml:space="preserve">, conforme descrição e condições especificadas no </w:t>
      </w:r>
      <w:r>
        <w:rPr>
          <w:rFonts w:eastAsia="Times New Roman" w:cs="Times New Roman"/>
          <w:b/>
          <w:bCs/>
          <w:sz w:val="24"/>
          <w:szCs w:val="24"/>
        </w:rPr>
        <w:t>ANEXO IV – FOLHA DE DADOS (CGDL 1.1)</w:t>
      </w:r>
      <w:r>
        <w:rPr>
          <w:rFonts w:eastAsia="Times New Roman" w:cs="Times New Roman"/>
          <w:sz w:val="24"/>
          <w:szCs w:val="24"/>
        </w:rPr>
        <w:t xml:space="preserve"> e de acordo com as condições contidas no </w:t>
      </w:r>
      <w:r>
        <w:rPr>
          <w:rFonts w:eastAsia="Times New Roman" w:cs="Times New Roman"/>
          <w:b/>
          <w:bCs/>
          <w:sz w:val="24"/>
          <w:szCs w:val="24"/>
        </w:rPr>
        <w:t>Termo de Referência - Anexo V</w:t>
      </w:r>
      <w:r>
        <w:rPr>
          <w:rFonts w:eastAsia="Times New Roman" w:cs="Times New Roman"/>
          <w:sz w:val="24"/>
          <w:szCs w:val="24"/>
        </w:rPr>
        <w:t>, que fará parte do Contrato como anexo.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2. DA DISPONIBILIZAÇÃO DO TERMO DE DISPENSA DE LICITAÇÃO</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2.1. O Termo de Dispensa de Licitação poderá ser obtido no site referido no </w:t>
      </w:r>
      <w:r>
        <w:rPr>
          <w:rFonts w:eastAsia="Times New Roman" w:cs="Times New Roman"/>
          <w:b/>
          <w:bCs/>
          <w:sz w:val="24"/>
          <w:szCs w:val="24"/>
        </w:rPr>
        <w:t>ANEXO IV – FOLHA DE DADOS (CGDL2.1).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2.2. A dispensa de licitação será realizada na forma eletrônica, por meio do endereço indicado no </w:t>
      </w:r>
      <w:r>
        <w:rPr>
          <w:rFonts w:eastAsia="Times New Roman" w:cs="Times New Roman"/>
          <w:b/>
          <w:bCs/>
          <w:sz w:val="24"/>
          <w:szCs w:val="24"/>
        </w:rPr>
        <w:t>ANEXO IV – FOLHA DE DADOS (CGDL2.1)</w:t>
      </w:r>
      <w:r>
        <w:rPr>
          <w:rFonts w:eastAsia="Times New Roman" w:cs="Times New Roman"/>
          <w:sz w:val="24"/>
          <w:szCs w:val="24"/>
        </w:rPr>
        <w:t>, mediante condições de segurança, criptografia e autenticação dos interessados previamente credenciados conforme cláusula 6.</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3. DA DATA E DO HORÁRIO DA DISPENSA DE LICITAÇÃO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3.1. Na data e horário designados no </w:t>
      </w:r>
      <w:r>
        <w:rPr>
          <w:rFonts w:eastAsia="Times New Roman" w:cs="Times New Roman"/>
          <w:b/>
          <w:bCs/>
          <w:sz w:val="24"/>
          <w:szCs w:val="24"/>
        </w:rPr>
        <w:t>ANEXO IV – FOLHA DE DADOS (CGDL3.1)</w:t>
      </w:r>
      <w:r>
        <w:rPr>
          <w:rFonts w:eastAsia="Times New Roman" w:cs="Times New Roman"/>
          <w:sz w:val="24"/>
          <w:szCs w:val="24"/>
        </w:rPr>
        <w:t xml:space="preserve"> será aberta sessão pública pelo agente de contratação.</w:t>
      </w:r>
    </w:p>
    <w:p>
      <w:pPr>
        <w:pStyle w:val="Normal"/>
        <w:rPr>
          <w:rFonts w:ascii="Times New Roman" w:hAnsi="Times New Roman" w:eastAsia="Times New Roman" w:cs="Times New Roman"/>
          <w:sz w:val="24"/>
          <w:szCs w:val="24"/>
        </w:rPr>
      </w:pPr>
      <w:r>
        <w:rPr>
          <w:rFonts w:eastAsia="Times New Roman" w:cs="Times New Roman"/>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4. DA PARTICIPAÇÃO</w:t>
      </w:r>
    </w:p>
    <w:p>
      <w:pPr>
        <w:pStyle w:val="Normal"/>
        <w:rPr>
          <w:rFonts w:ascii="Times New Roman" w:hAnsi="Times New Roman" w:eastAsia="Times New Roman" w:cs="Times New Roman"/>
          <w:sz w:val="24"/>
          <w:szCs w:val="24"/>
        </w:rPr>
      </w:pPr>
      <w:r>
        <w:rPr>
          <w:rFonts w:eastAsia="Times New Roman" w:cs="Times New Roman"/>
          <w:sz w:val="24"/>
          <w:szCs w:val="24"/>
        </w:rPr>
        <w:t>4.1. Respeitadas as condições normativas próprias e as constantes deste Termo, poderá participar desta dispensa de licitação:</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rFonts w:eastAsia="Times New Roman" w:cs="Times New Roman"/>
          <w:b/>
          <w:bCs/>
          <w:sz w:val="24"/>
          <w:szCs w:val="24"/>
        </w:rPr>
        <w:t>ANEXO IV – FOLHA DE DADOS (CGDL 4.1.1);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4.1.2. pessoa física que esteja devidamente credenciada nos termos do item 6 deste Termo. </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4.1.3. consórcios, nas condições previstas no </w:t>
      </w:r>
      <w:r>
        <w:rPr>
          <w:rFonts w:eastAsia="Times New Roman" w:cs="Times New Roman"/>
          <w:b/>
          <w:bCs/>
          <w:sz w:val="24"/>
          <w:szCs w:val="24"/>
        </w:rPr>
        <w:t xml:space="preserve">ANEXO IV – FOLHA DE DADOS (CGDL 4.1.3). </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4.1.4. cooperativas de trabalho, nas condições previstas no </w:t>
      </w:r>
      <w:r>
        <w:rPr>
          <w:rFonts w:eastAsia="Times New Roman" w:cs="Times New Roman"/>
          <w:b/>
          <w:bCs/>
          <w:sz w:val="24"/>
          <w:szCs w:val="24"/>
        </w:rPr>
        <w:t xml:space="preserve">ANEXO IV - FOLHA DE DADOS (CGDL 4.1.4). </w:t>
      </w:r>
    </w:p>
    <w:p>
      <w:pPr>
        <w:pStyle w:val="Normal"/>
        <w:spacing w:lineRule="auto" w:line="240" w:before="120" w:after="0"/>
        <w:ind w:right="-1"/>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4.2. Não poderá participar direta ou indiretamente desta dispensa de licitação: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4.2.1. pessoa física ou jurídica que se encontre impossibilitada de contratar com o Poder Público em decorrência de sanção que lhe foi imposta;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4.2.3. empresas controladoras, controladas ou coligadas, nos termos da Lei nº 6.404, de 15 de dezembro de 1976, concorrendo entre si;</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4.4. Em procedimentos e contratações realizadas no âmbito de projetos e programas parcialmente financiados por agência oficial de cooperação estrangeira ou por organismo financeiro internacional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com recursos do financiamento ou da contrapartida nacional, não poderá participar pessoa física ou jurídica que integre o rol de pessoas sancionadas por essas entidades ou que seja declarada inidônea nos termos da Lei Federal 14.133/2021.</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4.5. Não poderá haver participante com mais de uma proposta por lote.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5. DA PARTICIPAÇÃO DE MICROEMPRESAS E DE EMPRESAS DE PEQUENO PORTE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5.1.1. que possui enquadramento empresarial como Microempresa ou Empresa de Pequeno Porte;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5.2. A ausência dessas declarações no momento do envio da proposta, significará a renúncia da Microempresa ou Empresa de Pequeno Porte de utilizar-se das prerrogativas a ela concedida pela Lei Complementar federal nº 123/2006, conforme previsto nesta CGDL.</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5.9. Não se aplicam os critérios de desempate previstos nos itens 5.3 e 5.4, caso a dispensa de licitação se destine exclusivamente a participação de Microempresas e Empresas de Pequeno Porte.</w:t>
      </w:r>
    </w:p>
    <w:p>
      <w:pPr>
        <w:pStyle w:val="Normal"/>
        <w:rPr>
          <w:rFonts w:ascii="Times New Roman" w:hAnsi="Times New Roman" w:eastAsia="Times New Roman" w:cs="Times New Roman"/>
          <w:sz w:val="24"/>
          <w:szCs w:val="24"/>
        </w:rPr>
      </w:pPr>
      <w:r>
        <w:rPr>
          <w:rFonts w:eastAsia="Times New Roman" w:cs="Times New Roman"/>
          <w:sz w:val="24"/>
          <w:szCs w:val="24"/>
        </w:rPr>
        <w:t xml:space="preserve">5.10. Observar o disposto no </w:t>
      </w:r>
      <w:r>
        <w:rPr>
          <w:rFonts w:eastAsia="Times New Roman" w:cs="Times New Roman"/>
          <w:b/>
          <w:bCs/>
          <w:sz w:val="24"/>
          <w:szCs w:val="24"/>
        </w:rPr>
        <w:t>Anexo IV - FOLHA DE DADOS (CGDL 4.1.1)</w:t>
      </w:r>
      <w:r>
        <w:rPr>
          <w:rFonts w:eastAsia="Times New Roman" w:cs="Times New Roman"/>
          <w:sz w:val="24"/>
          <w:szCs w:val="24"/>
        </w:rPr>
        <w:t xml:space="preserve"> quanto ao tratamento preferencial para Microempresas e Empresas de Pequeno Porte na hipótese do art. 4º, § 1º, I da Lei Federal 14.133/2021.</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6. DO CREDENCIAMENTO</w:t>
      </w:r>
    </w:p>
    <w:p>
      <w:pPr>
        <w:pStyle w:val="Normal"/>
        <w:rPr>
          <w:rFonts w:ascii="Times New Roman" w:hAnsi="Times New Roman" w:eastAsia="Times New Roman" w:cs="Times New Roman"/>
          <w:sz w:val="24"/>
          <w:szCs w:val="24"/>
        </w:rPr>
      </w:pPr>
      <w:r>
        <w:rPr>
          <w:rFonts w:eastAsia="Times New Roman" w:cs="Times New Roman"/>
          <w:sz w:val="24"/>
          <w:szCs w:val="24"/>
        </w:rPr>
        <w:t>6.1. Os interessados em participar da presente dispensa de licitação deverão estar regularmente credenciados no Portal do Fornecedor RS</w:t>
      </w:r>
    </w:p>
    <w:p>
      <w:pPr>
        <w:pStyle w:val="Normal"/>
        <w:rPr>
          <w:rFonts w:ascii="Times New Roman" w:hAnsi="Times New Roman" w:eastAsia="Times New Roman" w:cs="Times New Roman"/>
          <w:sz w:val="24"/>
          <w:szCs w:val="24"/>
        </w:rPr>
      </w:pPr>
      <w:r>
        <w:rPr>
          <w:rFonts w:eastAsia="Times New Roman" w:cs="Times New Roman"/>
          <w:sz w:val="24"/>
          <w:szCs w:val="24"/>
        </w:rPr>
        <w:t>6.2. O credenciamento deverá ser solicitado por meio do Portal do Fornecedor RS(www.portaldofornecedor.rs.gov.br).</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7. DA PROPOSTA DE PREÇOS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7.1. Os participantes deverão encaminhar proposta inicial até a data e hora marcadas para a abertura da sessão conforme </w:t>
      </w:r>
      <w:r>
        <w:rPr>
          <w:rFonts w:eastAsia="Times New Roman" w:cs="Times New Roman"/>
          <w:b/>
          <w:bCs/>
          <w:sz w:val="24"/>
          <w:szCs w:val="24"/>
        </w:rPr>
        <w:t>ANEXO IV – FOLHA DE DADOS(CGDL 3.1)</w:t>
      </w:r>
      <w:r>
        <w:rPr>
          <w:rFonts w:eastAsia="Times New Roman" w:cs="Times New Roman"/>
          <w:sz w:val="24"/>
          <w:szCs w:val="24"/>
        </w:rPr>
        <w:t xml:space="preserve">, exclusivamente no sistema eletrônico referido no </w:t>
      </w:r>
      <w:r>
        <w:rPr>
          <w:rFonts w:eastAsia="Times New Roman" w:cs="Times New Roman"/>
          <w:b/>
          <w:bCs/>
          <w:sz w:val="24"/>
          <w:szCs w:val="24"/>
        </w:rPr>
        <w:t>ANEXO IV – FOLHA DE DADOS (CGDL 2.1)</w:t>
      </w:r>
      <w:r>
        <w:rPr>
          <w:rFonts w:eastAsia="Times New Roman" w:cs="Times New Roman"/>
          <w:sz w:val="24"/>
          <w:szCs w:val="24"/>
        </w:rPr>
        <w:t xml:space="preserve">, quando se encerrará a fase de recebimento de propostas.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7.2. As propostas deverão ter prazo de validade não inferior ao disposto no </w:t>
      </w:r>
      <w:r>
        <w:rPr>
          <w:rFonts w:eastAsia="Times New Roman" w:cs="Times New Roman"/>
          <w:b/>
          <w:bCs/>
          <w:sz w:val="24"/>
          <w:szCs w:val="24"/>
        </w:rPr>
        <w:t>Anexo IV – FOLHA DE DADOS (CGDL 7.2)</w:t>
      </w:r>
      <w:r>
        <w:rPr>
          <w:rFonts w:eastAsia="Times New Roman" w:cs="Times New Roman"/>
          <w:sz w:val="24"/>
          <w:szCs w:val="24"/>
        </w:rPr>
        <w:t>, a contar da data da abertura da dispensa de licitação.</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7.2.1. Se não constar o prazo de validade, entende-se o do </w:t>
      </w:r>
      <w:r>
        <w:rPr>
          <w:rFonts w:eastAsia="Times New Roman" w:cs="Times New Roman"/>
          <w:b/>
          <w:bCs/>
          <w:sz w:val="24"/>
          <w:szCs w:val="24"/>
        </w:rPr>
        <w:t>Anexo IV – FOLHA DE DADOS (CGDL 7.2).</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7.3. A proposta de preços inicial deverá conter as características técnicas do produto ofertado, indicando obrigatória e expressamente, a sua marca e, se for o caso, o modelo.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7.5. No momento do envio da proposta, o participante deverá prestar, por meio do sistema eletrônico, as seguintes declarações: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7.5.1. que tem conhecimento e atende a todas as exigências de habilitação e especificações técnicas previstas no Termo de Dispensa de Licitação;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7.5.5. que tem conhecimento das condutas passíveis de penalidades elencadas no item 22 deste Termo de Dispensa de Licitação e aquelas previstas no art. 156 da Lei Federal 14.133/2021;</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7.5.7. que possui ou não enquadramento empresarial como Microempresa ou Empresa de Pequeno Porte para fins de obtenção do tratamento diferenciado e favorecido nos termos da Lei Complementar Federal nº 123/2006, se for o caso;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7.5.8. 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7.5.10. que cumpre as exigências de reserva de cargos para pessoa com deficiência e para reabilitado da Previdência Social, previstas em lei e em outras normas específicas.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7.6. As declarações mencionadas nos subitens anteriores são condicionantes para a participação.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7.8. Até data e hora marcadas como fim do recebimento de propostas, o participante poderá retirar ou substituir a proposta anteriormente apresentada.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7.9.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7.10. Serão desclassificadas as propostas que não atenderem às exigências do presente Termo de Dispensa de Licitação, que forem omissas ou apresentarem irregularidades.</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7.11. O preço proposto será de exclusiva responsabilidade do participante, não lhe assistindo o direito de pleitear qualquer alteração sob a alegação de erro, omissão ou qualquer outro pretexto.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7.12. Não será admitida a subcontratação.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7.13.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7.15. A proposta final deverá manter inalteradas as características, bem como a marca e modelo indicados no item 7.3. </w:t>
      </w:r>
    </w:p>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7.16. As propostas deverão, sempre que possível, conter o código de barras do objeto ofertado.</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7.18. As propostas ficarão disponíveis no sistema eletrônico informado no </w:t>
      </w:r>
      <w:r>
        <w:rPr>
          <w:rFonts w:eastAsia="Times New Roman" w:cs="Times New Roman"/>
          <w:b/>
          <w:bCs/>
          <w:sz w:val="24"/>
          <w:szCs w:val="24"/>
        </w:rPr>
        <w:t>ANEXO IV – FOLHA DE DADOS (CGDL 2.1).</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8. DA OPERACIONALIZAÇÃO DA SESSÃO ELETRÔNICA</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8.1. Os trabalhos serão conduzidos pelo agente de contratação.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8.2. A participação no certame dar-se-á por meio da digitação da senha pessoal e intransferível do participante credenciado conforme item 6 e subsequente encaminhamento da proposta, exclusivamente por meio do sistema eletrônico, observados data e horário estabelecidos.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8.3. O encaminhamento da proposta pressupõe o pleno conhecimento e atendimento das exigências de habilitação previstas.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8.5. Se ocorrer a desconexão do agente de contratação durante a etapa de lances e o sistema eletrônico permanecer acessível aos participantes, os lances continuarão sendo recebidos, sem prejuízo dos atos realizados.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 </w:t>
      </w:r>
    </w:p>
    <w:p>
      <w:pPr>
        <w:pStyle w:val="Normal"/>
        <w:suppressLineNumbers w:val="0"/>
        <w:bidi w:val="0"/>
        <w:spacing w:lineRule="auto" w:line="240" w:beforeAutospacing="0" w:before="120" w:afterAutospacing="0" w:after="0"/>
        <w:ind w:left="0" w:righ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8.6. No caso de desconexão do participante, o mesmo deverá de imediato, sob sua inteira responsabilidade, providenciar sua conexão ao sistema.</w:t>
      </w:r>
    </w:p>
    <w:p>
      <w:pPr>
        <w:pStyle w:val="Normal"/>
        <w:rPr>
          <w:rFonts w:ascii="Times New Roman" w:hAnsi="Times New Roman" w:eastAsia="Times New Roman" w:cs="Times New Roman"/>
          <w:b/>
          <w:bCs/>
          <w:sz w:val="24"/>
          <w:szCs w:val="24"/>
        </w:rPr>
      </w:pPr>
      <w:r>
        <w:rPr>
          <w:rFonts w:eastAsia="Times New Roman" w:cs="Times New Roman"/>
          <w:b/>
          <w:bCs/>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9. DA REFERÊNCIA DE TEMPO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10. DA ABERTURA DA PROPOSTA E DA ETAPA COMPETITIVA</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10.1. A abertura da sessão pública ocorrerá na data e na hora indicadas no Anexo </w:t>
      </w:r>
      <w:r>
        <w:rPr>
          <w:rFonts w:eastAsia="Times New Roman" w:cs="Times New Roman"/>
          <w:b/>
          <w:bCs/>
          <w:sz w:val="24"/>
          <w:szCs w:val="24"/>
        </w:rPr>
        <w:t xml:space="preserve">IV – FOLHA DE DADOS (CGDL 3.1).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10.2. Durante a sessão pública, a comunicação entre o agente de contratação e os participantes ocorrerá exclusivamente pelo sistema eletrônico.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10.2.1. Não será aceito nenhum outro tipo de contato, como meio telefônico ou e-mail.  </w:t>
      </w:r>
    </w:p>
    <w:p>
      <w:pPr>
        <w:pStyle w:val="Normal"/>
        <w:rPr>
          <w:rFonts w:ascii="Times New Roman" w:hAnsi="Times New Roman" w:eastAsia="Times New Roman" w:cs="Times New Roman"/>
          <w:b/>
          <w:bCs/>
          <w:sz w:val="24"/>
          <w:szCs w:val="24"/>
        </w:rPr>
      </w:pPr>
      <w:r>
        <w:rPr>
          <w:rFonts w:eastAsia="Times New Roman" w:cs="Times New Roman"/>
          <w:sz w:val="24"/>
          <w:szCs w:val="24"/>
        </w:rPr>
        <w:t>10.3. O Critério de Julgamento será conforme o Anexo</w:t>
      </w:r>
      <w:r>
        <w:rPr>
          <w:rFonts w:eastAsia="Times New Roman" w:cs="Times New Roman"/>
          <w:b/>
          <w:bCs/>
          <w:sz w:val="24"/>
          <w:szCs w:val="24"/>
        </w:rPr>
        <w:t xml:space="preserve"> IV - FOLHA DE DADOS (CGDL 10.3).</w:t>
      </w:r>
    </w:p>
    <w:p>
      <w:pPr>
        <w:pStyle w:val="Normal"/>
        <w:rPr>
          <w:rFonts w:ascii="Times New Roman" w:hAnsi="Times New Roman" w:eastAsia="Times New Roman" w:cs="Times New Roman"/>
          <w:sz w:val="24"/>
          <w:szCs w:val="24"/>
        </w:rPr>
      </w:pPr>
      <w:r>
        <w:rPr>
          <w:rFonts w:eastAsia="Times New Roman" w:cs="Times New Roman"/>
          <w:sz w:val="24"/>
          <w:szCs w:val="24"/>
        </w:rPr>
        <w:t>10.3.1 Considera-se melhor lance o menor valor ou a maior taxa de desconto.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10.4. A partir da abertura das propostas, os participantes terão conhecimento dos valores ofertados. </w:t>
      </w:r>
    </w:p>
    <w:p>
      <w:pPr>
        <w:pStyle w:val="Normal"/>
        <w:rPr>
          <w:rFonts w:ascii="Times New Roman" w:hAnsi="Times New Roman" w:eastAsia="Times New Roman" w:cs="Times New Roman"/>
          <w:sz w:val="24"/>
          <w:szCs w:val="24"/>
        </w:rPr>
      </w:pPr>
      <w:r>
        <w:rPr>
          <w:rFonts w:eastAsia="Times New Roman" w:cs="Times New Roman"/>
          <w:sz w:val="24"/>
          <w:szCs w:val="24"/>
        </w:rPr>
        <w:t>10.4.1. Durante o transcurso da sessão, os participantes terão informações, em tempo real, do valor do melhor lance registrado, mantendo-se em sigilo a identificação do ofertante.</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10.5. A partir do momento de início da etapa de lances, os participantes poderão formular melhor lance, sendo informados sobre seu recebimento, com indicação de horário e valor. </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rFonts w:eastAsia="Times New Roman" w:cs="Times New Roman"/>
          <w:b/>
          <w:bCs/>
          <w:sz w:val="24"/>
          <w:szCs w:val="24"/>
        </w:rPr>
        <w:t>Anexo IV – FOLHA DE DADOS (CGDL 10.5.1).</w:t>
      </w:r>
    </w:p>
    <w:p>
      <w:pPr>
        <w:pStyle w:val="Normal"/>
        <w:rPr>
          <w:rFonts w:ascii="Times New Roman" w:hAnsi="Times New Roman" w:eastAsia="Times New Roman" w:cs="Times New Roman"/>
          <w:sz w:val="24"/>
          <w:szCs w:val="24"/>
        </w:rPr>
      </w:pPr>
      <w:r>
        <w:rPr>
          <w:rFonts w:eastAsia="Times New Roman" w:cs="Times New Roman"/>
          <w:sz w:val="24"/>
          <w:szCs w:val="24"/>
        </w:rPr>
        <w:t>10.5.2. Não serão aceitos dois ou mais lances iguais, prevalecendo aquele que for recebido e registrado primeiro.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10.5.3. Será permitida a apresentação de lances intermediários. </w:t>
      </w:r>
    </w:p>
    <w:p>
      <w:pPr>
        <w:pStyle w:val="Normal"/>
        <w:rPr>
          <w:rFonts w:ascii="Times New Roman" w:hAnsi="Times New Roman" w:eastAsia="Times New Roman" w:cs="Times New Roman"/>
          <w:sz w:val="24"/>
          <w:szCs w:val="24"/>
        </w:rPr>
      </w:pPr>
      <w:r>
        <w:rPr>
          <w:rFonts w:eastAsia="Times New Roman" w:cs="Times New Roman"/>
          <w:sz w:val="24"/>
          <w:szCs w:val="24"/>
        </w:rPr>
        <w:t>10.5.4. Caso o participante não apresente lances, concorrerá com o valor de sua proposta.</w:t>
      </w:r>
    </w:p>
    <w:p>
      <w:pPr>
        <w:pStyle w:val="Normal"/>
        <w:rPr>
          <w:rFonts w:ascii="Times New Roman" w:hAnsi="Times New Roman" w:eastAsia="Times New Roman" w:cs="Times New Roman"/>
          <w:sz w:val="24"/>
          <w:szCs w:val="24"/>
        </w:rPr>
      </w:pPr>
      <w:r>
        <w:rPr>
          <w:rFonts w:eastAsia="Times New Roman" w:cs="Times New Roman"/>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10.7. Caso o participante não apresente lances, concorrerá com o valor de sua proposta. </w:t>
      </w:r>
    </w:p>
    <w:p>
      <w:pPr>
        <w:pStyle w:val="Normal"/>
        <w:rPr>
          <w:rFonts w:ascii="Times New Roman" w:hAnsi="Times New Roman" w:eastAsia="Times New Roman" w:cs="Times New Roman"/>
          <w:sz w:val="24"/>
          <w:szCs w:val="24"/>
        </w:rPr>
      </w:pPr>
      <w:r>
        <w:rPr>
          <w:rFonts w:eastAsia="Times New Roman" w:cs="Times New Roman"/>
          <w:sz w:val="24"/>
          <w:szCs w:val="24"/>
        </w:rPr>
        <w:t>10.8. Durante a fase de lances, o agente de contratação poderá excluir, justificadamente, lance cujo valor seja manifestamente inexequível.</w:t>
      </w:r>
    </w:p>
    <w:p>
      <w:pPr>
        <w:pStyle w:val="Normal"/>
        <w:rPr>
          <w:rFonts w:ascii="Times New Roman" w:hAnsi="Times New Roman" w:eastAsia="Times New Roman" w:cs="Times New Roman"/>
          <w:sz w:val="24"/>
          <w:szCs w:val="24"/>
        </w:rPr>
      </w:pPr>
      <w:r>
        <w:rPr>
          <w:rFonts w:eastAsia="Times New Roman" w:cs="Times New Roman"/>
          <w:sz w:val="24"/>
          <w:szCs w:val="24"/>
        </w:rPr>
        <w:t>10.9. A disputa ocorrerá pelo modo aberto.</w:t>
      </w:r>
    </w:p>
    <w:p>
      <w:pPr>
        <w:pStyle w:val="Normal"/>
        <w:rPr>
          <w:rFonts w:ascii="Times New Roman" w:hAnsi="Times New Roman" w:eastAsia="Times New Roman" w:cs="Times New Roman"/>
          <w:sz w:val="24"/>
          <w:szCs w:val="24"/>
        </w:rPr>
      </w:pPr>
      <w:r>
        <w:rPr>
          <w:rFonts w:eastAsia="Times New Roman" w:cs="Times New Roman"/>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rPr>
          <w:rFonts w:ascii="Times New Roman" w:hAnsi="Times New Roman" w:eastAsia="Times New Roman" w:cs="Times New Roman"/>
          <w:sz w:val="24"/>
          <w:szCs w:val="24"/>
        </w:rPr>
      </w:pPr>
      <w:r>
        <w:rPr>
          <w:rFonts w:eastAsia="Times New Roman" w:cs="Times New Roman"/>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rPr>
          <w:rFonts w:ascii="Times New Roman" w:hAnsi="Times New Roman" w:eastAsia="Times New Roman" w:cs="Times New Roman"/>
          <w:sz w:val="24"/>
          <w:szCs w:val="24"/>
        </w:rPr>
      </w:pPr>
      <w:r>
        <w:rPr>
          <w:rFonts w:eastAsia="Times New Roman" w:cs="Times New Roman"/>
          <w:sz w:val="24"/>
          <w:szCs w:val="24"/>
        </w:rPr>
        <w:t>10.10.2. Na hipótese de não haver novos lances, na forma estabelecida no subitem 10.10 deste Termo, a sessão pública será encerrada automaticamente.</w:t>
      </w:r>
    </w:p>
    <w:p>
      <w:pPr>
        <w:pStyle w:val="Normal"/>
        <w:rPr>
          <w:rFonts w:ascii="Times New Roman" w:hAnsi="Times New Roman" w:eastAsia="Times New Roman" w:cs="Times New Roman"/>
          <w:sz w:val="24"/>
          <w:szCs w:val="24"/>
        </w:rPr>
      </w:pPr>
      <w:r>
        <w:rPr>
          <w:rFonts w:eastAsia="Times New Roman" w:cs="Times New Roman"/>
          <w:sz w:val="24"/>
          <w:szCs w:val="24"/>
        </w:rPr>
        <w:t>10.10.3. No caso de a sessão encerrar sem prorrogação automática, o agente de contratação poderá admitir o reinício da etapa de envio de lances conforme subitem 10.10, mediante justificativa.</w:t>
      </w:r>
    </w:p>
    <w:p>
      <w:pPr>
        <w:pStyle w:val="Normal"/>
        <w:rPr>
          <w:rFonts w:ascii="Times New Roman" w:hAnsi="Times New Roman" w:eastAsia="Times New Roman" w:cs="Times New Roman"/>
          <w:sz w:val="24"/>
          <w:szCs w:val="24"/>
        </w:rPr>
      </w:pPr>
      <w:r>
        <w:rPr>
          <w:rFonts w:eastAsia="Times New Roman" w:cs="Times New Roman"/>
          <w:sz w:val="24"/>
          <w:szCs w:val="24"/>
        </w:rPr>
        <w:t>10.11. Após a definição da melhor proposta, se a diferença em relação à proposta classificada em segundo lugar for de pelo menos 5% (cinco por cento), o agente de contratação poderá admitir o reinício da disputa aberta, conforme subitem 10.10, para a definição das demais colocações.</w:t>
      </w:r>
    </w:p>
    <w:p>
      <w:pPr>
        <w:pStyle w:val="Normal"/>
        <w:rPr>
          <w:rFonts w:ascii="Times New Roman" w:hAnsi="Times New Roman" w:eastAsia="Times New Roman" w:cs="Times New Roman"/>
          <w:sz w:val="24"/>
          <w:szCs w:val="24"/>
        </w:rPr>
      </w:pPr>
      <w:r>
        <w:rPr>
          <w:rFonts w:eastAsia="Times New Roman" w:cs="Times New Roman"/>
          <w:sz w:val="24"/>
          <w:szCs w:val="24"/>
        </w:rPr>
        <w:t>10.12. Definida a proposta vencedora, para fins de empate ficto, aplica-se o disposto no item 5 deste Termo, se for o caso.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 xml:space="preserve">11. DA NEGOCIAÇÃO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rPr>
          <w:rFonts w:ascii="Times New Roman" w:hAnsi="Times New Roman" w:eastAsia="Times New Roman" w:cs="Times New Roman"/>
          <w:sz w:val="24"/>
          <w:szCs w:val="24"/>
        </w:rPr>
      </w:pPr>
      <w:r>
        <w:rPr>
          <w:rFonts w:eastAsia="Times New Roman" w:cs="Times New Roman"/>
          <w:sz w:val="24"/>
          <w:szCs w:val="24"/>
        </w:rPr>
        <w:t>11.2. A negociação será realizada por meio do sistema, podendo ser acompanhada pelos demais participantes.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 xml:space="preserve">12. DA ACEITABILIDADE E DO JULGAMENTO DAS PROPOSTAS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 O agente de contratação convocará o participante classificado em primeiro lugar, para, em prazo não inferior a 01 (uma) hora, encaminhar por meio eletrônico indicado no </w:t>
      </w:r>
      <w:r>
        <w:rPr>
          <w:rFonts w:eastAsia="Times New Roman" w:cs="Times New Roman"/>
          <w:b/>
          <w:bCs/>
          <w:sz w:val="24"/>
          <w:szCs w:val="24"/>
        </w:rPr>
        <w:t>Anexo IV - FOLHA DE DADOS (CGDL2.2)</w:t>
      </w:r>
      <w:r>
        <w:rPr>
          <w:rFonts w:eastAsia="Times New Roman" w:cs="Times New Roman"/>
          <w:sz w:val="24"/>
          <w:szCs w:val="24"/>
        </w:rPr>
        <w:t>, a proposta de preço acompanhada do Anexo II – Planilha de Custos e Formação de Preços devidamente preenchida.</w:t>
      </w:r>
    </w:p>
    <w:p>
      <w:pPr>
        <w:pStyle w:val="Normal"/>
        <w:rPr>
          <w:rFonts w:ascii="Times New Roman" w:hAnsi="Times New Roman" w:eastAsia="Times New Roman" w:cs="Times New Roman"/>
          <w:sz w:val="24"/>
          <w:szCs w:val="24"/>
        </w:rPr>
      </w:pPr>
      <w:r>
        <w:rPr>
          <w:rFonts w:eastAsia="Times New Roman" w:cs="Times New Roman"/>
          <w:sz w:val="24"/>
          <w:szCs w:val="24"/>
        </w:rPr>
        <w:t>12.1.1. A proposta de preço fará parte do contrato, como seu anexo.</w:t>
      </w:r>
    </w:p>
    <w:p>
      <w:pPr>
        <w:pStyle w:val="Normal"/>
        <w:rPr>
          <w:rFonts w:ascii="Times New Roman" w:hAnsi="Times New Roman" w:eastAsia="Times New Roman" w:cs="Times New Roman"/>
          <w:sz w:val="24"/>
          <w:szCs w:val="24"/>
        </w:rPr>
      </w:pPr>
      <w:r>
        <w:rPr>
          <w:rFonts w:eastAsia="Times New Roman" w:cs="Times New Roman"/>
          <w:sz w:val="24"/>
          <w:szCs w:val="24"/>
        </w:rPr>
        <w:t>12.1.2. O agente de contratação verificará a proposta apresentada, e a desclassificará, motivadamente, se não estiver em conformidade com os requisitos estabelecidos neste Termo e no art. 59 da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12.2. O participante que abandonar o certame, deixando de enviar a documentação solicitada, será desclassificado e estará sujeito às sanções previstas neste Termo.</w:t>
      </w:r>
    </w:p>
    <w:p>
      <w:pPr>
        <w:pStyle w:val="Normal"/>
        <w:rPr>
          <w:rFonts w:ascii="Times New Roman" w:hAnsi="Times New Roman" w:eastAsia="Times New Roman" w:cs="Times New Roman"/>
          <w:sz w:val="24"/>
          <w:szCs w:val="24"/>
        </w:rPr>
      </w:pPr>
      <w:r>
        <w:rPr>
          <w:rFonts w:eastAsia="Times New Roman" w:cs="Times New Roman"/>
          <w:sz w:val="24"/>
          <w:szCs w:val="24"/>
        </w:rPr>
        <w:t>12.3. O agente de contratação poderá solicitar parecer de técnicos pertencentes ao quadro de pessoal do órgão ou entidade contratante ou de terceiros, para orientar sua decisão.</w:t>
      </w:r>
    </w:p>
    <w:p>
      <w:pPr>
        <w:pStyle w:val="Normal"/>
        <w:rPr>
          <w:rFonts w:ascii="Times New Roman" w:hAnsi="Times New Roman" w:eastAsia="Times New Roman" w:cs="Times New Roman"/>
          <w:sz w:val="24"/>
          <w:szCs w:val="24"/>
        </w:rPr>
      </w:pPr>
      <w:r>
        <w:rPr>
          <w:rFonts w:eastAsia="Times New Roman" w:cs="Times New Roman"/>
          <w:sz w:val="24"/>
          <w:szCs w:val="24"/>
        </w:rPr>
        <w:t>12.4. Não se considerará qualquer oferta de vantagem não prevista neste Termo, inclusive financiamentos subsidiados ou a fundo perdido.</w:t>
      </w:r>
    </w:p>
    <w:p>
      <w:pPr>
        <w:pStyle w:val="Normal"/>
        <w:rPr>
          <w:rFonts w:ascii="Times New Roman" w:hAnsi="Times New Roman" w:eastAsia="Times New Roman" w:cs="Times New Roman"/>
          <w:sz w:val="24"/>
          <w:szCs w:val="24"/>
        </w:rPr>
      </w:pPr>
      <w:r>
        <w:rPr>
          <w:rFonts w:eastAsia="Times New Roman" w:cs="Times New Roman"/>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rPr>
          <w:rFonts w:ascii="Times New Roman" w:hAnsi="Times New Roman" w:eastAsia="Times New Roman" w:cs="Times New Roman"/>
          <w:sz w:val="24"/>
          <w:szCs w:val="24"/>
        </w:rPr>
      </w:pPr>
      <w:r>
        <w:rPr>
          <w:rFonts w:eastAsia="Times New Roman" w:cs="Times New Roman"/>
          <w:sz w:val="24"/>
          <w:szCs w:val="24"/>
        </w:rPr>
        <w:t>12.6. Na verificação da conformidade da melhor proposta apresentada com os requisitos deste Termo, será desclassificada aquela que se enquadrar nas hipóteses previstas nos incisos do art. 59 da Lei Federal nº 14.133/2021.</w:t>
      </w:r>
    </w:p>
    <w:p>
      <w:pPr>
        <w:pStyle w:val="Normal"/>
        <w:rPr>
          <w:rFonts w:ascii="Times New Roman" w:hAnsi="Times New Roman" w:eastAsia="Times New Roman" w:cs="Times New Roman"/>
          <w:b/>
          <w:bCs/>
          <w:sz w:val="24"/>
          <w:szCs w:val="24"/>
        </w:rPr>
      </w:pPr>
      <w:r>
        <w:rPr>
          <w:rFonts w:eastAsia="Times New Roman" w:cs="Times New Roman"/>
          <w:sz w:val="24"/>
          <w:szCs w:val="24"/>
        </w:rPr>
        <w:t>12.6.1. Os preços deverão estar de acordo com os critérios de aceitabilidade estabelecidos no Anexo</w:t>
      </w:r>
      <w:r>
        <w:rPr>
          <w:rFonts w:eastAsia="Times New Roman" w:cs="Times New Roman"/>
          <w:b/>
          <w:bCs/>
          <w:sz w:val="24"/>
          <w:szCs w:val="24"/>
        </w:rPr>
        <w:t xml:space="preserve"> IV - FOLHA DE DADOS (CGDL 12.6.1).</w:t>
      </w:r>
    </w:p>
    <w:p>
      <w:pPr>
        <w:pStyle w:val="Normal"/>
        <w:rPr>
          <w:rFonts w:ascii="Times New Roman" w:hAnsi="Times New Roman" w:eastAsia="Times New Roman" w:cs="Times New Roman"/>
          <w:sz w:val="24"/>
          <w:szCs w:val="24"/>
        </w:rPr>
      </w:pPr>
      <w:r>
        <w:rPr>
          <w:rFonts w:eastAsia="Times New Roman" w:cs="Times New Roman"/>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rPr>
          <w:rFonts w:ascii="Times New Roman" w:hAnsi="Times New Roman" w:eastAsia="Times New Roman" w:cs="Times New Roman"/>
          <w:sz w:val="24"/>
          <w:szCs w:val="24"/>
        </w:rPr>
      </w:pPr>
      <w:r>
        <w:rPr>
          <w:rFonts w:eastAsia="Times New Roman" w:cs="Times New Roman"/>
          <w:sz w:val="24"/>
          <w:szCs w:val="24"/>
        </w:rPr>
        <w:t>12.7. Em caso de divergência entre valores grafados em algarismos e por extenso, prevalecerá o valor por extenso.</w:t>
      </w:r>
    </w:p>
    <w:p>
      <w:pPr>
        <w:pStyle w:val="Normal"/>
        <w:rPr>
          <w:rFonts w:ascii="Times New Roman" w:hAnsi="Times New Roman" w:eastAsia="Times New Roman" w:cs="Times New Roman"/>
          <w:sz w:val="24"/>
          <w:szCs w:val="24"/>
        </w:rPr>
      </w:pPr>
      <w:r>
        <w:rPr>
          <w:rFonts w:eastAsia="Times New Roman" w:cs="Times New Roman"/>
          <w:sz w:val="24"/>
          <w:szCs w:val="24"/>
        </w:rPr>
        <w:t>12.8. Havendo indicação de que a proposta apresentada seja inexequível, caberá ao agente de contratação realizar as diligências para aferir a demonstração da exequibilidade da proposta, ou exigir do participante a demonstração.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12.8.1. Será considerada inexequível a proposta que não tenha demonstrada sua viabilidade por meio de documentação que comprove que os custos envolvidos na contratação são coerentes com os de mercado.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12.9. Será vencedor o participante que atender a íntegra do Termo e ofertar o menor preço, considerando o previsto no </w:t>
      </w:r>
      <w:r>
        <w:rPr>
          <w:rFonts w:eastAsia="Times New Roman" w:cs="Times New Roman"/>
          <w:b/>
          <w:bCs/>
          <w:sz w:val="24"/>
          <w:szCs w:val="24"/>
        </w:rPr>
        <w:t>Anexo IV - FOLHA DE DADOS (CGDL 12.9).</w:t>
      </w:r>
    </w:p>
    <w:p>
      <w:pPr>
        <w:pStyle w:val="Normal"/>
        <w:rPr>
          <w:rFonts w:ascii="Times New Roman" w:hAnsi="Times New Roman" w:eastAsia="Times New Roman" w:cs="Times New Roman"/>
          <w:sz w:val="24"/>
          <w:szCs w:val="24"/>
        </w:rPr>
      </w:pPr>
      <w:r>
        <w:rPr>
          <w:rFonts w:eastAsia="Times New Roman" w:cs="Times New Roman"/>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rPr>
          <w:rFonts w:ascii="Times New Roman" w:hAnsi="Times New Roman" w:eastAsia="Times New Roman" w:cs="Times New Roman"/>
          <w:b/>
          <w:bCs/>
          <w:sz w:val="24"/>
          <w:szCs w:val="24"/>
        </w:rPr>
      </w:pPr>
      <w:r>
        <w:rPr>
          <w:rFonts w:eastAsia="Times New Roman" w:cs="Times New Roman"/>
          <w:b/>
          <w:bCs/>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13. DA HABILITAÇÃO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13.1.1. Os documentos devem ser apresentados através de upload em campo próprio do sistema eletrônico no qual o certame é realizado. </w:t>
      </w:r>
    </w:p>
    <w:p>
      <w:pPr>
        <w:pStyle w:val="Normal"/>
        <w:rPr>
          <w:rFonts w:ascii="Times New Roman" w:hAnsi="Times New Roman" w:eastAsia="Times New Roman" w:cs="Times New Roman"/>
          <w:sz w:val="24"/>
          <w:szCs w:val="24"/>
        </w:rPr>
      </w:pPr>
      <w:r>
        <w:rPr>
          <w:rFonts w:eastAsia="Times New Roman" w:cs="Times New Roman"/>
          <w:sz w:val="24"/>
          <w:szCs w:val="24"/>
        </w:rPr>
        <w:t>13.2. São exigidos os documentos de habilitação abaixo discriminados.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 Documentos Relativos à Habilitação Jurídica: </w:t>
      </w:r>
    </w:p>
    <w:p>
      <w:pPr>
        <w:pStyle w:val="Normal"/>
        <w:rPr>
          <w:rFonts w:ascii="Times New Roman" w:hAnsi="Times New Roman" w:eastAsia="Times New Roman" w:cs="Times New Roman"/>
          <w:sz w:val="24"/>
          <w:szCs w:val="24"/>
        </w:rPr>
      </w:pPr>
      <w:r>
        <w:rPr>
          <w:rFonts w:eastAsia="Times New Roman" w:cs="Times New Roman"/>
          <w:sz w:val="24"/>
          <w:szCs w:val="24"/>
        </w:rPr>
        <w:t>13.3.1. documento oficial de identificação com foto, em se tratando de pessoa física;</w:t>
      </w:r>
    </w:p>
    <w:p>
      <w:pPr>
        <w:pStyle w:val="Normal"/>
        <w:rPr>
          <w:rFonts w:ascii="Times New Roman" w:hAnsi="Times New Roman" w:eastAsia="Times New Roman" w:cs="Times New Roman"/>
          <w:sz w:val="24"/>
          <w:szCs w:val="24"/>
        </w:rPr>
      </w:pPr>
      <w:r>
        <w:rPr>
          <w:rFonts w:eastAsia="Times New Roman" w:cs="Times New Roman"/>
          <w:sz w:val="24"/>
          <w:szCs w:val="24"/>
        </w:rPr>
        <w:t>13.3.2. Certificado da Condição de Microempreendedor Individual – CCMEI, em se tratando de Microempreendedor Individual – MEI;</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13.3.3. registro comercial, no caso de empresa individual;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13.3.5. inscrição do ato constitutivo, no caso de sociedades civis, acompanhada de prova de diretoria em exercício;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pPr>
        <w:pStyle w:val="Normal"/>
        <w:rPr>
          <w:rFonts w:ascii="Times New Roman" w:hAnsi="Times New Roman" w:eastAsia="Times New Roman" w:cs="Times New Roman"/>
          <w:sz w:val="24"/>
          <w:szCs w:val="24"/>
        </w:rPr>
      </w:pPr>
      <w:r>
        <w:rPr>
          <w:rFonts w:eastAsia="Times New Roman" w:cs="Times New Roman"/>
          <w:sz w:val="24"/>
          <w:szCs w:val="24"/>
        </w:rPr>
        <w:t>13.4. Documentos Relativos à Regularidade Fiscal, Social e Trabalhista:</w:t>
      </w:r>
    </w:p>
    <w:p>
      <w:pPr>
        <w:pStyle w:val="Normal"/>
        <w:rPr>
          <w:rFonts w:ascii="Times New Roman" w:hAnsi="Times New Roman" w:eastAsia="Times New Roman" w:cs="Times New Roman"/>
          <w:sz w:val="24"/>
          <w:szCs w:val="24"/>
        </w:rPr>
      </w:pPr>
      <w:r>
        <w:rPr>
          <w:rFonts w:eastAsia="Times New Roman" w:cs="Times New Roman"/>
          <w:sz w:val="24"/>
          <w:szCs w:val="24"/>
        </w:rPr>
        <w:t>13.4.1. documento oficial que comprove a inscrição no Cadastro de Pessoas Físicas (CPF), em se tratando de pessoa física;</w:t>
      </w:r>
    </w:p>
    <w:p>
      <w:pPr>
        <w:pStyle w:val="Normal"/>
        <w:rPr>
          <w:rFonts w:ascii="Times New Roman" w:hAnsi="Times New Roman" w:eastAsia="Times New Roman" w:cs="Times New Roman"/>
          <w:sz w:val="24"/>
          <w:szCs w:val="24"/>
        </w:rPr>
      </w:pPr>
      <w:r>
        <w:rPr>
          <w:rFonts w:eastAsia="Times New Roman" w:cs="Times New Roman"/>
          <w:sz w:val="24"/>
          <w:szCs w:val="24"/>
        </w:rPr>
        <w:t>13.4.2. comprovante de inscrição no Cadastro Nacional de Pessoas Jurídicas (CNPJ), em se tratando de pessoa jurídica;</w:t>
      </w:r>
    </w:p>
    <w:p>
      <w:pPr>
        <w:pStyle w:val="Normal"/>
        <w:rPr>
          <w:rFonts w:ascii="Times New Roman" w:hAnsi="Times New Roman" w:eastAsia="Times New Roman" w:cs="Times New Roman"/>
          <w:sz w:val="24"/>
          <w:szCs w:val="24"/>
        </w:rPr>
      </w:pPr>
      <w:r>
        <w:rPr>
          <w:rFonts w:eastAsia="Times New Roman" w:cs="Times New Roman"/>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rPr>
          <w:rFonts w:ascii="Times New Roman" w:hAnsi="Times New Roman" w:eastAsia="Times New Roman" w:cs="Times New Roman"/>
          <w:sz w:val="24"/>
          <w:szCs w:val="24"/>
        </w:rPr>
      </w:pPr>
      <w:r>
        <w:rPr>
          <w:rFonts w:eastAsia="Times New Roman" w:cs="Times New Roman"/>
          <w:sz w:val="24"/>
          <w:szCs w:val="24"/>
        </w:rPr>
        <w:t>13.4.4. comprovante de regularidade para com a Fazenda Federal, Estadual e Municipal da sede do participante, e, independentemente da sua sede, para com a Fazenda do Estado do Rio Grande do Sul, na forma da lei;</w:t>
      </w:r>
    </w:p>
    <w:p>
      <w:pPr>
        <w:pStyle w:val="Normal"/>
        <w:rPr>
          <w:rFonts w:ascii="Times New Roman" w:hAnsi="Times New Roman" w:eastAsia="Times New Roman" w:cs="Times New Roman"/>
          <w:sz w:val="24"/>
          <w:szCs w:val="24"/>
        </w:rPr>
      </w:pPr>
      <w:r>
        <w:rPr>
          <w:rFonts w:eastAsia="Times New Roman" w:cs="Times New Roman"/>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rPr>
          <w:rFonts w:ascii="Times New Roman" w:hAnsi="Times New Roman" w:eastAsia="Times New Roman" w:cs="Times New Roman"/>
          <w:sz w:val="24"/>
          <w:szCs w:val="24"/>
        </w:rPr>
      </w:pPr>
      <w:r>
        <w:rPr>
          <w:rFonts w:eastAsia="Times New Roman" w:cs="Times New Roman"/>
          <w:sz w:val="24"/>
          <w:szCs w:val="24"/>
        </w:rPr>
        <w:t>13.4.6. comprovante de inexistência de débitos inadimplidos perante a Justiça do Trabalho, mediante a apresentação de Certidão Negativa de Débitos Trabalhistas (CNDT).</w:t>
      </w:r>
    </w:p>
    <w:p>
      <w:pPr>
        <w:pStyle w:val="Normal"/>
        <w:rPr>
          <w:rFonts w:ascii="Times New Roman" w:hAnsi="Times New Roman" w:eastAsia="Times New Roman" w:cs="Times New Roman"/>
          <w:sz w:val="24"/>
          <w:szCs w:val="24"/>
        </w:rPr>
      </w:pPr>
      <w:r>
        <w:rPr>
          <w:rFonts w:eastAsia="Times New Roman" w:cs="Times New Roman"/>
          <w:sz w:val="24"/>
          <w:szCs w:val="24"/>
        </w:rPr>
        <w:t>13.5. Documentos Complementares para Habilitação:</w:t>
      </w:r>
    </w:p>
    <w:p>
      <w:pPr>
        <w:pStyle w:val="Normal"/>
        <w:rPr>
          <w:rFonts w:ascii="Times New Roman" w:hAnsi="Times New Roman" w:eastAsia="Times New Roman" w:cs="Times New Roman"/>
          <w:sz w:val="24"/>
          <w:szCs w:val="24"/>
        </w:rPr>
      </w:pPr>
      <w:r>
        <w:rPr>
          <w:rFonts w:eastAsia="Times New Roman" w:cs="Times New Roman"/>
          <w:sz w:val="24"/>
          <w:szCs w:val="24"/>
        </w:rPr>
        <w:t>13.5.1. Além dos documentos relacionados nos subitens 13.3e 13.4deste Termo, serão exigidos os seguintes documentos de habilitação:</w:t>
      </w:r>
    </w:p>
    <w:p>
      <w:pPr>
        <w:pStyle w:val="Normal"/>
        <w:rPr>
          <w:rFonts w:ascii="Times New Roman" w:hAnsi="Times New Roman" w:eastAsia="Times New Roman" w:cs="Times New Roman"/>
          <w:sz w:val="24"/>
          <w:szCs w:val="24"/>
        </w:rPr>
      </w:pPr>
      <w:r>
        <w:rPr>
          <w:rFonts w:eastAsia="Times New Roman" w:cs="Times New Roman"/>
          <w:sz w:val="24"/>
          <w:szCs w:val="24"/>
        </w:rPr>
        <w:t>13.5.1.1. previstos no Termo de Referência;</w:t>
      </w:r>
    </w:p>
    <w:p>
      <w:pPr>
        <w:pStyle w:val="Normal"/>
        <w:rPr>
          <w:rFonts w:ascii="Times New Roman" w:hAnsi="Times New Roman" w:eastAsia="Times New Roman" w:cs="Times New Roman"/>
          <w:sz w:val="24"/>
          <w:szCs w:val="24"/>
        </w:rPr>
      </w:pPr>
      <w:r>
        <w:rPr>
          <w:rFonts w:eastAsia="Times New Roman" w:cs="Times New Roman"/>
          <w:sz w:val="24"/>
          <w:szCs w:val="24"/>
        </w:rPr>
        <w:t>13.5.1.2. relacionados no Anexo IV – FOLHA DE DADOS 13.5.1.2;</w:t>
      </w:r>
    </w:p>
    <w:p>
      <w:pPr>
        <w:pStyle w:val="Normal"/>
        <w:rPr>
          <w:rFonts w:ascii="Times New Roman" w:hAnsi="Times New Roman" w:eastAsia="Times New Roman" w:cs="Times New Roman"/>
          <w:sz w:val="24"/>
          <w:szCs w:val="24"/>
        </w:rPr>
      </w:pPr>
      <w:r>
        <w:rPr>
          <w:rFonts w:eastAsia="Times New Roman" w:cs="Times New Roman"/>
          <w:sz w:val="24"/>
          <w:szCs w:val="24"/>
        </w:rPr>
        <w:t>13.5.1.3. relacionados no Anexo IV – FOLHA DE DADOS CGDL 4.1.3, no caso de Consórcio e.</w:t>
      </w:r>
    </w:p>
    <w:p>
      <w:pPr>
        <w:pStyle w:val="Normal"/>
        <w:rPr>
          <w:rFonts w:ascii="Times New Roman" w:hAnsi="Times New Roman" w:eastAsia="Times New Roman" w:cs="Times New Roman"/>
          <w:sz w:val="24"/>
          <w:szCs w:val="24"/>
        </w:rPr>
      </w:pPr>
      <w:r>
        <w:rPr>
          <w:rFonts w:eastAsia="Times New Roman" w:cs="Times New Roman"/>
          <w:sz w:val="24"/>
          <w:szCs w:val="24"/>
        </w:rPr>
        <w:t>13.5.1.4. relacionados no Anexo IV – FOLHA DE DADOS CGDL 4.1.4 no caso de Cooperativa de Trabalho.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13.6. Sob pena de inabilitação, os documentos encaminhados deverão estar em nome da participante, com indicação do número de inscrição no CNPJ/CPF.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13.7. Todos os documentos emitidos em língua estrangeira deverão ser entregues acompanhados da tradução para língua portuguesa. </w:t>
      </w:r>
    </w:p>
    <w:p>
      <w:pPr>
        <w:pStyle w:val="Normal"/>
        <w:rPr>
          <w:rFonts w:ascii="Times New Roman" w:hAnsi="Times New Roman" w:eastAsia="Times New Roman" w:cs="Times New Roman"/>
          <w:sz w:val="24"/>
          <w:szCs w:val="24"/>
        </w:rPr>
      </w:pPr>
      <w:r>
        <w:rPr>
          <w:rFonts w:eastAsia="Times New Roman" w:cs="Times New Roman"/>
          <w:sz w:val="24"/>
          <w:szCs w:val="24"/>
        </w:rPr>
        <w:t>13.8. Tratando-se de filial, os documentos de habilitação deverão estar em nome da filial, exceto aqueles que, pela própria natureza, são emitidos somente em nome da matriz.</w:t>
      </w:r>
    </w:p>
    <w:p>
      <w:pPr>
        <w:pStyle w:val="Normal"/>
        <w:rPr>
          <w:rFonts w:ascii="Times New Roman" w:hAnsi="Times New Roman" w:eastAsia="Times New Roman" w:cs="Times New Roman"/>
          <w:sz w:val="24"/>
          <w:szCs w:val="24"/>
        </w:rPr>
      </w:pPr>
      <w:r>
        <w:rPr>
          <w:rFonts w:eastAsia="Times New Roman" w:cs="Times New Roman"/>
          <w:sz w:val="24"/>
          <w:szCs w:val="24"/>
        </w:rPr>
        <w:t>13.9. Os documentos referentes à habilitação do participante deverão estar válidos no dia de abertura da sessão pública.</w:t>
      </w:r>
    </w:p>
    <w:p>
      <w:pPr>
        <w:pStyle w:val="Normal"/>
        <w:rPr>
          <w:rFonts w:ascii="Times New Roman" w:hAnsi="Times New Roman" w:eastAsia="Times New Roman" w:cs="Times New Roman"/>
          <w:sz w:val="24"/>
          <w:szCs w:val="24"/>
        </w:rPr>
      </w:pPr>
      <w:r>
        <w:rPr>
          <w:rFonts w:eastAsia="Times New Roman" w:cs="Times New Roman"/>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rPr>
          <w:rFonts w:ascii="Times New Roman" w:hAnsi="Times New Roman" w:eastAsia="Times New Roman" w:cs="Times New Roman"/>
          <w:sz w:val="24"/>
          <w:szCs w:val="24"/>
        </w:rPr>
      </w:pPr>
      <w:r>
        <w:rPr>
          <w:rFonts w:eastAsia="Times New Roman" w:cs="Times New Roman"/>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13.10. As certidões exigidas que não tenham prazo de validade expresso em seu corpo ter-se-ão como válidas pelo período de 180 (cento e oitenta) dias, a contar da sua emissão.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13.11. Caso seja apresentado o Certificado de Fornecedor do Estado, emitido pela Central de Licitações do Estado do Rio Grande do Sul – CELIC para a família informada no Anexo IV - FOLHA DE DADOS (CGDL 13.11), e acompanhado do respectivo anexo, este substituirá apenas os documentos que contemple, desde que estejam vigentes. </w:t>
      </w:r>
    </w:p>
    <w:p>
      <w:pPr>
        <w:pStyle w:val="Normal"/>
        <w:rPr>
          <w:rFonts w:ascii="Times New Roman" w:hAnsi="Times New Roman" w:eastAsia="Times New Roman" w:cs="Times New Roman"/>
          <w:sz w:val="24"/>
          <w:szCs w:val="24"/>
        </w:rPr>
      </w:pPr>
      <w:r>
        <w:rPr>
          <w:rFonts w:eastAsia="Times New Roman" w:cs="Times New Roman"/>
          <w:sz w:val="24"/>
          <w:szCs w:val="24"/>
        </w:rPr>
        <w:t>13.12. Todos os documentos em que se exija assinatura devem ser assinados digitalmente ou firmados e digitalizados antes de sua remessa via sistema.</w:t>
      </w:r>
    </w:p>
    <w:p>
      <w:pPr>
        <w:pStyle w:val="Normal"/>
        <w:rPr>
          <w:rFonts w:ascii="Times New Roman" w:hAnsi="Times New Roman" w:eastAsia="Times New Roman" w:cs="Times New Roman"/>
          <w:sz w:val="24"/>
          <w:szCs w:val="24"/>
        </w:rPr>
      </w:pPr>
      <w:r>
        <w:rPr>
          <w:rFonts w:eastAsia="Times New Roman" w:cs="Times New Roman"/>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13.14. Quando da apreciação dos documentos para habilitação, o agente de contratação procederá ao que segue: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13.14.1. se os documentos para habilitação não estiverem completos e corretos, ou contrariarem qualquer dispositivo deste Termo, considerando o disposto no subitem 24.4 deste Termo, o agente de contratação considerará o participante inabilitado;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do Termo. </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14. DOS PEDIDOS DE ESCLARECIMENTOS, IMPUGNAÇÕES E RECURSOS</w:t>
      </w:r>
    </w:p>
    <w:p>
      <w:pPr>
        <w:pStyle w:val="Normal"/>
        <w:rPr>
          <w:rFonts w:ascii="Times New Roman" w:hAnsi="Times New Roman" w:eastAsia="Times New Roman" w:cs="Times New Roman"/>
          <w:sz w:val="24"/>
          <w:szCs w:val="24"/>
        </w:rPr>
      </w:pPr>
      <w:r>
        <w:rPr>
          <w:rFonts w:eastAsia="Times New Roman" w:cs="Times New Roman"/>
          <w:sz w:val="24"/>
          <w:szCs w:val="24"/>
        </w:rPr>
        <w:t>14.1. Qualquer pessoa é parte legítima para impugnar o Termo ou para solicitar esclarecimento sobre os seus termos, devendo protocolar o pedido até 02 (dois) dias úteis antes da data de abertura do certame, conforme indicado no Anexo IV – FOLHA DE DADOS (CGDL 2.1).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pPr>
        <w:pStyle w:val="Normal"/>
        <w:rPr>
          <w:rFonts w:ascii="Times New Roman" w:hAnsi="Times New Roman" w:eastAsia="Times New Roman" w:cs="Times New Roman"/>
          <w:sz w:val="24"/>
          <w:szCs w:val="24"/>
        </w:rPr>
      </w:pPr>
      <w:r>
        <w:rPr>
          <w:rFonts w:eastAsia="Times New Roman" w:cs="Times New Roman"/>
          <w:sz w:val="24"/>
          <w:szCs w:val="24"/>
        </w:rPr>
        <w:t>14.1.2. Acolhida a impugnação, será definida e publicada nova data para realização do certame, quando da resposta resultar alteração que interfira na elaboração da proposta.</w:t>
      </w:r>
    </w:p>
    <w:p>
      <w:pPr>
        <w:pStyle w:val="Normal"/>
        <w:rPr>
          <w:rFonts w:ascii="Times New Roman" w:hAnsi="Times New Roman" w:eastAsia="Times New Roman" w:cs="Times New Roman"/>
          <w:sz w:val="24"/>
          <w:szCs w:val="24"/>
        </w:rPr>
      </w:pPr>
      <w:r>
        <w:rPr>
          <w:rFonts w:eastAsia="Times New Roman" w:cs="Times New Roman"/>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pPr>
        <w:pStyle w:val="Normal"/>
        <w:rPr>
          <w:rFonts w:ascii="Times New Roman" w:hAnsi="Times New Roman" w:eastAsia="Times New Roman" w:cs="Times New Roman"/>
          <w:sz w:val="24"/>
          <w:szCs w:val="24"/>
        </w:rPr>
      </w:pPr>
      <w:r>
        <w:rPr>
          <w:rFonts w:eastAsia="Times New Roman" w:cs="Times New Roman"/>
          <w:sz w:val="24"/>
          <w:szCs w:val="24"/>
        </w:rPr>
        <w:t>14.2.1. A falta de manifestação acerca da intenção de recorrer, nos termos previstos neste Termo, importará a decadência desse direito.</w:t>
      </w:r>
    </w:p>
    <w:p>
      <w:pPr>
        <w:pStyle w:val="Normal"/>
        <w:rPr>
          <w:rFonts w:ascii="Times New Roman" w:hAnsi="Times New Roman" w:eastAsia="Times New Roman" w:cs="Times New Roman"/>
          <w:sz w:val="24"/>
          <w:szCs w:val="24"/>
        </w:rPr>
      </w:pPr>
      <w:r>
        <w:rPr>
          <w:rFonts w:eastAsia="Times New Roman" w:cs="Times New Roman"/>
          <w:sz w:val="24"/>
          <w:szCs w:val="24"/>
        </w:rPr>
        <w:t>14.2.2. Será concedido o prazo de 3 (três) dias úteis, contados da intenção de recorrer, para o participante interessado apresentar suas razões fundamentadas, exclusivamente via sistema em que foi realizada a disputa – Anexo IV – FOLHA DE DADOS (CGDL 2.2), ficando os demais participantes, desde logo, intimados para, querendo, apresentar contrarrazões em igual prazo, que começará a contar do término do prazo do recorrente, sendo-lhes assegurada vista imediata dos elementos indispensáveis à defesa dos seus interesses.</w:t>
      </w:r>
    </w:p>
    <w:p>
      <w:pPr>
        <w:pStyle w:val="Normal"/>
        <w:rPr>
          <w:rFonts w:ascii="Times New Roman" w:hAnsi="Times New Roman" w:eastAsia="Times New Roman" w:cs="Times New Roman"/>
          <w:sz w:val="24"/>
          <w:szCs w:val="24"/>
        </w:rPr>
      </w:pPr>
      <w:r>
        <w:rPr>
          <w:rFonts w:eastAsia="Times New Roman" w:cs="Times New Roman"/>
          <w:sz w:val="24"/>
          <w:szCs w:val="24"/>
        </w:rPr>
        <w:t>14.3. Caberá ao agente de contratação receber, examinar e decidir os recursos, no prazo de 3 (três) dias úteis, encaminhando à autoridade competente, devidamente informados, quando mantiver a sua decisão.</w:t>
      </w:r>
    </w:p>
    <w:p>
      <w:pPr>
        <w:pStyle w:val="Normal"/>
        <w:rPr>
          <w:rFonts w:ascii="Times New Roman" w:hAnsi="Times New Roman" w:eastAsia="Times New Roman" w:cs="Times New Roman"/>
          <w:sz w:val="24"/>
          <w:szCs w:val="24"/>
        </w:rPr>
      </w:pPr>
      <w:r>
        <w:rPr>
          <w:rFonts w:eastAsia="Times New Roman" w:cs="Times New Roman"/>
          <w:sz w:val="24"/>
          <w:szCs w:val="24"/>
        </w:rPr>
        <w:t>14.3.1. A autoridade competente deverá proferir a sua decisão no prazo de 10 (dez) dias úteis, contados a partir do recebimento dos autos.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14.3.2. O recurso será conhecido pelo agente de contratação, se for tempestivo, se estiver de acordo com as condições deste Termo e se atender às demais condições para a sua admissibilidade. </w:t>
      </w:r>
    </w:p>
    <w:p>
      <w:pPr>
        <w:pStyle w:val="Normal"/>
        <w:rPr>
          <w:rFonts w:ascii="Times New Roman" w:hAnsi="Times New Roman" w:eastAsia="Times New Roman" w:cs="Times New Roman"/>
          <w:sz w:val="24"/>
          <w:szCs w:val="24"/>
        </w:rPr>
      </w:pPr>
      <w:r>
        <w:rPr>
          <w:rFonts w:eastAsia="Times New Roman" w:cs="Times New Roman"/>
          <w:sz w:val="24"/>
          <w:szCs w:val="24"/>
        </w:rPr>
        <w:t>14.3.3. O acolhimento de recurso implicará invalidação apenas dos atos insuscetíveis de aproveitamento.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15. DA ADJUDICAÇÃO E DA HOMOLOGAÇÃO</w:t>
      </w:r>
    </w:p>
    <w:p>
      <w:pPr>
        <w:pStyle w:val="Normal"/>
        <w:rPr>
          <w:rFonts w:ascii="Times New Roman" w:hAnsi="Times New Roman" w:eastAsia="Times New Roman" w:cs="Times New Roman"/>
          <w:sz w:val="24"/>
          <w:szCs w:val="24"/>
        </w:rPr>
      </w:pPr>
      <w:r>
        <w:rPr>
          <w:rFonts w:eastAsia="Times New Roman" w:cs="Times New Roman"/>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15.2. Constatada a regularidade dos atos praticados, a autoridade competente homologará o procedimento. </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16. DO TERMO DE CONTRATO</w:t>
      </w:r>
    </w:p>
    <w:p>
      <w:pPr>
        <w:pStyle w:val="Normal"/>
        <w:rPr>
          <w:rFonts w:ascii="Times New Roman" w:hAnsi="Times New Roman" w:eastAsia="Times New Roman" w:cs="Times New Roman"/>
          <w:sz w:val="24"/>
          <w:szCs w:val="24"/>
        </w:rPr>
      </w:pPr>
      <w:r>
        <w:rPr>
          <w:rFonts w:eastAsia="Times New Roman" w:cs="Times New Roman"/>
          <w:sz w:val="24"/>
          <w:szCs w:val="24"/>
        </w:rPr>
        <w:t>16.1. O adjudicatário terá o prazo previsto no Anexo IV – FOLHA DE DADOS (CGDL 16.1), após formalmente convocado, para assinar o contrato.</w:t>
      </w:r>
    </w:p>
    <w:p>
      <w:pPr>
        <w:pStyle w:val="Normal"/>
        <w:rPr>
          <w:rFonts w:ascii="Times New Roman" w:hAnsi="Times New Roman" w:eastAsia="Times New Roman" w:cs="Times New Roman"/>
          <w:sz w:val="24"/>
          <w:szCs w:val="24"/>
        </w:rPr>
      </w:pPr>
      <w:r>
        <w:rPr>
          <w:rFonts w:eastAsia="Times New Roman" w:cs="Times New Roman"/>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rPr>
          <w:rFonts w:ascii="Times New Roman" w:hAnsi="Times New Roman" w:eastAsia="Times New Roman" w:cs="Times New Roman"/>
          <w:sz w:val="24"/>
          <w:szCs w:val="24"/>
        </w:rPr>
      </w:pPr>
      <w:r>
        <w:rPr>
          <w:rFonts w:eastAsia="Times New Roman" w:cs="Times New Roman"/>
          <w:sz w:val="24"/>
          <w:szCs w:val="24"/>
        </w:rPr>
        <w:t>16.3. O prazo previsto no subitem16.1 poderá ser prorrogado, por igual período, por necessidade da Administração, ou por solicitação justificada do adjudicatário e aceita pela Administração.</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16.4. O prazo de vigência do contrato será o previsto no </w:t>
      </w:r>
      <w:r>
        <w:rPr>
          <w:rFonts w:eastAsia="Times New Roman" w:cs="Times New Roman"/>
          <w:b/>
          <w:bCs/>
          <w:sz w:val="24"/>
          <w:szCs w:val="24"/>
        </w:rPr>
        <w:t>Anexo IV – FOLHA DE DADOS (CGDL 16.4).</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16.5. O(s) local (ais) de execução do(s) serviço(s) será (ao) o(s) previsto(s) no Anexo IV – </w:t>
      </w:r>
      <w:r>
        <w:rPr>
          <w:rFonts w:eastAsia="Times New Roman" w:cs="Times New Roman"/>
          <w:b/>
          <w:bCs/>
          <w:sz w:val="24"/>
          <w:szCs w:val="24"/>
        </w:rPr>
        <w:t>FOLHA DE DADOS (CGDL 16.5), quando couber.</w:t>
      </w:r>
    </w:p>
    <w:p>
      <w:pPr>
        <w:pStyle w:val="Normal"/>
        <w:rPr>
          <w:rFonts w:ascii="Times New Roman" w:hAnsi="Times New Roman" w:eastAsia="Times New Roman" w:cs="Times New Roman"/>
          <w:sz w:val="24"/>
          <w:szCs w:val="24"/>
        </w:rPr>
      </w:pPr>
      <w:r>
        <w:rPr>
          <w:rFonts w:eastAsia="Times New Roman" w:cs="Times New Roman"/>
          <w:sz w:val="24"/>
          <w:szCs w:val="24"/>
        </w:rPr>
        <w:t>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Normal"/>
        <w:rPr>
          <w:rFonts w:ascii="Times New Roman" w:hAnsi="Times New Roman" w:eastAsia="Times New Roman" w:cs="Times New Roman"/>
          <w:sz w:val="24"/>
          <w:szCs w:val="24"/>
        </w:rPr>
      </w:pPr>
      <w:r>
        <w:rPr>
          <w:rFonts w:eastAsia="Times New Roman" w:cs="Times New Roman"/>
          <w:sz w:val="24"/>
          <w:szCs w:val="24"/>
        </w:rPr>
        <w:t>16.7.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Normal"/>
        <w:rPr>
          <w:rFonts w:ascii="Times New Roman" w:hAnsi="Times New Roman" w:eastAsia="Times New Roman" w:cs="Times New Roman"/>
          <w:sz w:val="24"/>
          <w:szCs w:val="24"/>
        </w:rPr>
      </w:pPr>
      <w:r>
        <w:rPr>
          <w:rFonts w:eastAsia="Times New Roman" w:cs="Times New Roman"/>
          <w:sz w:val="24"/>
          <w:szCs w:val="24"/>
        </w:rPr>
        <w:t>16.7.1. Caso o adjudicatário não assine o contrato, proceder-se-á à análise dos requisitos de habilitação dos participantes remanescentes.</w:t>
      </w:r>
    </w:p>
    <w:p>
      <w:pPr>
        <w:pStyle w:val="Normal"/>
        <w:rPr>
          <w:rFonts w:ascii="Times New Roman" w:hAnsi="Times New Roman" w:eastAsia="Times New Roman" w:cs="Times New Roman"/>
          <w:sz w:val="24"/>
          <w:szCs w:val="24"/>
        </w:rPr>
      </w:pPr>
      <w:r>
        <w:rPr>
          <w:rFonts w:eastAsia="Times New Roman" w:cs="Times New Roman"/>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rPr>
          <w:rFonts w:ascii="Times New Roman" w:hAnsi="Times New Roman" w:eastAsia="Times New Roman" w:cs="Times New Roman"/>
          <w:sz w:val="24"/>
          <w:szCs w:val="24"/>
        </w:rPr>
      </w:pPr>
      <w:r>
        <w:rPr>
          <w:rFonts w:eastAsia="Times New Roman" w:cs="Times New Roman"/>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rPr>
          <w:rFonts w:ascii="Times New Roman" w:hAnsi="Times New Roman" w:eastAsia="Times New Roman" w:cs="Times New Roman"/>
          <w:sz w:val="24"/>
          <w:szCs w:val="24"/>
        </w:rPr>
      </w:pPr>
      <w:r>
        <w:rPr>
          <w:rFonts w:eastAsia="Times New Roman" w:cs="Times New Roman"/>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16.11. Em qualquer hipótese de convocação de remanescente, proceder-se-á à análise dos requisitos de sua habilitação, conforme item 13 deste Termo. </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16.12. O gestor, os fiscais técnicos e fiscais administrativos do contrato estão indicados no Anexo </w:t>
      </w:r>
      <w:r>
        <w:rPr>
          <w:rFonts w:eastAsia="Times New Roman" w:cs="Times New Roman"/>
          <w:b/>
          <w:bCs/>
          <w:sz w:val="24"/>
          <w:szCs w:val="24"/>
        </w:rPr>
        <w:t>IV – FOLHA DE DADOS (CGDL 16.12).</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suppressLineNumbers w:val="0"/>
        <w:bidi w:val="0"/>
        <w:spacing w:lineRule="auto" w:line="360" w:beforeAutospacing="0" w:before="0" w:afterAutospacing="0" w:after="0"/>
        <w:ind w:left="0" w:right="0"/>
        <w:jc w:val="both"/>
        <w:rPr>
          <w:rFonts w:ascii="Times New Roman" w:hAnsi="Times New Roman" w:eastAsia="Times New Roman" w:cs="Times New Roman"/>
          <w:b/>
          <w:bCs/>
          <w:sz w:val="24"/>
          <w:szCs w:val="24"/>
        </w:rPr>
      </w:pPr>
      <w:r>
        <w:rPr>
          <w:rFonts w:eastAsia="Times New Roman" w:cs="Times New Roman"/>
          <w:b/>
          <w:bCs/>
          <w:sz w:val="24"/>
          <w:szCs w:val="24"/>
        </w:rPr>
        <w:t>17. DO PAGAMENTO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sz w:val="24"/>
          <w:szCs w:val="24"/>
        </w:rPr>
        <w:t>1</w:t>
      </w:r>
      <w:r>
        <w:rPr>
          <w:rFonts w:eastAsia="Times New Roman" w:cs="Times New Roman"/>
          <w:b w:val="false"/>
          <w:bCs w:val="false"/>
          <w:i w:val="false"/>
          <w:iCs w:val="false"/>
          <w:caps w:val="false"/>
          <w:smallCaps w:val="false"/>
          <w:color w:themeColor="text1" w:val="000000"/>
          <w:sz w:val="24"/>
          <w:szCs w:val="24"/>
          <w:lang w:val="pt-BR"/>
        </w:rPr>
        <w:t xml:space="preserve">7.1. As condições para pagamento são as previstas no </w:t>
      </w:r>
      <w:r>
        <w:rPr>
          <w:rFonts w:eastAsia="Times New Roman" w:cs="Times New Roman"/>
          <w:b/>
          <w:bCs/>
          <w:i w:val="false"/>
          <w:iCs w:val="false"/>
          <w:caps w:val="false"/>
          <w:smallCaps w:val="false"/>
          <w:color w:themeColor="text1" w:val="000000"/>
          <w:sz w:val="24"/>
          <w:szCs w:val="24"/>
          <w:lang w:val="pt-BR"/>
        </w:rPr>
        <w:t>ANEXO IV – FOLHA DE DADOS (CGDL 17.1)</w:t>
      </w:r>
      <w:r>
        <w:rPr>
          <w:rFonts w:eastAsia="Times New Roman" w:cs="Times New Roman"/>
          <w:b w:val="false"/>
          <w:bCs w:val="false"/>
          <w:i w:val="false"/>
          <w:iCs w:val="false"/>
          <w:caps w:val="false"/>
          <w:smallCaps w:val="false"/>
          <w:color w:themeColor="text1" w:val="000000"/>
          <w:sz w:val="24"/>
          <w:szCs w:val="24"/>
          <w:lang w:val="pt-BR"/>
        </w:rPr>
        <w:t>.</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Heading5"/>
        <w:keepNext w:val="true"/>
        <w:spacing w:lineRule="auto" w:line="240" w:before="120" w:after="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ascii="Times New Roman" w:hAnsi="Times New Roman"/>
          <w:b/>
          <w:bCs/>
          <w:i w:val="false"/>
          <w:iCs w:val="false"/>
          <w:caps w:val="false"/>
          <w:smallCaps w:val="false"/>
          <w:color w:themeColor="text1" w:val="000000"/>
          <w:sz w:val="24"/>
          <w:szCs w:val="24"/>
          <w:lang w:val="pt-BR"/>
        </w:rPr>
        <w:t xml:space="preserve">18. DO REAJUSTE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18.1. O contrato será reajustado conforme disposto na cláusula oitava do Termo de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Heading5"/>
        <w:keepNext w:val="true"/>
        <w:spacing w:lineRule="auto" w:line="240" w:before="120" w:after="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ascii="Times New Roman" w:hAnsi="Times New Roman"/>
          <w:b/>
          <w:bCs/>
          <w:i w:val="false"/>
          <w:iCs w:val="false"/>
          <w:caps w:val="false"/>
          <w:smallCaps w:val="false"/>
          <w:color w:themeColor="text1" w:val="000000"/>
          <w:sz w:val="24"/>
          <w:szCs w:val="24"/>
          <w:lang w:val="pt-BR"/>
        </w:rPr>
        <w:t xml:space="preserve">19. DA FONTE DE RECURSOS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19.1. As despesas decorrentes do contrato objeto desta licitação correrão por conta de recurso orçamentário previsto no </w:t>
      </w:r>
      <w:r>
        <w:rPr>
          <w:rFonts w:eastAsia="Times New Roman" w:cs="Times New Roman"/>
          <w:b/>
          <w:bCs/>
          <w:i w:val="false"/>
          <w:iCs w:val="false"/>
          <w:caps w:val="false"/>
          <w:smallCaps w:val="false"/>
          <w:color w:themeColor="text1" w:val="000000"/>
          <w:sz w:val="24"/>
          <w:szCs w:val="24"/>
          <w:lang w:val="pt-BR"/>
        </w:rPr>
        <w:t>ANEXO IV – FOLHA DE DADOS (CGDL 19.1).</w:t>
      </w:r>
    </w:p>
    <w:p>
      <w:pPr>
        <w:pStyle w:val="Normal"/>
        <w:keepNext w:val="true"/>
        <w:spacing w:lineRule="auto" w:line="240" w:before="120" w:after="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b/>
          <w:bCs/>
          <w:i w:val="false"/>
          <w:iCs w:val="false"/>
          <w:caps w:val="false"/>
          <w:smallCaps w:val="false"/>
          <w:color w:themeColor="text1" w:val="000000"/>
          <w:sz w:val="24"/>
          <w:szCs w:val="24"/>
          <w:lang w:val="pt-BR"/>
        </w:rPr>
      </w:r>
    </w:p>
    <w:p>
      <w:pPr>
        <w:pStyle w:val="Heading5"/>
        <w:keepNext w:val="true"/>
        <w:spacing w:lineRule="auto" w:line="240" w:before="120" w:after="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ascii="Times New Roman" w:hAnsi="Times New Roman"/>
          <w:b/>
          <w:bCs/>
          <w:i w:val="false"/>
          <w:iCs w:val="false"/>
          <w:caps w:val="false"/>
          <w:smallCaps w:val="false"/>
          <w:color w:themeColor="text1" w:val="000000"/>
          <w:sz w:val="24"/>
          <w:szCs w:val="24"/>
          <w:lang w:val="pt-BR"/>
        </w:rPr>
        <w:t>20. DAS OBRIGAÇÕES DO ADJUDICATÁRIO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20.1. O adjudicatário deverá atender às obrigações previstas na Cláusula Décima da Minuta de Contrato e as demais obrigações específicas ao objeto contratual estabelecidas no </w:t>
      </w:r>
      <w:r>
        <w:rPr>
          <w:rFonts w:eastAsia="Times New Roman" w:cs="Times New Roman"/>
          <w:b/>
          <w:bCs/>
          <w:i w:val="false"/>
          <w:iCs w:val="false"/>
          <w:caps w:val="false"/>
          <w:smallCaps w:val="false"/>
          <w:color w:themeColor="text1" w:val="000000"/>
          <w:sz w:val="24"/>
          <w:szCs w:val="24"/>
          <w:lang w:val="pt-BR"/>
        </w:rPr>
        <w:t>ANEXO IV – FOLHA DE DADOS (CGDL</w:t>
      </w:r>
      <w:r>
        <w:rPr>
          <w:rFonts w:eastAsia="Times New Roman" w:cs="Times New Roman"/>
          <w:b w:val="false"/>
          <w:bCs w:val="false"/>
          <w:i w:val="false"/>
          <w:iCs w:val="false"/>
          <w:caps w:val="false"/>
          <w:smallCaps w:val="false"/>
          <w:color w:themeColor="text1" w:val="000000"/>
          <w:sz w:val="24"/>
          <w:szCs w:val="24"/>
          <w:lang w:val="pt-BR"/>
        </w:rPr>
        <w:t xml:space="preserve"> </w:t>
      </w:r>
      <w:r>
        <w:rPr>
          <w:rFonts w:eastAsia="Times New Roman" w:cs="Times New Roman"/>
          <w:b/>
          <w:bCs/>
          <w:i w:val="false"/>
          <w:iCs w:val="false"/>
          <w:caps w:val="false"/>
          <w:smallCaps w:val="false"/>
          <w:color w:themeColor="text1" w:val="000000"/>
          <w:sz w:val="24"/>
          <w:szCs w:val="24"/>
          <w:lang w:val="pt-BR"/>
        </w:rPr>
        <w:t>20.1)</w:t>
      </w:r>
      <w:r>
        <w:rPr>
          <w:rFonts w:eastAsia="Times New Roman" w:cs="Times New Roman"/>
          <w:b w:val="false"/>
          <w:bCs w:val="false"/>
          <w:i w:val="false"/>
          <w:iCs w:val="false"/>
          <w:caps w:val="false"/>
          <w:smallCaps w:val="false"/>
          <w:color w:themeColor="text1" w:val="000000"/>
          <w:sz w:val="24"/>
          <w:szCs w:val="24"/>
          <w:lang w:val="pt-BR"/>
        </w:rPr>
        <w:t>.</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Heading5"/>
        <w:keepNext w:val="true"/>
        <w:spacing w:lineRule="auto" w:line="240" w:before="120" w:after="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ascii="Times New Roman" w:hAnsi="Times New Roman"/>
          <w:b/>
          <w:bCs/>
          <w:i w:val="false"/>
          <w:iCs w:val="false"/>
          <w:caps w:val="false"/>
          <w:smallCaps w:val="false"/>
          <w:color w:themeColor="text1" w:val="000000"/>
          <w:sz w:val="24"/>
          <w:szCs w:val="24"/>
          <w:lang w:val="pt-BR"/>
        </w:rPr>
        <w:t>21. DA GARANTIA DE EXECUÇÃO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21.1. A garantia será prestada conforme disposto no </w:t>
      </w:r>
      <w:r>
        <w:rPr>
          <w:rFonts w:eastAsia="Times New Roman" w:cs="Times New Roman"/>
          <w:b/>
          <w:bCs/>
          <w:i w:val="false"/>
          <w:iCs w:val="false"/>
          <w:caps w:val="false"/>
          <w:smallCaps w:val="false"/>
          <w:color w:themeColor="text1" w:val="000000"/>
          <w:sz w:val="24"/>
          <w:szCs w:val="24"/>
          <w:lang w:val="pt-BR"/>
        </w:rPr>
        <w:t>ANEXO IV – FOLHA DE DADOS (CGDL 21.1)</w:t>
      </w:r>
      <w:r>
        <w:rPr>
          <w:rFonts w:eastAsia="Times New Roman" w:cs="Times New Roman"/>
          <w:b w:val="false"/>
          <w:bCs w:val="false"/>
          <w:i w:val="false"/>
          <w:iCs w:val="false"/>
          <w:caps w:val="false"/>
          <w:smallCaps w:val="false"/>
          <w:color w:themeColor="text1" w:val="000000"/>
          <w:sz w:val="24"/>
          <w:szCs w:val="24"/>
          <w:lang w:val="pt-BR"/>
        </w:rPr>
        <w:t xml:space="preserve">.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21.2. Caso não seja observado o prazo fixado para apresentação da garantia, aplicar-se-á o disposto no subitem 22.4.6. </w:t>
      </w:r>
    </w:p>
    <w:p>
      <w:pPr>
        <w:pStyle w:val="Normal"/>
        <w:spacing w:beforeAutospacing="0" w:before="240" w:afterAutospacing="0" w:after="240"/>
        <w:rPr>
          <w:rFonts w:ascii="Times New Roman" w:hAnsi="Times New Roman" w:eastAsia="Times New Roman" w:cs="Times New Roman"/>
          <w:b/>
          <w:bCs/>
          <w:sz w:val="24"/>
          <w:szCs w:val="24"/>
        </w:rPr>
      </w:pPr>
      <w:r>
        <w:rPr>
          <w:rFonts w:eastAsia="Times New Roman" w:cs="Times New Roman"/>
          <w:b/>
          <w:bCs/>
          <w:sz w:val="24"/>
          <w:szCs w:val="24"/>
        </w:rPr>
        <w:t>23. DAS INFRAÇÕES E SANÇÕES ADMINISTRATIVAS</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bCs/>
          <w:sz w:val="24"/>
          <w:szCs w:val="24"/>
        </w:rPr>
        <w:t>23.1. Das Infrações Administrativas</w:t>
      </w:r>
      <w:r>
        <w:rPr>
          <w:rFonts w:eastAsia="Times New Roman" w:cs="Times New Roman"/>
          <w:b w:val="false"/>
          <w:bCs w:val="false"/>
          <w:i w:val="false"/>
          <w:iCs w:val="false"/>
          <w:caps w:val="false"/>
          <w:smallCaps w:val="false"/>
          <w:color w:themeColor="text1" w:val="000000"/>
          <w:sz w:val="24"/>
          <w:szCs w:val="24"/>
          <w:lang w:val="pt-BR"/>
        </w:rPr>
        <w:t xml:space="preserve"> 22.1.1. Comete infração administrativa, nos termos da Lei Federal nº 14.133/2021, o participante ou o contratado que: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22.1.1.1. der causa à inexecução parcial do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22.1.1.2. der causa à inexecução parcial do contrato que cause grave dano à Administração, ao funcionamento dos serviços públicos ou ao interesse coletivo;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22.1.1.3. der causa à inexecução total do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22.1.1.4. deixar de entregar a documentação exigida para o certame;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22.1.1.5. não mantenha a proposta, salvo em decorrência de fato superveniente devidamente justificado;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22.1.1.6. não celebre o contrato ou não entregue a documentação exigida para a contratação, quando convocado dentro do prazo de validade de sua proposta;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22.1.1.7. enseje o retardamento da execução ou da entrega do objeto da licitação, sem motivo justificado;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22.1.1.8. apresente declaração ou documentação falsa exigida para o certame ou preste declaração falsa durante a licitação ou a execução do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22.1.1.9. fraude a licitação ou pratique ato fraudulento na execução do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22.1.1.10. comporte-se de modo inidôneo ou cometa fraude de qualquer natureza;</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22.1.1.11. pratique atos ilícitos com vistas a frustrar os objetivos da licitação;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22.1.1.12. pratique ato lesivo previsto no art. 5º da Lei nº 12.846, de 1º de agosto de 2013.</w:t>
      </w:r>
    </w:p>
    <w:p>
      <w:pPr>
        <w:pStyle w:val="Normal"/>
        <w:rPr>
          <w:rFonts w:ascii="Times New Roman" w:hAnsi="Times New Roman" w:eastAsia="Times New Roman" w:cs="Times New Roman"/>
          <w:b/>
          <w:bCs/>
          <w:sz w:val="24"/>
          <w:szCs w:val="24"/>
        </w:rPr>
      </w:pPr>
      <w:r>
        <w:rPr>
          <w:rFonts w:eastAsia="Times New Roman" w:cs="Times New Roman"/>
          <w:sz w:val="24"/>
          <w:szCs w:val="24"/>
        </w:rPr>
        <w:t xml:space="preserve">23.2. </w:t>
      </w:r>
      <w:r>
        <w:rPr>
          <w:rFonts w:eastAsia="Times New Roman" w:cs="Times New Roman"/>
          <w:b/>
          <w:bCs/>
          <w:sz w:val="24"/>
          <w:szCs w:val="24"/>
        </w:rPr>
        <w:t>Do Processo Administrativo e das Sanções Administrativas</w:t>
      </w:r>
    </w:p>
    <w:p>
      <w:pPr>
        <w:pStyle w:val="Normal"/>
        <w:rPr>
          <w:rFonts w:ascii="Times New Roman" w:hAnsi="Times New Roman" w:eastAsia="Times New Roman" w:cs="Times New Roman"/>
          <w:sz w:val="24"/>
          <w:szCs w:val="24"/>
        </w:rPr>
      </w:pPr>
      <w:r>
        <w:rPr>
          <w:rFonts w:eastAsia="Times New Roman" w:cs="Times New Roman"/>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23.2.2. Serão aplicadas ao responsável pelas infrações administrativas, de acordo com a dosimetria estabelecida na norma indicada no Anexo IV – FOLHA DE DADOS (CGDL 23.2.2), as seguintes sanções: </w:t>
      </w:r>
    </w:p>
    <w:p>
      <w:pPr>
        <w:pStyle w:val="Normal"/>
        <w:rPr>
          <w:rFonts w:ascii="Times New Roman" w:hAnsi="Times New Roman" w:eastAsia="Times New Roman" w:cs="Times New Roman"/>
          <w:sz w:val="24"/>
          <w:szCs w:val="24"/>
        </w:rPr>
      </w:pPr>
      <w:r>
        <w:rPr>
          <w:rFonts w:eastAsia="Times New Roman" w:cs="Times New Roman"/>
          <w:sz w:val="24"/>
          <w:szCs w:val="24"/>
        </w:rPr>
        <w:t>23.2.2.1. advertência, para a infração prevista no subitem 23.1.1.1, quando não se justificar a imposição de penalidade mais grave;</w:t>
      </w:r>
    </w:p>
    <w:p>
      <w:pPr>
        <w:pStyle w:val="Normal"/>
        <w:rPr>
          <w:rFonts w:ascii="Times New Roman" w:hAnsi="Times New Roman" w:eastAsia="Times New Roman" w:cs="Times New Roman"/>
          <w:sz w:val="24"/>
          <w:szCs w:val="24"/>
        </w:rPr>
      </w:pPr>
      <w:r>
        <w:rPr>
          <w:rFonts w:eastAsia="Times New Roman" w:cs="Times New Roman"/>
          <w:sz w:val="24"/>
          <w:szCs w:val="24"/>
        </w:rPr>
        <w:t>23.2.2.2. multa, nas modalidades:</w:t>
      </w:r>
    </w:p>
    <w:p>
      <w:pPr>
        <w:pStyle w:val="Normal"/>
        <w:rPr>
          <w:rFonts w:ascii="Times New Roman" w:hAnsi="Times New Roman" w:eastAsia="Times New Roman" w:cs="Times New Roman"/>
          <w:sz w:val="24"/>
          <w:szCs w:val="24"/>
        </w:rPr>
      </w:pPr>
      <w:r>
        <w:rPr>
          <w:rFonts w:eastAsia="Times New Roman" w:cs="Times New Roman"/>
          <w:sz w:val="24"/>
          <w:szCs w:val="24"/>
        </w:rPr>
        <w:t>23.2.2.2.1. compensatória, de até 10% sobre o valor da parcela inadimplida, para quaisquer das infrações previstas nos subitens 23.1.1.1. a 23.1.1.12;</w:t>
      </w:r>
    </w:p>
    <w:p>
      <w:pPr>
        <w:pStyle w:val="Normal"/>
        <w:rPr>
          <w:rFonts w:ascii="Times New Roman" w:hAnsi="Times New Roman" w:eastAsia="Times New Roman" w:cs="Times New Roman"/>
          <w:sz w:val="24"/>
          <w:szCs w:val="24"/>
        </w:rPr>
      </w:pPr>
      <w:r>
        <w:rPr>
          <w:rFonts w:eastAsia="Times New Roman" w:cs="Times New Roman"/>
          <w:sz w:val="24"/>
          <w:szCs w:val="24"/>
        </w:rPr>
        <w:t>23.2.2.2.2. moratória, pelo atraso injustificado na execução do contrato, de até 0,5% (meio por cento) por dia de atraso injustificado sobre o valor da parcela inadimplida, até o limite de 30 (trinta) dias;</w:t>
      </w:r>
    </w:p>
    <w:p>
      <w:pPr>
        <w:pStyle w:val="Normal"/>
        <w:rPr>
          <w:rFonts w:ascii="Times New Roman" w:hAnsi="Times New Roman" w:eastAsia="Times New Roman" w:cs="Times New Roman"/>
          <w:sz w:val="24"/>
          <w:szCs w:val="24"/>
        </w:rPr>
      </w:pPr>
      <w:r>
        <w:rPr>
          <w:rFonts w:eastAsia="Times New Roman" w:cs="Times New Roman"/>
          <w:sz w:val="24"/>
          <w:szCs w:val="24"/>
        </w:rPr>
        <w:t>23.2.2.3. impedimento de licitar e contratar, para as infrações previstas nos subitens 23.1.1.2. a 23.1.1.7, quando não se justificar a imposição de penalidade mais grave;</w:t>
      </w:r>
    </w:p>
    <w:p>
      <w:pPr>
        <w:pStyle w:val="Normal"/>
        <w:rPr>
          <w:rFonts w:ascii="Times New Roman" w:hAnsi="Times New Roman" w:eastAsia="Times New Roman" w:cs="Times New Roman"/>
          <w:sz w:val="24"/>
          <w:szCs w:val="24"/>
        </w:rPr>
      </w:pPr>
      <w:r>
        <w:rPr>
          <w:rFonts w:eastAsia="Times New Roman" w:cs="Times New Roman"/>
          <w:sz w:val="24"/>
          <w:szCs w:val="24"/>
        </w:rPr>
        <w:t>23.2.2.4. declaração de inidoneidade para licitar e contratar, para as infrações previstas nos subitens 23.1.1.8. a 23.1.1.12.</w:t>
      </w:r>
    </w:p>
    <w:p>
      <w:pPr>
        <w:pStyle w:val="Normal"/>
        <w:rPr/>
      </w:pPr>
      <w:r>
        <w:rPr/>
      </w:r>
      <w:r>
        <w:br w:type="page"/>
      </w:r>
    </w:p>
    <w:p>
      <w:pPr>
        <w:pStyle w:val="Normal"/>
        <w:spacing w:before="0" w:after="0"/>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sz w:val="24"/>
          <w:szCs w:val="24"/>
        </w:rPr>
        <w:t>23.3</w:t>
      </w:r>
      <w:r>
        <w:rPr>
          <w:rFonts w:eastAsia="Times New Roman" w:cs="Times New Roman"/>
          <w:b/>
          <w:bCs/>
          <w:sz w:val="24"/>
          <w:szCs w:val="24"/>
        </w:rPr>
        <w:t>. Da Aplicação das Sanções</w:t>
      </w:r>
    </w:p>
    <w:p>
      <w:pPr>
        <w:pStyle w:val="Normal"/>
        <w:rPr>
          <w:rFonts w:ascii="Times New Roman" w:hAnsi="Times New Roman" w:eastAsia="Times New Roman" w:cs="Times New Roman"/>
          <w:sz w:val="24"/>
          <w:szCs w:val="24"/>
        </w:rPr>
      </w:pPr>
      <w:r>
        <w:rPr>
          <w:rFonts w:eastAsia="Times New Roman" w:cs="Times New Roman"/>
          <w:sz w:val="24"/>
          <w:szCs w:val="24"/>
        </w:rPr>
        <w:t>23.3.1. As sanções aqui previstas são independentes entre si, podendo ser aplicadas isoladas ou, no caso das multas, cumulativamente, sem prejuízo de outras medidas cabíveis.</w:t>
      </w:r>
    </w:p>
    <w:p>
      <w:pPr>
        <w:pStyle w:val="Normal"/>
        <w:rPr>
          <w:rFonts w:ascii="Times New Roman" w:hAnsi="Times New Roman" w:eastAsia="Times New Roman" w:cs="Times New Roman"/>
          <w:sz w:val="24"/>
          <w:szCs w:val="24"/>
        </w:rPr>
      </w:pPr>
      <w:r>
        <w:rPr>
          <w:rFonts w:eastAsia="Times New Roman" w:cs="Times New Roman"/>
          <w:sz w:val="24"/>
          <w:szCs w:val="24"/>
        </w:rPr>
        <w:t>23.3.2. A aplicação de sanções não exime o participante ou o contratado da obrigação de reparar os danos, perdas ou prejuízos que venha a causar ao ente público.</w:t>
      </w:r>
    </w:p>
    <w:p>
      <w:pPr>
        <w:pStyle w:val="Normal"/>
        <w:rPr>
          <w:rFonts w:ascii="Times New Roman" w:hAnsi="Times New Roman" w:eastAsia="Times New Roman" w:cs="Times New Roman"/>
          <w:sz w:val="24"/>
          <w:szCs w:val="24"/>
        </w:rPr>
      </w:pPr>
      <w:r>
        <w:rPr>
          <w:rFonts w:eastAsia="Times New Roman" w:cs="Times New Roman"/>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rPr>
          <w:rFonts w:ascii="Times New Roman" w:hAnsi="Times New Roman" w:eastAsia="Times New Roman" w:cs="Times New Roman"/>
          <w:sz w:val="24"/>
          <w:szCs w:val="24"/>
        </w:rPr>
      </w:pPr>
      <w:r>
        <w:rPr>
          <w:rFonts w:eastAsia="Times New Roman" w:cs="Times New Roman"/>
          <w:sz w:val="24"/>
          <w:szCs w:val="24"/>
        </w:rPr>
        <w:t>23.3.3. A multa de mora poderá ser convertida em multa compensatória, com a aplicação cumulada de outras sanções previstas neste Termo.</w:t>
      </w:r>
    </w:p>
    <w:p>
      <w:pPr>
        <w:pStyle w:val="Normal"/>
        <w:rPr>
          <w:rFonts w:ascii="Times New Roman" w:hAnsi="Times New Roman" w:eastAsia="Times New Roman" w:cs="Times New Roman"/>
          <w:sz w:val="24"/>
          <w:szCs w:val="24"/>
        </w:rPr>
      </w:pPr>
      <w:r>
        <w:rPr>
          <w:rFonts w:eastAsia="Times New Roman" w:cs="Times New Roman"/>
          <w:sz w:val="24"/>
          <w:szCs w:val="24"/>
        </w:rPr>
        <w:t>23.3.4 As penalidades de multa decorrentes de fatos diversos serão consideradas independentes entre si.</w:t>
      </w:r>
    </w:p>
    <w:p>
      <w:pPr>
        <w:pStyle w:val="Normal"/>
        <w:rPr>
          <w:rFonts w:ascii="Times New Roman" w:hAnsi="Times New Roman" w:eastAsia="Times New Roman" w:cs="Times New Roman"/>
          <w:sz w:val="24"/>
          <w:szCs w:val="24"/>
        </w:rPr>
      </w:pPr>
      <w:r>
        <w:rPr>
          <w:rFonts w:eastAsia="Times New Roman" w:cs="Times New Roman"/>
          <w:sz w:val="24"/>
          <w:szCs w:val="24"/>
        </w:rPr>
        <w:t>23.3.5. O contrato, sem prejuízo das multas e demais cominações legais previstas no instrumento, poderá ser rescindido unilateralmente, por ato formal da Administração, nos casos enumerados nos incisos do caput do art. 137 da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rPr>
          <w:rFonts w:ascii="Times New Roman" w:hAnsi="Times New Roman" w:eastAsia="Times New Roman" w:cs="Times New Roman"/>
          <w:sz w:val="24"/>
          <w:szCs w:val="24"/>
        </w:rPr>
      </w:pPr>
      <w:r>
        <w:rPr>
          <w:rFonts w:eastAsia="Times New Roman" w:cs="Times New Roman"/>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rPr>
          <w:rFonts w:ascii="Times New Roman" w:hAnsi="Times New Roman" w:eastAsia="Times New Roman" w:cs="Times New Roman"/>
          <w:sz w:val="24"/>
          <w:szCs w:val="24"/>
        </w:rPr>
      </w:pPr>
      <w:r>
        <w:rPr>
          <w:rFonts w:eastAsia="Times New Roman" w:cs="Times New Roman"/>
          <w:sz w:val="24"/>
          <w:szCs w:val="24"/>
        </w:rPr>
        <w:t>23.3.8. As sanções de impedimento de licitar e contratar e de declaração de inidoneidade levam à inclusão do participante no CFIL/RS.</w:t>
      </w:r>
    </w:p>
    <w:p>
      <w:pPr>
        <w:pStyle w:val="Normal"/>
        <w:rPr>
          <w:rFonts w:ascii="Times New Roman" w:hAnsi="Times New Roman" w:eastAsia="Times New Roman" w:cs="Times New Roman"/>
          <w:sz w:val="24"/>
          <w:szCs w:val="24"/>
        </w:rPr>
      </w:pPr>
      <w:r>
        <w:rPr>
          <w:rFonts w:eastAsia="Times New Roman" w:cs="Times New Roman"/>
          <w:sz w:val="24"/>
          <w:szCs w:val="24"/>
        </w:rPr>
        <w:t>23.4. Da execução da garantia contratual</w:t>
      </w:r>
    </w:p>
    <w:p>
      <w:pPr>
        <w:pStyle w:val="Normal"/>
        <w:rPr>
          <w:rFonts w:ascii="Times New Roman" w:hAnsi="Times New Roman" w:eastAsia="Times New Roman" w:cs="Times New Roman"/>
          <w:sz w:val="24"/>
          <w:szCs w:val="24"/>
        </w:rPr>
      </w:pPr>
      <w:r>
        <w:rPr>
          <w:rFonts w:eastAsia="Times New Roman" w:cs="Times New Roman"/>
          <w:sz w:val="24"/>
          <w:szCs w:val="24"/>
        </w:rPr>
        <w:t>23.4.1. O valor da multa poderá ser descontado da garantia contratual.</w:t>
      </w:r>
    </w:p>
    <w:p>
      <w:pPr>
        <w:pStyle w:val="Normal"/>
        <w:rPr>
          <w:rFonts w:ascii="Times New Roman" w:hAnsi="Times New Roman" w:eastAsia="Times New Roman" w:cs="Times New Roman"/>
          <w:sz w:val="24"/>
          <w:szCs w:val="24"/>
        </w:rPr>
      </w:pPr>
      <w:r>
        <w:rPr>
          <w:rFonts w:eastAsia="Times New Roman" w:cs="Times New Roman"/>
          <w:sz w:val="24"/>
          <w:szCs w:val="24"/>
        </w:rPr>
        <w:t>23.4.2. Se a multa for de valor superior ao da garantia prestada, além da perda desta, responderá o contratado pela sua diferença, a qual será descontada dos pagamentos eventualmente devidos pelo contratante.</w:t>
      </w:r>
    </w:p>
    <w:p>
      <w:pPr>
        <w:pStyle w:val="Normal"/>
        <w:rPr>
          <w:rFonts w:ascii="Times New Roman" w:hAnsi="Times New Roman" w:eastAsia="Times New Roman" w:cs="Times New Roman"/>
          <w:sz w:val="24"/>
          <w:szCs w:val="24"/>
        </w:rPr>
      </w:pPr>
      <w:r>
        <w:rPr>
          <w:rFonts w:eastAsia="Times New Roman" w:cs="Times New Roman"/>
          <w:sz w:val="24"/>
          <w:szCs w:val="24"/>
        </w:rPr>
        <w:t>23.4.3. Se os valores da garantia e das faturas forem insuficientes, fica o contratado obrigado a recolher a diferença devida, no prazo de 15 (quinze) dias, contados da comunicação oficial.</w:t>
      </w:r>
    </w:p>
    <w:p>
      <w:pPr>
        <w:pStyle w:val="Normal"/>
        <w:rPr>
          <w:rFonts w:ascii="Times New Roman" w:hAnsi="Times New Roman" w:eastAsia="Times New Roman" w:cs="Times New Roman"/>
          <w:sz w:val="24"/>
          <w:szCs w:val="24"/>
        </w:rPr>
      </w:pPr>
      <w:r>
        <w:rPr>
          <w:rFonts w:eastAsia="Times New Roman" w:cs="Times New Roman"/>
          <w:sz w:val="24"/>
          <w:szCs w:val="24"/>
        </w:rPr>
        <w:t>23.4.4. Esgotados os meios administrativos para cobrança do valor devido pelo contratado ao contratante, o débito será encaminhado para inscrição em dívida ativa não tributária.</w:t>
      </w:r>
    </w:p>
    <w:p>
      <w:pPr>
        <w:pStyle w:val="Normal"/>
        <w:rPr>
          <w:rFonts w:ascii="Times New Roman" w:hAnsi="Times New Roman" w:eastAsia="Times New Roman" w:cs="Times New Roman"/>
          <w:sz w:val="24"/>
          <w:szCs w:val="24"/>
        </w:rPr>
      </w:pPr>
      <w:r>
        <w:rPr>
          <w:rFonts w:eastAsia="Times New Roman" w:cs="Times New Roman"/>
          <w:sz w:val="24"/>
          <w:szCs w:val="24"/>
        </w:rPr>
        <w:t>23.4.5. Caso o valor da garantia seja utilizado, no todo ou em parte, para o pagamento da multa, essa deve ser complementada no prazo de até 10 (dez) dias, contado da solicitação do contratante.</w:t>
      </w:r>
    </w:p>
    <w:p>
      <w:pPr>
        <w:pStyle w:val="Normal"/>
        <w:rPr>
          <w:rFonts w:ascii="Times New Roman" w:hAnsi="Times New Roman" w:eastAsia="Times New Roman" w:cs="Times New Roman"/>
          <w:sz w:val="24"/>
          <w:szCs w:val="24"/>
        </w:rPr>
      </w:pPr>
      <w:r>
        <w:rPr>
          <w:rFonts w:eastAsia="Times New Roman" w:cs="Times New Roman"/>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b/>
          <w:bCs/>
          <w:sz w:val="24"/>
          <w:szCs w:val="24"/>
        </w:rPr>
        <w:t xml:space="preserve">24. DAS DISPOSIÇÕES FINAIS </w:t>
      </w:r>
    </w:p>
    <w:p>
      <w:pPr>
        <w:pStyle w:val="Normal"/>
        <w:rPr>
          <w:rFonts w:ascii="Times New Roman" w:hAnsi="Times New Roman" w:eastAsia="Times New Roman" w:cs="Times New Roman"/>
          <w:sz w:val="24"/>
          <w:szCs w:val="24"/>
        </w:rPr>
      </w:pPr>
      <w:r>
        <w:rPr>
          <w:rFonts w:eastAsia="Times New Roman" w:cs="Times New Roman"/>
          <w:sz w:val="24"/>
          <w:szCs w:val="24"/>
        </w:rPr>
        <w:t>24.1. As atas serão geradas eletronicamente após o encerramento da sessão pública pelo agente de contratação.</w:t>
      </w:r>
    </w:p>
    <w:p>
      <w:pPr>
        <w:pStyle w:val="Normal"/>
        <w:rPr>
          <w:rFonts w:ascii="Times New Roman" w:hAnsi="Times New Roman" w:eastAsia="Times New Roman" w:cs="Times New Roman"/>
          <w:sz w:val="24"/>
          <w:szCs w:val="24"/>
        </w:rPr>
      </w:pPr>
      <w:r>
        <w:rPr>
          <w:rFonts w:eastAsia="Times New Roman" w:cs="Times New Roman"/>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24.1.2. Os demais atos licitatórios serão registrados nos autos do processo da dispensa de licitação.  </w:t>
      </w:r>
    </w:p>
    <w:p>
      <w:pPr>
        <w:pStyle w:val="Normal"/>
        <w:rPr>
          <w:rFonts w:ascii="Times New Roman" w:hAnsi="Times New Roman" w:eastAsia="Times New Roman" w:cs="Times New Roman"/>
          <w:sz w:val="24"/>
          <w:szCs w:val="24"/>
        </w:rPr>
      </w:pPr>
      <w:r>
        <w:rPr>
          <w:rFonts w:eastAsia="Times New Roman" w:cs="Times New Roman"/>
          <w:sz w:val="24"/>
          <w:szCs w:val="24"/>
        </w:rPr>
        <w:t>24.2. O participante deverá examinar detidamente as disposições contidas neste Termo, pois a simples apresentação da proposta o vincula de modo incondicional ao competitório.</w:t>
      </w:r>
    </w:p>
    <w:p>
      <w:pPr>
        <w:pStyle w:val="Normal"/>
        <w:rPr>
          <w:rFonts w:ascii="Times New Roman" w:hAnsi="Times New Roman" w:eastAsia="Times New Roman" w:cs="Times New Roman"/>
          <w:sz w:val="24"/>
          <w:szCs w:val="24"/>
        </w:rPr>
      </w:pPr>
      <w:r>
        <w:rPr>
          <w:rFonts w:eastAsia="Times New Roman" w:cs="Times New Roman"/>
          <w:sz w:val="24"/>
          <w:szCs w:val="24"/>
        </w:rPr>
        <w:t>24.3. A falsidade de qualquer documento ou a inverdade das informações nele contidas implicará a imediata desclassificação do participante que o tiver apresentado, sem prejuízo das demais sanções cabíveis.</w:t>
      </w:r>
    </w:p>
    <w:p>
      <w:pPr>
        <w:pStyle w:val="Normal"/>
        <w:rPr>
          <w:rFonts w:ascii="Times New Roman" w:hAnsi="Times New Roman" w:eastAsia="Times New Roman" w:cs="Times New Roman"/>
          <w:sz w:val="24"/>
          <w:szCs w:val="24"/>
        </w:rPr>
      </w:pPr>
      <w:r>
        <w:rPr>
          <w:rFonts w:eastAsia="Times New Roman" w:cs="Times New Roman"/>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rPr>
          <w:rFonts w:ascii="Times New Roman" w:hAnsi="Times New Roman" w:eastAsia="Times New Roman" w:cs="Times New Roman"/>
          <w:sz w:val="24"/>
          <w:szCs w:val="24"/>
        </w:rPr>
      </w:pPr>
      <w:r>
        <w:rPr>
          <w:rFonts w:eastAsia="Times New Roman" w:cs="Times New Roman"/>
          <w:sz w:val="24"/>
          <w:szCs w:val="24"/>
        </w:rPr>
        <w:t>24.4.1. É facultado ao agente de contratação ou à autoridade superior convocar os participantes para quaisquer esclarecimentos necessários ao entendimento de suas propostas.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24.5. As informações, atas e relatórios pertinentes à presente dispensa de licitação serão disponibilizados no site referido no Anexo IV – FOLHA DE DADOS (CGDL 2.1), sem prejuízo às informações prestadas ao Portal Nacional de Contratações Públicas. </w:t>
      </w:r>
    </w:p>
    <w:p>
      <w:pPr>
        <w:pStyle w:val="Normal"/>
        <w:rPr>
          <w:rFonts w:ascii="Times New Roman" w:hAnsi="Times New Roman" w:eastAsia="Times New Roman" w:cs="Times New Roman"/>
          <w:sz w:val="24"/>
          <w:szCs w:val="24"/>
        </w:rPr>
      </w:pPr>
      <w:r>
        <w:rPr>
          <w:rFonts w:eastAsia="Times New Roman" w:cs="Times New Roman"/>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rPr>
          <w:rFonts w:ascii="Times New Roman" w:hAnsi="Times New Roman" w:eastAsia="Times New Roman" w:cs="Times New Roman"/>
          <w:sz w:val="24"/>
          <w:szCs w:val="24"/>
        </w:rPr>
      </w:pPr>
      <w:r>
        <w:rPr>
          <w:rFonts w:eastAsia="Times New Roman" w:cs="Times New Roman"/>
          <w:sz w:val="24"/>
          <w:szCs w:val="24"/>
        </w:rPr>
        <w:t>24.7. A homologação do resultado desta dispensa de licitação não implicará direito à contratação.</w:t>
      </w:r>
    </w:p>
    <w:p>
      <w:pPr>
        <w:pStyle w:val="Normal"/>
        <w:rPr>
          <w:rFonts w:ascii="Times New Roman" w:hAnsi="Times New Roman" w:eastAsia="Times New Roman" w:cs="Times New Roman"/>
          <w:sz w:val="24"/>
          <w:szCs w:val="24"/>
        </w:rPr>
      </w:pPr>
      <w:r>
        <w:rPr>
          <w:rFonts w:eastAsia="Times New Roman" w:cs="Times New Roman"/>
          <w:sz w:val="24"/>
          <w:szCs w:val="24"/>
        </w:rPr>
        <w:t>24.8. O presente Termo, bem como a proposta vencedora, fará parte integrante do instrumento de contrato, como se nele estivessem transcritos.</w:t>
      </w:r>
    </w:p>
    <w:p>
      <w:pPr>
        <w:pStyle w:val="Normal"/>
        <w:rPr>
          <w:rFonts w:ascii="Times New Roman" w:hAnsi="Times New Roman" w:eastAsia="Times New Roman" w:cs="Times New Roman"/>
          <w:sz w:val="24"/>
          <w:szCs w:val="24"/>
        </w:rPr>
      </w:pPr>
      <w:r>
        <w:rPr>
          <w:rFonts w:eastAsia="Times New Roman" w:cs="Times New Roman"/>
          <w:sz w:val="24"/>
          <w:szCs w:val="24"/>
        </w:rPr>
        <w:t>24.9. Aplicam-se aos casos omissos as disposições constantes na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24.10. Prevalecerão as disposições deste Termo, em caso de divergência com as demais peças que compõem o processo.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24.11. Fica eleito o foro da Comarca de Porto Alegre para dirimir quaisquer dúvidas ou questões relacionadas a este Termo ou aos seus anexos. </w:t>
      </w:r>
    </w:p>
    <w:p>
      <w:pPr>
        <w:pStyle w:val="Normal"/>
        <w:rPr>
          <w:rFonts w:ascii="Times New Roman" w:hAnsi="Times New Roman" w:eastAsia="Times New Roman" w:cs="Times New Roman"/>
          <w:sz w:val="24"/>
          <w:szCs w:val="24"/>
        </w:rPr>
      </w:pPr>
      <w:r>
        <w:rPr>
          <w:rFonts w:eastAsia="Times New Roman" w:cs="Times New Roman"/>
          <w:sz w:val="24"/>
          <w:szCs w:val="24"/>
        </w:rPr>
        <w:t>24.12. Integram este Termo, ainda, para todos os fins e efeitos, os seguintes anexos: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b/>
          <w:bCs/>
          <w:sz w:val="24"/>
          <w:szCs w:val="24"/>
        </w:rPr>
      </w:pPr>
      <w:r>
        <w:rPr>
          <w:rFonts w:eastAsia="Times New Roman" w:cs="Times New Roman"/>
          <w:sz w:val="24"/>
          <w:szCs w:val="24"/>
        </w:rPr>
        <w:t>A</w:t>
      </w:r>
      <w:r>
        <w:rPr>
          <w:rFonts w:eastAsia="Times New Roman" w:cs="Times New Roman"/>
          <w:b/>
          <w:bCs/>
          <w:sz w:val="24"/>
          <w:szCs w:val="24"/>
        </w:rPr>
        <w:t>NEXO I – MINUTA DE CONTRATO</w:t>
      </w:r>
    </w:p>
    <w:p>
      <w:pPr>
        <w:pStyle w:val="Normal"/>
        <w:rPr>
          <w:rFonts w:ascii="Times New Roman" w:hAnsi="Times New Roman" w:eastAsia="Times New Roman" w:cs="Times New Roman"/>
          <w:b/>
          <w:bCs/>
          <w:sz w:val="24"/>
          <w:szCs w:val="24"/>
        </w:rPr>
      </w:pPr>
      <w:r>
        <w:rPr>
          <w:rFonts w:eastAsia="Times New Roman" w:cs="Times New Roman"/>
          <w:b/>
          <w:bCs/>
          <w:sz w:val="24"/>
          <w:szCs w:val="24"/>
        </w:rPr>
        <w:t>ANEXO II – PLANILHA DE CUSTOS E FORMAÇÃO DE PREÇOS (a ser preenchida pelo participante vencedor)</w:t>
      </w:r>
    </w:p>
    <w:p>
      <w:pPr>
        <w:pStyle w:val="Normal"/>
        <w:rPr>
          <w:rFonts w:ascii="Times New Roman" w:hAnsi="Times New Roman" w:eastAsia="Times New Roman" w:cs="Times New Roman"/>
          <w:b/>
          <w:bCs/>
          <w:sz w:val="24"/>
          <w:szCs w:val="24"/>
        </w:rPr>
      </w:pPr>
      <w:r>
        <w:rPr>
          <w:rFonts w:eastAsia="Times New Roman" w:cs="Times New Roman"/>
          <w:b/>
          <w:bCs/>
          <w:sz w:val="24"/>
          <w:szCs w:val="24"/>
        </w:rPr>
        <w:t>ANEXO III – CARTA DE FIANÇA BANCÁRIA PARA GARANTIA DE EXECUÇÃO CONTRATUAL (se for o caso)</w:t>
      </w:r>
    </w:p>
    <w:p>
      <w:pPr>
        <w:pStyle w:val="Normal"/>
        <w:rPr>
          <w:rFonts w:ascii="Times New Roman" w:hAnsi="Times New Roman" w:eastAsia="Times New Roman" w:cs="Times New Roman"/>
          <w:b/>
          <w:bCs/>
          <w:sz w:val="24"/>
          <w:szCs w:val="24"/>
        </w:rPr>
      </w:pPr>
      <w:r>
        <w:rPr>
          <w:rFonts w:eastAsia="Times New Roman" w:cs="Times New Roman"/>
          <w:b/>
          <w:bCs/>
          <w:sz w:val="24"/>
          <w:szCs w:val="24"/>
        </w:rPr>
        <w:t>ANEXO IV – FOLHA DE DADOS</w:t>
      </w:r>
    </w:p>
    <w:p>
      <w:pPr>
        <w:pStyle w:val="Normal"/>
        <w:rPr>
          <w:rFonts w:ascii="Times New Roman" w:hAnsi="Times New Roman" w:eastAsia="Times New Roman" w:cs="Times New Roman"/>
          <w:b/>
          <w:bCs/>
          <w:sz w:val="24"/>
          <w:szCs w:val="24"/>
        </w:rPr>
      </w:pPr>
      <w:r>
        <w:rPr>
          <w:rFonts w:eastAsia="Times New Roman" w:cs="Times New Roman"/>
          <w:b/>
          <w:bCs/>
          <w:sz w:val="24"/>
          <w:szCs w:val="24"/>
        </w:rPr>
        <w:t>ANEXO V – TERMO DE REFERÊNCIA</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jc w:val="right"/>
        <w:rPr>
          <w:rFonts w:ascii="Times New Roman" w:hAnsi="Times New Roman" w:eastAsia="Times New Roman" w:cs="Times New Roman"/>
          <w:sz w:val="24"/>
          <w:szCs w:val="24"/>
        </w:rPr>
      </w:pPr>
      <w:r>
        <w:rPr>
          <w:rFonts w:eastAsia="Times New Roman" w:cs="Times New Roman"/>
          <w:sz w:val="24"/>
          <w:szCs w:val="24"/>
        </w:rPr>
        <w:t>Alvorada, 04 de abril de 2025.</w:t>
      </w:r>
    </w:p>
    <w:p>
      <w:pPr>
        <w:pStyle w:val="Normal"/>
        <w:jc w:val="center"/>
        <w:rPr>
          <w:rFonts w:ascii="Times New Roman" w:hAnsi="Times New Roman" w:eastAsia="Times New Roman" w:cs="Times New Roman"/>
          <w:color w:val="FF0000"/>
          <w:sz w:val="24"/>
          <w:szCs w:val="24"/>
        </w:rPr>
      </w:pPr>
      <w:r>
        <w:rPr>
          <w:rFonts w:eastAsia="Times New Roman" w:cs="Times New Roman"/>
          <w:color w:val="FF0000"/>
          <w:sz w:val="24"/>
          <w:szCs w:val="24"/>
        </w:rPr>
      </w:r>
    </w:p>
    <w:p>
      <w:pPr>
        <w:pStyle w:val="Normal"/>
        <w:jc w:val="center"/>
        <w:rPr>
          <w:rFonts w:ascii="Times New Roman" w:hAnsi="Times New Roman" w:eastAsia="Times New Roman" w:cs="Times New Roman"/>
          <w:b/>
          <w:bCs/>
          <w:sz w:val="24"/>
          <w:szCs w:val="24"/>
        </w:rPr>
      </w:pPr>
      <w:r>
        <w:rPr>
          <w:rFonts w:eastAsia="Times New Roman" w:cs="Times New Roman"/>
          <w:b/>
          <w:bCs/>
          <w:sz w:val="24"/>
          <w:szCs w:val="24"/>
        </w:rPr>
        <w:t>CLODEMILTON SILVA BUENO - Cel PM</w:t>
      </w:r>
    </w:p>
    <w:p>
      <w:pPr>
        <w:pStyle w:val="Normal"/>
        <w:jc w:val="center"/>
        <w:rPr>
          <w:rFonts w:ascii="Times New Roman" w:hAnsi="Times New Roman" w:eastAsia="Times New Roman" w:cs="Times New Roman"/>
          <w:sz w:val="24"/>
          <w:szCs w:val="24"/>
        </w:rPr>
      </w:pPr>
      <w:r>
        <w:rPr>
          <w:rFonts w:eastAsia="Times New Roman" w:cs="Times New Roman"/>
          <w:sz w:val="24"/>
          <w:szCs w:val="24"/>
        </w:rPr>
        <w:t>Comandante do CRPO Delta do Jacuí</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rPr/>
      </w:pPr>
      <w:r>
        <w:rPr/>
      </w:r>
      <w:r>
        <w:br w:type="page"/>
      </w:r>
    </w:p>
    <w:p>
      <w:pPr>
        <w:pStyle w:val="Normal"/>
        <w:widowControl w:val="false"/>
        <w:spacing w:before="0" w:after="0"/>
        <w:rPr>
          <w:rFonts w:ascii="Times New Roman" w:hAnsi="Times New Roman" w:eastAsia="Times New Roman" w:cs="Times New Roman"/>
          <w:b/>
          <w:bCs/>
          <w:i/>
          <w:i/>
          <w:iCs/>
          <w:sz w:val="24"/>
          <w:szCs w:val="24"/>
        </w:rPr>
      </w:pPr>
      <w:r>
        <w:rPr>
          <w:rFonts w:eastAsia="Times New Roman" w:cs="Times New Roman"/>
          <w:b/>
          <w:bCs/>
          <w:i/>
          <w:iCs/>
          <w:sz w:val="24"/>
          <w:szCs w:val="24"/>
        </w:rPr>
      </w:r>
    </w:p>
    <w:p>
      <w:pPr>
        <w:pStyle w:val="Normal"/>
        <w:widowControl w:val="false"/>
        <w:tabs>
          <w:tab w:val="clear" w:pos="720"/>
          <w:tab w:val="left" w:pos="3133" w:leader="none"/>
          <w:tab w:val="center" w:pos="5032" w:leader="none"/>
        </w:tabs>
        <w:jc w:val="center"/>
        <w:rPr>
          <w:rFonts w:ascii="Times New Roman" w:hAnsi="Times New Roman" w:eastAsia="Times New Roman" w:cs="Times New Roman"/>
          <w:b/>
          <w:bCs/>
          <w:sz w:val="24"/>
          <w:szCs w:val="24"/>
        </w:rPr>
      </w:pPr>
      <w:r>
        <w:rPr>
          <w:rFonts w:eastAsia="Times New Roman" w:cs="Times New Roman"/>
          <w:b/>
          <w:bCs/>
          <w:sz w:val="24"/>
          <w:szCs w:val="24"/>
        </w:rPr>
        <w:t>ANEXO I - MINUTA DE CONTRATO</w:t>
      </w:r>
    </w:p>
    <w:p>
      <w:pPr>
        <w:pStyle w:val="Normal"/>
        <w:widowControl w:val="false"/>
        <w:tabs>
          <w:tab w:val="clear" w:pos="720"/>
          <w:tab w:val="left" w:pos="3133" w:leader="none"/>
          <w:tab w:val="center" w:pos="5032" w:leader="none"/>
        </w:tabs>
        <w:jc w:val="center"/>
        <w:rPr>
          <w:rFonts w:ascii="Times New Roman" w:hAnsi="Times New Roman" w:eastAsia="Times New Roman" w:cs="Times New Roman"/>
          <w:b/>
          <w:bCs/>
          <w:sz w:val="24"/>
          <w:szCs w:val="24"/>
        </w:rPr>
      </w:pPr>
      <w:r>
        <w:rPr>
          <w:rFonts w:eastAsia="Times New Roman" w:cs="Times New Roman"/>
          <w:b/>
          <w:bCs/>
          <w:sz w:val="24"/>
          <w:szCs w:val="24"/>
        </w:rPr>
      </w:r>
    </w:p>
    <w:p>
      <w:pPr>
        <w:pStyle w:val="Normal"/>
        <w:jc w:val="center"/>
        <w:rPr>
          <w:rFonts w:ascii="Times New Roman" w:hAnsi="Times New Roman" w:eastAsia="Times New Roman" w:cs="Times New Roman"/>
          <w:sz w:val="24"/>
          <w:szCs w:val="24"/>
        </w:rPr>
      </w:pPr>
      <w:r>
        <w:rPr>
          <w:rFonts w:eastAsia="Times New Roman" w:cs="Times New Roman"/>
          <w:sz w:val="24"/>
          <w:szCs w:val="24"/>
        </w:rPr>
        <w:t>TERMO DE CONTRATO DE PRESTAÇÃO DE SERVIÇOS NÃO CONTINUADOS Nº</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Contrato celebrado entre..., sito no(a) CRPO DELTA DO JACUÍ- Rua Caetano Dihl, 185, Centro, Alvorada/RS, representado neste ato pela seu Comandante,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001/2025, mediante as cláusulas e condições que se seguem:</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PRIMEIRA - DO OBJETO</w:t>
      </w:r>
    </w:p>
    <w:p>
      <w:pPr>
        <w:pStyle w:val="Normal"/>
        <w:rPr>
          <w:rFonts w:ascii="Times New Roman" w:hAnsi="Times New Roman" w:eastAsia="Times New Roman" w:cs="Times New Roman"/>
          <w:sz w:val="24"/>
          <w:szCs w:val="24"/>
        </w:rPr>
      </w:pPr>
      <w:r>
        <w:rPr>
          <w:rFonts w:eastAsia="Times New Roman" w:cs="Times New Roman"/>
          <w:sz w:val="24"/>
          <w:szCs w:val="24"/>
        </w:rPr>
        <w:t>1.1. O objeto do presente instrumento é a contratação de serviços de [reproduzir o texto do Anexo IV – FOLHA DE DADOS (CGDL 1.1)], que serão prestados nas condições estabelecidas no Termo de Referência, Anexo V ao Termo.</w:t>
      </w:r>
    </w:p>
    <w:p>
      <w:pPr>
        <w:pStyle w:val="Normal"/>
        <w:rPr>
          <w:rFonts w:ascii="Times New Roman" w:hAnsi="Times New Roman" w:eastAsia="Times New Roman" w:cs="Times New Roman"/>
          <w:sz w:val="24"/>
          <w:szCs w:val="24"/>
        </w:rPr>
      </w:pPr>
      <w:r>
        <w:rPr>
          <w:rFonts w:eastAsia="Times New Roman" w:cs="Times New Roman"/>
          <w:sz w:val="24"/>
          <w:szCs w:val="24"/>
        </w:rPr>
        <w:t>1.2. Este contrato vincula-se ao Termo, identificado no preâmbulo, e à proposta vencedora, independentemente de transcrição.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SEGUNDA - DO PREÇO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2.1.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pPr>
        <w:pStyle w:val="Normal"/>
        <w:rPr>
          <w:rFonts w:ascii="Times New Roman" w:hAnsi="Times New Roman" w:eastAsia="Times New Roman" w:cs="Times New Roman"/>
          <w:sz w:val="24"/>
          <w:szCs w:val="24"/>
        </w:rPr>
      </w:pPr>
      <w:r>
        <w:rPr>
          <w:rFonts w:eastAsia="Times New Roman" w:cs="Times New Roman"/>
          <w:sz w:val="24"/>
          <w:szCs w:val="24"/>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TERCEIRA - DO RECURSO FINANCEIRO</w:t>
      </w:r>
    </w:p>
    <w:p>
      <w:pPr>
        <w:pStyle w:val="Normal"/>
        <w:rPr>
          <w:rFonts w:ascii="Times New Roman" w:hAnsi="Times New Roman" w:eastAsia="Times New Roman" w:cs="Times New Roman"/>
          <w:sz w:val="24"/>
          <w:szCs w:val="24"/>
        </w:rPr>
      </w:pPr>
      <w:r>
        <w:rPr>
          <w:rFonts w:eastAsia="Times New Roman" w:cs="Times New Roman"/>
          <w:sz w:val="24"/>
          <w:szCs w:val="24"/>
        </w:rPr>
        <w:t>3.1. As despesas decorrentes do presente contrato correrão à conta do seguinte recurso financeiro:</w:t>
      </w:r>
    </w:p>
    <w:p>
      <w:pPr>
        <w:pStyle w:val="Normal"/>
        <w:rPr>
          <w:rFonts w:ascii="Times New Roman" w:hAnsi="Times New Roman" w:eastAsia="Times New Roman" w:cs="Times New Roman"/>
          <w:sz w:val="24"/>
          <w:szCs w:val="24"/>
        </w:rPr>
      </w:pPr>
      <w:r>
        <w:rPr>
          <w:rFonts w:eastAsia="Times New Roman" w:cs="Times New Roman"/>
          <w:sz w:val="24"/>
          <w:szCs w:val="24"/>
        </w:rPr>
        <w:t>[Reproduzir texto do Anexo IV – FOLHA DE DADOS (CGDL 20.1)]</w:t>
      </w:r>
    </w:p>
    <w:p>
      <w:pPr>
        <w:pStyle w:val="Normal"/>
        <w:rPr>
          <w:rFonts w:ascii="Times New Roman" w:hAnsi="Times New Roman" w:eastAsia="Times New Roman" w:cs="Times New Roman"/>
          <w:sz w:val="24"/>
          <w:szCs w:val="24"/>
        </w:rPr>
      </w:pPr>
      <w:r>
        <w:rPr>
          <w:rFonts w:eastAsia="Times New Roman" w:cs="Times New Roman"/>
          <w:sz w:val="24"/>
          <w:szCs w:val="24"/>
        </w:rPr>
        <w:t>Empenho nº: ________</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QUARTA – DO PRAZO CONTRATUAL E LOCAL DE PRESTAÇÃO DOS SERVIÇOS</w:t>
      </w:r>
    </w:p>
    <w:p>
      <w:pPr>
        <w:pStyle w:val="Normal"/>
        <w:rPr>
          <w:rFonts w:ascii="Times New Roman" w:hAnsi="Times New Roman" w:eastAsia="Times New Roman" w:cs="Times New Roman"/>
          <w:sz w:val="24"/>
          <w:szCs w:val="24"/>
        </w:rPr>
      </w:pPr>
      <w:r>
        <w:rPr>
          <w:rFonts w:eastAsia="Times New Roman" w:cs="Times New Roman"/>
          <w:sz w:val="24"/>
          <w:szCs w:val="24"/>
        </w:rPr>
        <w:t>4.1. O prazo de duração do contrato é de [reproduzir o texto do Anexo IV – FOLHA DE DADOS (CGDL 16.4)], contados a partir da data definida na ordem de início dos serviços.</w:t>
      </w:r>
    </w:p>
    <w:p>
      <w:pPr>
        <w:pStyle w:val="Normal"/>
        <w:rPr>
          <w:rFonts w:ascii="Times New Roman" w:hAnsi="Times New Roman" w:eastAsia="Times New Roman" w:cs="Times New Roman"/>
          <w:sz w:val="24"/>
          <w:szCs w:val="24"/>
        </w:rPr>
      </w:pPr>
      <w:r>
        <w:rPr>
          <w:rFonts w:eastAsia="Times New Roman" w:cs="Times New Roman"/>
          <w:sz w:val="24"/>
          <w:szCs w:val="24"/>
        </w:rPr>
        <w:t>4.2. A expedição da ordem de início dos serviços somente se efetivará após a assinatura do contrato e sua divulgação no Portal Nacional de Contratações Públicas.</w:t>
      </w:r>
    </w:p>
    <w:p>
      <w:pPr>
        <w:pStyle w:val="Normal"/>
        <w:rPr>
          <w:rFonts w:ascii="Times New Roman" w:hAnsi="Times New Roman" w:eastAsia="Times New Roman" w:cs="Times New Roman"/>
          <w:sz w:val="24"/>
          <w:szCs w:val="24"/>
        </w:rPr>
      </w:pPr>
      <w:r>
        <w:rPr>
          <w:rFonts w:eastAsia="Times New Roman" w:cs="Times New Roman"/>
          <w:sz w:val="24"/>
          <w:szCs w:val="24"/>
        </w:rPr>
        <w:t>4.3. O objeto do contrato será executado no(s) seguinte(s) local(is), quando couber: [reproduzir o texto do Anexo IV – FOLHA DE DADOS (CGDL 16.5)]</w:t>
      </w:r>
    </w:p>
    <w:p>
      <w:pPr>
        <w:pStyle w:val="Normal"/>
        <w:rPr>
          <w:rFonts w:ascii="Times New Roman" w:hAnsi="Times New Roman" w:eastAsia="Times New Roman" w:cs="Times New Roman"/>
          <w:sz w:val="24"/>
          <w:szCs w:val="24"/>
        </w:rPr>
      </w:pPr>
      <w:r>
        <w:rPr>
          <w:rFonts w:eastAsia="Times New Roman" w:cs="Times New Roman"/>
          <w:sz w:val="24"/>
          <w:szCs w:val="24"/>
        </w:rPr>
        <w:t>4.4. O presente contrato se encerra com o aceite definitivo do objeto.</w:t>
      </w:r>
    </w:p>
    <w:p>
      <w:pPr>
        <w:pStyle w:val="Normal"/>
        <w:rPr>
          <w:rFonts w:ascii="Times New Roman" w:hAnsi="Times New Roman" w:eastAsia="Times New Roman" w:cs="Times New Roman"/>
          <w:sz w:val="24"/>
          <w:szCs w:val="24"/>
        </w:rPr>
      </w:pPr>
      <w:r>
        <w:rPr>
          <w:rFonts w:eastAsia="Times New Roman" w:cs="Times New Roman"/>
          <w:sz w:val="24"/>
          <w:szCs w:val="24"/>
        </w:rPr>
        <w:t>4.4.1. Tratando-se de contrato com escopo predefinido, o prazo de vigência será automaticamente prorrogado quando seu objeto não for concluído no período firmado no contrato, na forma do art. 111 da Lei nº 14.133/2021.</w:t>
      </w:r>
    </w:p>
    <w:p>
      <w:pPr>
        <w:pStyle w:val="Normal"/>
        <w:rPr>
          <w:rFonts w:ascii="Times New Roman" w:hAnsi="Times New Roman" w:eastAsia="Times New Roman" w:cs="Times New Roman"/>
          <w:sz w:val="24"/>
          <w:szCs w:val="24"/>
        </w:rPr>
      </w:pPr>
      <w:r>
        <w:rPr>
          <w:rFonts w:eastAsia="Times New Roman" w:cs="Times New Roman"/>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pPr>
        <w:pStyle w:val="Normal"/>
        <w:rPr>
          <w:rFonts w:ascii="Times New Roman" w:hAnsi="Times New Roman" w:eastAsia="Times New Roman" w:cs="Times New Roman"/>
          <w:sz w:val="24"/>
          <w:szCs w:val="24"/>
        </w:rPr>
      </w:pPr>
      <w:r>
        <w:rPr>
          <w:rFonts w:eastAsia="Times New Roman" w:cs="Times New Roman"/>
          <w:sz w:val="24"/>
          <w:szCs w:val="24"/>
        </w:rPr>
        <w:t>4.4.2.1. os serviços tenham sido prestados regularmente;</w:t>
      </w:r>
    </w:p>
    <w:p>
      <w:pPr>
        <w:pStyle w:val="Normal"/>
        <w:rPr>
          <w:rFonts w:ascii="Times New Roman" w:hAnsi="Times New Roman" w:eastAsia="Times New Roman" w:cs="Times New Roman"/>
          <w:sz w:val="24"/>
          <w:szCs w:val="24"/>
        </w:rPr>
      </w:pPr>
      <w:r>
        <w:rPr>
          <w:rFonts w:eastAsia="Times New Roman" w:cs="Times New Roman"/>
          <w:sz w:val="24"/>
          <w:szCs w:val="24"/>
        </w:rPr>
        <w:t>4.4.2.2. a Administração mantenha interesse na realização do serviço; e</w:t>
      </w:r>
    </w:p>
    <w:p>
      <w:pPr>
        <w:pStyle w:val="Normal"/>
        <w:rPr>
          <w:rFonts w:ascii="Times New Roman" w:hAnsi="Times New Roman" w:eastAsia="Times New Roman" w:cs="Times New Roman"/>
          <w:sz w:val="24"/>
          <w:szCs w:val="24"/>
        </w:rPr>
      </w:pPr>
      <w:r>
        <w:rPr>
          <w:rFonts w:eastAsia="Times New Roman" w:cs="Times New Roman"/>
          <w:sz w:val="24"/>
          <w:szCs w:val="24"/>
        </w:rPr>
        <w:t>4.4.2.3. o valor do contrato permaneça economicamente vantajoso para a Administração.</w:t>
      </w:r>
    </w:p>
    <w:p>
      <w:pPr>
        <w:pStyle w:val="Normal"/>
        <w:rPr>
          <w:rFonts w:ascii="Times New Roman" w:hAnsi="Times New Roman" w:eastAsia="Times New Roman" w:cs="Times New Roman"/>
          <w:sz w:val="24"/>
          <w:szCs w:val="24"/>
        </w:rPr>
      </w:pPr>
      <w:r>
        <w:rPr>
          <w:rFonts w:eastAsia="Times New Roman" w:cs="Times New Roman"/>
          <w:sz w:val="24"/>
          <w:szCs w:val="24"/>
        </w:rPr>
        <w:t>4.5. O contratado não tem direito subjetivo a prorrogação contratual.</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QUINTA – DA GARANTIA</w:t>
      </w:r>
    </w:p>
    <w:p>
      <w:pPr>
        <w:pStyle w:val="Normal"/>
        <w:rPr>
          <w:rFonts w:ascii="Times New Roman" w:hAnsi="Times New Roman" w:eastAsia="Times New Roman" w:cs="Times New Roman"/>
          <w:sz w:val="24"/>
          <w:szCs w:val="24"/>
        </w:rPr>
      </w:pPr>
      <w:r>
        <w:rPr>
          <w:rFonts w:eastAsia="Times New Roman" w:cs="Times New Roman"/>
          <w:sz w:val="24"/>
          <w:szCs w:val="24"/>
        </w:rPr>
        <w:t>5.1. [Reproduzir Anexo IV – FOLHA DE DADOS (CGDL 22.1)]</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SEXTA – DO PAGAMENTO</w:t>
      </w:r>
    </w:p>
    <w:p>
      <w:pPr>
        <w:pStyle w:val="Normal"/>
        <w:rPr>
          <w:rFonts w:ascii="Times New Roman" w:hAnsi="Times New Roman" w:eastAsia="Times New Roman" w:cs="Times New Roman"/>
          <w:sz w:val="24"/>
          <w:szCs w:val="24"/>
        </w:rPr>
      </w:pPr>
      <w:r>
        <w:rPr>
          <w:rFonts w:eastAsia="Times New Roman" w:cs="Times New Roman"/>
          <w:sz w:val="24"/>
          <w:szCs w:val="24"/>
        </w:rPr>
        <w:t>6.1. O pagamento deverá ser efetuado no prazo de 30 dias mediante a apresentação de Nota Fiscal ou da Fatura pelo contratado, que deverá conter o detalhamento dos serviços executados.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6.2. [Transcrever as condições estabelecidas no Anexo IV – FOLHA DE DADOS (CGDL 18.1)]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6.3.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pPr>
        <w:pStyle w:val="Normal"/>
        <w:rPr>
          <w:rFonts w:ascii="Times New Roman" w:hAnsi="Times New Roman" w:eastAsia="Times New Roman" w:cs="Times New Roman"/>
          <w:sz w:val="24"/>
          <w:szCs w:val="24"/>
        </w:rPr>
      </w:pPr>
      <w:r>
        <w:rPr>
          <w:rFonts w:eastAsia="Times New Roman" w:cs="Times New Roman"/>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rPr>
          <w:rFonts w:ascii="Times New Roman" w:hAnsi="Times New Roman" w:eastAsia="Times New Roman" w:cs="Times New Roman"/>
          <w:sz w:val="24"/>
          <w:szCs w:val="24"/>
        </w:rPr>
      </w:pPr>
      <w:r>
        <w:rPr>
          <w:rFonts w:eastAsia="Times New Roman" w:cs="Times New Roman"/>
          <w:sz w:val="24"/>
          <w:szCs w:val="24"/>
        </w:rPr>
        <w:t>6.4. A protocolização somente poderá ser feita após a prestação dos serviços por parte do contratado.</w:t>
      </w:r>
    </w:p>
    <w:p>
      <w:pPr>
        <w:pStyle w:val="Normal"/>
        <w:rPr>
          <w:rFonts w:ascii="Times New Roman" w:hAnsi="Times New Roman" w:eastAsia="Times New Roman" w:cs="Times New Roman"/>
          <w:sz w:val="24"/>
          <w:szCs w:val="24"/>
        </w:rPr>
      </w:pPr>
      <w:r>
        <w:rPr>
          <w:rFonts w:eastAsia="Times New Roman" w:cs="Times New Roman"/>
          <w:sz w:val="24"/>
          <w:szCs w:val="24"/>
        </w:rPr>
        <w:t>6.5. O pagamento será efetuado por serviço efetivamente prestado e aceito.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6.5.1. A glosa do pagamento durante a execução contratual, sem prejuízo das sanções cabíveis, só deverá ocorrer quando o contratado: </w:t>
      </w:r>
    </w:p>
    <w:p>
      <w:pPr>
        <w:pStyle w:val="Normal"/>
        <w:rPr>
          <w:rFonts w:ascii="Times New Roman" w:hAnsi="Times New Roman" w:eastAsia="Times New Roman" w:cs="Times New Roman"/>
          <w:sz w:val="24"/>
          <w:szCs w:val="24"/>
        </w:rPr>
      </w:pPr>
      <w:r>
        <w:rPr>
          <w:rFonts w:eastAsia="Times New Roman" w:cs="Times New Roman"/>
          <w:sz w:val="24"/>
          <w:szCs w:val="24"/>
        </w:rPr>
        <w:t>6.5.1.1. não produzir os resultados, deixar de executar, ou não executar as atividades com a qualidade mínima exigida no contrato; ou</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6.5.1.2. deixar de utilizar materiais e recursos humanos exigidos para a execução do serviço, ou utilizá-los com qualidade ou quantidade inferior à demandada. </w:t>
      </w:r>
    </w:p>
    <w:p>
      <w:pPr>
        <w:pStyle w:val="Normal"/>
        <w:rPr>
          <w:rFonts w:ascii="Times New Roman" w:hAnsi="Times New Roman" w:eastAsia="Times New Roman" w:cs="Times New Roman"/>
          <w:sz w:val="24"/>
          <w:szCs w:val="24"/>
        </w:rPr>
      </w:pPr>
      <w:r>
        <w:rPr>
          <w:rFonts w:eastAsia="Times New Roman" w:cs="Times New Roman"/>
          <w:sz w:val="24"/>
          <w:szCs w:val="24"/>
        </w:rPr>
        <w:t>6.6. Caso o serviço não seja prestado fielmente e/ou apresente alguma incorreção será considerado como não aceito e o prazo de pagamento será contado a partir da data de regularização.</w:t>
      </w:r>
    </w:p>
    <w:p>
      <w:pPr>
        <w:pStyle w:val="Normal"/>
        <w:rPr>
          <w:rFonts w:ascii="Times New Roman" w:hAnsi="Times New Roman" w:eastAsia="Times New Roman" w:cs="Times New Roman"/>
          <w:sz w:val="24"/>
          <w:szCs w:val="24"/>
        </w:rPr>
      </w:pPr>
      <w:r>
        <w:rPr>
          <w:rFonts w:eastAsia="Times New Roman" w:cs="Times New Roman"/>
          <w:sz w:val="24"/>
          <w:szCs w:val="24"/>
        </w:rPr>
        <w:t>6.7. Na fase da liquidação da despesa deverá ser efetuada consulta ao CADIN/RS, para fins de comprovação do cumprimento da relação contratual estabelecida, nos termos do disposto no artigo 92, inciso XVI, da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rPr>
          <w:rFonts w:ascii="Times New Roman" w:hAnsi="Times New Roman" w:eastAsia="Times New Roman" w:cs="Times New Roman"/>
          <w:sz w:val="24"/>
          <w:szCs w:val="24"/>
        </w:rPr>
      </w:pPr>
      <w:r>
        <w:rPr>
          <w:rFonts w:eastAsia="Times New Roman" w:cs="Times New Roman"/>
          <w:sz w:val="24"/>
          <w:szCs w:val="24"/>
        </w:rPr>
        <w:t>6.7.2. Persistindo a irregularidade, o contratante poderá adotar as medidas necessárias à rescisão contratual nos autos do processo administrativo correspondente, assegurado ao contratado a ampla defesa.</w:t>
      </w:r>
    </w:p>
    <w:p>
      <w:pPr>
        <w:pStyle w:val="Normal"/>
        <w:rPr>
          <w:rFonts w:ascii="Times New Roman" w:hAnsi="Times New Roman" w:eastAsia="Times New Roman" w:cs="Times New Roman"/>
          <w:sz w:val="24"/>
          <w:szCs w:val="24"/>
        </w:rPr>
      </w:pPr>
      <w:r>
        <w:rPr>
          <w:rFonts w:eastAsia="Times New Roman" w:cs="Times New Roman"/>
          <w:sz w:val="24"/>
          <w:szCs w:val="24"/>
        </w:rPr>
        <w:t>6.8. Os pagamentos a serem efetuados em favor do contratado, quando couber, estarão sujeitos às retenções tributárias devidas sobre o valor da fatura de serviços do contratado, nos termos da legislação vigente.</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6.9. As empresas dispensadas de retenções deverão entregar declaração, anexa ao documento de cobrança, assinadas pelo representante legal, além de informar sua condição no documento fiscal, inclusive o enquadramento legal.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6.10. O contratante poderá reter, do valor da fatura do contratado, a importância correspondente ao inadimplemento contratual, até a regularização das obrigações assumidas pelo contratado. </w:t>
      </w:r>
    </w:p>
    <w:p>
      <w:pPr>
        <w:pStyle w:val="Normal"/>
        <w:rPr/>
      </w:pPr>
      <w:r>
        <w:rPr/>
      </w:r>
      <w:r>
        <w:br w:type="page"/>
      </w:r>
    </w:p>
    <w:p>
      <w:pPr>
        <w:pStyle w:val="Normal"/>
        <w:spacing w:before="0" w:after="0"/>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SÉTIMA - DA ATUALIZAÇÃO MONETÁRIA</w:t>
      </w:r>
    </w:p>
    <w:p>
      <w:pPr>
        <w:pStyle w:val="Normal"/>
        <w:rPr>
          <w:rFonts w:ascii="Times New Roman" w:hAnsi="Times New Roman" w:eastAsia="Times New Roman" w:cs="Times New Roman"/>
          <w:sz w:val="24"/>
          <w:szCs w:val="24"/>
        </w:rPr>
      </w:pPr>
      <w:r>
        <w:rPr>
          <w:rFonts w:eastAsia="Times New Roman" w:cs="Times New Roman"/>
          <w:sz w:val="24"/>
          <w:szCs w:val="24"/>
        </w:rPr>
        <w:t>7.1. Os valores do presente contrato não pagos na data prevista serão corrigidos até a data do efetivo pagamento, pro rata die, pelo Índice de Preços ao Consumidor Amplo – IPCA, do Sistema Nacional de Índices de Preços ao Consumidor – SNIPC, ou outro que venha a substituí-lo.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OITAVA – DO REAJUSTE DO PREÇO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8.1. O contrato será reajustado, observado o interregno mínimo de um ano, a contar da data-base do orçamento estimado. </w:t>
      </w:r>
    </w:p>
    <w:p>
      <w:pPr>
        <w:pStyle w:val="Normal"/>
        <w:rPr>
          <w:rFonts w:ascii="Times New Roman" w:hAnsi="Times New Roman" w:eastAsia="Times New Roman" w:cs="Times New Roman"/>
          <w:sz w:val="24"/>
          <w:szCs w:val="24"/>
        </w:rPr>
      </w:pPr>
      <w:r>
        <w:rPr>
          <w:rFonts w:eastAsia="Times New Roman" w:cs="Times New Roman"/>
          <w:sz w:val="24"/>
          <w:szCs w:val="24"/>
        </w:rPr>
        <w:t>8.1.1. Considera-se data-base, para fins de reajuste, a DATA DO ORÇAMENTO informada na FOLHA DE DADOS CGDL 19.</w:t>
      </w:r>
    </w:p>
    <w:p>
      <w:pPr>
        <w:pStyle w:val="Normal"/>
        <w:rPr>
          <w:rFonts w:ascii="Times New Roman" w:hAnsi="Times New Roman" w:eastAsia="Times New Roman" w:cs="Times New Roman"/>
          <w:sz w:val="24"/>
          <w:szCs w:val="24"/>
        </w:rPr>
      </w:pPr>
      <w:r>
        <w:rPr>
          <w:rFonts w:eastAsia="Times New Roman" w:cs="Times New Roman"/>
          <w:sz w:val="24"/>
          <w:szCs w:val="24"/>
        </w:rPr>
        <w:t xml:space="preserve">8.1.2. Nos reajustes subsequentes ao primeiro, o interregno mínimo de um ano será contado a partir dos efeitos financeiros do último reajuste.  </w:t>
      </w:r>
    </w:p>
    <w:p>
      <w:pPr>
        <w:pStyle w:val="Normal"/>
        <w:rPr>
          <w:rFonts w:ascii="Times New Roman" w:hAnsi="Times New Roman" w:eastAsia="Times New Roman" w:cs="Times New Roman"/>
          <w:sz w:val="24"/>
          <w:szCs w:val="24"/>
        </w:rPr>
      </w:pPr>
      <w:r>
        <w:rPr>
          <w:rFonts w:eastAsia="Times New Roman" w:cs="Times New Roman"/>
          <w:sz w:val="24"/>
          <w:szCs w:val="24"/>
        </w:rPr>
        <w:t>8.2. O valor do contrato será reajustado pelo IPCA, obedecendo-se a metodologia de cálculo adequada para sua atualização.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 xml:space="preserve">CLÁUSULA NONA – REEQUILÍBRIO ECONÔMICO-FINANCEIRO </w:t>
      </w:r>
    </w:p>
    <w:p>
      <w:pPr>
        <w:pStyle w:val="Normal"/>
        <w:rPr>
          <w:rFonts w:ascii="Times New Roman" w:hAnsi="Times New Roman" w:eastAsia="Times New Roman" w:cs="Times New Roman"/>
          <w:sz w:val="24"/>
          <w:szCs w:val="24"/>
        </w:rPr>
      </w:pPr>
      <w:r>
        <w:rPr>
          <w:rFonts w:eastAsia="Times New Roman" w:cs="Times New Roman"/>
          <w:sz w:val="24"/>
          <w:szCs w:val="24"/>
        </w:rPr>
        <w:t>9.1.Caso o contratado pleiteie o reequilíbrio econômico-financeiro do contrato, fica o contratante obrigado a responder em até 30 (trinta) dias da data do requerimento.</w:t>
      </w:r>
    </w:p>
    <w:p>
      <w:pPr>
        <w:pStyle w:val="Normal"/>
        <w:rPr>
          <w:rFonts w:ascii="Times New Roman" w:hAnsi="Times New Roman" w:eastAsia="Times New Roman" w:cs="Times New Roman"/>
          <w:sz w:val="24"/>
          <w:szCs w:val="24"/>
        </w:rPr>
      </w:pPr>
      <w:r>
        <w:rPr>
          <w:rFonts w:eastAsia="Times New Roman" w:cs="Times New Roman"/>
          <w:sz w:val="24"/>
          <w:szCs w:val="24"/>
        </w:rPr>
        <w:t>9.1.1. O não cumprimento do prazo constante na subcláusula 9.1 não implica em deferimento do pedido por parte do contratante</w:t>
      </w:r>
    </w:p>
    <w:p>
      <w:pPr>
        <w:pStyle w:val="Normal"/>
        <w:rPr>
          <w:rFonts w:ascii="Times New Roman" w:hAnsi="Times New Roman" w:eastAsia="Times New Roman" w:cs="Times New Roman"/>
          <w:sz w:val="24"/>
          <w:szCs w:val="24"/>
        </w:rPr>
      </w:pPr>
      <w:r>
        <w:rPr>
          <w:rFonts w:eastAsia="Times New Roman" w:cs="Times New Roman"/>
          <w:sz w:val="24"/>
          <w:szCs w:val="24"/>
        </w:rPr>
        <w:t>9.2. Todos os documentos necessários à apreciação do pedido deverão ser apresentados juntamente com o requerimento.</w:t>
      </w:r>
    </w:p>
    <w:p>
      <w:pPr>
        <w:pStyle w:val="Normal"/>
        <w:rPr>
          <w:rFonts w:ascii="Times New Roman" w:hAnsi="Times New Roman" w:eastAsia="Times New Roman" w:cs="Times New Roman"/>
          <w:sz w:val="24"/>
          <w:szCs w:val="24"/>
        </w:rPr>
      </w:pPr>
      <w:r>
        <w:rPr>
          <w:rFonts w:eastAsia="Times New Roman" w:cs="Times New Roman"/>
          <w:sz w:val="24"/>
          <w:szCs w:val="24"/>
        </w:rPr>
        <w:t>9.3.O pedido de restabelecimento do equilíbrio econômico-financeiro deverá ser formulado durante a vigência do contrato.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 DAS OBRIGAÇÕES DO CONTRATADO</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10.1. Fornecer os bens conforme especificações contidas no </w:t>
      </w:r>
      <w:r>
        <w:rPr>
          <w:rFonts w:eastAsia="Times New Roman" w:cs="Times New Roman"/>
          <w:b/>
          <w:bCs/>
          <w:i w:val="false"/>
          <w:iCs w:val="false"/>
          <w:caps w:val="false"/>
          <w:smallCaps w:val="false"/>
          <w:color w:themeColor="text1" w:val="000000"/>
          <w:sz w:val="24"/>
          <w:szCs w:val="24"/>
          <w:lang w:val="pt-BR"/>
        </w:rPr>
        <w:t>Anexo V - Termo de Referência</w:t>
      </w:r>
      <w:r>
        <w:rPr>
          <w:rFonts w:eastAsia="Times New Roman" w:cs="Times New Roman"/>
          <w:b w:val="false"/>
          <w:bCs w:val="false"/>
          <w:i w:val="false"/>
          <w:iCs w:val="false"/>
          <w:caps w:val="false"/>
          <w:smallCaps w:val="false"/>
          <w:color w:themeColor="text1" w:val="000000"/>
          <w:sz w:val="24"/>
          <w:szCs w:val="24"/>
          <w:lang w:val="pt-BR"/>
        </w:rPr>
        <w:t xml:space="preserve"> e de sua proposta.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10.3. Assumir inteira responsabilidade pelas obrigações fiscais, previdenciárias, trabalhistas e comerciais decorrentes da execução do presente contrato.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10.6. Atender integralmente o Termo de Referência.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10.7. O Contratado deverá, se for o caso, apresentar Programa de Integridade, nos termos da Lei Estadual nº 15.228, de 25 de setembro de 2018, do Decreto Estadual nº 55.631, de 9 de dezembro de 2020 e da Instrução Normativa CAGE nº 6, de 23 de dezembro de 2021.</w:t>
      </w:r>
    </w:p>
    <w:p>
      <w:pPr>
        <w:pStyle w:val="Normal"/>
        <w:tabs>
          <w:tab w:val="clear" w:pos="720"/>
          <w:tab w:val="left" w:pos="8187" w:leader="none"/>
        </w:tabs>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10.8. Obrigações do contratado referentes à Lei Geral de Proteção de Dados – LGPD:</w:t>
      </w:r>
    </w:p>
    <w:p>
      <w:pPr>
        <w:pStyle w:val="Normal"/>
        <w:tabs>
          <w:tab w:val="clear" w:pos="720"/>
          <w:tab w:val="left" w:pos="8187" w:leader="none"/>
        </w:tabs>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pPr>
        <w:pStyle w:val="Normal"/>
        <w:tabs>
          <w:tab w:val="clear" w:pos="720"/>
          <w:tab w:val="left" w:pos="8187" w:leader="none"/>
        </w:tabs>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pPr>
        <w:pStyle w:val="Normal"/>
        <w:tabs>
          <w:tab w:val="clear" w:pos="720"/>
          <w:tab w:val="left" w:pos="8187" w:leader="none"/>
        </w:tabs>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10.8.3. A CONTRATADA deverá garantir que os dados regulamentados pela LGPD - Lei Geral de Proteção de Dados, nº 13.709/2018 estarão armazenados dentro do território nacional, salvo exceções de comum acordo com a CONTRATANTE.</w:t>
      </w:r>
    </w:p>
    <w:p>
      <w:pPr>
        <w:pStyle w:val="Normal"/>
        <w:tabs>
          <w:tab w:val="clear" w:pos="720"/>
          <w:tab w:val="left" w:pos="8187" w:leader="none"/>
        </w:tabs>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10.8.4. É expressamente vedada a análise do comportamento dos titulares dos dados regulados pela legislação citada anteriormente com o objetivo de divulgação a terceiros.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10.8.5. A CONTRATADA deverá garantir que a execução do objeto da contratação esteja plenamente adequada à LGPD, permitindo assim auditorias solicitadas pela CONTRATANTE.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10.9. Cumprir as exigências de reserva de cargos prevista em lei, bem como em outras normas específicas, para pessoa com deficiência, para reabilitado da Previdência Social e para aprendiz.</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10.10. [Reproduzir, se for o caso, outras obrigações específicas previstas no Item ANEXO III – FOLHA DE DADOS (CGDL 20.1)].</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PRIMEIRA – DAS OBRIGAÇÕES DO CONTRATANTE</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11.2. Exigir o cumprimento de todas as obrigações assumidas pelo contratado, de acordo com as cláusulas contratuais e os termos de sua proposta.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11.3. Notificar o contratado por escrito da ocorrência de eventuais imperfeições no curso da execução do contrato, fixando prazo para a sua correção. </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11.4. Pagar ao contratado o valor resultante do fornecimento, no prazo e condições estabelecidas.</w:t>
      </w:r>
    </w:p>
    <w:p>
      <w:pPr>
        <w:pStyle w:val="Normal"/>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SEGUNDA – DAS INFRAÇÕES E SANÇÕES ADMINISTRATIVAS</w:t>
      </w:r>
    </w:p>
    <w:p>
      <w:pPr>
        <w:pStyle w:val="Normal"/>
        <w:rPr>
          <w:rFonts w:ascii="Times New Roman" w:hAnsi="Times New Roman" w:eastAsia="Times New Roman" w:cs="Times New Roman"/>
          <w:b/>
          <w:bCs/>
          <w:sz w:val="24"/>
          <w:szCs w:val="24"/>
        </w:rPr>
      </w:pPr>
      <w:r>
        <w:rPr>
          <w:rFonts w:eastAsia="Times New Roman" w:cs="Times New Roman"/>
          <w:b/>
          <w:bCs/>
          <w:sz w:val="24"/>
          <w:szCs w:val="24"/>
        </w:rPr>
        <w:t xml:space="preserve">12.1. Das Infrações Administrativas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 Comete infração administrativa, nos termos da Lei Federal nº 14.133/2021, o contratado que: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12.1.1.1. der causa à inexecução parcial do contrato;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12.1.1.2. der causa à inexecução parcial do contrato que cause grave dano à Administração, ao funcionamento dos serviços públicos ou ao interesse coletivo;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12.1.1.3. der causa à inexecução total do contrato;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12.1.1.4. enseje o retardamento da execução ou da entrega do objeto do contrato, sem motivo justificado, o qual se configura quando o contratado: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12.1.1.4.1. deixe de iniciar, sem causa justificada, a execução do contrato após 7 (sete) dias contados da data da ordem de serviço;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12.1.1.4.2. deixe de realizar, sem causa justificada, os serviços definidos no contrato por 3 (três) dias seguidos ou por 10 (dez) dias intercalados.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12.1.1.5. apresente declaração ou documentação falsa, ou preste declaração falsa durante a execução do contrato;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12.1.1.6. pratique ato fraudulento na execução do contrato;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12.1.1.7. comporte-se de modo inidôneo ou cometa fraude de qualquer natureza; ou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12.1.1.8. pratique ato lesivo previsto no art. 5º da Lei nº 12.846, de 1º de agosto de 2013.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 Do Processo Administrativo e das Sanções Administrativas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 Serão aplicadas ao responsável pelas infrações administrativas, de acordo com a dosimetria estabelecida na norma indicada no Anexo IV – FOLHA DE DADOS (CGDL 23.2.2), as seguintes sanções: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12.2.2.1. advertência, para a infração prevista na subcláusula 12.1.1.1, quando não se justificar a imposição de penalidade mais grave;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12.2.2.2. multa, nas modalidades: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12.2.2.2.1. compensatória, de até 10% sobre o valor da parcela inadimplida, para quaisquer das infrações previstas nas subcláusulas 12.1.1.1. a 12.1.1.8;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12.2.2.2.2. moratória, pelo atraso injustificado na execução do contrato, de até 0,5% (meio por cento) por dia de atraso injustificado sobre o valor da parcela inadimplida, até o limite de 30 (trinta) dias; </w:t>
      </w:r>
    </w:p>
    <w:p>
      <w:pPr>
        <w:pStyle w:val="Normal"/>
        <w:rPr>
          <w:rFonts w:ascii="Times New Roman" w:hAnsi="Times New Roman" w:eastAsia="Times New Roman" w:cs="Times New Roman"/>
          <w:sz w:val="24"/>
          <w:szCs w:val="24"/>
        </w:rPr>
      </w:pPr>
      <w:r>
        <w:rPr>
          <w:rFonts w:eastAsia="Times New Roman" w:cs="Times New Roman"/>
          <w:sz w:val="24"/>
          <w:szCs w:val="24"/>
        </w:rPr>
        <w:t>12.2.2.3. moratória, pela não obtenção do Certificado de Apresentação de Programa de Integridade dentro do prazo referido na subcláusula 10.30.2, de até 0,02% (dois centésimos por cento) por dia de atraso sobre o valor do contrato, até o limite de 10% (dez por cento);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12.2.2.4. impedimento de licitar e contratar, para as infrações previstas nas subcláusulas 12.1.1.2. a 12.1.1.4, quando não se justificar a imposição de penalidade mais grave;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12.2.2.5. declaração de inidoneidade para licitar e contratar, para as infrações previstas nas subcláusulas 12.1.1.5. a 12.1.1.8.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 Da Aplicação das Sanções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12.3.1. As sanções aqui previstas são independentes entre si, podendo ser aplicadas isoladas ou, no caso das multas, cumulativamente, sem prejuízo de outras medidas cabíveis.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12.3.2. A aplicação de sanções não exime o contratado da obrigação de reparar os danos, perdas ou prejuízos que venha a causar ao ente público.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12.3.2.1. O valor previsto a título de multa compensatória será tido como mínimo da indenização devida à título de perdas e danos, competindo ao contratante provar o prejuízo excedente, nos termos do art. 416 do Código Civil - Lei nº 10.406/2002.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12.3.3. A multa de mora poderá ser convertida em multa compensatória, com a aplicação cumulada de outras sanções previstas neste Contrato.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12.3.4 As penalidades de multa decorrentes de fatos diversos serão consideradas independentes entre si.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12.3.5. O contrato, sem prejuízo das multas e demais cominações legais previstas no instrumento, poderá ser rescindido unilateralmente, por ato formal da Administração, nos casos enumerados nos incisos do caput do art. 137 da Lei Federal nº 14.133/2021. </w:t>
      </w:r>
    </w:p>
    <w:p>
      <w:pPr>
        <w:pStyle w:val="Normal"/>
        <w:rPr>
          <w:rFonts w:ascii="Times New Roman" w:hAnsi="Times New Roman" w:eastAsia="Times New Roman" w:cs="Times New Roman"/>
          <w:sz w:val="24"/>
          <w:szCs w:val="24"/>
        </w:rPr>
      </w:pPr>
      <w:r>
        <w:rPr>
          <w:rFonts w:eastAsia="Times New Roman" w:cs="Times New Roman"/>
          <w:sz w:val="24"/>
          <w:szCs w:val="24"/>
        </w:rPr>
        <w:t>12.3.6.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12.3.7. Serão reputados como inidôneos atos como os descritos nos arts.337-F, 337-I, 337-J, 337-K, 337-L e no art. 337-M, §§ 1º e 2º, do Capítulo II-B, do Título XI da Parte Especial do Decreto-Lei nº 2.848, de 7 de dezembro de 1940 (Código Penal).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12.3.8. As sanções de suspensão e de declaração de inidoneidade levam à inclusão do participante no CFIL/RS. </w:t>
      </w:r>
    </w:p>
    <w:p>
      <w:pPr>
        <w:pStyle w:val="Normal"/>
        <w:rPr>
          <w:rFonts w:ascii="Times New Roman" w:hAnsi="Times New Roman" w:eastAsia="Times New Roman" w:cs="Times New Roman"/>
          <w:sz w:val="24"/>
          <w:szCs w:val="24"/>
        </w:rPr>
      </w:pPr>
      <w:r>
        <w:rPr>
          <w:rFonts w:eastAsia="Times New Roman" w:cs="Times New Roman"/>
          <w:sz w:val="24"/>
          <w:szCs w:val="24"/>
        </w:rPr>
        <w:t>12.3.9. A aplicação de multa de mora não impedirá que a Administração a converta em compensatória e promova a extinção unilateral do contrato com a aplicação cumulada de outras sanções previstas neste Contrato.</w:t>
      </w:r>
    </w:p>
    <w:p>
      <w:pPr>
        <w:pStyle w:val="Normal"/>
        <w:rPr>
          <w:rFonts w:ascii="Times New Roman" w:hAnsi="Times New Roman" w:eastAsia="Times New Roman" w:cs="Times New Roman"/>
          <w:sz w:val="24"/>
          <w:szCs w:val="24"/>
        </w:rPr>
      </w:pPr>
      <w:r>
        <w:rPr>
          <w:rFonts w:eastAsia="Times New Roman" w:cs="Times New Roman"/>
          <w:sz w:val="24"/>
          <w:szCs w:val="24"/>
        </w:rPr>
        <w:t>12.3.10. A aplicação de qualquer penalidade não exclui a aplicação da multa.</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 Da execução da garantia contratual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12.4.1. O valor da multa poderá ser descontado da garantia contratual.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12.4.2. Se a multa for de valor superior ao da garantia prestada, além da perda desta, responderá o contratado pela sua diferença, a qual será descontada dos pagamentos eventualmente devidos pelo contratante.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12.4.3. Se os valores da garantia e das faturas forem insuficientes, fica o contratado obrigado a recolher a diferença devida, no prazo de 15 (quinze) dias, contados da comunicação oficial.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12.4.4. Esgotados os meios administrativos para cobrança do valor devido pelo contratado ao contratante, o débito será encaminhado para inscrição em dívida ativa não tributária.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12.4.5. Caso o valor da garantia seja utilizado, no todo ou em parte, para o pagamento da multa, essa deve ser complementada no prazo de até 10 (dez) dias, contado da solicitação do contratante. </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12.4.6. Em se tratando de inobservância do prazo fixado para apresentação da garantia (seja para reforço ou por ocasião de prorrogação), aplicar-se-á multa de 0,07% (sete centésimos por cento) do valor do contrato por dia de atraso, observado o máximo de 2% (dois por cento).  </w:t>
      </w:r>
    </w:p>
    <w:p>
      <w:pPr>
        <w:pStyle w:val="Normal"/>
        <w:rPr>
          <w:rFonts w:ascii="Times New Roman" w:hAnsi="Times New Roman" w:eastAsia="Times New Roman" w:cs="Times New Roman"/>
          <w:sz w:val="24"/>
          <w:szCs w:val="24"/>
        </w:rPr>
      </w:pPr>
      <w:r>
        <w:rPr>
          <w:rFonts w:eastAsia="Times New Roman" w:cs="Times New Roman"/>
          <w:sz w:val="24"/>
          <w:szCs w:val="24"/>
        </w:rPr>
        <w:t>CLÁUSULA DÉCIMA TERCEIRA – DA EXTINÇÃO ANTECIPADA</w:t>
      </w:r>
    </w:p>
    <w:p>
      <w:pPr>
        <w:pStyle w:val="Normal"/>
        <w:rPr>
          <w:rFonts w:ascii="Times New Roman" w:hAnsi="Times New Roman" w:eastAsia="Times New Roman" w:cs="Times New Roman"/>
          <w:sz w:val="24"/>
          <w:szCs w:val="24"/>
        </w:rPr>
      </w:pPr>
      <w:r>
        <w:rPr>
          <w:rFonts w:eastAsia="Times New Roman" w:cs="Times New Roman"/>
          <w:sz w:val="24"/>
          <w:szCs w:val="24"/>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rPr>
          <w:rFonts w:ascii="Times New Roman" w:hAnsi="Times New Roman" w:eastAsia="Times New Roman" w:cs="Times New Roman"/>
          <w:sz w:val="24"/>
          <w:szCs w:val="24"/>
        </w:rPr>
      </w:pPr>
      <w:r>
        <w:rPr>
          <w:rFonts w:eastAsia="Times New Roman" w:cs="Times New Roman"/>
          <w:sz w:val="24"/>
          <w:szCs w:val="24"/>
        </w:rPr>
        <w:t>13.2.O presente Contrato poderá ser extinto antecipadamente por interesse do contratado nas hipóteses do art. 137,§2º, com as consequências previstas noart.138,§2º, da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13.3.A extinção antecipada do contrato deverá observar os seguintes requisitos: </w:t>
      </w:r>
    </w:p>
    <w:p>
      <w:pPr>
        <w:pStyle w:val="Normal"/>
        <w:rPr>
          <w:rFonts w:ascii="Times New Roman" w:hAnsi="Times New Roman" w:eastAsia="Times New Roman" w:cs="Times New Roman"/>
          <w:sz w:val="24"/>
          <w:szCs w:val="24"/>
        </w:rPr>
      </w:pPr>
      <w:r>
        <w:rPr>
          <w:rFonts w:eastAsia="Times New Roman" w:cs="Times New Roman"/>
          <w:sz w:val="24"/>
          <w:szCs w:val="24"/>
        </w:rPr>
        <w:t>13.3.1. levantamento dos eventos contratuais já cumpridos ou parcialmente cumpridos;</w:t>
      </w:r>
    </w:p>
    <w:p>
      <w:pPr>
        <w:pStyle w:val="Normal"/>
        <w:rPr>
          <w:rFonts w:ascii="Times New Roman" w:hAnsi="Times New Roman" w:eastAsia="Times New Roman" w:cs="Times New Roman"/>
          <w:sz w:val="24"/>
          <w:szCs w:val="24"/>
        </w:rPr>
      </w:pPr>
      <w:r>
        <w:rPr>
          <w:rFonts w:eastAsia="Times New Roman" w:cs="Times New Roman"/>
          <w:sz w:val="24"/>
          <w:szCs w:val="24"/>
        </w:rPr>
        <w:t>13.3.2. relação dos pagamentos já efetuados e ainda devidos;</w:t>
      </w:r>
    </w:p>
    <w:p>
      <w:pPr>
        <w:pStyle w:val="Normal"/>
        <w:rPr>
          <w:rFonts w:ascii="Times New Roman" w:hAnsi="Times New Roman" w:eastAsia="Times New Roman" w:cs="Times New Roman"/>
          <w:sz w:val="24"/>
          <w:szCs w:val="24"/>
        </w:rPr>
      </w:pPr>
      <w:r>
        <w:rPr>
          <w:rFonts w:eastAsia="Times New Roman" w:cs="Times New Roman"/>
          <w:sz w:val="24"/>
          <w:szCs w:val="24"/>
        </w:rPr>
        <w:t>13.3.3. apuração de indenizações e multas; e</w:t>
      </w:r>
    </w:p>
    <w:p>
      <w:pPr>
        <w:pStyle w:val="Normal"/>
        <w:rPr>
          <w:rFonts w:ascii="Times New Roman" w:hAnsi="Times New Roman" w:eastAsia="Times New Roman" w:cs="Times New Roman"/>
          <w:sz w:val="24"/>
          <w:szCs w:val="24"/>
        </w:rPr>
      </w:pPr>
      <w:r>
        <w:rPr>
          <w:rFonts w:eastAsia="Times New Roman" w:cs="Times New Roman"/>
          <w:sz w:val="24"/>
          <w:szCs w:val="24"/>
        </w:rPr>
        <w:t>13.3.4. notificação dos emitentes da garantia prevista na cláusula quinta deste contrato, quando cabível.</w:t>
      </w:r>
    </w:p>
    <w:p>
      <w:pPr>
        <w:pStyle w:val="Normal"/>
        <w:rPr/>
      </w:pPr>
      <w:r>
        <w:rPr/>
      </w:r>
      <w:r>
        <w:br w:type="page"/>
      </w:r>
    </w:p>
    <w:p>
      <w:pPr>
        <w:pStyle w:val="Normal"/>
        <w:spacing w:before="0" w:after="0"/>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QUARTA - DAS VEDAÇÕES</w:t>
      </w:r>
    </w:p>
    <w:p>
      <w:pPr>
        <w:pStyle w:val="Normal"/>
        <w:rPr>
          <w:rFonts w:ascii="Times New Roman" w:hAnsi="Times New Roman" w:eastAsia="Times New Roman" w:cs="Times New Roman"/>
          <w:sz w:val="24"/>
          <w:szCs w:val="24"/>
        </w:rPr>
      </w:pPr>
      <w:r>
        <w:rPr>
          <w:rFonts w:eastAsia="Times New Roman" w:cs="Times New Roman"/>
          <w:sz w:val="24"/>
          <w:szCs w:val="24"/>
        </w:rPr>
        <w:t>14.1. É vedado ao contratado:</w:t>
      </w:r>
    </w:p>
    <w:p>
      <w:pPr>
        <w:pStyle w:val="Normal"/>
        <w:rPr>
          <w:rFonts w:ascii="Times New Roman" w:hAnsi="Times New Roman" w:eastAsia="Times New Roman" w:cs="Times New Roman"/>
          <w:sz w:val="24"/>
          <w:szCs w:val="24"/>
        </w:rPr>
      </w:pPr>
      <w:r>
        <w:rPr>
          <w:rFonts w:eastAsia="Times New Roman" w:cs="Times New Roman"/>
          <w:sz w:val="24"/>
          <w:szCs w:val="24"/>
        </w:rPr>
        <w:t>14.1.1. caucionar ou utilizar este Contrato para qualquer operação financeira;</w:t>
      </w:r>
    </w:p>
    <w:p>
      <w:pPr>
        <w:pStyle w:val="Normal"/>
        <w:rPr>
          <w:rFonts w:ascii="Times New Roman" w:hAnsi="Times New Roman" w:eastAsia="Times New Roman" w:cs="Times New Roman"/>
          <w:sz w:val="24"/>
          <w:szCs w:val="24"/>
        </w:rPr>
      </w:pPr>
      <w:r>
        <w:rPr>
          <w:rFonts w:eastAsia="Times New Roman" w:cs="Times New Roman"/>
          <w:sz w:val="24"/>
          <w:szCs w:val="24"/>
        </w:rPr>
        <w:t>14.1.2. interromper a execução dos serviços, sob alegação de inadimplemento por parte do contratante, salvo nos casos previstos em lei.</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QUINTA – DAS ALTERAÇÕES</w:t>
      </w:r>
    </w:p>
    <w:p>
      <w:pPr>
        <w:pStyle w:val="Normal"/>
        <w:rPr>
          <w:rFonts w:ascii="Times New Roman" w:hAnsi="Times New Roman" w:eastAsia="Times New Roman" w:cs="Times New Roman"/>
          <w:sz w:val="24"/>
          <w:szCs w:val="24"/>
        </w:rPr>
      </w:pPr>
      <w:r>
        <w:rPr>
          <w:rFonts w:eastAsia="Times New Roman" w:cs="Times New Roman"/>
          <w:sz w:val="24"/>
          <w:szCs w:val="24"/>
        </w:rPr>
        <w:t>15.1. Eventuais alterações contratuais reger-se-ão pela disciplina dosarts.124 a 136 da Lei Federal nº 14.133/2021.</w:t>
      </w:r>
    </w:p>
    <w:p>
      <w:pPr>
        <w:pStyle w:val="Normal"/>
        <w:rPr>
          <w:rFonts w:ascii="Times New Roman" w:hAnsi="Times New Roman" w:eastAsia="Times New Roman" w:cs="Times New Roman"/>
          <w:sz w:val="24"/>
          <w:szCs w:val="24"/>
        </w:rPr>
      </w:pPr>
      <w:r>
        <w:rPr>
          <w:rFonts w:eastAsia="Times New Roman" w:cs="Times New Roman"/>
          <w:sz w:val="24"/>
          <w:szCs w:val="24"/>
        </w:rPr>
        <w:t>15.2. O contratado é obrigado a aceitar, nas mesmas condições contratuais, os acréscimos ou supressões que se fizerem necessários, até o limite de 25% (vinte e cinco por cento) do valor inicial atualizado do contrato.</w:t>
      </w:r>
    </w:p>
    <w:p>
      <w:pPr>
        <w:pStyle w:val="Normal"/>
        <w:rPr>
          <w:rFonts w:ascii="Times New Roman" w:hAnsi="Times New Roman" w:eastAsia="Times New Roman" w:cs="Times New Roman"/>
          <w:sz w:val="24"/>
          <w:szCs w:val="24"/>
        </w:rPr>
      </w:pPr>
      <w:r>
        <w:rPr>
          <w:rFonts w:eastAsia="Times New Roman" w:cs="Times New Roman"/>
          <w:sz w:val="24"/>
          <w:szCs w:val="24"/>
        </w:rPr>
        <w:t>15.3. As supressões resultantes de acordo celebrado entre as partes contratantes poderão exceder o limite de 25% (vinte e cinco por cento) do valor inicial atualizado do contrato.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SEXTA – DOS CASOS OMISSOS</w:t>
      </w:r>
    </w:p>
    <w:p>
      <w:pPr>
        <w:pStyle w:val="Normal"/>
        <w:rPr>
          <w:rFonts w:ascii="Times New Roman" w:hAnsi="Times New Roman" w:eastAsia="Times New Roman" w:cs="Times New Roman"/>
          <w:sz w:val="24"/>
          <w:szCs w:val="24"/>
        </w:rPr>
      </w:pPr>
      <w:r>
        <w:rPr>
          <w:rFonts w:eastAsia="Times New Roman" w:cs="Times New Roman"/>
          <w:sz w:val="24"/>
          <w:szCs w:val="24"/>
        </w:rPr>
        <w:t>16.1. Os casos omissos serão decididos pelo contratante, segundo as disposições contidas na Lei Federal nº 14.133/2021 e demais normas aplicáveis.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 xml:space="preserve">CLÁUSULA DÉCIMA SÉTIMA – DAS DISPOSIÇÕES ESPECIAIS </w:t>
      </w:r>
    </w:p>
    <w:p>
      <w:pPr>
        <w:pStyle w:val="Normal"/>
        <w:rPr>
          <w:rFonts w:ascii="Times New Roman" w:hAnsi="Times New Roman" w:eastAsia="Times New Roman" w:cs="Times New Roman"/>
          <w:sz w:val="24"/>
          <w:szCs w:val="24"/>
        </w:rPr>
      </w:pPr>
      <w:r>
        <w:rPr>
          <w:rFonts w:eastAsia="Times New Roman" w:cs="Times New Roman"/>
          <w:sz w:val="24"/>
          <w:szCs w:val="24"/>
        </w:rPr>
        <w:t>17.1. Se qualquer das partes relevar eventual falta relacionada com a execução deste contrato, tal fato não significa liberação ou desoneração a qualquer delas.</w:t>
      </w:r>
    </w:p>
    <w:p>
      <w:pPr>
        <w:pStyle w:val="Normal"/>
        <w:rPr>
          <w:rFonts w:ascii="Times New Roman" w:hAnsi="Times New Roman" w:eastAsia="Times New Roman" w:cs="Times New Roman"/>
          <w:sz w:val="24"/>
          <w:szCs w:val="24"/>
        </w:rPr>
      </w:pPr>
      <w:r>
        <w:rPr>
          <w:rFonts w:eastAsia="Times New Roman" w:cs="Times New Roman"/>
          <w:sz w:val="24"/>
          <w:szCs w:val="24"/>
        </w:rPr>
        <w:t>17.2. No caso de ocorrer greve de caráter reivindicatório entre os empregados do contratado ou de seus subcontratados, cabe a ele resolver imediatamente a pendência.</w:t>
      </w:r>
    </w:p>
    <w:p>
      <w:pPr>
        <w:pStyle w:val="Normal"/>
        <w:rPr>
          <w:rFonts w:ascii="Times New Roman" w:hAnsi="Times New Roman" w:eastAsia="Times New Roman" w:cs="Times New Roman"/>
          <w:sz w:val="24"/>
          <w:szCs w:val="24"/>
        </w:rPr>
      </w:pPr>
      <w:r>
        <w:rPr>
          <w:rFonts w:eastAsia="Times New Roman" w:cs="Times New Roman"/>
          <w:sz w:val="24"/>
          <w:szCs w:val="24"/>
        </w:rPr>
        <w:t>17.3. As partes considerarão cumprido o contrato quando todas as obrigações aqui estipuladas estiverem efetivamente satisfeitas, nos termos de direito e aceitas pelo contratante.</w:t>
      </w:r>
    </w:p>
    <w:p>
      <w:pPr>
        <w:pStyle w:val="Normal"/>
        <w:rPr>
          <w:rFonts w:ascii="Times New Roman" w:hAnsi="Times New Roman" w:eastAsia="Times New Roman" w:cs="Times New Roman"/>
          <w:sz w:val="24"/>
          <w:szCs w:val="24"/>
        </w:rPr>
      </w:pPr>
      <w:r>
        <w:rPr>
          <w:rFonts w:eastAsia="Times New Roman" w:cs="Times New Roman"/>
          <w:sz w:val="24"/>
          <w:szCs w:val="24"/>
        </w:rPr>
        <w:t>17.4. Haverá consulta prévia ao CADIN/RS, pelo órgão ou entidade competente, nos termos da Lei nº 10.697/1996, regulamentada pelo Decreto nº 36.888/1996.</w:t>
      </w:r>
    </w:p>
    <w:p>
      <w:pPr>
        <w:pStyle w:val="Normal"/>
        <w:rPr>
          <w:rFonts w:ascii="Times New Roman" w:hAnsi="Times New Roman" w:eastAsia="Times New Roman" w:cs="Times New Roman"/>
          <w:sz w:val="24"/>
          <w:szCs w:val="24"/>
        </w:rPr>
      </w:pPr>
      <w:r>
        <w:rPr>
          <w:rFonts w:eastAsia="Times New Roman" w:cs="Times New Roman"/>
          <w:sz w:val="24"/>
          <w:szCs w:val="24"/>
        </w:rPr>
        <w:t>17.5. O presente contrato somente terá eficácia após a assinatura das partes e divulgação no Portal Nacional de Contratações Públicas.</w:t>
      </w:r>
    </w:p>
    <w:p>
      <w:pPr>
        <w:pStyle w:val="Normal"/>
        <w:rPr>
          <w:rFonts w:ascii="Times New Roman" w:hAnsi="Times New Roman" w:eastAsia="Times New Roman" w:cs="Times New Roman"/>
          <w:sz w:val="24"/>
          <w:szCs w:val="24"/>
        </w:rPr>
      </w:pPr>
      <w:r>
        <w:rPr>
          <w:rFonts w:eastAsia="Times New Roman" w:cs="Times New Roman"/>
          <w:sz w:val="24"/>
          <w:szCs w:val="24"/>
        </w:rPr>
        <w:t>17.5.1. Nos casos de urgência, a eficácia se dará a partir da assinatura das partes, permanecendo a exigência da divulgação no PNCP no prazo de 10 dias úteis.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CLÁUSULA DÉCIMA OITAVA - DAS DISPOSIÇÕES FINAIS</w:t>
      </w:r>
    </w:p>
    <w:p>
      <w:pPr>
        <w:pStyle w:val="Normal"/>
        <w:rPr>
          <w:rFonts w:ascii="Times New Roman" w:hAnsi="Times New Roman" w:eastAsia="Times New Roman" w:cs="Times New Roman"/>
          <w:sz w:val="24"/>
          <w:szCs w:val="24"/>
        </w:rPr>
      </w:pPr>
      <w:r>
        <w:rPr>
          <w:rFonts w:eastAsia="Times New Roman" w:cs="Times New Roman"/>
          <w:sz w:val="24"/>
          <w:szCs w:val="24"/>
        </w:rPr>
        <w:t xml:space="preserve">18.1. Fica eleito o Foro de Porto Alegre, como o competente para dirimir quaisquer questões advindas deste contrato, com renúncia expressa a qualquer outro.  </w:t>
      </w:r>
    </w:p>
    <w:p>
      <w:pPr>
        <w:pStyle w:val="Normal"/>
        <w:rPr>
          <w:rFonts w:ascii="Times New Roman" w:hAnsi="Times New Roman" w:eastAsia="Times New Roman" w:cs="Times New Roman"/>
          <w:sz w:val="24"/>
          <w:szCs w:val="24"/>
        </w:rPr>
      </w:pPr>
      <w:r>
        <w:rPr>
          <w:rFonts w:eastAsia="Times New Roman" w:cs="Times New Roman"/>
          <w:sz w:val="24"/>
          <w:szCs w:val="24"/>
        </w:rPr>
        <w:t>18.2. E, assim, por estarem as partes ajustadas e acordadas, lavram e assinam este contrato, na presença de 02 (duas) testemunhas, para que produza seus jurídicos efeitos.</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jc w:val="right"/>
        <w:rPr>
          <w:rFonts w:ascii="Times New Roman" w:hAnsi="Times New Roman" w:eastAsia="Times New Roman" w:cs="Times New Roman"/>
          <w:sz w:val="24"/>
          <w:szCs w:val="24"/>
        </w:rPr>
      </w:pPr>
      <w:r>
        <w:rPr>
          <w:rFonts w:eastAsia="Times New Roman" w:cs="Times New Roman"/>
          <w:sz w:val="24"/>
          <w:szCs w:val="24"/>
        </w:rPr>
      </w:r>
    </w:p>
    <w:p>
      <w:pPr>
        <w:pStyle w:val="Normal"/>
        <w:jc w:val="right"/>
        <w:rPr>
          <w:rFonts w:ascii="Times New Roman" w:hAnsi="Times New Roman" w:eastAsia="Times New Roman" w:cs="Times New Roman"/>
          <w:sz w:val="24"/>
          <w:szCs w:val="24"/>
        </w:rPr>
      </w:pPr>
      <w:r>
        <w:rPr>
          <w:rFonts w:eastAsia="Times New Roman" w:cs="Times New Roman"/>
          <w:sz w:val="24"/>
          <w:szCs w:val="24"/>
        </w:rPr>
      </w:r>
    </w:p>
    <w:p>
      <w:pPr>
        <w:pStyle w:val="Normal"/>
        <w:jc w:val="right"/>
        <w:rPr>
          <w:rFonts w:ascii="Times New Roman" w:hAnsi="Times New Roman" w:eastAsia="Times New Roman" w:cs="Times New Roman"/>
          <w:sz w:val="24"/>
          <w:szCs w:val="24"/>
        </w:rPr>
      </w:pPr>
      <w:r>
        <w:rPr>
          <w:rFonts w:eastAsia="Times New Roman" w:cs="Times New Roman"/>
          <w:sz w:val="24"/>
          <w:szCs w:val="24"/>
        </w:rPr>
        <w:t>_____________________, ____ de _____________ de ____.</w:t>
      </w:r>
    </w:p>
    <w:p>
      <w:pPr>
        <w:pStyle w:val="Normal"/>
        <w:jc w:val="right"/>
        <w:rPr>
          <w:rFonts w:ascii="Times New Roman" w:hAnsi="Times New Roman" w:eastAsia="Times New Roman" w:cs="Times New Roman"/>
          <w:sz w:val="24"/>
          <w:szCs w:val="24"/>
        </w:rPr>
      </w:pPr>
      <w:r>
        <w:rPr>
          <w:rFonts w:eastAsia="Times New Roman" w:cs="Times New Roman"/>
          <w:sz w:val="24"/>
          <w:szCs w:val="24"/>
        </w:rPr>
      </w:r>
    </w:p>
    <w:p>
      <w:pPr>
        <w:pStyle w:val="Normal"/>
        <w:jc w:val="right"/>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 xml:space="preserve">CONTRATANTE </w:t>
      </w:r>
      <w:r>
        <w:rPr/>
        <w:tab/>
        <w:tab/>
        <w:tab/>
        <w:tab/>
      </w:r>
      <w:r>
        <w:rPr>
          <w:rFonts w:eastAsia="Times New Roman" w:cs="Times New Roman"/>
          <w:sz w:val="24"/>
          <w:szCs w:val="24"/>
        </w:rPr>
        <w:t xml:space="preserve">     CONTRATADO</w:t>
      </w:r>
    </w:p>
    <w:p>
      <w:pPr>
        <w:pStyle w:val="Normal"/>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[Nome da autoridade competente]                                 [Representante]</w:t>
      </w:r>
    </w:p>
    <w:p>
      <w:pPr>
        <w:pStyle w:val="Normal"/>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[Nome do cargo]                                               [Procurador/cargo</w:t>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rFonts w:ascii="Times New Roman" w:hAnsi="Times New Roman" w:eastAsia="Times New Roman" w:cs="Times New Roman"/>
          <w:sz w:val="24"/>
          <w:szCs w:val="24"/>
        </w:rPr>
      </w:pPr>
      <w:r>
        <w:rPr>
          <w:rFonts w:eastAsia="Times New Roman" w:cs="Times New Roman"/>
          <w:sz w:val="24"/>
          <w:szCs w:val="24"/>
        </w:rPr>
      </w:r>
    </w:p>
    <w:p>
      <w:pPr>
        <w:pStyle w:val="Normal"/>
        <w:rPr/>
      </w:pPr>
      <w:r>
        <w:rPr/>
      </w:r>
      <w:r>
        <w:br w:type="page"/>
      </w:r>
    </w:p>
    <w:p>
      <w:pPr>
        <w:pStyle w:val="Normal"/>
        <w:spacing w:before="0" w:after="0"/>
        <w:rPr>
          <w:rFonts w:ascii="Times New Roman" w:hAnsi="Times New Roman" w:eastAsia="Times New Roman" w:cs="Times New Roman"/>
          <w:sz w:val="24"/>
          <w:szCs w:val="24"/>
        </w:rPr>
      </w:pPr>
      <w:r>
        <w:rPr>
          <w:rFonts w:eastAsia="Times New Roman" w:cs="Times New Roman"/>
          <w:sz w:val="24"/>
          <w:szCs w:val="24"/>
        </w:rPr>
      </w:r>
    </w:p>
    <w:p>
      <w:pPr>
        <w:pStyle w:val="Normal"/>
        <w:jc w:val="center"/>
        <w:rPr>
          <w:rFonts w:ascii="Times New Roman" w:hAnsi="Times New Roman" w:eastAsia="Times New Roman" w:cs="Times New Roman"/>
          <w:b/>
          <w:bCs/>
          <w:sz w:val="24"/>
          <w:szCs w:val="24"/>
        </w:rPr>
      </w:pPr>
      <w:r>
        <w:rPr>
          <w:rFonts w:eastAsia="Times New Roman" w:cs="Times New Roman"/>
          <w:b/>
          <w:bCs/>
          <w:sz w:val="24"/>
          <w:szCs w:val="24"/>
        </w:rPr>
        <w:t>ANEXO II – PLANILHA DE CUSTOS E FORMAÇÃO DE PREÇOS</w:t>
      </w:r>
    </w:p>
    <w:p>
      <w:pPr>
        <w:pStyle w:val="Normal"/>
        <w:rPr>
          <w:rFonts w:ascii="Times New Roman" w:hAnsi="Times New Roman" w:eastAsia="Times New Roman" w:cs="Times New Roman"/>
          <w:b/>
          <w:bCs/>
          <w:sz w:val="24"/>
          <w:szCs w:val="24"/>
        </w:rPr>
      </w:pPr>
      <w:r>
        <w:rPr>
          <w:rFonts w:eastAsia="Times New Roman" w:cs="Times New Roman"/>
          <w:b/>
          <w:bCs/>
          <w:sz w:val="24"/>
          <w:szCs w:val="24"/>
        </w:rPr>
      </w:r>
    </w:p>
    <w:p>
      <w:pPr>
        <w:pStyle w:val="Normal"/>
        <w:ind w:right="49"/>
        <w:rPr>
          <w:rFonts w:ascii="Times New Roman" w:hAnsi="Times New Roman" w:eastAsia="Times New Roman" w:cs="Times New Roman"/>
          <w:sz w:val="24"/>
          <w:szCs w:val="24"/>
        </w:rPr>
      </w:pPr>
      <w:r>
        <w:rPr>
          <w:rFonts w:eastAsia="Times New Roman" w:cs="Times New Roman"/>
          <w:sz w:val="24"/>
          <w:szCs w:val="24"/>
        </w:rPr>
        <w:t>Nota (1): Esta planilha poderá ser adaptada às características do serviço contratado, a serem estabelecidas no Termo de Referência.</w:t>
      </w:r>
    </w:p>
    <w:p>
      <w:pPr>
        <w:pStyle w:val="Normal"/>
        <w:ind w:right="49"/>
        <w:rPr>
          <w:rFonts w:ascii="Times New Roman" w:hAnsi="Times New Roman" w:eastAsia="Times New Roman" w:cs="Times New Roman"/>
          <w:sz w:val="24"/>
          <w:szCs w:val="24"/>
        </w:rPr>
      </w:pPr>
      <w:r>
        <w:rPr>
          <w:rFonts w:eastAsia="Times New Roman" w:cs="Times New Roman"/>
          <w:sz w:val="24"/>
          <w:szCs w:val="24"/>
        </w:rPr>
        <w:t>Nota (2): Deverá acompanhar esta planilha a relação dos materiais e equipamentos que serão utilizados na execução dos serviços indicando quantitativo e sua especificação.</w:t>
      </w:r>
    </w:p>
    <w:p>
      <w:pPr>
        <w:pStyle w:val="Normal"/>
        <w:ind w:right="49"/>
        <w:rPr>
          <w:rFonts w:ascii="Times New Roman" w:hAnsi="Times New Roman" w:eastAsia="Times New Roman" w:cs="Times New Roman"/>
          <w:sz w:val="24"/>
          <w:szCs w:val="24"/>
        </w:rPr>
      </w:pPr>
      <w:r>
        <w:rPr>
          <w:rFonts w:eastAsia="Times New Roman" w:cs="Times New Roman"/>
          <w:sz w:val="24"/>
          <w:szCs w:val="24"/>
        </w:rPr>
        <w:t>Nota (3): Quando o contrato não abranger o pagamento mensal, mas for vinculado a etapas, ou realização integral do objeto, esta planilha deverá ser adaptada a essa realidade.</w:t>
      </w:r>
    </w:p>
    <w:tbl>
      <w:tblPr>
        <w:tblStyle w:val="a"/>
        <w:tblW w:w="9375"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481"/>
        <w:gridCol w:w="5052"/>
        <w:gridCol w:w="3842"/>
      </w:tblGrid>
      <w:tr>
        <w:trPr/>
        <w:tc>
          <w:tcPr>
            <w:tcW w:w="481"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50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N</w:t>
            </w:r>
            <w:r>
              <w:rPr>
                <w:rFonts w:eastAsia="Times New Roman" w:cs="Times New Roman"/>
                <w:strike/>
                <w:sz w:val="24"/>
                <w:szCs w:val="24"/>
              </w:rPr>
              <w:t>º</w:t>
            </w:r>
            <w:r>
              <w:rPr>
                <w:rFonts w:eastAsia="Times New Roman" w:cs="Times New Roman"/>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1"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50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Dispensa de Licitação N</w:t>
            </w:r>
            <w:r>
              <w:rPr>
                <w:rFonts w:eastAsia="Times New Roman" w:cs="Times New Roman"/>
                <w:strike/>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bl>
    <w:p>
      <w:pPr>
        <w:pStyle w:val="Normal"/>
        <w:ind w:right="49"/>
        <w:rPr>
          <w:rFonts w:ascii="Times New Roman" w:hAnsi="Times New Roman" w:eastAsia="Times New Roman" w:cs="Times New Roman"/>
          <w:sz w:val="24"/>
          <w:szCs w:val="24"/>
        </w:rPr>
      </w:pPr>
      <w:r>
        <w:rPr>
          <w:rFonts w:eastAsia="Times New Roman" w:cs="Times New Roman"/>
          <w:sz w:val="24"/>
          <w:szCs w:val="24"/>
        </w:rPr>
        <w:t>Dia ___/___/_____ às ___:___ horas</w:t>
      </w:r>
    </w:p>
    <w:p>
      <w:pPr>
        <w:pStyle w:val="Normal"/>
        <w:ind w:right="49"/>
        <w:rPr>
          <w:rFonts w:ascii="Times New Roman" w:hAnsi="Times New Roman" w:eastAsia="Times New Roman" w:cs="Times New Roman"/>
          <w:sz w:val="24"/>
          <w:szCs w:val="24"/>
        </w:rPr>
      </w:pPr>
      <w:r>
        <w:rPr>
          <w:rFonts w:eastAsia="Times New Roman" w:cs="Times New Roman"/>
          <w:sz w:val="24"/>
          <w:szCs w:val="24"/>
        </w:rPr>
      </w:r>
    </w:p>
    <w:p>
      <w:pPr>
        <w:pStyle w:val="Normal"/>
        <w:ind w:right="49"/>
        <w:rPr>
          <w:rFonts w:ascii="Times New Roman" w:hAnsi="Times New Roman" w:eastAsia="Times New Roman" w:cs="Times New Roman"/>
          <w:sz w:val="24"/>
          <w:szCs w:val="24"/>
        </w:rPr>
      </w:pPr>
      <w:r>
        <w:rPr>
          <w:rFonts w:eastAsia="Times New Roman" w:cs="Times New Roman"/>
          <w:b/>
          <w:bCs/>
          <w:sz w:val="24"/>
          <w:szCs w:val="24"/>
        </w:rPr>
        <w:t>Discriminação dos Serviços (dados referentes à contratação)</w:t>
      </w:r>
    </w:p>
    <w:tbl>
      <w:tblPr>
        <w:tblStyle w:val="a0"/>
        <w:tblW w:w="9375"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488"/>
        <w:gridCol w:w="6532"/>
        <w:gridCol w:w="2355"/>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A</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Data de apresentação da proposta (dia/mês/ano)</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B</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Município (s)</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C</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Serviço</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D</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Unidade de medida</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E</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 xml:space="preserve">Quantidade </w:t>
            </w:r>
            <w:r>
              <w:rPr>
                <w:rFonts w:eastAsia="Times New Roman" w:cs="Times New Roman"/>
                <w:sz w:val="24"/>
                <w:szCs w:val="24"/>
                <w:u w:val="single"/>
              </w:rPr>
              <w:t>(total)</w:t>
            </w:r>
            <w:r>
              <w:rPr>
                <w:rFonts w:eastAsia="Times New Roman" w:cs="Times New Roman"/>
                <w:sz w:val="24"/>
                <w:szCs w:val="24"/>
              </w:rPr>
              <w:t xml:space="preserve"> a contratar (em função da unidade de medida)</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F</w:t>
            </w:r>
          </w:p>
        </w:tc>
        <w:tc>
          <w:tcPr>
            <w:tcW w:w="653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N</w:t>
            </w:r>
            <w:r>
              <w:rPr>
                <w:rFonts w:eastAsia="Times New Roman" w:cs="Times New Roman"/>
                <w:strike/>
                <w:sz w:val="24"/>
                <w:szCs w:val="24"/>
              </w:rPr>
              <w:t>º</w:t>
            </w:r>
            <w:r>
              <w:rPr>
                <w:rFonts w:eastAsia="Times New Roman" w:cs="Times New Roman"/>
                <w:sz w:val="24"/>
                <w:szCs w:val="24"/>
              </w:rPr>
              <w:t xml:space="preserve"> de meses de execução contratual</w:t>
            </w:r>
          </w:p>
        </w:tc>
        <w:tc>
          <w:tcPr>
            <w:tcW w:w="235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bl>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b/>
          <w:bCs/>
          <w:sz w:val="24"/>
          <w:szCs w:val="24"/>
        </w:rPr>
        <w:t>Custo por Unidade de medida – tipos e quantidades</w:t>
      </w:r>
    </w:p>
    <w:tbl>
      <w:tblPr>
        <w:tblStyle w:val="a1"/>
        <w:tblW w:w="9479"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488"/>
        <w:gridCol w:w="3612"/>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1</w:t>
            </w:r>
          </w:p>
        </w:tc>
        <w:tc>
          <w:tcPr>
            <w:tcW w:w="361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b/>
                <w:bCs/>
                <w:sz w:val="24"/>
                <w:szCs w:val="24"/>
              </w:rPr>
              <w:t>Tipo de serviço (mesmo serviço com características distintas)</w:t>
            </w:r>
            <w:r>
              <w:rPr>
                <w:rFonts w:eastAsia="Times New Roman" w:cs="Times New Roman"/>
                <w:b/>
                <w:bCs/>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w:t>
            </w:r>
          </w:p>
        </w:tc>
        <w:tc>
          <w:tcPr>
            <w:tcW w:w="361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w:t>
            </w:r>
          </w:p>
        </w:tc>
        <w:tc>
          <w:tcPr>
            <w:tcW w:w="361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bl>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before="120" w:after="0"/>
        <w:rPr>
          <w:rFonts w:ascii="Times New Roman" w:hAnsi="Times New Roman" w:eastAsia="Times New Roman" w:cs="Times New Roman"/>
          <w:i/>
          <w:i/>
          <w:iCs/>
          <w:sz w:val="24"/>
          <w:szCs w:val="24"/>
        </w:rPr>
      </w:pPr>
      <w:r>
        <w:rPr>
          <w:rFonts w:eastAsia="Times New Roman" w:cs="Times New Roman"/>
          <w:i/>
          <w:iCs/>
          <w:sz w:val="24"/>
          <w:szCs w:val="24"/>
        </w:rPr>
        <w:t>Nota (4) A unidade de medida deverá corresponder ao valor básico para a composição dos preços do serviço prestado (mensal/hora trabalhada/ponto de função/emissão de bilhete/desconto concedido/etc.)</w:t>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tbl>
      <w:tblPr>
        <w:tblStyle w:val="a2"/>
        <w:tblW w:w="9404"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769"/>
        <w:gridCol w:w="3723"/>
        <w:gridCol w:w="1271"/>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Mobilização</w:t>
            </w:r>
          </w:p>
        </w:tc>
        <w:tc>
          <w:tcPr>
            <w:tcW w:w="1271"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1271"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1271"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r>
    </w:tbl>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tbl>
      <w:tblPr>
        <w:tblStyle w:val="a3"/>
        <w:tblW w:w="9374"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480"/>
        <w:gridCol w:w="4020"/>
        <w:gridCol w:w="1224"/>
        <w:gridCol w:w="3649"/>
      </w:tblGrid>
      <w:tr>
        <w:trPr/>
        <w:tc>
          <w:tcPr>
            <w:tcW w:w="4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I</w:t>
            </w:r>
          </w:p>
        </w:tc>
        <w:tc>
          <w:tcPr>
            <w:tcW w:w="40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b/>
                <w:bCs/>
                <w:sz w:val="24"/>
                <w:szCs w:val="24"/>
              </w:rPr>
              <w:t>Valor Mensal</w:t>
            </w:r>
          </w:p>
        </w:tc>
      </w:tr>
      <w:tr>
        <w:trPr/>
        <w:tc>
          <w:tcPr>
            <w:tcW w:w="4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A</w:t>
            </w:r>
          </w:p>
        </w:tc>
        <w:tc>
          <w:tcPr>
            <w:tcW w:w="40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1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B</w:t>
            </w:r>
          </w:p>
        </w:tc>
        <w:tc>
          <w:tcPr>
            <w:tcW w:w="4020"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1224"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r>
        <w:trPr/>
        <w:tc>
          <w:tcPr>
            <w:tcW w:w="48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C</w:t>
            </w:r>
          </w:p>
        </w:tc>
        <w:tc>
          <w:tcPr>
            <w:tcW w:w="4020"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1224"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r>
          </w:p>
        </w:tc>
      </w:tr>
    </w:tbl>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tbl>
      <w:tblPr>
        <w:tblStyle w:val="a4"/>
        <w:tblW w:w="9347" w:type="dxa"/>
        <w:jc w:val="left"/>
        <w:tblInd w:w="-108" w:type="dxa"/>
        <w:tblLayout w:type="fixed"/>
        <w:tblCellMar>
          <w:top w:w="0" w:type="dxa"/>
          <w:left w:w="108" w:type="dxa"/>
          <w:bottom w:w="0" w:type="dxa"/>
          <w:right w:w="108" w:type="dxa"/>
        </w:tblCellMar>
        <w:tblLook w:firstRow="0" w:noVBand="1" w:lastRow="0" w:firstColumn="0" w:lastColumn="0" w:noHBand="0" w:val="0400"/>
      </w:tblPr>
      <w:tblGrid>
        <w:gridCol w:w="2260"/>
        <w:gridCol w:w="2267"/>
        <w:gridCol w:w="2127"/>
        <w:gridCol w:w="2692"/>
      </w:tblGrid>
      <w:tr>
        <w:trPr/>
        <w:tc>
          <w:tcPr>
            <w:tcW w:w="9346" w:type="dxa"/>
            <w:gridSpan w:val="4"/>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b/>
                <w:bCs/>
                <w:sz w:val="24"/>
                <w:szCs w:val="24"/>
              </w:rPr>
            </w:pPr>
            <w:r>
              <w:rPr>
                <w:rFonts w:eastAsia="Times New Roman" w:cs="Times New Roman"/>
                <w:b/>
                <w:bCs/>
                <w:sz w:val="24"/>
                <w:szCs w:val="24"/>
              </w:rPr>
              <w:t>QUADRO RESUMO DO CONTRATO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Valor [Mensal/Global] por Unidade de Serviço</w:t>
            </w:r>
          </w:p>
        </w:tc>
        <w:tc>
          <w:tcPr>
            <w:tcW w:w="212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Valor [Mensal/Global] do serviço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212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269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ascii="Times New Roman" w:hAnsi="Times New Roman" w:eastAsia="Times New Roman" w:cs="Times New Roman"/>
                <w:sz w:val="24"/>
                <w:szCs w:val="24"/>
              </w:rPr>
            </w:pPr>
            <w:r>
              <w:rPr>
                <w:rFonts w:eastAsia="Times New Roman" w:cs="Times New Roman"/>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212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c>
          <w:tcPr>
            <w:tcW w:w="269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r>
      <w:tr>
        <w:trPr/>
        <w:tc>
          <w:tcPr>
            <w:tcW w:w="6654" w:type="dxa"/>
            <w:gridSpan w:val="3"/>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t>Valor [Mensal/Global] do Contrato</w:t>
            </w:r>
          </w:p>
        </w:tc>
        <w:tc>
          <w:tcPr>
            <w:tcW w:w="269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rFonts w:ascii="Times New Roman" w:hAnsi="Times New Roman" w:eastAsia="Times New Roman" w:cs="Times New Roman"/>
                <w:sz w:val="24"/>
                <w:szCs w:val="24"/>
              </w:rPr>
            </w:pPr>
            <w:r>
              <w:rPr>
                <w:rFonts w:eastAsia="Times New Roman" w:cs="Times New Roman"/>
                <w:sz w:val="24"/>
                <w:szCs w:val="24"/>
              </w:rPr>
            </w:r>
          </w:p>
        </w:tc>
      </w:tr>
    </w:tbl>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left="720" w:right="49"/>
        <w:rPr>
          <w:rFonts w:ascii="Times New Roman" w:hAnsi="Times New Roman" w:eastAsia="Times New Roman" w:cs="Times New Roman"/>
          <w:sz w:val="24"/>
          <w:szCs w:val="24"/>
        </w:rPr>
      </w:pPr>
      <w:r>
        <w:rPr>
          <w:rFonts w:eastAsia="Times New Roman" w:cs="Times New Roman"/>
          <w:sz w:val="24"/>
          <w:szCs w:val="24"/>
        </w:rPr>
      </w:r>
    </w:p>
    <w:p>
      <w:pPr>
        <w:pStyle w:val="Normal"/>
        <w:ind w:right="49"/>
        <w:rPr>
          <w:rFonts w:ascii="Times New Roman" w:hAnsi="Times New Roman" w:eastAsia="Times New Roman" w:cs="Times New Roman"/>
          <w:sz w:val="24"/>
          <w:szCs w:val="24"/>
        </w:rPr>
      </w:pPr>
      <w:r>
        <w:rPr>
          <w:rFonts w:eastAsia="Times New Roman" w:cs="Times New Roman"/>
          <w:sz w:val="24"/>
          <w:szCs w:val="24"/>
        </w:rPr>
      </w:r>
    </w:p>
    <w:p>
      <w:pPr>
        <w:pStyle w:val="Normal"/>
        <w:ind w:right="49"/>
        <w:rPr>
          <w:rFonts w:ascii="Times New Roman" w:hAnsi="Times New Roman" w:eastAsia="Times New Roman" w:cs="Times New Roman"/>
          <w:b/>
          <w:bCs/>
          <w:sz w:val="24"/>
          <w:szCs w:val="24"/>
        </w:rPr>
      </w:pPr>
      <w:r>
        <w:rPr>
          <w:rFonts w:eastAsia="Times New Roman" w:cs="Times New Roman"/>
          <w:b/>
          <w:bCs/>
          <w:sz w:val="24"/>
          <w:szCs w:val="24"/>
        </w:rPr>
        <w:t>ANEXO III - CARTA DE FIANÇA BANCÁRIA PARA GARANTIA DE EXECUÇÃO CONTRATUAL (Modelo)</w:t>
      </w:r>
    </w:p>
    <w:p>
      <w:pPr>
        <w:pStyle w:val="Normal"/>
        <w:ind w:right="49"/>
        <w:rPr>
          <w:rFonts w:ascii="Times New Roman" w:hAnsi="Times New Roman" w:eastAsia="Times New Roman" w:cs="Times New Roman"/>
          <w:sz w:val="24"/>
          <w:szCs w:val="24"/>
        </w:rPr>
      </w:pPr>
      <w:r>
        <w:rPr>
          <w:rFonts w:eastAsia="Times New Roman" w:cs="Times New Roman"/>
          <w:sz w:val="24"/>
          <w:szCs w:val="24"/>
        </w:rPr>
      </w:r>
    </w:p>
    <w:p>
      <w:pPr>
        <w:pStyle w:val="Normal"/>
        <w:suppressLineNumbers w:val="0"/>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sz w:val="24"/>
          <w:szCs w:val="24"/>
        </w:rPr>
        <w:t>v</w:t>
      </w:r>
      <w:r>
        <w:rPr>
          <w:rFonts w:eastAsia="Times New Roman" w:cs="Times New Roman"/>
          <w:b w:val="false"/>
          <w:bCs w:val="false"/>
          <w:i w:val="false"/>
          <w:iCs w:val="false"/>
          <w:caps w:val="false"/>
          <w:smallCaps w:val="false"/>
          <w:color w:themeColor="text1" w:val="000000"/>
          <w:sz w:val="24"/>
          <w:szCs w:val="24"/>
          <w:lang w:val="pt-BR"/>
        </w:rPr>
        <w:t xml:space="preserve">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paragraph"/>
        <w:bidi w:val="0"/>
        <w:spacing w:lineRule="auto" w:line="240" w:beforeAutospacing="0" w:before="120" w:afterAutospacing="0" w:after="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 A fiança ora concedida visa garantir o cumprimento, por parte de nossa afiançada, de todas as obrigações estipuladas no contrato retromencionado, abrangendo o pagamento de:  </w:t>
      </w:r>
    </w:p>
    <w:p>
      <w:pPr>
        <w:pStyle w:val="paragraph"/>
        <w:bidi w:val="0"/>
        <w:spacing w:lineRule="auto" w:line="240" w:beforeAutospacing="0" w:before="120" w:afterAutospacing="0" w:after="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a) prejuízos advindos do não cumprimento do contrato; </w:t>
      </w:r>
    </w:p>
    <w:p>
      <w:pPr>
        <w:pStyle w:val="paragraph"/>
        <w:bidi w:val="0"/>
        <w:spacing w:lineRule="auto" w:line="240" w:beforeAutospacing="0" w:before="120" w:afterAutospacing="0" w:after="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b) multas moratórias e punitivas aplicadas pela Administração ao contratado;  </w:t>
      </w:r>
    </w:p>
    <w:p>
      <w:pPr>
        <w:pStyle w:val="paragraph"/>
        <w:bidi w:val="0"/>
        <w:spacing w:lineRule="auto" w:line="240" w:beforeAutospacing="0" w:before="120" w:afterAutospacing="0" w:after="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 prejuízos causados ao contratante ou a terceiro decorrentes de culpa ou dolo durante a execução do contrato; e </w:t>
      </w:r>
    </w:p>
    <w:p>
      <w:pPr>
        <w:pStyle w:val="paragraph"/>
        <w:bidi w:val="0"/>
        <w:spacing w:lineRule="auto" w:line="240" w:beforeAutospacing="0" w:before="120" w:afterAutospacing="0" w:after="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d) obrigações previdenciárias e/ou trabalhistas não adimplidas pelo contratado.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5. A comunicação de inadimplemento deverá ocorrer até o prazo máximo de 3 (três) meses após o vencimento desta fiança.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6. Nenhuma objeção ou oposição da nossa afiançada será admitida ou invocada por este fiador com o fim de escusar-se do cumprimento da obrigação assumida neste ato e por este instrumento perante o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[órgão/entidade].</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(Local e data)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 xml:space="preserve">(Instituição garantidora) </w:t>
      </w:r>
    </w:p>
    <w:p>
      <w:pPr>
        <w:pStyle w:val="Normal"/>
        <w:bidi w:val="0"/>
        <w:spacing w:lineRule="auto" w:line="240" w:before="120" w:after="0"/>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(Assinaturas autorizadas)</w:t>
      </w:r>
    </w:p>
    <w:p>
      <w:pPr>
        <w:pStyle w:val="Normal"/>
        <w:suppressLineNumbers w:val="0"/>
        <w:bidi w:val="0"/>
        <w:spacing w:lineRule="auto" w:line="360" w:beforeAutospacing="0" w:before="0" w:afterAutospacing="0" w:after="0"/>
        <w:ind w:left="0" w:right="49"/>
        <w:jc w:val="both"/>
        <w:rPr>
          <w:rFonts w:ascii="Times New Roman" w:hAnsi="Times New Roman" w:eastAsia="Times New Roman" w:cs="Times New Roman"/>
          <w:sz w:val="24"/>
          <w:szCs w:val="24"/>
        </w:rPr>
      </w:pPr>
      <w:r>
        <w:rPr>
          <w:rFonts w:eastAsia="Times New Roman" w:cs="Times New Roman"/>
          <w:sz w:val="24"/>
          <w:szCs w:val="24"/>
        </w:rPr>
      </w:r>
    </w:p>
    <w:p>
      <w:pPr>
        <w:pStyle w:val="Normal"/>
        <w:ind w:right="49"/>
        <w:rPr>
          <w:rFonts w:ascii="Times New Roman" w:hAnsi="Times New Roman" w:eastAsia="Times New Roman" w:cs="Times New Roman"/>
          <w:sz w:val="24"/>
          <w:szCs w:val="24"/>
        </w:rPr>
      </w:pPr>
      <w:r>
        <w:rPr>
          <w:rFonts w:eastAsia="Times New Roman" w:cs="Times New Roman"/>
          <w:sz w:val="24"/>
          <w:szCs w:val="24"/>
        </w:rPr>
        <w:t> </w:t>
      </w:r>
    </w:p>
    <w:p>
      <w:pPr>
        <w:pStyle w:val="Normal"/>
        <w:ind w:right="49"/>
        <w:rPr>
          <w:rFonts w:ascii="Times New Roman" w:hAnsi="Times New Roman" w:eastAsia="Times New Roman" w:cs="Times New Roman"/>
          <w:sz w:val="24"/>
          <w:szCs w:val="24"/>
        </w:rPr>
      </w:pPr>
      <w:r>
        <w:rPr>
          <w:rFonts w:eastAsia="Times New Roman" w:cs="Times New Roman"/>
          <w:sz w:val="24"/>
          <w:szCs w:val="24"/>
        </w:rPr>
      </w:r>
    </w:p>
    <w:p>
      <w:pPr>
        <w:pStyle w:val="Normal"/>
        <w:rPr/>
      </w:pPr>
      <w:r>
        <w:rPr/>
      </w:r>
      <w:r>
        <w:br w:type="page"/>
      </w:r>
    </w:p>
    <w:p>
      <w:pPr>
        <w:pStyle w:val="Normal"/>
        <w:spacing w:before="0" w:after="0"/>
        <w:ind w:right="49"/>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pBdr/>
        <w:jc w:val="center"/>
        <w:rPr>
          <w:rFonts w:ascii="Times New Roman" w:hAnsi="Times New Roman" w:eastAsia="Times New Roman" w:cs="Times New Roman"/>
          <w:b/>
          <w:bCs/>
          <w:smallCaps/>
          <w:sz w:val="24"/>
          <w:szCs w:val="24"/>
        </w:rPr>
      </w:pPr>
      <w:bookmarkStart w:id="2" w:name="_heading=h.1t3h5sf"/>
      <w:bookmarkStart w:id="3" w:name="bookmark=id.3dy6vkm"/>
      <w:bookmarkEnd w:id="2"/>
      <w:bookmarkEnd w:id="3"/>
      <w:r>
        <w:rPr>
          <w:rFonts w:eastAsia="Times New Roman" w:cs="Times New Roman"/>
          <w:b/>
          <w:bCs/>
          <w:smallCaps/>
          <w:sz w:val="24"/>
          <w:szCs w:val="24"/>
        </w:rPr>
        <w:t>ANEXO IV – folha de dados</w:t>
      </w:r>
    </w:p>
    <w:p>
      <w:pPr>
        <w:pStyle w:val="Normal"/>
        <w:jc w:val="center"/>
        <w:rPr>
          <w:rFonts w:ascii="Times New Roman" w:hAnsi="Times New Roman" w:eastAsia="Times New Roman" w:cs="Times New Roman"/>
          <w:sz w:val="24"/>
          <w:szCs w:val="24"/>
        </w:rPr>
      </w:pPr>
      <w:r>
        <w:rPr>
          <w:rFonts w:eastAsia="Times New Roman" w:cs="Times New Roman"/>
          <w:b/>
          <w:bCs/>
          <w:sz w:val="24"/>
          <w:szCs w:val="24"/>
        </w:rPr>
        <w:t>CGDL - Condições Gerais de Dispensa de Licitação</w:t>
      </w:r>
    </w:p>
    <w:tbl>
      <w:tblPr>
        <w:tblW w:w="9064"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1593"/>
        <w:gridCol w:w="6780"/>
        <w:gridCol w:w="344"/>
        <w:gridCol w:w="346"/>
      </w:tblGrid>
      <w:tr>
        <w:trPr>
          <w:trHeight w:val="374" w:hRule="atLeast"/>
          <w:cantSplit w:val="true"/>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jc w:val="center"/>
              <w:rPr>
                <w:rFonts w:ascii="Times New Roman" w:hAnsi="Times New Roman" w:eastAsia="Times New Roman" w:cs="Times New Roman"/>
                <w:b/>
                <w:bCs/>
                <w:sz w:val="24"/>
                <w:szCs w:val="24"/>
              </w:rPr>
            </w:pPr>
            <w:r>
              <w:rPr>
                <w:rFonts w:eastAsia="Times New Roman" w:cs="Times New Roman"/>
                <w:b/>
                <w:bCs/>
                <w:sz w:val="24"/>
                <w:szCs w:val="24"/>
              </w:rPr>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jc w:val="center"/>
              <w:rPr>
                <w:rFonts w:ascii="Times New Roman" w:hAnsi="Times New Roman" w:eastAsia="Times New Roman" w:cs="Times New Roman"/>
                <w:b/>
                <w:bCs/>
                <w:sz w:val="24"/>
                <w:szCs w:val="24"/>
              </w:rPr>
            </w:pPr>
            <w:r>
              <w:rPr>
                <w:rFonts w:eastAsia="Times New Roman" w:cs="Times New Roman"/>
                <w:b/>
                <w:bCs/>
                <w:sz w:val="24"/>
                <w:szCs w:val="24"/>
              </w:rPr>
              <w:t>Complemento ou Modificação</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28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highlight w:val="yellow"/>
              </w:rPr>
            </w:pPr>
            <w:r>
              <w:rPr>
                <w:rFonts w:eastAsia="Times New Roman" w:cs="Times New Roman"/>
                <w:sz w:val="24"/>
                <w:szCs w:val="24"/>
              </w:rPr>
              <w:t>Preâmbulo</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rPr>
                <w:rFonts w:ascii="Times New Roman" w:hAnsi="Times New Roman" w:eastAsia="Times New Roman" w:cs="Times New Roman"/>
                <w:sz w:val="24"/>
                <w:szCs w:val="24"/>
              </w:rPr>
            </w:pPr>
            <w:r>
              <w:rPr>
                <w:rFonts w:eastAsia="Times New Roman" w:cs="Times New Roman"/>
                <w:sz w:val="24"/>
                <w:szCs w:val="24"/>
              </w:rPr>
              <w:t>O Estado do Rio Grande do Sul por intermédio da Secretaria da Segurança Pública, através da sua vinculada Brigada Militar – Comando Regional de Polícia Ostensiva Delta do Jacuí, com sede no município de Alvorada/RS, torna público que realizará DISPENSA DE LICITAÇÃO, tipo menor preço, realizada por meio da INTERNET.</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308"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suppressLineNumbers w:val="0"/>
              <w:bidi w:val="0"/>
              <w:spacing w:lineRule="auto" w:line="360" w:beforeAutospacing="0" w:before="0" w:afterAutospacing="0" w:after="0"/>
              <w:ind w:left="0" w:right="0"/>
              <w:jc w:val="both"/>
              <w:rPr>
                <w:rFonts w:ascii="Times New Roman" w:hAnsi="Times New Roman" w:eastAsia="Times New Roman" w:cs="Times New Roman"/>
                <w:sz w:val="24"/>
                <w:szCs w:val="24"/>
              </w:rPr>
            </w:pPr>
            <w:r>
              <w:rPr>
                <w:rFonts w:eastAsia="Times New Roman" w:cs="Times New Roman"/>
                <w:sz w:val="24"/>
                <w:szCs w:val="24"/>
              </w:rPr>
              <w:t>Conservação de Bens Imóveis, fornecimento de material elétrico para revitalização do Setor de Inteligência do CRPO/DJ.</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57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spacing w:before="0" w:after="40"/>
              <w:rPr>
                <w:rFonts w:ascii="Times New Roman" w:hAnsi="Times New Roman" w:eastAsia="Times New Roman" w:cs="Times New Roman"/>
                <w:sz w:val="24"/>
                <w:szCs w:val="24"/>
              </w:rPr>
            </w:pPr>
            <w:r>
              <w:rPr>
                <w:rFonts w:eastAsia="Times New Roman" w:cs="Times New Roman"/>
                <w:b/>
                <w:bCs/>
                <w:sz w:val="24"/>
                <w:szCs w:val="24"/>
              </w:rPr>
              <w:t>Local de disponibilização do Termo de Dispensa de Licitação:</w:t>
            </w:r>
            <w:r>
              <w:rPr>
                <w:rFonts w:eastAsia="Times New Roman" w:cs="Times New Roman"/>
                <w:sz w:val="24"/>
                <w:szCs w:val="24"/>
              </w:rPr>
              <w:t xml:space="preserve"> www.compras.rs.gov.br  ou  </w:t>
            </w:r>
            <w:hyperlink r:id="rId3">
              <w:r>
                <w:rPr>
                  <w:rStyle w:val="Style3"/>
                  <w:rFonts w:eastAsia="Times New Roman" w:cs="Times New Roman"/>
                  <w:sz w:val="24"/>
                  <w:szCs w:val="24"/>
                  <w:u w:val="single"/>
                </w:rPr>
                <w:t>www.celic.rs.gov.br</w:t>
              </w:r>
            </w:hyperlink>
            <w:r>
              <w:rPr>
                <w:rFonts w:eastAsia="Times New Roman" w:cs="Times New Roman"/>
                <w:sz w:val="24"/>
                <w:szCs w:val="24"/>
              </w:rPr>
              <w:t>.</w:t>
            </w:r>
          </w:p>
          <w:p>
            <w:pPr>
              <w:pStyle w:val="Normal"/>
              <w:widowControl w:val="false"/>
              <w:spacing w:before="0" w:after="40"/>
              <w:rPr>
                <w:rFonts w:ascii="Times New Roman" w:hAnsi="Times New Roman" w:eastAsia="Times New Roman" w:cs="Times New Roman"/>
                <w:sz w:val="24"/>
                <w:szCs w:val="24"/>
              </w:rPr>
            </w:pPr>
            <w:r>
              <w:rPr>
                <w:rFonts w:eastAsia="Times New Roman" w:cs="Times New Roman"/>
                <w:b/>
                <w:bCs/>
                <w:sz w:val="24"/>
                <w:szCs w:val="24"/>
              </w:rPr>
              <w:t xml:space="preserve">Pedidos de esclarecimentos: </w:t>
            </w:r>
            <w:r>
              <w:rPr>
                <w:rFonts w:eastAsia="Times New Roman" w:cs="Times New Roman"/>
                <w:sz w:val="24"/>
                <w:szCs w:val="24"/>
              </w:rPr>
              <w:t xml:space="preserve">deverão ser encaminhados exclusivamente pelo Sistema Eletrônico: </w:t>
            </w:r>
            <w:hyperlink r:id="rId4">
              <w:r>
                <w:rPr>
                  <w:rStyle w:val="Style3"/>
                  <w:rFonts w:eastAsia="Times New Roman" w:cs="Times New Roman"/>
                  <w:sz w:val="24"/>
                  <w:szCs w:val="24"/>
                  <w:u w:val="single"/>
                </w:rPr>
                <w:t>www.compras.rs.gov.br</w:t>
              </w:r>
            </w:hyperlink>
            <w:r>
              <w:rPr>
                <w:rFonts w:eastAsia="Times New Roman" w:cs="Times New Roman"/>
                <w:sz w:val="24"/>
                <w:szCs w:val="24"/>
              </w:rPr>
              <w:t>, na área de Informações do Edital.</w:t>
            </w:r>
          </w:p>
          <w:p>
            <w:pPr>
              <w:pStyle w:val="Normal"/>
              <w:widowControl w:val="false"/>
              <w:spacing w:before="0" w:after="40"/>
              <w:rPr>
                <w:rFonts w:ascii="Times New Roman" w:hAnsi="Times New Roman" w:eastAsia="Times New Roman" w:cs="Times New Roman"/>
                <w:b/>
                <w:bCs/>
                <w:sz w:val="24"/>
                <w:szCs w:val="24"/>
              </w:rPr>
            </w:pPr>
            <w:r>
              <w:rPr>
                <w:rFonts w:eastAsia="Times New Roman" w:cs="Times New Roman"/>
                <w:b/>
                <w:bCs/>
                <w:sz w:val="24"/>
                <w:szCs w:val="24"/>
              </w:rPr>
              <w:t xml:space="preserve">Recursos: </w:t>
            </w:r>
            <w:r>
              <w:rPr>
                <w:rFonts w:eastAsia="Times New Roman" w:cs="Times New Roman"/>
                <w:sz w:val="24"/>
                <w:szCs w:val="24"/>
              </w:rPr>
              <w:t xml:space="preserve">mediante login no portal </w:t>
            </w:r>
            <w:hyperlink r:id="rId5">
              <w:r>
                <w:rPr>
                  <w:rStyle w:val="Style3"/>
                  <w:rFonts w:eastAsia="Times New Roman" w:cs="Times New Roman"/>
                  <w:sz w:val="24"/>
                  <w:szCs w:val="24"/>
                  <w:u w:val="single"/>
                </w:rPr>
                <w:t>www.compras.rs.gov.br</w:t>
              </w:r>
            </w:hyperlink>
          </w:p>
          <w:p>
            <w:pPr>
              <w:pStyle w:val="Normal"/>
              <w:widowControl w:val="false"/>
              <w:spacing w:before="0" w:after="40"/>
              <w:jc w:val="left"/>
              <w:rPr>
                <w:rFonts w:ascii="Times New Roman" w:hAnsi="Times New Roman" w:eastAsia="Times New Roman" w:cs="Times New Roman"/>
                <w:b/>
                <w:bCs/>
                <w:sz w:val="24"/>
                <w:szCs w:val="24"/>
              </w:rPr>
            </w:pPr>
            <w:r>
              <w:rPr>
                <w:rFonts w:eastAsia="Times New Roman" w:cs="Times New Roman"/>
                <w:b/>
                <w:bCs/>
                <w:sz w:val="24"/>
                <w:szCs w:val="24"/>
              </w:rPr>
              <w:t xml:space="preserve">Credenciamento Pessoa Física: </w:t>
            </w:r>
            <w:hyperlink r:id="rId6">
              <w:r>
                <w:rPr>
                  <w:rStyle w:val="Style3"/>
                  <w:rFonts w:eastAsia="Times New Roman" w:cs="Times New Roman"/>
                  <w:sz w:val="24"/>
                  <w:szCs w:val="24"/>
                  <w:u w:val="single"/>
                </w:rPr>
                <w:t>www.celic.rs.gov.br/index.php?menu=secao&amp;cod=42</w:t>
              </w:r>
            </w:hyperlink>
          </w:p>
          <w:p>
            <w:pPr>
              <w:pStyle w:val="Normal"/>
              <w:widowControl w:val="false"/>
              <w:jc w:val="left"/>
              <w:rPr>
                <w:rFonts w:ascii="Times New Roman" w:hAnsi="Times New Roman" w:eastAsia="Times New Roman" w:cs="Times New Roman"/>
                <w:sz w:val="24"/>
                <w:szCs w:val="24"/>
              </w:rPr>
            </w:pPr>
            <w:r>
              <w:rPr>
                <w:rFonts w:eastAsia="Times New Roman" w:cs="Times New Roman"/>
                <w:b/>
                <w:bCs/>
                <w:sz w:val="24"/>
                <w:szCs w:val="24"/>
              </w:rPr>
              <w:t xml:space="preserve">Credenciamento Pessoa Jurídica: </w:t>
            </w:r>
            <w:r>
              <w:rPr>
                <w:rFonts w:eastAsia="Times New Roman" w:cs="Times New Roman"/>
                <w:sz w:val="24"/>
                <w:szCs w:val="24"/>
              </w:rPr>
              <w:t>www.compras.rs.gov.br/fornecedores</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226"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2.2</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Endereço eletrônico do ambiente de disputa: </w:t>
            </w:r>
            <w:hyperlink r:id="rId7">
              <w:r>
                <w:rPr>
                  <w:rStyle w:val="Style3"/>
                  <w:rFonts w:eastAsia="Times New Roman" w:cs="Times New Roman"/>
                  <w:sz w:val="24"/>
                  <w:szCs w:val="24"/>
                  <w:u w:val="single"/>
                </w:rPr>
                <w:t>www.compras.rs.gov.br</w:t>
              </w:r>
            </w:hyperlink>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486"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3.1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Data início: 04/04/2025</w:t>
            </w:r>
          </w:p>
          <w:p>
            <w:pPr>
              <w:pStyle w:val="Normal"/>
              <w:widowControl w:val="false"/>
              <w:rPr>
                <w:rFonts w:ascii="Times New Roman" w:hAnsi="Times New Roman" w:eastAsia="Times New Roman" w:cs="Times New Roman"/>
                <w:color w:val="auto"/>
                <w:sz w:val="24"/>
                <w:szCs w:val="24"/>
              </w:rPr>
            </w:pPr>
            <w:r>
              <w:rPr>
                <w:rFonts w:eastAsia="Times New Roman" w:cs="Times New Roman"/>
                <w:color w:val="auto"/>
                <w:sz w:val="24"/>
                <w:szCs w:val="24"/>
              </w:rPr>
              <w:t>Data da disputa: 11/04/2025</w:t>
            </w:r>
          </w:p>
          <w:p>
            <w:pPr>
              <w:pStyle w:val="Normal"/>
              <w:widowControl w:val="false"/>
              <w:rPr>
                <w:rFonts w:ascii="Times New Roman" w:hAnsi="Times New Roman" w:eastAsia="Times New Roman" w:cs="Times New Roman"/>
                <w:color w:val="auto"/>
                <w:sz w:val="24"/>
                <w:szCs w:val="24"/>
              </w:rPr>
            </w:pPr>
            <w:r>
              <w:rPr>
                <w:rFonts w:eastAsia="Times New Roman" w:cs="Times New Roman"/>
                <w:color w:val="auto"/>
                <w:sz w:val="24"/>
                <w:szCs w:val="24"/>
              </w:rPr>
              <w:t>Horário: 14h</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486"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4.1.1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pBdr/>
              <w:spacing w:lineRule="auto" w:line="240" w:before="0" w:after="280"/>
              <w:jc w:val="left"/>
              <w:rPr>
                <w:rFonts w:ascii="Times New Roman" w:hAnsi="Times New Roman" w:eastAsia="Times New Roman" w:cs="Times New Roman"/>
                <w:sz w:val="24"/>
                <w:szCs w:val="24"/>
              </w:rPr>
            </w:pPr>
            <w:r>
              <w:rPr>
                <w:rFonts w:eastAsia="Times New Roman" w:cs="Times New Roman"/>
                <w:sz w:val="24"/>
                <w:szCs w:val="24"/>
              </w:rPr>
              <w:t>(X) Participação preferencial de microempresa e empresa de pequeno porte.</w:t>
            </w:r>
          </w:p>
          <w:p>
            <w:pPr>
              <w:pStyle w:val="Normal"/>
              <w:widowControl w:val="false"/>
              <w:pBdr/>
              <w:spacing w:lineRule="auto" w:line="240" w:before="280" w:after="280"/>
              <w:jc w:val="left"/>
              <w:rPr>
                <w:rFonts w:ascii="Times New Roman" w:hAnsi="Times New Roman" w:eastAsia="Times New Roman" w:cs="Times New Roman"/>
                <w:sz w:val="24"/>
                <w:szCs w:val="24"/>
              </w:rPr>
            </w:pPr>
            <w:r>
              <w:rPr>
                <w:rFonts w:eastAsia="Times New Roman" w:cs="Times New Roman"/>
                <w:sz w:val="24"/>
                <w:szCs w:val="24"/>
              </w:rPr>
              <w:t>( ) Participação exclusiva de microempresa e empresa de pequeno porte.</w:t>
            </w:r>
          </w:p>
          <w:p>
            <w:pPr>
              <w:pStyle w:val="Normal"/>
              <w:widowControl w:val="false"/>
              <w:pBdr/>
              <w:spacing w:lineRule="auto" w:line="240" w:before="280" w:after="280"/>
              <w:jc w:val="left"/>
              <w:rPr>
                <w:rFonts w:ascii="Times New Roman" w:hAnsi="Times New Roman" w:eastAsia="Times New Roman" w:cs="Times New Roman"/>
                <w:sz w:val="24"/>
                <w:szCs w:val="24"/>
              </w:rPr>
            </w:pPr>
            <w:r>
              <w:rPr>
                <w:rFonts w:eastAsia="Times New Roman" w:cs="Times New Roman"/>
                <w:sz w:val="24"/>
                <w:szCs w:val="24"/>
              </w:rPr>
              <w:t>( ) Participação preferencial ou exclusiva de microempresa e empresa de pequeno porte, conforme definido em cada lote do Termo de referência.</w:t>
            </w:r>
          </w:p>
          <w:p>
            <w:pPr>
              <w:pStyle w:val="Normal"/>
              <w:widowControl w:val="false"/>
              <w:pBdr/>
              <w:spacing w:lineRule="auto" w:line="240" w:before="280" w:after="280"/>
              <w:jc w:val="left"/>
              <w:rPr>
                <w:rFonts w:ascii="Times New Roman" w:hAnsi="Times New Roman" w:eastAsia="Times New Roman" w:cs="Times New Roman"/>
                <w:sz w:val="24"/>
                <w:szCs w:val="24"/>
              </w:rPr>
            </w:pPr>
            <w:r>
              <w:rPr>
                <w:rFonts w:eastAsia="Times New Roman" w:cs="Times New Roman"/>
                <w:sz w:val="24"/>
                <w:szCs w:val="24"/>
              </w:rPr>
              <w:t>(  ) Sem tratamento preferencial conforme subitem 5.10 do Termo.</w:t>
            </w:r>
          </w:p>
          <w:p>
            <w:pPr>
              <w:pStyle w:val="Normal"/>
              <w:widowControl w:val="false"/>
              <w:pBdr/>
              <w:spacing w:lineRule="auto" w:line="240" w:before="280" w:after="280"/>
              <w:jc w:val="left"/>
              <w:rPr>
                <w:rFonts w:ascii="Times New Roman" w:hAnsi="Times New Roman" w:eastAsia="Times New Roman" w:cs="Times New Roman"/>
                <w:sz w:val="24"/>
                <w:szCs w:val="24"/>
              </w:rPr>
            </w:pPr>
            <w:r>
              <w:rPr>
                <w:rFonts w:eastAsia="Times New Roman" w:cs="Times New Roman"/>
                <w:sz w:val="24"/>
                <w:szCs w:val="24"/>
              </w:rPr>
              <w:t>Informações para empresas MEI que participarem do certame:</w:t>
            </w:r>
          </w:p>
          <w:p>
            <w:pPr>
              <w:pStyle w:val="Normal"/>
              <w:widowControl w:val="false"/>
              <w:pBdr/>
              <w:spacing w:lineRule="auto" w:line="240" w:before="280" w:after="0"/>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 Por ocasião de julgamento de proposta de menor valor, conforme a Lei Complementar 147/2014 (alterou Lei Complementar 123/2006 no artigo 18-B), haverá a adição de 20% (vinte por cento) do valor ao valor da proposta, obtendo-se um novo valor para julgar a proposta de menor preço.</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235"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4.1.3</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I – Será permitida a participação de Consórcio, nas seguintes condições: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a) Impedimento de participação de empresa consorciada, na mesma licitação, através de mais de um consórcio ou isoladamente;</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 Responsabilidade solidária dos integrantes pelos atos praticados em consórcio, tanto na fase de dispensa de licitação, quanto na de execução do contrato;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c) Obrigatoriedade de constituição e registro do consórcio antes da celebração do contrato, nos termos do compromisso subscrito pelos consorciados;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d) Credenciamento e operação no Sistema de Compras Eletrônicas pela empresa líder do consórcio.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II – Para fins de Habilitação, os Consórcios deverão apresentar os seguintes documentos: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a) Comprovação do compromisso público ou particular de constituição, subscrito pelos consorciados;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 Indicação da empresa líder do consórcio, que deverá:</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b.1) responsabilizar-se por todas as comunicações e informações perante o contratante;</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b.3) ter poderes expressos para receber citação e responder administrativa e judicialmente pelo consórcio;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478" w:hRule="atLeast"/>
        </w:trPr>
        <w:tc>
          <w:tcPr>
            <w:tcW w:w="159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4.1.4</w:t>
            </w:r>
          </w:p>
        </w:tc>
        <w:tc>
          <w:tcPr>
            <w:tcW w:w="6780" w:type="dxa"/>
            <w:tcBorders>
              <w:top w:val="single" w:sz="6" w:space="0" w:color="000000"/>
              <w:left w:val="single" w:sz="6" w:space="0" w:color="000000"/>
              <w:bottom w:val="single" w:sz="6" w:space="0" w:color="000000"/>
              <w:right w:val="single" w:sz="6" w:space="0" w:color="000000"/>
            </w:tcBorders>
            <w:shd w:color="auto" w:fill="auto" w:val="clear"/>
          </w:tcPr>
          <w:p>
            <w:pPr>
              <w:pStyle w:val="Normal"/>
              <w:rPr>
                <w:rFonts w:ascii="Times New Roman" w:hAnsi="Times New Roman" w:eastAsia="Times New Roman" w:cs="Times New Roman"/>
                <w:sz w:val="24"/>
                <w:szCs w:val="24"/>
              </w:rPr>
            </w:pPr>
            <w:r>
              <w:rPr>
                <w:rFonts w:eastAsia="Times New Roman" w:cs="Times New Roman"/>
                <w:sz w:val="24"/>
                <w:szCs w:val="24"/>
              </w:rPr>
              <w:t>Para fins de habilitação, as Cooperativas de Trabalho deverão apresentar os seguintes documentos, em conjunto com aqueles previstos no subitem 13 deste Termo, no que couber:</w:t>
            </w:r>
          </w:p>
          <w:p>
            <w:pPr>
              <w:pStyle w:val="Normal"/>
              <w:rPr>
                <w:rFonts w:ascii="Times New Roman" w:hAnsi="Times New Roman" w:eastAsia="Times New Roman" w:cs="Times New Roman"/>
                <w:sz w:val="24"/>
                <w:szCs w:val="24"/>
              </w:rPr>
            </w:pPr>
            <w:r>
              <w:rPr>
                <w:rFonts w:eastAsia="Times New Roman" w:cs="Times New Roman"/>
                <w:sz w:val="24"/>
                <w:szCs w:val="24"/>
              </w:rPr>
              <w:t>a) ata de fundação;</w:t>
            </w:r>
          </w:p>
          <w:p>
            <w:pPr>
              <w:pStyle w:val="Normal"/>
              <w:rPr>
                <w:rFonts w:ascii="Times New Roman" w:hAnsi="Times New Roman" w:eastAsia="Times New Roman" w:cs="Times New Roman"/>
                <w:sz w:val="24"/>
                <w:szCs w:val="24"/>
              </w:rPr>
            </w:pPr>
            <w:r>
              <w:rPr>
                <w:rFonts w:eastAsia="Times New Roman" w:cs="Times New Roman"/>
                <w:sz w:val="24"/>
                <w:szCs w:val="24"/>
              </w:rPr>
              <w:t>b) estatuto social com a ata da assembleia que o aprovou devidamente arquivado na Junta Comercial ou inscrito no Registro Civil das Pessoas Jurídicas da respectiva sede;</w:t>
            </w:r>
          </w:p>
          <w:p>
            <w:pPr>
              <w:pStyle w:val="Normal"/>
              <w:rPr>
                <w:rFonts w:ascii="Times New Roman" w:hAnsi="Times New Roman" w:eastAsia="Times New Roman" w:cs="Times New Roman"/>
                <w:sz w:val="24"/>
                <w:szCs w:val="24"/>
              </w:rPr>
            </w:pPr>
            <w:r>
              <w:rPr>
                <w:rFonts w:eastAsia="Times New Roman" w:cs="Times New Roman"/>
                <w:sz w:val="24"/>
                <w:szCs w:val="24"/>
              </w:rPr>
              <w:t>c) registro previsto no art. 107 da Lei 5.764/1971.</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295" w:hRule="atLeast"/>
        </w:trPr>
        <w:tc>
          <w:tcPr>
            <w:tcW w:w="159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7.2</w:t>
            </w:r>
          </w:p>
        </w:tc>
        <w:tc>
          <w:tcPr>
            <w:tcW w:w="6780"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A proposta terá prazo de validade de 60 (sessenta) dias.</w:t>
            </w:r>
          </w:p>
          <w:p>
            <w:pPr>
              <w:pStyle w:val="Normal"/>
              <w:widowControl w:val="false"/>
              <w:spacing w:lineRule="auto" w:line="240" w:before="120" w:after="0"/>
              <w:rPr>
                <w:rFonts w:ascii="Times New Roman" w:hAnsi="Times New Roman" w:eastAsia="Times New Roman" w:cs="Times New Roman"/>
                <w:sz w:val="24"/>
                <w:szCs w:val="24"/>
                <w:lang w:val="pt-BR"/>
              </w:rPr>
            </w:pPr>
            <w:r>
              <w:rPr>
                <w:rFonts w:eastAsia="Times New Roman" w:cs="Times New Roman"/>
                <w:b w:val="false"/>
                <w:bCs w:val="false"/>
                <w:i/>
                <w:iCs/>
                <w:caps w:val="false"/>
                <w:smallCaps w:val="false"/>
                <w:strike w:val="false"/>
                <w:dstrike w:val="false"/>
                <w:color w:themeColor="text1" w:val="000000"/>
                <w:sz w:val="24"/>
                <w:szCs w:val="24"/>
                <w:u w:val="single"/>
                <w:lang w:val="pt-BR"/>
              </w:rPr>
              <w:t>(mediante justificativa fundamentada, dadas as condições de fornecimento do bem, este prazo pode ser alterado)</w:t>
            </w:r>
          </w:p>
        </w:tc>
        <w:tc>
          <w:tcPr>
            <w:tcW w:w="690" w:type="dxa"/>
            <w:gridSpan w:val="2"/>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87" w:hRule="atLeast"/>
        </w:trPr>
        <w:tc>
          <w:tcPr>
            <w:tcW w:w="159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7.12</w:t>
            </w:r>
          </w:p>
        </w:tc>
        <w:tc>
          <w:tcPr>
            <w:tcW w:w="6780"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 </w:t>
            </w:r>
            <w:r>
              <w:rPr>
                <w:rFonts w:eastAsia="Times New Roman" w:cs="Times New Roman"/>
                <w:sz w:val="24"/>
                <w:szCs w:val="24"/>
              </w:rPr>
              <w:t>Não será permitida a subcontratação</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87" w:hRule="atLeast"/>
        </w:trPr>
        <w:tc>
          <w:tcPr>
            <w:tcW w:w="159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7.13</w:t>
            </w:r>
          </w:p>
        </w:tc>
        <w:tc>
          <w:tcPr>
            <w:tcW w:w="6780"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Não será exigida a subcontratação de Microempresas e Empresas de Pequeno Porte</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10.3</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Critério de Julgamento: MENOR PREÇO</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10.5.1</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Intervalo percentual mínimo entre lances: R$ 10,00 (dez reais)  </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12.6.1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Serviços Não Padronizados – definido no Decreto nº 52.768/2015</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263"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12.9</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rPr>
                <w:rFonts w:ascii="Times New Roman" w:hAnsi="Times New Roman" w:eastAsia="Times New Roman" w:cs="Times New Roman"/>
                <w:sz w:val="24"/>
                <w:szCs w:val="24"/>
              </w:rPr>
            </w:pPr>
            <w:r>
              <w:rPr>
                <w:rFonts w:eastAsia="Times New Roman" w:cs="Times New Roman"/>
                <w:sz w:val="24"/>
                <w:szCs w:val="24"/>
              </w:rPr>
              <w:t>Não aplicável</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13.5.1.2</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13.5.1. </w:t>
            </w:r>
            <w:r>
              <w:rPr>
                <w:rFonts w:eastAsia="Times New Roman" w:cs="Times New Roman"/>
                <w:b/>
                <w:bCs/>
                <w:sz w:val="24"/>
                <w:szCs w:val="24"/>
              </w:rPr>
              <w:t>Documentos Relativos à Qualificação Técnica:</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13.5.1.1. comprovação de aptidão para o fornecimento em características, quantidades e prazos compatíveis com o objeto desta licitação, ou com o item pertinente, mediante a apresentação de atestado fornecido por pessoas jurídicas de direito público ou privado; </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13.5.1..2. </w:t>
            </w:r>
            <w:r>
              <w:rPr>
                <w:rFonts w:eastAsia="Times New Roman" w:cs="Times New Roman"/>
                <w:b w:val="false"/>
                <w:bCs w:val="false"/>
                <w:i w:val="false"/>
                <w:iCs w:val="false"/>
                <w:caps w:val="false"/>
                <w:smallCaps w:val="false"/>
                <w:strike w:val="false"/>
                <w:dstrike w:val="false"/>
                <w:color w:themeColor="text1" w:val="000000"/>
                <w:sz w:val="24"/>
                <w:szCs w:val="24"/>
                <w:u w:val="none"/>
                <w:lang w:val="pt-BR"/>
              </w:rPr>
              <w:t>os atestados deverão referir-se a fornecimentos no âmbito de sua atividade econômica principal ou secundária especificadas no contrato social vigente</w:t>
            </w:r>
            <w:r>
              <w:rPr>
                <w:rFonts w:eastAsia="Times New Roman" w:cs="Times New Roman"/>
                <w:sz w:val="24"/>
                <w:szCs w:val="24"/>
              </w:rPr>
              <w:t>.</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bCs/>
                <w:i w:val="false"/>
                <w:iCs w:val="false"/>
                <w:caps w:val="false"/>
                <w:smallCaps w:val="false"/>
                <w:color w:themeColor="text1" w:val="000000"/>
                <w:sz w:val="24"/>
                <w:szCs w:val="24"/>
                <w:lang w:val="pt-BR"/>
              </w:rPr>
              <w:t>São exigidos Documentos Relativos à Qualificação Econômico-Financeira, em conformidade com o Decreto nº 57.154, de 22 de agosto de 2023, e com a Instrução Normativa CAGE Nº 11, de 4 de dezembro de 2023, a saber</w:t>
            </w:r>
            <w:r>
              <w:rPr>
                <w:rFonts w:eastAsia="Times New Roman" w:cs="Times New Roman"/>
                <w:b w:val="false"/>
                <w:bCs w:val="false"/>
                <w:i w:val="false"/>
                <w:iCs w:val="false"/>
                <w:caps w:val="false"/>
                <w:smallCaps w:val="false"/>
                <w:color w:themeColor="text1" w:val="000000"/>
                <w:sz w:val="24"/>
                <w:szCs w:val="24"/>
                <w:lang w:val="pt-BR"/>
              </w:rPr>
              <w:t>:</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iCs/>
                <w:caps w:val="false"/>
                <w:smallCaps w:val="false"/>
                <w:color w:themeColor="text1" w:val="000000"/>
                <w:sz w:val="24"/>
                <w:szCs w:val="24"/>
                <w:lang w:val="pt-BR"/>
              </w:rPr>
              <w:t>NOTA 1: Conforme Lei Federal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iCs/>
                <w:caps w:val="false"/>
                <w:smallCaps w:val="false"/>
                <w:color w:themeColor="text1" w:val="000000"/>
                <w:sz w:val="24"/>
                <w:szCs w:val="24"/>
                <w:lang w:val="pt-BR"/>
              </w:rPr>
              <w:t>NOTA 2: A exigência de patrimônio líquido mínimo (item 13.5.2.2.1.1.) somente será possível se a licitação for de compra para entrega futura, ou seja, se o prazo de entrega estipulado no Termo de Referência for superior a 30 (trinta) dias.</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iCs/>
                <w:caps w:val="false"/>
                <w:smallCaps w:val="false"/>
                <w:color w:themeColor="text1" w:val="000000"/>
                <w:sz w:val="24"/>
                <w:szCs w:val="24"/>
                <w:lang w:val="pt-BR"/>
              </w:rPr>
              <w:t>NOTA 3: A fixação do percentual do patrimônio líquido mínimo a que se refere o item 13.6.1.2.1.1. se insere na esfera de atuação discricionária da Administração até o limite legal de 10% (dez por cento) do valor estimado da contratação [valor da proposta final, conforme Decreto 57.154/2023], e deve ser proporcional aos riscos que a inexecução total ou parcial do contrato poderá acarretar para a Administração, considerando-se, entre outros fatores, o valor do contrato, a essencialidade do objeto, o tempo de duração do contrato.</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iCs/>
                <w:caps w:val="false"/>
                <w:smallCaps w:val="false"/>
                <w:color w:themeColor="text1" w:val="000000"/>
                <w:sz w:val="24"/>
                <w:szCs w:val="24"/>
                <w:lang w:val="pt-BR"/>
              </w:rPr>
              <w:t>NOTA 4: Se 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fato esse que deverá ser levado em consideração na opção pelo percentual a ser aplicado.</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13.5.2.1. certidão negativa de feitos sobre falência expedida pelo distribuidor da sede do licitante, com data de emissão não superior a 180 (cento e oitenta) dias anteriores à data prevista para o recebimento da documentação da habilitação e da proposta; </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 xml:space="preserve">13.5.2.1.1. em se tratando de sociedade simples e pessoa física, deverá ser apresentada a certidão negativa de insolvência civil.  </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13.5.2.2. balanço patrimonial e demonstração de resultado de exercício dos dois últimos exercícios sociais, comprovando, em relação ao último exercício social:</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13.5.2.2.1. índices de liquidez geral - ILG, de solvência geral - ISG, e de liquidez corrente - ILC, superiores a 1 (um);</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13.5.2.2.1.1. caso qualquer um dos índices referidos no item 13.5.2.2.1. apresente resultado inferior ou igual a 1 (um), será exigido, em relação ao valor da proposta final do licitante, patrimônio líquido mínimo de XX% (percentual por extenso) do valor da proposta final do licitante.</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 xml:space="preserve">13.5.2.3. os documentos do item 13.5.2.2. poderão ser substituídos pelo Certificado de Ateste e de Avaliação Econômico-Financeira de Licitantes, expedido pela Contadoria e Auditoria-Geral do Estado (CAGE), a ser obtido no site </w:t>
            </w:r>
            <w:hyperlink r:id="rId8">
              <w:r>
                <w:rPr>
                  <w:rStyle w:val="Hyperlink"/>
                  <w:rFonts w:eastAsia="Times New Roman" w:cs="Times New Roman"/>
                  <w:b w:val="false"/>
                  <w:bCs w:val="false"/>
                  <w:i w:val="false"/>
                  <w:iCs w:val="false"/>
                  <w:caps w:val="false"/>
                  <w:smallCaps w:val="false"/>
                  <w:strike w:val="false"/>
                  <w:dstrike w:val="false"/>
                  <w:sz w:val="24"/>
                  <w:szCs w:val="24"/>
                  <w:lang w:val="pt-BR"/>
                </w:rPr>
                <w:t>www.sisacf.sefaz.rs.gov.br</w:t>
              </w:r>
            </w:hyperlink>
            <w:r>
              <w:rPr>
                <w:rStyle w:val="normaltextrun"/>
                <w:rFonts w:eastAsia="Times New Roman" w:cs="Times New Roman"/>
                <w:b w:val="false"/>
                <w:bCs w:val="false"/>
                <w:i w:val="false"/>
                <w:iCs w:val="false"/>
                <w:caps w:val="false"/>
                <w:smallCaps w:val="false"/>
                <w:color w:themeColor="text1" w:val="000000"/>
                <w:sz w:val="24"/>
                <w:szCs w:val="24"/>
                <w:lang w:val="pt-BR"/>
              </w:rPr>
              <w:t>.</w:t>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r>
          </w:p>
          <w:p>
            <w:pPr>
              <w:pStyle w:val="Normal"/>
              <w:widowControl w:val="false"/>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Style w:val="normaltextrun"/>
                <w:rFonts w:eastAsia="Times New Roman" w:cs="Times New Roman"/>
                <w:b w:val="false"/>
                <w:bCs w:val="false"/>
                <w:i w:val="false"/>
                <w:iCs w:val="false"/>
                <w:caps w:val="false"/>
                <w:smallCaps w:val="false"/>
                <w:color w:themeColor="text1" w:val="000000"/>
                <w:sz w:val="24"/>
                <w:szCs w:val="24"/>
                <w:lang w:val="pt-BR"/>
              </w:rPr>
              <w:t>13.6.1.4. O licitante enquadrado como Microempresa e Empresa de Pequeno Porte estará dispensado da apresentação dos documentos a que se referem os itens 13.5.2.2. e 13.5.2.3., na forma do art. 3º da Lei n° 13.706/2011, se o prazo de entrega estipulado no Termo de Referência for de até 30 (trinta) dias.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 xml:space="preserve">13.6.2. </w:t>
            </w:r>
            <w:r>
              <w:rPr>
                <w:rFonts w:eastAsia="Times New Roman" w:cs="Times New Roman"/>
                <w:b/>
                <w:bCs/>
                <w:sz w:val="24"/>
                <w:szCs w:val="24"/>
              </w:rPr>
              <w:t>Outros Documentos Complementares de Habilitação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Certidão Negativa de Débitos Relativos e Tributos Federais e à Dívida Ativa da União;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Certidão Negativa de Débito Estadual;</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Certidão Negativa de Débito Municipal;</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Regularidade do FGTS;</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Certidão Negativa de Débitos trabalhistas (CNDT),</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w:t>
            </w:r>
            <w:r>
              <w:rPr/>
              <w:tab/>
            </w:r>
            <w:r>
              <w:rPr>
                <w:rFonts w:eastAsia="Times New Roman" w:cs="Times New Roman"/>
                <w:sz w:val="24"/>
                <w:szCs w:val="24"/>
              </w:rPr>
              <w:t>Cadastro Nacional de Empresa Inidôneas e Suspensas (CEIS).</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13.11</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Família (s) de fornecedores a serem aceitas na apresentação do Certificado de Fornecedor do Estado – CFE:</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227"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16.1</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O adjudicatário terá o prazo de até 05 (cinco) dias úteis, após formalmente convocado, para assinar o contrato. (Podendo ser substituído pela Nota de Empenho)</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16.4</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O prazo de vigência do contrato será o equivalente ao prazo de entrega estabelecido no ANEXO V – TERMO DE REFERÊNCIA</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rPr>
                <w:rFonts w:ascii="Times New Roman" w:hAnsi="Times New Roman" w:eastAsia="Times New Roman" w:cs="Times New Roman"/>
                <w:sz w:val="24"/>
                <w:szCs w:val="24"/>
              </w:rPr>
            </w:pPr>
            <w:r>
              <w:rPr>
                <w:rFonts w:eastAsia="Times New Roman" w:cs="Times New Roman"/>
                <w:sz w:val="24"/>
                <w:szCs w:val="24"/>
              </w:rPr>
              <w:t>CGDL 16.5</w:t>
            </w:r>
          </w:p>
        </w:tc>
        <w:tc>
          <w:tcPr>
            <w:tcW w:w="712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rPr>
                <w:rFonts w:ascii="Times New Roman" w:hAnsi="Times New Roman" w:eastAsia="Times New Roman" w:cs="Times New Roman"/>
                <w:i/>
                <w:i/>
                <w:iCs/>
                <w:sz w:val="24"/>
                <w:szCs w:val="24"/>
              </w:rPr>
            </w:pPr>
            <w:r>
              <w:rPr>
                <w:rFonts w:eastAsia="Times New Roman" w:cs="Times New Roman"/>
                <w:i/>
                <w:iCs/>
                <w:sz w:val="24"/>
                <w:szCs w:val="24"/>
              </w:rPr>
              <w:t>Conforme ANEXO V – TERMO DE REFERÊNCIA</w:t>
            </w:r>
          </w:p>
        </w:tc>
        <w:tc>
          <w:tcPr>
            <w:tcW w:w="346" w:type="dxa"/>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16.12</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Gestor do contrato:</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Fiscal técnico titular:</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Fiscal técnico suplente:</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Fiscal administrativo titular:</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Fiscal administrativo suplente:</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17.1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Não aplicável</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18.1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O pagamento deverá ser efetuado no prazo de 30 (trinta) dias mediante a apresentação de Nota Fiscal ou da Fatura pelo contratado, que deverá conter o detalhamento do objeto entregue.</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19.1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Para comparar o preço de referência, os orçamentos foram obtidos no mês de março de 205 em comércio local.</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20.1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b w:val="false"/>
                <w:bCs w:val="false"/>
                <w:color w:val="auto"/>
                <w:sz w:val="24"/>
                <w:szCs w:val="24"/>
              </w:rPr>
            </w:pPr>
            <w:r>
              <w:rPr>
                <w:rFonts w:eastAsia="Times New Roman" w:cs="Times New Roman"/>
                <w:b w:val="false"/>
                <w:bCs w:val="false"/>
                <w:color w:val="auto"/>
                <w:sz w:val="24"/>
                <w:szCs w:val="24"/>
              </w:rPr>
              <w:t>Unidade Orçamentária: 12.60</w:t>
            </w:r>
          </w:p>
          <w:p>
            <w:pPr>
              <w:pStyle w:val="Normal"/>
              <w:widowControl w:val="false"/>
              <w:rPr>
                <w:rFonts w:ascii="Times New Roman" w:hAnsi="Times New Roman" w:eastAsia="Times New Roman" w:cs="Times New Roman"/>
                <w:b w:val="false"/>
                <w:bCs w:val="false"/>
                <w:color w:val="auto"/>
                <w:sz w:val="24"/>
                <w:szCs w:val="24"/>
              </w:rPr>
            </w:pPr>
            <w:r>
              <w:rPr>
                <w:rFonts w:eastAsia="Times New Roman" w:cs="Times New Roman"/>
                <w:b w:val="false"/>
                <w:bCs w:val="false"/>
                <w:color w:val="auto"/>
                <w:sz w:val="24"/>
                <w:szCs w:val="24"/>
              </w:rPr>
              <w:t>Atividade/Projeto: 6566.00001</w:t>
            </w:r>
          </w:p>
          <w:p>
            <w:pPr>
              <w:pStyle w:val="Normal"/>
              <w:widowControl w:val="false"/>
              <w:suppressLineNumbers w:val="0"/>
              <w:bidi w:val="0"/>
              <w:spacing w:lineRule="auto" w:line="360" w:beforeAutospacing="0" w:before="0" w:afterAutospacing="0" w:after="0"/>
              <w:ind w:left="0" w:right="0"/>
              <w:jc w:val="both"/>
              <w:rPr>
                <w:rFonts w:ascii="Times New Roman" w:hAnsi="Times New Roman" w:eastAsia="Times New Roman" w:cs="Times New Roman"/>
                <w:b w:val="false"/>
                <w:bCs w:val="false"/>
                <w:color w:val="auto"/>
                <w:sz w:val="24"/>
                <w:szCs w:val="24"/>
              </w:rPr>
            </w:pPr>
            <w:r>
              <w:rPr>
                <w:rFonts w:eastAsia="Times New Roman" w:cs="Times New Roman"/>
                <w:b w:val="false"/>
                <w:bCs w:val="false"/>
                <w:color w:val="auto"/>
                <w:sz w:val="24"/>
                <w:szCs w:val="24"/>
              </w:rPr>
              <w:t>Natureza da Despesa – 3.3.90.30.3032</w:t>
            </w:r>
          </w:p>
          <w:p>
            <w:pPr>
              <w:pStyle w:val="Normal"/>
              <w:widowControl w:val="false"/>
              <w:rPr>
                <w:rFonts w:ascii="Times New Roman" w:hAnsi="Times New Roman" w:eastAsia="Times New Roman" w:cs="Times New Roman"/>
                <w:b w:val="false"/>
                <w:bCs w:val="false"/>
                <w:color w:val="auto"/>
                <w:sz w:val="24"/>
                <w:szCs w:val="24"/>
              </w:rPr>
            </w:pPr>
            <w:r>
              <w:rPr>
                <w:rFonts w:eastAsia="Times New Roman" w:cs="Times New Roman"/>
                <w:b w:val="false"/>
                <w:bCs w:val="false"/>
                <w:color w:val="auto"/>
                <w:sz w:val="24"/>
                <w:szCs w:val="24"/>
              </w:rPr>
              <w:t>Recurso: 8008</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21.1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[Indicar demais obrigações do contratado que sejam específicas ao objeto contratual e que não constem na Cláusula Décima da Minuta de Contrato]</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22.1</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Não aplicável</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r>
        <w:trPr>
          <w:trHeight w:val="142" w:hRule="atLeast"/>
        </w:trPr>
        <w:tc>
          <w:tcPr>
            <w:tcW w:w="1593"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CGDL 23.2.2</w:t>
            </w:r>
          </w:p>
        </w:tc>
        <w:tc>
          <w:tcPr>
            <w:tcW w:w="6780" w:type="dxa"/>
            <w:tcBorders>
              <w:top w:val="single" w:sz="6" w:space="0" w:color="000000"/>
              <w:left w:val="single" w:sz="6" w:space="0" w:color="000000"/>
              <w:bottom w:val="single" w:sz="6" w:space="0" w:color="000000"/>
              <w:right w:val="single" w:sz="6" w:space="0" w:color="000000"/>
            </w:tcBorders>
          </w:tcPr>
          <w:p>
            <w:pPr>
              <w:pStyle w:val="Normal"/>
              <w:widowControl w:val="false"/>
              <w:rPr>
                <w:rFonts w:ascii="Times New Roman" w:hAnsi="Times New Roman" w:eastAsia="Times New Roman" w:cs="Times New Roman"/>
                <w:sz w:val="24"/>
                <w:szCs w:val="24"/>
              </w:rPr>
            </w:pPr>
            <w:r>
              <w:rPr>
                <w:rFonts w:eastAsia="Times New Roman" w:cs="Times New Roman"/>
                <w:sz w:val="24"/>
                <w:szCs w:val="24"/>
              </w:rPr>
              <w:t>INSTRUÇÃO NORMATIVA CELIC/SPGG Nº 02/2023, publicada no DOE do Rio Grande do Sul em 29 de setembro de 2023</w:t>
            </w:r>
          </w:p>
          <w:p>
            <w:pPr>
              <w:pStyle w:val="Normal"/>
              <w:widowControl w:val="false"/>
              <w:rPr>
                <w:rFonts w:ascii="Times New Roman" w:hAnsi="Times New Roman" w:eastAsia="Times New Roman" w:cs="Times New Roman"/>
                <w:sz w:val="24"/>
                <w:szCs w:val="24"/>
              </w:rPr>
            </w:pPr>
            <w:r>
              <w:rPr>
                <w:rFonts w:eastAsia="Times New Roman" w:cs="Times New Roman"/>
                <w:sz w:val="24"/>
                <w:szCs w:val="24"/>
              </w:rPr>
              <w:t>(https://www.diariooficial.rs.gov.br/materia?id=908247).</w:t>
            </w:r>
          </w:p>
        </w:tc>
        <w:tc>
          <w:tcPr>
            <w:tcW w:w="344"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c>
          <w:tcPr>
            <w:tcW w:w="346" w:type="dxa"/>
            <w:tcBorders/>
          </w:tcPr>
          <w:p>
            <w:pPr>
              <w:pStyle w:val="Normal"/>
              <w:rPr>
                <w:rFonts w:ascii="Times New Roman" w:hAnsi="Times New Roman" w:eastAsia="Times New Roman" w:cs="Times New Roman"/>
                <w:sz w:val="24"/>
                <w:szCs w:val="24"/>
              </w:rPr>
            </w:pPr>
            <w:r>
              <w:rPr>
                <w:rFonts w:eastAsia="Times New Roman" w:cs="Times New Roman"/>
                <w:sz w:val="24"/>
                <w:szCs w:val="24"/>
              </w:rPr>
            </w:r>
          </w:p>
        </w:tc>
      </w:tr>
    </w:tbl>
    <w:p>
      <w:pPr>
        <w:pStyle w:val="Normal"/>
        <w:widowControl w:val="false"/>
        <w:pBdr/>
        <w:jc w:val="center"/>
        <w:rPr>
          <w:rFonts w:ascii="Times New Roman" w:hAnsi="Times New Roman" w:eastAsia="Times New Roman" w:cs="Times New Roman"/>
          <w:b/>
          <w:bCs/>
          <w:smallCaps/>
          <w:sz w:val="24"/>
          <w:szCs w:val="24"/>
        </w:rPr>
      </w:pPr>
      <w:r>
        <w:rPr>
          <w:rFonts w:eastAsia="Times New Roman" w:cs="Times New Roman"/>
          <w:b/>
          <w:bCs/>
          <w:smallCaps/>
          <w:sz w:val="24"/>
          <w:szCs w:val="24"/>
        </w:rPr>
      </w:r>
    </w:p>
    <w:p>
      <w:pPr>
        <w:pStyle w:val="Normal"/>
        <w:widowControl w:val="false"/>
        <w:pBdr/>
        <w:jc w:val="center"/>
        <w:rPr>
          <w:rFonts w:ascii="Times New Roman" w:hAnsi="Times New Roman" w:eastAsia="Times New Roman" w:cs="Times New Roman"/>
          <w:b/>
          <w:bCs/>
          <w:smallCaps/>
          <w:sz w:val="24"/>
          <w:szCs w:val="24"/>
        </w:rPr>
      </w:pPr>
      <w:r>
        <w:rPr>
          <w:rFonts w:eastAsia="Times New Roman" w:cs="Times New Roman"/>
          <w:b/>
          <w:bCs/>
          <w:smallCaps/>
          <w:sz w:val="24"/>
          <w:szCs w:val="24"/>
        </w:rPr>
        <w:t>ANEXO V – TERMO DE REFERÊNCIA</w:t>
      </w:r>
    </w:p>
    <w:p>
      <w:pPr>
        <w:pStyle w:val="Normal"/>
        <w:widowControl w:val="false"/>
        <w:pBdr/>
        <w:jc w:val="center"/>
        <w:rPr>
          <w:rFonts w:ascii="Times New Roman" w:hAnsi="Times New Roman" w:eastAsia="Times New Roman" w:cs="Times New Roman"/>
          <w:b/>
          <w:bCs/>
          <w:smallCaps/>
          <w:sz w:val="24"/>
          <w:szCs w:val="24"/>
        </w:rPr>
      </w:pPr>
      <w:r>
        <w:rPr>
          <w:rFonts w:eastAsia="Times New Roman" w:cs="Times New Roman"/>
          <w:b/>
          <w:bCs/>
          <w:smallCaps/>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OBJETO DA PRESTAÇÃO DOS SERVIÇOS</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widowControl w:val="false"/>
        <w:spacing w:lineRule="auto" w:line="240"/>
        <w:ind w:right="139"/>
        <w:rPr>
          <w:rFonts w:ascii="Times New Roman" w:hAnsi="Times New Roman" w:eastAsia="Times New Roman" w:cs="Times New Roman"/>
          <w:sz w:val="24"/>
          <w:szCs w:val="24"/>
        </w:rPr>
      </w:pPr>
      <w:r>
        <w:rPr>
          <w:rFonts w:eastAsia="Times New Roman" w:cs="Times New Roman"/>
          <w:sz w:val="24"/>
          <w:szCs w:val="24"/>
        </w:rPr>
        <w:t>Contratação de empresa para o fornecimento e entrega de materiais destinados à restauração da parte elétrica do prédio do setor de inteligência do CRPO Delta do Jacuí.</w:t>
      </w:r>
    </w:p>
    <w:p>
      <w:pPr>
        <w:pStyle w:val="Normal"/>
        <w:widowControl w:val="false"/>
        <w:spacing w:lineRule="auto" w:line="240"/>
        <w:ind w:right="139"/>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JUSTIFICATIVA</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t>2.1. Introdução</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O presente documento tem por finalidade justificar a necessidade de dispensa de licitação para a aquisição de materiais elétricos destinados à restauração da parte elétrica do prédio do setor de inteligência do CRPO Delta do Jacuí.</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t>2.2. Contexto e Problemática</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O setor de inteligência do CRPO-DJ está situado em um prédio que integra o antigo complexo da CEEE Equatorial Alvorada, o qual retornou ao estado, sendo destinado à Brigada Militar. Devido à falta de manutenção preventiva adequada ao longo dos anos, a rede elétrica do prédio apresenta sinais de deterioração, comprometendo a segurança e o funcionamento do setor, podendo acarretar diversos riscos, tais como:</w:t>
      </w:r>
    </w:p>
    <w:p>
      <w:pPr>
        <w:pStyle w:val="ListParagraph"/>
        <w:numPr>
          <w:ilvl w:val="0"/>
          <w:numId w:val="1"/>
        </w:numPr>
        <w:spacing w:lineRule="auto" w:line="276"/>
        <w:jc w:val="both"/>
        <w:rPr>
          <w:rFonts w:ascii="Times New Roman" w:hAnsi="Times New Roman" w:eastAsia="Times New Roman" w:cs="Times New Roman"/>
          <w:color w:themeColor="text1" w:val="000000"/>
          <w:sz w:val="24"/>
          <w:szCs w:val="24"/>
        </w:rPr>
      </w:pPr>
      <w:r>
        <w:rPr>
          <w:rFonts w:eastAsia="Times New Roman" w:cs="Times New Roman"/>
          <w:sz w:val="24"/>
          <w:szCs w:val="24"/>
        </w:rPr>
        <w:t>Sobrecarga da fiação, com risco de incêndio;</w:t>
      </w:r>
    </w:p>
    <w:p>
      <w:pPr>
        <w:pStyle w:val="ListParagraph"/>
        <w:numPr>
          <w:ilvl w:val="0"/>
          <w:numId w:val="1"/>
        </w:numPr>
        <w:spacing w:lineRule="auto" w:line="276"/>
        <w:jc w:val="both"/>
        <w:rPr>
          <w:rFonts w:ascii="Times New Roman" w:hAnsi="Times New Roman" w:eastAsia="Times New Roman" w:cs="Times New Roman"/>
          <w:color w:themeColor="text1" w:val="000000"/>
          <w:sz w:val="24"/>
          <w:szCs w:val="24"/>
        </w:rPr>
      </w:pPr>
      <w:r>
        <w:rPr>
          <w:rFonts w:eastAsia="Times New Roman" w:cs="Times New Roman"/>
          <w:sz w:val="24"/>
          <w:szCs w:val="24"/>
        </w:rPr>
        <w:t>Curtos-circuitos, que podem danificar equipamentos eletrônicos;</w:t>
      </w:r>
    </w:p>
    <w:p>
      <w:pPr>
        <w:pStyle w:val="ListParagraph"/>
        <w:numPr>
          <w:ilvl w:val="0"/>
          <w:numId w:val="1"/>
        </w:numPr>
        <w:spacing w:lineRule="auto" w:line="276"/>
        <w:jc w:val="both"/>
        <w:rPr>
          <w:rFonts w:ascii="Times New Roman" w:hAnsi="Times New Roman" w:eastAsia="Times New Roman" w:cs="Times New Roman"/>
          <w:color w:themeColor="text1" w:val="000000"/>
          <w:sz w:val="24"/>
          <w:szCs w:val="24"/>
        </w:rPr>
      </w:pPr>
      <w:r>
        <w:rPr>
          <w:rFonts w:eastAsia="Times New Roman" w:cs="Times New Roman"/>
          <w:sz w:val="24"/>
          <w:szCs w:val="24"/>
        </w:rPr>
        <w:t>Choques elétricos, colocando em risco a integridade física dos usuários do prédio;</w:t>
      </w:r>
    </w:p>
    <w:p>
      <w:pPr>
        <w:pStyle w:val="ListParagraph"/>
        <w:numPr>
          <w:ilvl w:val="0"/>
          <w:numId w:val="1"/>
        </w:numPr>
        <w:spacing w:lineRule="auto" w:line="276"/>
        <w:jc w:val="both"/>
        <w:rPr>
          <w:rFonts w:ascii="Times New Roman" w:hAnsi="Times New Roman" w:eastAsia="Times New Roman" w:cs="Times New Roman"/>
          <w:color w:themeColor="text1" w:val="000000"/>
          <w:sz w:val="24"/>
          <w:szCs w:val="24"/>
        </w:rPr>
      </w:pPr>
      <w:r>
        <w:rPr>
          <w:rFonts w:eastAsia="Times New Roman" w:cs="Times New Roman"/>
          <w:sz w:val="24"/>
          <w:szCs w:val="24"/>
        </w:rPr>
        <w:t>Interrupções no fornecimento de energia, prejudicando as atividades do setor.</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t>2.3. Impossibilidade de Utilização do Sistema GCE e Necessidade de Dispensa de Licitação</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 xml:space="preserve">Conforme preconiza a legislação, a aquisição de materiais de construção por órgãos públicos, como a Brigada Militar, deve ser precedida de consulta formal ao Centro de Obras, visando a negativa de estoque e de fornecimento do item, a qual foi obtida através da M.Ex nº 0155/CO-DEPÓSITO 2025, afirmando a falta dos materiais solicitados.  </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No presente caso, também inexiste ata de registro de preços para os materiais elétricos necessários à restauração da rede. A inexistência de ata de registro de preços impede a aquisição dos materiais por meio do Sistema GCE (Gestão de Compras do Estado), sistema específico para aquisição de materiais.</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A alternativa seria solicitar a catalogação dos itens, procedimento que demanda tempo e pode comprometer a urgência da situação. A demora na catalogação dos itens expõe os servidores a riscos de acidentes, além de prejudicar o funcionamento do setor de inteligência, que depende de equipamentos eletrônicos para o desempenho de suas funções.</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2.4. Alocação Precária do Setor de Inteligência e Seus Impactos</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O Setor de Inteligência do CRPO-DJ, atualmente, está alocado de forma precária no município de Cachoeirinha, no prédio do 26º Batalhão de Polícia Militar (unidade subordinada a este comando). Essa alocação precária prejudica sobremaneira a comunicação com o comando do CRPO-DJ, o qual possui sede no município de Alvorada, impactando negativamente a eficiência e a coordenação das atividades de inteligência e por consequência o policiamento ostensivo em geral.</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2.5. Fundamentação Legal para Dispensa de Licitação</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 xml:space="preserve">A Lei nº 14.133/2021 (Lei de Licitações e Contratos Administrativos) prevê a possibilidade de dispensa de licitação em casos de emergência, </w:t>
      </w:r>
      <w:r>
        <w:rPr>
          <w:rFonts w:eastAsia="Times New Roman" w:cs="Times New Roman"/>
          <w:i/>
          <w:iCs/>
          <w:sz w:val="24"/>
          <w:szCs w:val="24"/>
          <w:u w:val="single"/>
        </w:rPr>
        <w:t>quando a</w:t>
      </w:r>
      <w:r>
        <w:rPr>
          <w:rFonts w:eastAsia="Times New Roman" w:cs="Times New Roman"/>
          <w:sz w:val="24"/>
          <w:szCs w:val="24"/>
        </w:rPr>
        <w:t xml:space="preserve"> </w:t>
      </w:r>
      <w:r>
        <w:rPr>
          <w:rFonts w:eastAsia="Times New Roman" w:cs="Times New Roman"/>
          <w:i/>
          <w:iCs/>
          <w:sz w:val="24"/>
          <w:szCs w:val="24"/>
          <w:u w:val="single"/>
        </w:rPr>
        <w:t>situação exigir a imediata realização da despesa, sob pena de prejuízo irreparável ou grave para a entidade</w:t>
      </w:r>
      <w:r>
        <w:rPr>
          <w:rFonts w:eastAsia="Times New Roman" w:cs="Times New Roman"/>
          <w:sz w:val="24"/>
          <w:szCs w:val="24"/>
        </w:rPr>
        <w:t>.</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 xml:space="preserve">A situação apresentada se enquadra nesse contexto, uma vez que a deterioração da rede elétrica do setor de inteligência do CRPO-DJ representa </w:t>
      </w:r>
      <w:r>
        <w:rPr>
          <w:rFonts w:eastAsia="Times New Roman" w:cs="Times New Roman"/>
          <w:i/>
          <w:iCs/>
          <w:sz w:val="24"/>
          <w:szCs w:val="24"/>
          <w:u w:val="single"/>
        </w:rPr>
        <w:t>risco iminente à segurança dos servidores e ao funcionamento do setor</w:t>
      </w:r>
      <w:r>
        <w:rPr>
          <w:rFonts w:eastAsia="Times New Roman" w:cs="Times New Roman"/>
          <w:sz w:val="24"/>
          <w:szCs w:val="24"/>
        </w:rPr>
        <w:t>.</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Art. 75, II da Lei nº 14.133/2021:</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"É dispensável a licitação:</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II - em casos de emergência ou calamidade pública, quando a situação exigir a imediata realização da despesa, sob pena de prejuízo irreparável ou grave para a entidade;"</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pPr>
      <w:r>
        <w:rPr>
          <w:rFonts w:eastAsia="Times New Roman" w:cs="Times New Roman"/>
          <w:sz w:val="24"/>
          <w:szCs w:val="24"/>
        </w:rPr>
        <w:t>2.6. Justificativa para Utilização do Sistema Compras RS</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 xml:space="preserve">Diante da impossibilidade de fornecimento através do Centro de Obras da Brigada militar e da aquisição dos materiais por meio do Sistema GCE, a única alternativa viável é a utilização do Sistema Compras RS, sistema específico para a contratação de serviços. </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Em que pese o Sistema Compras RS ser específico para a contratação de serviços, na falta de outras possibilidades, urge a necessidade de lançamento do edital por meio deste sistema, pois a utilização do Sistema Compras RS permitirá a realização de dispensa de licitação para a contratação de empresa especializada no fornecimento dos materiais elétricos necessários para restauração da rede elétrica do setor de inteligência do CRPO-DJ, o qual será executada por servidor habilitado, com conhecimento técnico na área. Logo, ainda que se utilize o sistema para contratação de serviços, os princípios básicos da licitação, como a transparência, a igualdade de disputa, a celeridade, a economicidade, a eficiência e a busca pelo interesse público, serão mantidas, garantindo a lisura do processo.</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2.7. Conclusão</w:t>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76"/>
        <w:jc w:val="both"/>
        <w:rPr>
          <w:rFonts w:ascii="Times New Roman" w:hAnsi="Times New Roman" w:eastAsia="Times New Roman" w:cs="Times New Roman"/>
          <w:sz w:val="24"/>
          <w:szCs w:val="24"/>
        </w:rPr>
      </w:pPr>
      <w:r>
        <w:rPr>
          <w:rFonts w:eastAsia="Times New Roman" w:cs="Times New Roman"/>
          <w:sz w:val="24"/>
          <w:szCs w:val="24"/>
        </w:rPr>
        <w:t>A presente justificativa demonstra a necessidade de dispensa de licitação para a restauração da parte elétrica do prédio do setor de inteligência do CRPO-DJ, em face da falta de estoque de materiais no Centro de Obras da Brigada militar e inexistência de ata de registro de preços, da urgência da situação, da impossibilidade de utilização do Sistema GCE e da alocação precária do setor. A utilização do Sistema Compras RS, mediante dispensa de licitação, é a medida mais adequada para garantir a segurança dos servidores, o funcionamento do setor de inteligência do CRPO-DJ e mitigar os impactos negativos da alocação precária, evitando prejuízos irreparáveis ou graves para a entidade e os seus servidores.</w:t>
      </w:r>
    </w:p>
    <w:p>
      <w:pPr>
        <w:pStyle w:val="Normal"/>
        <w:spacing w:lineRule="auto" w:line="276"/>
        <w:jc w:val="left"/>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LOCAIS DA ENTREGA DE MATERIAIS</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Os materiais fornecidos de deverão ser entregues no endereço abaixo:</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Rua Caetano Dihl, 185 – Centro, Alvorada – RS, 94820-090 Fone: (51) 98526-8010</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Comando Regional de Polícia Ostensiva Delta do Jacuí – CRPO/DJ</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HORÁRIOS DE ENTREGA DE MATERIAIS:</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O serviço deverá ser entregue em horário comercial, sendo das 08h00min às 18h00min.</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DESCRIÇÃO DOS BENS</w:t>
      </w:r>
    </w:p>
    <w:tbl>
      <w:tblPr>
        <w:tblW w:w="9965"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614"/>
        <w:gridCol w:w="976"/>
        <w:gridCol w:w="7515"/>
        <w:gridCol w:w="859"/>
      </w:tblGrid>
      <w:tr>
        <w:trPr>
          <w:trHeight w:val="300" w:hRule="atLeast"/>
        </w:trPr>
        <w:tc>
          <w:tcPr>
            <w:tcW w:w="614"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eastAsia="Times New Roman" w:cs="Times New Roman"/>
                <w:sz w:val="24"/>
                <w:szCs w:val="24"/>
              </w:rPr>
            </w:pPr>
            <w:r>
              <w:rPr>
                <w:rFonts w:eastAsia="Times New Roman" w:cs="Times New Roman"/>
                <w:sz w:val="24"/>
                <w:szCs w:val="24"/>
              </w:rPr>
              <w:t>Nº</w:t>
            </w:r>
          </w:p>
        </w:tc>
        <w:tc>
          <w:tcPr>
            <w:tcW w:w="976"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eastAsia="Times New Roman" w:cs="Times New Roman"/>
                <w:sz w:val="24"/>
                <w:szCs w:val="24"/>
              </w:rPr>
            </w:pPr>
            <w:r>
              <w:rPr>
                <w:rFonts w:eastAsia="Times New Roman" w:cs="Times New Roman"/>
                <w:sz w:val="24"/>
                <w:szCs w:val="24"/>
              </w:rPr>
              <w:t>Medida</w:t>
            </w:r>
          </w:p>
        </w:tc>
        <w:tc>
          <w:tcPr>
            <w:tcW w:w="7515"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eastAsia="Times New Roman" w:cs="Times New Roman"/>
                <w:b/>
                <w:bCs/>
                <w:sz w:val="24"/>
                <w:szCs w:val="24"/>
              </w:rPr>
            </w:pPr>
            <w:r>
              <w:rPr>
                <w:rFonts w:eastAsia="Times New Roman" w:cs="Times New Roman"/>
                <w:b/>
                <w:bCs/>
                <w:sz w:val="24"/>
                <w:szCs w:val="24"/>
              </w:rPr>
              <w:t>Especificação dos Materiais</w:t>
            </w:r>
          </w:p>
        </w:tc>
        <w:tc>
          <w:tcPr>
            <w:tcW w:w="859" w:type="dxa"/>
            <w:tcBorders>
              <w:top w:val="single" w:sz="4" w:space="0" w:color="000000"/>
              <w:left w:val="single" w:sz="4" w:space="0" w:color="000000"/>
              <w:bottom w:val="single" w:sz="4" w:space="0" w:color="000000"/>
              <w:right w:val="single" w:sz="4" w:space="0" w:color="000000"/>
            </w:tcBorders>
          </w:tcPr>
          <w:p>
            <w:pPr>
              <w:pStyle w:val="Normal"/>
              <w:jc w:val="center"/>
              <w:rPr>
                <w:rFonts w:ascii="Times New Roman" w:hAnsi="Times New Roman" w:eastAsia="Times New Roman" w:cs="Times New Roman"/>
                <w:sz w:val="24"/>
                <w:szCs w:val="24"/>
              </w:rPr>
            </w:pPr>
            <w:r>
              <w:rPr>
                <w:rFonts w:eastAsia="Times New Roman" w:cs="Times New Roman"/>
                <w:sz w:val="24"/>
                <w:szCs w:val="24"/>
              </w:rPr>
              <w:t>Quant</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01</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CURVA PVC PARA ELETRODUTO 3/4 SEM ROSCA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60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02</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LUVA PVC PARA ELETRODUTO 3/4 SEM ROSCA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40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03</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ADAPTADOR/CONECTOR PVC PARA CONDULETE 3/4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80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04</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ABRAÇADEIRA PVC PARA CONDUÍTE/ELETRODUTO 3/4 DE SOBREPOR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250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05</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PARAFUSO 6MM CABEÇA CHATA PHILLIPS C/BUCHA 6MM</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250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06</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CONDULETE PVC MÚLTIPLO 3/4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07</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TAMPA PVC CONDULETE 3/4 03 PONTOS</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80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08</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TAMPA CEGA CONDULETE 3/4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20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09</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MODULO TOMADA 2P+T 20A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80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10</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MODULO TOMADA 2P+T 10A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140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11</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UN</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MODULO INTERRUPTOR SIMPLES 10A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30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12</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M</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CABO FLEX 750V 2,50 MM COR PRETA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100</w:t>
            </w:r>
          </w:p>
        </w:tc>
      </w:tr>
      <w:tr>
        <w:trPr>
          <w:trHeight w:val="300" w:hRule="atLeast"/>
        </w:trPr>
        <w:tc>
          <w:tcPr>
            <w:tcW w:w="61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sz w:val="24"/>
                <w:szCs w:val="24"/>
              </w:rPr>
            </w:pPr>
            <w:r>
              <w:rPr>
                <w:rFonts w:eastAsia="Times New Roman" w:cs="Times New Roman"/>
                <w:sz w:val="24"/>
                <w:szCs w:val="24"/>
              </w:rPr>
              <w:t>13</w:t>
            </w:r>
          </w:p>
        </w:tc>
        <w:tc>
          <w:tcPr>
            <w:tcW w:w="97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M</w:t>
            </w:r>
          </w:p>
        </w:tc>
        <w:tc>
          <w:tcPr>
            <w:tcW w:w="7515"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CABO FLEX 750V 2,50 MM COR VERMELHA</w:t>
            </w:r>
          </w:p>
        </w:tc>
        <w:tc>
          <w:tcPr>
            <w:tcW w:w="85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100</w:t>
            </w:r>
          </w:p>
        </w:tc>
      </w:tr>
    </w:tbl>
    <w:p>
      <w:pPr>
        <w:pStyle w:val="Normal"/>
        <w:rPr/>
      </w:pPr>
      <w:r>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FORMA DE ENTREGA DOS MATERIAIS</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Os materiais deverão ser entregues no prazo de 05 dias posteriores ao recebimento do empenho pela empresa vencedora do certame, no endereço: Rua Caetano Dihl, 185 – Centro, Alvorada – RS, 94820-090 Fone: (51) 98526-8010 – Comando Regional de Polícia Ostensiva Delta do Jacuí.</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INFORMAÇÕES RELEVANTES PARA O DIMENSIONAMENTO DA PROPOSTA</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A empresa deverá observar todos os detalhes do item 5.</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ListParagraph"/>
        <w:numPr>
          <w:ilvl w:val="0"/>
          <w:numId w:val="2"/>
        </w:numPr>
        <w:spacing w:lineRule="auto" w:line="240"/>
        <w:rPr>
          <w:rFonts w:ascii="Times New Roman" w:hAnsi="Times New Roman" w:eastAsia="Times New Roman" w:cs="Times New Roman"/>
          <w:b/>
          <w:bCs/>
          <w:i w:val="false"/>
          <w:i w:val="false"/>
          <w:iCs w:val="false"/>
          <w:caps w:val="false"/>
          <w:smallCaps w:val="false"/>
          <w:color w:themeColor="text1" w:val="000000"/>
          <w:sz w:val="24"/>
          <w:szCs w:val="24"/>
          <w:lang w:val="pt-BR"/>
        </w:rPr>
      </w:pPr>
      <w:r>
        <w:rPr>
          <w:rFonts w:eastAsia="Times New Roman" w:cs="Times New Roman"/>
          <w:b/>
          <w:bCs/>
          <w:i w:val="false"/>
          <w:iCs w:val="false"/>
          <w:caps w:val="false"/>
          <w:smallCaps w:val="false"/>
          <w:color w:themeColor="text1" w:val="000000"/>
          <w:sz w:val="24"/>
          <w:szCs w:val="24"/>
          <w:lang w:val="pt-BR"/>
        </w:rPr>
        <w:t>DO PAGAMENTO</w:t>
      </w:r>
    </w:p>
    <w:p>
      <w:pPr>
        <w:pStyle w:val="Normal"/>
        <w:widowControl/>
        <w:spacing w:lineRule="auto" w:line="240" w:before="120" w:after="0"/>
        <w:ind w:left="0"/>
        <w:jc w:val="both"/>
        <w:rPr>
          <w:rFonts w:ascii="Times New Roman" w:hAnsi="Times New Roman" w:eastAsia="Times New Roman" w:cs="Times New Roman"/>
          <w:b w:val="false"/>
          <w:bCs w:val="false"/>
          <w:i w:val="false"/>
          <w:i w:val="false"/>
          <w:iCs w:val="false"/>
          <w:caps w:val="false"/>
          <w:smallCaps w:val="false"/>
          <w:color w:themeColor="text1" w:val="000000"/>
          <w:sz w:val="24"/>
          <w:szCs w:val="24"/>
          <w:lang w:val="pt-BR"/>
        </w:rPr>
      </w:pPr>
      <w:r>
        <w:rPr>
          <w:rFonts w:eastAsia="Times New Roman" w:cs="Times New Roman"/>
          <w:b w:val="false"/>
          <w:bCs w:val="false"/>
          <w:i w:val="false"/>
          <w:iCs w:val="false"/>
          <w:caps w:val="false"/>
          <w:smallCaps w:val="false"/>
          <w:color w:themeColor="text1" w:val="000000"/>
          <w:sz w:val="24"/>
          <w:szCs w:val="24"/>
          <w:lang w:val="pt-BR"/>
        </w:rPr>
        <w:t>O pagamento por meio de liquidação da nota fiscal será efetuado no prazo máximo de 30 (trinta) dias após a apresentação de Nota Fiscal que deverá conter o detalhamento do fornecimento executado, o qual deverá ser emitido após o recebimento dos serviços em conformidade ao que foi solicitado, ficando a cargo da Secretaria da Fazenda o efetivo pagamento, conforme cronograma da fazenda.</w:t>
      </w:r>
    </w:p>
    <w:p>
      <w:pPr>
        <w:pStyle w:val="Normal"/>
        <w:spacing w:lineRule="auto" w:line="240"/>
        <w:rPr>
          <w:rFonts w:ascii="Times New Roman" w:hAnsi="Times New Roman" w:eastAsia="Times New Roman" w:cs="Times New Roman"/>
          <w:b/>
          <w:bCs/>
          <w:sz w:val="24"/>
          <w:szCs w:val="24"/>
        </w:rPr>
      </w:pPr>
      <w:r>
        <w:rPr>
          <w:rFonts w:eastAsia="Times New Roman" w:cs="Times New Roman"/>
          <w:b/>
          <w:bCs/>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OBRIGAÇÕES E RESPONSABILIDADES DO CONTRATADO</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Conforme Edital.</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numPr>
          <w:ilvl w:val="0"/>
          <w:numId w:val="2"/>
        </w:numPr>
        <w:spacing w:lineRule="auto" w:line="240"/>
        <w:rPr>
          <w:rFonts w:ascii="Times New Roman" w:hAnsi="Times New Roman" w:eastAsia="Times New Roman" w:cs="Times New Roman"/>
          <w:b/>
          <w:bCs/>
          <w:sz w:val="24"/>
          <w:szCs w:val="24"/>
        </w:rPr>
      </w:pPr>
      <w:r>
        <w:rPr>
          <w:rFonts w:eastAsia="Times New Roman" w:cs="Times New Roman"/>
          <w:b/>
          <w:bCs/>
          <w:sz w:val="24"/>
          <w:szCs w:val="24"/>
        </w:rPr>
        <w:t xml:space="preserve">FORNECIMENTO DE MATERIAIS E EQUIPAMENTOS </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Todo o material adquirido deverá ser fornecido pela contratada.</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b/>
          <w:bCs/>
          <w:sz w:val="24"/>
          <w:szCs w:val="24"/>
        </w:rPr>
      </w:pPr>
      <w:r>
        <w:rPr>
          <w:rFonts w:eastAsia="Times New Roman" w:cs="Times New Roman"/>
          <w:b/>
          <w:bCs/>
          <w:sz w:val="24"/>
          <w:szCs w:val="24"/>
        </w:rPr>
        <w:t>11. OBRIGAÇÕES E RESPONSABILIDADES DA CONTRATANTE</w:t>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r>
    </w:p>
    <w:p>
      <w:pPr>
        <w:pStyle w:val="Normal"/>
        <w:spacing w:lineRule="auto" w:line="240"/>
        <w:rPr>
          <w:rFonts w:ascii="Times New Roman" w:hAnsi="Times New Roman" w:eastAsia="Times New Roman" w:cs="Times New Roman"/>
          <w:sz w:val="24"/>
          <w:szCs w:val="24"/>
        </w:rPr>
      </w:pPr>
      <w:r>
        <w:rPr>
          <w:rFonts w:eastAsia="Times New Roman" w:cs="Times New Roman"/>
          <w:sz w:val="24"/>
          <w:szCs w:val="24"/>
        </w:rPr>
        <w:t>Conforme Edital.</w:t>
      </w:r>
    </w:p>
    <w:sectPr>
      <w:headerReference w:type="even" r:id="rId9"/>
      <w:headerReference w:type="default" r:id="rId10"/>
      <w:headerReference w:type="first" r:id="rId11"/>
      <w:footerReference w:type="even" r:id="rId12"/>
      <w:footerReference w:type="default" r:id="rId13"/>
      <w:footerReference w:type="first" r:id="rId14"/>
      <w:type w:val="nextPage"/>
      <w:pgSz w:w="11906" w:h="16838"/>
      <w:pgMar w:left="993" w:right="849" w:gutter="0" w:header="0" w:top="2046" w:footer="416" w:bottom="1134"/>
      <w:pgNumType w:start="1"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swiss"/>
    <w:pitch w:val="variable"/>
  </w:font>
  <w:font w:name="Calibri">
    <w:charset w:val="00"/>
    <w:family w:val="swiss"/>
    <w:pitch w:val="variable"/>
  </w:font>
  <w:font w:name="Ecofont_Spranq_eco_Sans">
    <w:charset w:val="00"/>
    <w:family w:val="roman"/>
    <w:pitch w:val="variable"/>
  </w:font>
  <w:font w:name="Courier New">
    <w:charset w:val="00"/>
    <w:family w:val="auto"/>
    <w:pitch w:val="variable"/>
  </w:font>
  <w:font w:name="Liberation Sans">
    <w:altName w:val="Arial"/>
    <w:charset w:val="00"/>
    <w:family w:val="swiss"/>
    <w:pitch w:val="variable"/>
  </w:font>
  <w:font w:name="Sans Serif P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jc w:val="center"/>
      <w:rPr/>
    </w:pPr>
    <w:r>
      <w:rPr>
        <w:sz w:val="16"/>
        <w:szCs w:val="16"/>
      </w:rPr>
      <w:t>Comando Regional de Polícia Ostensiva Delta do Jacuí – CRPO/DJ</w:t>
    </w:r>
  </w:p>
  <w:p>
    <w:pPr>
      <w:pStyle w:val="Normal"/>
      <w:tabs>
        <w:tab w:val="clear" w:pos="720"/>
        <w:tab w:val="center" w:pos="4252" w:leader="none"/>
        <w:tab w:val="right" w:pos="8504" w:leader="none"/>
      </w:tabs>
      <w:jc w:val="center"/>
      <w:rPr/>
    </w:pPr>
    <w:r>
      <w:rPr>
        <w:sz w:val="16"/>
        <w:szCs w:val="16"/>
      </w:rPr>
      <w:t xml:space="preserve">R. Caetano Dihl, 185 – Centro, Alvorada – RS, 94820-090 Fone: </w:t>
    </w:r>
    <w:r>
      <w:rPr>
        <w:rFonts w:eastAsia="Times New Roman" w:cs="Times New Roman"/>
        <w:sz w:val="16"/>
        <w:szCs w:val="16"/>
        <w:lang w:val="pt-BR"/>
      </w:rPr>
      <w:t xml:space="preserve">(51) 98437-6944 </w:t>
    </w:r>
    <w:r>
      <w:rPr/>
      <w:br/>
    </w:r>
    <w:r>
      <w:rPr>
        <w:sz w:val="16"/>
        <w:szCs w:val="16"/>
      </w:rPr>
      <w:t>Correio Eletrônico: crpo-dj-p4@bm.rs.gov.br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10" w:after="0"/>
      <w:ind w:firstLine="2" w:left="19" w:right="18"/>
      <w:jc w:val="center"/>
      <w:rPr>
        <w:b/>
        <w:sz w:val="20"/>
        <w:szCs w:val="20"/>
      </w:rPr>
    </w:pPr>
    <w:r>
      <w:rPr>
        <w:b/>
        <w:sz w:val="20"/>
        <w:szCs w:val="20"/>
      </w:rPr>
      <w:drawing>
        <wp:anchor behindDoc="1" distT="0" distB="0" distL="0" distR="0" simplePos="0" locked="0" layoutInCell="0" allowOverlap="1" relativeHeight="45">
          <wp:simplePos x="0" y="0"/>
          <wp:positionH relativeFrom="page">
            <wp:posOffset>3587750</wp:posOffset>
          </wp:positionH>
          <wp:positionV relativeFrom="page">
            <wp:posOffset>158750</wp:posOffset>
          </wp:positionV>
          <wp:extent cx="524510" cy="666750"/>
          <wp:effectExtent l="0" t="0" r="0" b="0"/>
          <wp:wrapNone/>
          <wp:docPr id="2"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
                  <pic:cNvPicPr>
                    <a:picLocks noChangeAspect="1" noChangeArrowheads="1"/>
                  </pic:cNvPicPr>
                </pic:nvPicPr>
                <pic:blipFill>
                  <a:blip r:embed="rId1"/>
                  <a:stretch>
                    <a:fillRect/>
                  </a:stretch>
                </pic:blipFill>
                <pic:spPr bwMode="auto">
                  <a:xfrm>
                    <a:off x="0" y="0"/>
                    <a:ext cx="524510" cy="666750"/>
                  </a:xfrm>
                  <a:prstGeom prst="rect">
                    <a:avLst/>
                  </a:prstGeom>
                  <a:noFill/>
                </pic:spPr>
              </pic:pic>
            </a:graphicData>
          </a:graphic>
        </wp:anchor>
      </w:drawing>
      <w:drawing>
        <wp:anchor behindDoc="1" distT="0" distB="0" distL="0" distR="0" simplePos="0" locked="0" layoutInCell="1" allowOverlap="1" relativeHeight="89">
          <wp:simplePos x="0" y="0"/>
          <wp:positionH relativeFrom="column">
            <wp:posOffset>-686435</wp:posOffset>
          </wp:positionH>
          <wp:positionV relativeFrom="paragraph">
            <wp:posOffset>118745</wp:posOffset>
          </wp:positionV>
          <wp:extent cx="230505" cy="10892790"/>
          <wp:effectExtent l="0" t="0" r="0" b="0"/>
          <wp:wrapNone/>
          <wp:docPr id="3" name="image3.png"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Forma, Retângulo&#10;&#10;Descrição gerada automaticamente"/>
                  <pic:cNvPicPr>
                    <a:picLocks noChangeAspect="1" noChangeArrowheads="1"/>
                  </pic:cNvPicPr>
                </pic:nvPicPr>
                <pic:blipFill>
                  <a:blip r:embed="rId2"/>
                  <a:stretch>
                    <a:fillRect/>
                  </a:stretch>
                </pic:blipFill>
                <pic:spPr bwMode="auto">
                  <a:xfrm>
                    <a:off x="0" y="0"/>
                    <a:ext cx="230505" cy="10892790"/>
                  </a:xfrm>
                  <a:prstGeom prst="rect">
                    <a:avLst/>
                  </a:prstGeom>
                  <a:noFill/>
                </pic:spPr>
              </pic:pic>
            </a:graphicData>
          </a:graphic>
        </wp:anchor>
      </w:drawing>
    </w:r>
  </w:p>
  <w:p>
    <w:pPr>
      <w:pStyle w:val="Normal"/>
      <w:spacing w:before="10" w:after="0"/>
      <w:ind w:firstLine="2" w:left="19" w:right="18"/>
      <w:jc w:val="center"/>
      <w:rPr>
        <w:b/>
        <w:sz w:val="20"/>
        <w:szCs w:val="20"/>
      </w:rPr>
    </w:pPr>
    <w:r>
      <w:rPr>
        <w:b/>
        <w:sz w:val="20"/>
        <w:szCs w:val="20"/>
      </w:rPr>
    </w:r>
  </w:p>
  <w:p>
    <w:pPr>
      <w:pStyle w:val="Normal"/>
      <w:spacing w:before="10" w:after="0"/>
      <w:ind w:firstLine="2" w:left="19" w:right="18"/>
      <w:jc w:val="center"/>
      <w:rPr>
        <w:b/>
        <w:sz w:val="20"/>
        <w:szCs w:val="20"/>
      </w:rPr>
    </w:pPr>
    <w:r>
      <w:rPr>
        <w:b/>
        <w:sz w:val="20"/>
        <w:szCs w:val="20"/>
      </w:rPr>
    </w:r>
  </w:p>
  <w:p>
    <w:pPr>
      <w:pStyle w:val="Normal"/>
      <w:spacing w:lineRule="auto" w:line="240"/>
      <w:ind w:firstLine="5" w:left="17" w:right="17"/>
      <w:jc w:val="center"/>
      <w:rPr>
        <w:b/>
        <w:sz w:val="20"/>
        <w:szCs w:val="20"/>
      </w:rPr>
    </w:pPr>
    <w:r>
      <w:rPr>
        <w:b/>
        <w:sz w:val="20"/>
        <w:szCs w:val="20"/>
      </w:rPr>
    </w:r>
  </w:p>
  <w:p>
    <w:pPr>
      <w:pStyle w:val="Normal"/>
      <w:spacing w:lineRule="auto" w:line="240"/>
      <w:ind w:firstLine="5" w:left="17" w:right="17"/>
      <w:jc w:val="center"/>
      <w:rPr>
        <w:b/>
        <w:sz w:val="20"/>
        <w:szCs w:val="20"/>
      </w:rPr>
    </w:pPr>
    <w:r>
      <w:rPr>
        <w:b/>
        <w:sz w:val="20"/>
        <w:szCs w:val="20"/>
      </w:rPr>
      <w:t xml:space="preserve">ESTADO DO RIO GRANDE DO SUL </w:t>
    </w:r>
  </w:p>
  <w:p>
    <w:pPr>
      <w:pStyle w:val="Normal"/>
      <w:spacing w:lineRule="auto" w:line="240"/>
      <w:ind w:firstLine="5" w:left="17" w:right="17"/>
      <w:jc w:val="center"/>
      <w:rPr>
        <w:b/>
        <w:sz w:val="20"/>
        <w:szCs w:val="20"/>
      </w:rPr>
    </w:pPr>
    <w:r>
      <w:rPr>
        <w:b/>
        <w:sz w:val="20"/>
        <w:szCs w:val="20"/>
      </w:rPr>
      <w:t xml:space="preserve">SECRETARIA DE SEGURANÇA PÚBLICA </w:t>
    </w:r>
  </w:p>
  <w:p>
    <w:pPr>
      <w:pStyle w:val="Normal"/>
      <w:spacing w:lineRule="auto" w:line="240"/>
      <w:ind w:firstLine="5" w:left="17" w:right="17"/>
      <w:jc w:val="center"/>
      <w:rPr>
        <w:b/>
        <w:sz w:val="20"/>
        <w:szCs w:val="20"/>
      </w:rPr>
    </w:pPr>
    <w:r>
      <w:rPr>
        <w:b/>
        <w:sz w:val="20"/>
        <w:szCs w:val="20"/>
      </w:rPr>
      <w:t>BRIGADA MILITAR - CRPO DELTA DO JACUÍ</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abs>
        <w:tab w:val="clear" w:pos="720"/>
        <w:tab w:val="center" w:pos="4252" w:leader="none"/>
        <w:tab w:val="right" w:pos="8504" w:leader="none"/>
      </w:tabs>
      <w:rPr/>
    </w:pPr>
    <w:r>
      <w:rPr/>
      <w:drawing>
        <wp:anchor behindDoc="1" distT="0" distB="0" distL="0" distR="0" simplePos="0" locked="0" layoutInCell="0" allowOverlap="1" relativeHeight="90">
          <wp:simplePos x="0" y="0"/>
          <wp:positionH relativeFrom="page">
            <wp:posOffset>3594100</wp:posOffset>
          </wp:positionH>
          <wp:positionV relativeFrom="page">
            <wp:posOffset>184150</wp:posOffset>
          </wp:positionV>
          <wp:extent cx="524510" cy="666750"/>
          <wp:effectExtent l="0" t="0" r="0" b="0"/>
          <wp:wrapNone/>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1"/>
                  <a:stretch>
                    <a:fillRect/>
                  </a:stretch>
                </pic:blipFill>
                <pic:spPr bwMode="auto">
                  <a:xfrm>
                    <a:off x="0" y="0"/>
                    <a:ext cx="524510" cy="666750"/>
                  </a:xfrm>
                  <a:prstGeom prst="rect">
                    <a:avLst/>
                  </a:prstGeom>
                  <a:noFill/>
                </pic:spPr>
              </pic:pic>
            </a:graphicData>
          </a:graphic>
        </wp:anchor>
      </w:drawing>
      <w:drawing>
        <wp:anchor behindDoc="1" distT="0" distB="0" distL="0" distR="0" simplePos="0" locked="0" layoutInCell="1" allowOverlap="1" relativeHeight="91">
          <wp:simplePos x="0" y="0"/>
          <wp:positionH relativeFrom="column">
            <wp:posOffset>-622935</wp:posOffset>
          </wp:positionH>
          <wp:positionV relativeFrom="paragraph">
            <wp:posOffset>-106045</wp:posOffset>
          </wp:positionV>
          <wp:extent cx="230505" cy="10892790"/>
          <wp:effectExtent l="0" t="0" r="0" b="0"/>
          <wp:wrapNone/>
          <wp:docPr id="5" name="Figura3"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descr="Forma, Retângulo&#10;&#10;Descrição gerada automaticamente"/>
                  <pic:cNvPicPr>
                    <a:picLocks noChangeAspect="1" noChangeArrowheads="1"/>
                  </pic:cNvPicPr>
                </pic:nvPicPr>
                <pic:blipFill>
                  <a:blip r:embed="rId2"/>
                  <a:stretch>
                    <a:fillRect/>
                  </a:stretch>
                </pic:blipFill>
                <pic:spPr bwMode="auto">
                  <a:xfrm>
                    <a:off x="0" y="0"/>
                    <a:ext cx="230505" cy="10892790"/>
                  </a:xfrm>
                  <a:prstGeom prst="rect">
                    <a:avLst/>
                  </a:prstGeom>
                  <a:noFill/>
                </pic:spPr>
              </pic:pic>
            </a:graphicData>
          </a:graphic>
        </wp:anchor>
      </w:drawing>
    </w:r>
  </w:p>
  <w:p>
    <w:pPr>
      <w:pStyle w:val="Normal"/>
      <w:spacing w:before="10" w:after="0"/>
      <w:ind w:firstLine="2" w:left="19" w:right="18"/>
      <w:jc w:val="center"/>
      <w:rPr/>
    </w:pPr>
    <w:r>
      <w:rPr/>
      <w:tab/>
    </w:r>
  </w:p>
  <w:p>
    <w:pPr>
      <w:pStyle w:val="Normal"/>
      <w:spacing w:before="10" w:after="0"/>
      <w:ind w:firstLine="2" w:left="19" w:right="18"/>
      <w:jc w:val="center"/>
      <w:rPr/>
    </w:pPr>
    <w:r>
      <w:rPr/>
    </w:r>
  </w:p>
  <w:p>
    <w:pPr>
      <w:pStyle w:val="Normal"/>
      <w:spacing w:before="10" w:after="0"/>
      <w:ind w:firstLine="2" w:left="19" w:right="18"/>
      <w:jc w:val="center"/>
      <w:rPr>
        <w:b/>
        <w:sz w:val="20"/>
        <w:szCs w:val="20"/>
      </w:rPr>
    </w:pPr>
    <w:r>
      <w:rPr>
        <w:b/>
        <w:sz w:val="20"/>
        <w:szCs w:val="20"/>
      </w:rPr>
    </w:r>
  </w:p>
  <w:p>
    <w:pPr>
      <w:pStyle w:val="Normal"/>
      <w:spacing w:before="10" w:after="0"/>
      <w:ind w:firstLine="2" w:left="19" w:right="18"/>
      <w:jc w:val="center"/>
      <w:rPr>
        <w:b/>
        <w:sz w:val="20"/>
        <w:szCs w:val="20"/>
      </w:rPr>
    </w:pPr>
    <w:r>
      <w:rPr>
        <w:b/>
        <w:sz w:val="20"/>
        <w:szCs w:val="20"/>
      </w:rPr>
      <w:t xml:space="preserve">ESTADO DO RIO GRANDE DO SUL </w:t>
    </w:r>
  </w:p>
  <w:p>
    <w:pPr>
      <w:pStyle w:val="Normal"/>
      <w:spacing w:before="10" w:after="0"/>
      <w:ind w:firstLine="2" w:left="19" w:right="18"/>
      <w:jc w:val="center"/>
      <w:rPr>
        <w:b/>
        <w:sz w:val="20"/>
        <w:szCs w:val="20"/>
      </w:rPr>
    </w:pPr>
    <w:r>
      <w:rPr>
        <w:b/>
        <w:sz w:val="20"/>
        <w:szCs w:val="20"/>
      </w:rPr>
      <w:t xml:space="preserve">SECRETARIA DE SEGURANÇA PÚBLICA </w:t>
    </w:r>
  </w:p>
  <w:p>
    <w:pPr>
      <w:pStyle w:val="Normal"/>
      <w:spacing w:before="10" w:after="0"/>
      <w:ind w:firstLine="2" w:left="19" w:right="18"/>
      <w:jc w:val="center"/>
      <w:rPr>
        <w:b/>
        <w:sz w:val="20"/>
        <w:szCs w:val="20"/>
      </w:rPr>
    </w:pPr>
    <w:r>
      <w:rPr>
        <w:b/>
        <w:sz w:val="20"/>
        <w:szCs w:val="20"/>
      </w:rPr>
      <w:t>BRIGADA MILITAR – CRPO DELTA DO JACUÍ</w:t>
    </w:r>
  </w:p>
  <w:p>
    <w:pPr>
      <w:pStyle w:val="Normal"/>
      <w:pBdr/>
      <w:tabs>
        <w:tab w:val="clear" w:pos="720"/>
        <w:tab w:val="left" w:pos="4252" w:leader="none"/>
        <w:tab w:val="right" w:pos="8504" w:leader="none"/>
      </w:tabs>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0" w:hanging="0"/>
      </w:pPr>
      <w:rPr/>
    </w:lvl>
    <w:lvl w:ilvl="1">
      <w:start w:val="1"/>
      <w:numFmt w:val="decimal"/>
      <w:lvlText w:val="%2."/>
      <w:lvlJc w:val="left"/>
      <w:pPr>
        <w:tabs>
          <w:tab w:val="num" w:pos="0"/>
        </w:tabs>
        <w:ind w:left="1080" w:hanging="360"/>
      </w:pPr>
      <w:rPr/>
    </w:lvl>
    <w:lvl w:ilvl="2">
      <w:start w:val="1"/>
      <w:numFmt w:val="decimal"/>
      <w:lvlText w:val="%3."/>
      <w:lvlJc w:val="left"/>
      <w:pPr>
        <w:tabs>
          <w:tab w:val="num" w:pos="0"/>
        </w:tabs>
        <w:ind w:left="1440" w:hanging="360"/>
      </w:pPr>
      <w:rPr/>
    </w:lvl>
    <w:lvl w:ilvl="3">
      <w:start w:val="1"/>
      <w:numFmt w:val="decimal"/>
      <w:lvlText w:val="%4."/>
      <w:lvlJc w:val="left"/>
      <w:pPr>
        <w:tabs>
          <w:tab w:val="num" w:pos="0"/>
        </w:tabs>
        <w:ind w:left="1800" w:hanging="360"/>
      </w:pPr>
      <w:rPr/>
    </w:lvl>
    <w:lvl w:ilvl="4">
      <w:start w:val="1"/>
      <w:numFmt w:val="decimal"/>
      <w:lvlText w:val="%5."/>
      <w:lvlJc w:val="left"/>
      <w:pPr>
        <w:tabs>
          <w:tab w:val="num" w:pos="0"/>
        </w:tabs>
        <w:ind w:left="2160" w:hanging="360"/>
      </w:pPr>
      <w:rPr/>
    </w:lvl>
    <w:lvl w:ilvl="5">
      <w:start w:val="1"/>
      <w:numFmt w:val="decimal"/>
      <w:lvlText w:val="%6."/>
      <w:lvlJc w:val="left"/>
      <w:pPr>
        <w:tabs>
          <w:tab w:val="num" w:pos="0"/>
        </w:tabs>
        <w:ind w:left="2520" w:hanging="360"/>
      </w:pPr>
      <w:rPr/>
    </w:lvl>
    <w:lvl w:ilvl="6">
      <w:start w:val="1"/>
      <w:numFmt w:val="decimal"/>
      <w:lvlText w:val="%7."/>
      <w:lvlJc w:val="left"/>
      <w:pPr>
        <w:tabs>
          <w:tab w:val="num" w:pos="0"/>
        </w:tabs>
        <w:ind w:left="2880" w:hanging="360"/>
      </w:pPr>
      <w:rPr/>
    </w:lvl>
    <w:lvl w:ilvl="7">
      <w:start w:val="1"/>
      <w:numFmt w:val="decimal"/>
      <w:lvlText w:val="%8."/>
      <w:lvlJc w:val="left"/>
      <w:pPr>
        <w:tabs>
          <w:tab w:val="num" w:pos="0"/>
        </w:tabs>
        <w:ind w:left="3240" w:hanging="360"/>
      </w:pPr>
      <w:rPr/>
    </w:lvl>
    <w:lvl w:ilvl="8">
      <w:start w:val="1"/>
      <w:numFmt w:val="decimal"/>
      <w:lvlText w:val="%9."/>
      <w:lvlJc w:val="left"/>
      <w:pPr>
        <w:tabs>
          <w:tab w:val="num" w:pos="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0383"/>
    <w:pPr>
      <w:widowControl/>
      <w:suppressAutoHyphens w:val="true"/>
      <w:bidi w:val="0"/>
      <w:spacing w:lineRule="auto" w:line="360" w:before="0" w:after="0"/>
      <w:jc w:val="both"/>
    </w:pPr>
    <w:rPr>
      <w:rFonts w:ascii="Times New Roman" w:hAnsi="Times New Roman" w:eastAsia="Times New Roman" w:cs="Times New Roman"/>
      <w:color w:val="000000"/>
      <w:kern w:val="0"/>
      <w:sz w:val="22"/>
      <w:szCs w:val="22"/>
      <w:lang w:eastAsia="pt-BR" w:val="pt-BR" w:bidi="ar-SA"/>
    </w:rPr>
  </w:style>
  <w:style w:type="paragraph" w:styleId="Heading1">
    <w:name w:val="heading 1"/>
    <w:basedOn w:val="Normal"/>
    <w:next w:val="Normal"/>
    <w:uiPriority w:val="9"/>
    <w:qFormat/>
    <w:pPr>
      <w:keepNext w:val="true"/>
      <w:keepLines/>
      <w:spacing w:before="480" w:after="120"/>
      <w:outlineLvl w:val="0"/>
    </w:pPr>
    <w:rPr>
      <w:b/>
      <w:sz w:val="48"/>
      <w:szCs w:val="48"/>
    </w:rPr>
  </w:style>
  <w:style w:type="paragraph" w:styleId="Heading2">
    <w:name w:val="heading 2"/>
    <w:basedOn w:val="Normal"/>
    <w:next w:val="Normal"/>
    <w:link w:val="Ttulo2Char1"/>
    <w:uiPriority w:val="9"/>
    <w:semiHidden/>
    <w:unhideWhenUsed/>
    <w:qFormat/>
    <w:rsid w:val="004a3beb"/>
    <w:pPr>
      <w:widowControl w:val="false"/>
      <w:suppressAutoHyphens w:val="false"/>
      <w:spacing w:lineRule="auto" w:line="240" w:before="64" w:after="0"/>
      <w:ind w:hanging="332" w:left="622"/>
      <w:outlineLvl w:val="1"/>
    </w:pPr>
    <w:rPr>
      <w:b/>
      <w:bCs/>
      <w:color w:val="auto"/>
      <w:lang w:val="pt-PT" w:eastAsia="en-US"/>
    </w:rPr>
  </w:style>
  <w:style w:type="paragraph" w:styleId="Heading3">
    <w:name w:val="heading 3"/>
    <w:basedOn w:val="Normal"/>
    <w:next w:val="Normal"/>
    <w:uiPriority w:val="9"/>
    <w:semiHidden/>
    <w:unhideWhenUsed/>
    <w:qFormat/>
    <w:pPr>
      <w:keepNext w:val="true"/>
      <w:keepLines/>
      <w:spacing w:before="280" w:after="80"/>
      <w:outlineLvl w:val="2"/>
    </w:pPr>
    <w:rPr>
      <w:b/>
      <w:sz w:val="28"/>
      <w:szCs w:val="28"/>
    </w:rPr>
  </w:style>
  <w:style w:type="paragraph" w:styleId="Heading4">
    <w:name w:val="heading 4"/>
    <w:basedOn w:val="Normal"/>
    <w:next w:val="Normal"/>
    <w:uiPriority w:val="9"/>
    <w:semiHidden/>
    <w:unhideWhenUsed/>
    <w:qFormat/>
    <w:pPr>
      <w:keepNext w:val="true"/>
      <w:keepLines/>
      <w:spacing w:before="240" w:after="40"/>
      <w:outlineLvl w:val="3"/>
    </w:pPr>
    <w:rPr>
      <w:b/>
      <w:sz w:val="24"/>
      <w:szCs w:val="24"/>
    </w:rPr>
  </w:style>
  <w:style w:type="paragraph" w:styleId="Heading5">
    <w:name w:val="heading 5"/>
    <w:basedOn w:val="Normal"/>
    <w:next w:val="Normal"/>
    <w:link w:val="Ttulo5Char1"/>
    <w:uiPriority w:val="9"/>
    <w:semiHidden/>
    <w:unhideWhenUsed/>
    <w:qFormat/>
    <w:rsid w:val="00076771"/>
    <w:pPr>
      <w:keepNext w:val="true"/>
      <w:keepLines/>
      <w:spacing w:before="200" w:after="0"/>
      <w:outlineLvl w:val="4"/>
    </w:pPr>
    <w:rPr>
      <w:rFonts w:ascii="Cambria" w:hAnsi="Cambria" w:eastAsia="" w:cs="" w:asciiTheme="majorHAnsi" w:cstheme="majorBidi" w:eastAsiaTheme="majorEastAsia" w:hAnsiTheme="majorHAnsi"/>
      <w:color w:themeColor="accent1" w:themeShade="7f" w:val="243F60"/>
    </w:rPr>
  </w:style>
  <w:style w:type="paragraph" w:styleId="Heading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1"/>
    <w:qFormat/>
    <w:rsid w:val="005a7373"/>
    <w:rPr>
      <w:rFonts w:ascii="Times New Roman" w:hAnsi="Times New Roman" w:eastAsia="" w:cs="Times New Roman" w:eastAsiaTheme="majorEastAsia"/>
      <w:b/>
      <w:bCs/>
      <w:color w:val="000000"/>
    </w:rPr>
  </w:style>
  <w:style w:type="character" w:styleId="Ttulo2Char" w:customStyle="1">
    <w:name w:val="Título 2 Char"/>
    <w:basedOn w:val="DefaultParagraphFont"/>
    <w:link w:val="Ttulo21"/>
    <w:uiPriority w:val="9"/>
    <w:qFormat/>
    <w:rsid w:val="005a7373"/>
    <w:rPr>
      <w:rFonts w:ascii="Times New Roman" w:hAnsi="Times New Roman" w:cs="Times New Roman"/>
      <w:b/>
      <w:bCs/>
      <w:caps/>
      <w:color w:val="000000"/>
    </w:rPr>
  </w:style>
  <w:style w:type="character" w:styleId="Ttulo3Char" w:customStyle="1">
    <w:name w:val="Título 3 Char"/>
    <w:basedOn w:val="DefaultParagraphFont"/>
    <w:link w:val="Ttulo31"/>
    <w:qFormat/>
    <w:rsid w:val="005a7373"/>
    <w:rPr>
      <w:rFonts w:ascii="Cambria" w:hAnsi="Cambria" w:eastAsia="" w:cs="" w:asciiTheme="majorHAnsi" w:cstheme="majorBidi" w:eastAsiaTheme="majorEastAsia" w:hAnsiTheme="majorHAnsi"/>
      <w:b/>
      <w:bCs/>
      <w:color w:themeColor="accent1" w:val="4F81BD"/>
    </w:rPr>
  </w:style>
  <w:style w:type="character" w:styleId="Ttulo4Char" w:customStyle="1">
    <w:name w:val="Título 4 Char"/>
    <w:basedOn w:val="DefaultParagraphFont"/>
    <w:link w:val="Ttulo41"/>
    <w:qFormat/>
    <w:rsid w:val="005a7373"/>
    <w:rPr>
      <w:rFonts w:ascii="Cambria" w:hAnsi="Cambria" w:eastAsia="" w:cs="" w:asciiTheme="majorHAnsi" w:cstheme="majorBidi" w:eastAsiaTheme="majorEastAsia" w:hAnsiTheme="majorHAnsi"/>
      <w:b/>
      <w:bCs/>
      <w:i/>
      <w:iCs/>
      <w:color w:themeColor="accent1" w:val="4F81BD"/>
    </w:rPr>
  </w:style>
  <w:style w:type="character" w:styleId="Ttulo5Char" w:customStyle="1">
    <w:name w:val="Título 5 Char"/>
    <w:basedOn w:val="DefaultParagraphFont"/>
    <w:link w:val="Ttulo51"/>
    <w:uiPriority w:val="9"/>
    <w:qFormat/>
    <w:rsid w:val="005a7373"/>
    <w:rPr>
      <w:rFonts w:ascii="Times New Roman" w:hAnsi="Times New Roman" w:cs="Times New Roman"/>
      <w:b/>
      <w:color w:val="000000"/>
    </w:rPr>
  </w:style>
  <w:style w:type="character" w:styleId="Ttulo6Char" w:customStyle="1">
    <w:name w:val="Título 6 Char"/>
    <w:basedOn w:val="DefaultParagraphFont"/>
    <w:link w:val="Ttulo61"/>
    <w:qFormat/>
    <w:rsid w:val="005a7373"/>
    <w:rPr>
      <w:rFonts w:ascii="Times New Roman" w:hAnsi="Times New Roman" w:cs="Times New Roman"/>
      <w:b/>
      <w:color w:val="000000"/>
      <w:lang w:eastAsia="en-US"/>
    </w:rPr>
  </w:style>
  <w:style w:type="character" w:styleId="Ttulo7Char" w:customStyle="1">
    <w:name w:val="Título 7 Char"/>
    <w:basedOn w:val="DefaultParagraphFont"/>
    <w:link w:val="Ttulo71"/>
    <w:uiPriority w:val="99"/>
    <w:qFormat/>
    <w:rsid w:val="005a7373"/>
    <w:rPr>
      <w:rFonts w:ascii="Times New Roman" w:hAnsi="Times New Roman" w:eastAsia="Times New Roman" w:cs="Times New Roman"/>
      <w:b/>
      <w:color w:val="000000"/>
      <w:sz w:val="20"/>
      <w:szCs w:val="20"/>
      <w:lang w:eastAsia="zh-CN"/>
    </w:rPr>
  </w:style>
  <w:style w:type="character" w:styleId="Ttulo8Char" w:customStyle="1">
    <w:name w:val="Título 8 Char"/>
    <w:basedOn w:val="DefaultParagraphFont"/>
    <w:link w:val="Ttulo81"/>
    <w:uiPriority w:val="99"/>
    <w:qFormat/>
    <w:rsid w:val="005a7373"/>
    <w:rPr>
      <w:rFonts w:ascii="Times New Roman" w:hAnsi="Times New Roman" w:eastAsia="Times New Roman" w:cs="Times New Roman"/>
      <w:b/>
      <w:i/>
      <w:color w:val="000000"/>
      <w:sz w:val="20"/>
      <w:szCs w:val="20"/>
      <w:lang w:eastAsia="zh-CN"/>
    </w:rPr>
  </w:style>
  <w:style w:type="character" w:styleId="Ttulo9Char" w:customStyle="1">
    <w:name w:val="Título 9 Char"/>
    <w:basedOn w:val="DefaultParagraphFont"/>
    <w:link w:val="Ttulo91"/>
    <w:uiPriority w:val="99"/>
    <w:qFormat/>
    <w:rsid w:val="005a7373"/>
    <w:rPr>
      <w:rFonts w:ascii="Arial" w:hAnsi="Arial" w:eastAsia="Times New Roman" w:cs="Arial"/>
      <w:b/>
      <w:i/>
      <w:color w:val="000000"/>
      <w:sz w:val="20"/>
      <w:szCs w:val="20"/>
      <w:lang w:eastAsia="zh-CN"/>
    </w:rPr>
  </w:style>
  <w:style w:type="character" w:styleId="TtuloChar" w:customStyle="1">
    <w:name w:val="Título Char"/>
    <w:basedOn w:val="DefaultParagraphFont"/>
    <w:uiPriority w:val="1"/>
    <w:qFormat/>
    <w:rsid w:val="005a7373"/>
    <w:rPr>
      <w:rFonts w:ascii="Cambria" w:hAnsi="Cambria" w:eastAsia="" w:cs="" w:asciiTheme="majorHAnsi" w:cstheme="majorBidi" w:eastAsiaTheme="majorEastAsia" w:hAnsiTheme="majorHAnsi"/>
      <w:color w:themeColor="text2" w:themeShade="bf" w:val="17365D"/>
      <w:spacing w:val="5"/>
      <w:kern w:val="2"/>
      <w:sz w:val="52"/>
      <w:szCs w:val="52"/>
    </w:rPr>
  </w:style>
  <w:style w:type="character" w:styleId="Hyperlink1" w:customStyle="1">
    <w:name w:val="Hyperlink1"/>
    <w:qFormat/>
    <w:rsid w:val="005a7373"/>
    <w:rPr>
      <w:color w:val="0000FF"/>
      <w:u w:val="single"/>
    </w:rPr>
  </w:style>
  <w:style w:type="character" w:styleId="TextodebaloChar" w:customStyle="1">
    <w:name w:val="Texto de balão Char"/>
    <w:basedOn w:val="DefaultParagraphFont"/>
    <w:link w:val="BalloonText"/>
    <w:uiPriority w:val="99"/>
    <w:qFormat/>
    <w:rsid w:val="005a7373"/>
    <w:rPr>
      <w:rFonts w:ascii="Tahoma" w:hAnsi="Tahoma" w:cs="Tahoma"/>
      <w:color w:val="000000"/>
      <w:sz w:val="16"/>
      <w:szCs w:val="16"/>
    </w:rPr>
  </w:style>
  <w:style w:type="character" w:styleId="CabealhoChar" w:customStyle="1">
    <w:name w:val="Cabeçalho Char"/>
    <w:basedOn w:val="DefaultParagraphFont"/>
    <w:link w:val="Cabealho1"/>
    <w:uiPriority w:val="99"/>
    <w:qFormat/>
    <w:rsid w:val="005a7373"/>
    <w:rPr>
      <w:rFonts w:ascii="Times New Roman" w:hAnsi="Times New Roman" w:cs="Times New Roman"/>
      <w:color w:val="000000"/>
    </w:rPr>
  </w:style>
  <w:style w:type="character" w:styleId="RodapChar" w:customStyle="1">
    <w:name w:val="Rodapé Char"/>
    <w:basedOn w:val="DefaultParagraphFont"/>
    <w:link w:val="Rodap1"/>
    <w:uiPriority w:val="99"/>
    <w:qFormat/>
    <w:rsid w:val="005a7373"/>
    <w:rPr>
      <w:rFonts w:ascii="Times New Roman" w:hAnsi="Times New Roman" w:cs="Times New Roman"/>
      <w:color w:val="000000"/>
    </w:rPr>
  </w:style>
  <w:style w:type="character" w:styleId="Emphasis">
    <w:name w:val="Emphasis"/>
    <w:basedOn w:val="DefaultParagraphFont"/>
    <w:uiPriority w:val="20"/>
    <w:qFormat/>
    <w:rsid w:val="005a7373"/>
    <w:rPr>
      <w:i/>
      <w:iCs/>
    </w:rPr>
  </w:style>
  <w:style w:type="character" w:styleId="MenoPendente1" w:customStyle="1">
    <w:name w:val="Menção Pendente1"/>
    <w:basedOn w:val="DefaultParagraphFont"/>
    <w:uiPriority w:val="99"/>
    <w:semiHidden/>
    <w:unhideWhenUsed/>
    <w:qFormat/>
    <w:rsid w:val="005a7373"/>
    <w:rPr>
      <w:color w:val="605E5C"/>
      <w:shd w:fill="E1DFDD" w:val="clear"/>
    </w:rPr>
  </w:style>
  <w:style w:type="character" w:styleId="SubttuloChar" w:customStyle="1">
    <w:name w:val="Subtítulo Char"/>
    <w:basedOn w:val="DefaultParagraphFont"/>
    <w:uiPriority w:val="11"/>
    <w:qFormat/>
    <w:rsid w:val="005a7373"/>
    <w:rPr>
      <w:rFonts w:ascii="Cambria" w:hAnsi="Cambria" w:eastAsia="" w:cs=""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5a7373"/>
    <w:rPr>
      <w:sz w:val="24"/>
    </w:rPr>
  </w:style>
  <w:style w:type="character" w:styleId="WW8Num8z0" w:customStyle="1">
    <w:name w:val="WW8Num8z0"/>
    <w:qFormat/>
    <w:rsid w:val="005a7373"/>
    <w:rPr>
      <w:sz w:val="24"/>
    </w:rPr>
  </w:style>
  <w:style w:type="character" w:styleId="Fontepargpadro2" w:customStyle="1">
    <w:name w:val="Fonte parág. padrão2"/>
    <w:qFormat/>
    <w:rsid w:val="005a7373"/>
    <w:rPr/>
  </w:style>
  <w:style w:type="character" w:styleId="CharChar22" w:customStyle="1">
    <w:name w:val="Char Char22"/>
    <w:qFormat/>
    <w:rsid w:val="005a7373"/>
    <w:rPr>
      <w:rFonts w:ascii="Times New Roman" w:hAnsi="Times New Roman" w:eastAsia="Times New Roman" w:cs="Times New Roman"/>
      <w:b/>
      <w:bCs/>
      <w:sz w:val="24"/>
      <w:szCs w:val="24"/>
    </w:rPr>
  </w:style>
  <w:style w:type="character" w:styleId="CharChar21" w:customStyle="1">
    <w:name w:val="Char Char21"/>
    <w:qFormat/>
    <w:rsid w:val="005a7373"/>
    <w:rPr>
      <w:rFonts w:ascii="Times New Roman" w:hAnsi="Times New Roman" w:eastAsia="Times New Roman" w:cs="Times New Roman"/>
      <w:b/>
      <w:bCs/>
      <w:sz w:val="24"/>
      <w:szCs w:val="24"/>
    </w:rPr>
  </w:style>
  <w:style w:type="character" w:styleId="CharChar20" w:customStyle="1">
    <w:name w:val="Char Char20"/>
    <w:qFormat/>
    <w:rsid w:val="005a7373"/>
    <w:rPr>
      <w:rFonts w:ascii="Times New Roman" w:hAnsi="Times New Roman" w:eastAsia="Times New Roman" w:cs="Times New Roman"/>
      <w:b/>
      <w:bCs/>
      <w:sz w:val="24"/>
      <w:szCs w:val="24"/>
    </w:rPr>
  </w:style>
  <w:style w:type="character" w:styleId="CharChar19" w:customStyle="1">
    <w:name w:val="Char Char19"/>
    <w:qFormat/>
    <w:rsid w:val="005a7373"/>
    <w:rPr>
      <w:rFonts w:ascii="Times New Roman" w:hAnsi="Times New Roman" w:eastAsia="Times New Roman" w:cs="Times New Roman"/>
      <w:b/>
      <w:bCs/>
      <w:sz w:val="24"/>
      <w:szCs w:val="24"/>
    </w:rPr>
  </w:style>
  <w:style w:type="character" w:styleId="CharChar18" w:customStyle="1">
    <w:name w:val="Char Char18"/>
    <w:qFormat/>
    <w:rsid w:val="005a7373"/>
    <w:rPr>
      <w:rFonts w:ascii="Times New Roman" w:hAnsi="Times New Roman" w:eastAsia="Times New Roman" w:cs="Times New Roman"/>
      <w:b/>
      <w:color w:val="000000"/>
      <w:sz w:val="24"/>
      <w:szCs w:val="20"/>
    </w:rPr>
  </w:style>
  <w:style w:type="character" w:styleId="CharChar17" w:customStyle="1">
    <w:name w:val="Char Char17"/>
    <w:qFormat/>
    <w:rsid w:val="005a7373"/>
    <w:rPr>
      <w:rFonts w:ascii="Times New Roman" w:hAnsi="Times New Roman" w:eastAsia="Times New Roman" w:cs="Times New Roman"/>
      <w:b/>
      <w:i/>
      <w:color w:val="000000"/>
      <w:szCs w:val="20"/>
    </w:rPr>
  </w:style>
  <w:style w:type="character" w:styleId="CharChar16" w:customStyle="1">
    <w:name w:val="Char Char16"/>
    <w:qFormat/>
    <w:rsid w:val="005a7373"/>
    <w:rPr>
      <w:rFonts w:ascii="Times New Roman" w:hAnsi="Times New Roman" w:eastAsia="Times New Roman" w:cs="Times New Roman"/>
      <w:b/>
      <w:color w:val="000000"/>
      <w:sz w:val="20"/>
      <w:szCs w:val="20"/>
    </w:rPr>
  </w:style>
  <w:style w:type="character" w:styleId="CharChar15" w:customStyle="1">
    <w:name w:val="Char Char15"/>
    <w:qFormat/>
    <w:rsid w:val="005a7373"/>
    <w:rPr>
      <w:rFonts w:ascii="Times New Roman" w:hAnsi="Times New Roman" w:eastAsia="Times New Roman" w:cs="Times New Roman"/>
      <w:b/>
      <w:i/>
      <w:color w:val="000000"/>
      <w:sz w:val="20"/>
      <w:szCs w:val="20"/>
    </w:rPr>
  </w:style>
  <w:style w:type="character" w:styleId="CharChar14" w:customStyle="1">
    <w:name w:val="Char Char14"/>
    <w:qFormat/>
    <w:rsid w:val="005a7373"/>
    <w:rPr>
      <w:rFonts w:ascii="Arial" w:hAnsi="Arial" w:eastAsia="Times New Roman" w:cs="Times New Roman"/>
      <w:b/>
      <w:i/>
      <w:color w:val="000000"/>
      <w:sz w:val="20"/>
      <w:szCs w:val="20"/>
    </w:rPr>
  </w:style>
  <w:style w:type="character" w:styleId="CharChar13" w:customStyle="1">
    <w:name w:val="Char Char13"/>
    <w:qFormat/>
    <w:rsid w:val="005a7373"/>
    <w:rPr>
      <w:rFonts w:ascii="Times New Roman" w:hAnsi="Times New Roman" w:eastAsia="Times New Roman" w:cs="Times New Roman"/>
      <w:sz w:val="24"/>
      <w:szCs w:val="24"/>
    </w:rPr>
  </w:style>
  <w:style w:type="character" w:styleId="CharChar12" w:customStyle="1">
    <w:name w:val="Char Char12"/>
    <w:qFormat/>
    <w:rsid w:val="005a7373"/>
    <w:rPr>
      <w:rFonts w:ascii="Times New Roman" w:hAnsi="Times New Roman" w:eastAsia="Times New Roman" w:cs="Times New Roman"/>
      <w:sz w:val="24"/>
      <w:szCs w:val="24"/>
    </w:rPr>
  </w:style>
  <w:style w:type="character" w:styleId="PageNumber">
    <w:name w:val="page number"/>
    <w:basedOn w:val="Fontepargpadro2"/>
    <w:qFormat/>
    <w:rsid w:val="005a7373"/>
    <w:rPr/>
  </w:style>
  <w:style w:type="character" w:styleId="CharChar11" w:customStyle="1">
    <w:name w:val="Char Char11"/>
    <w:qFormat/>
    <w:rsid w:val="005a7373"/>
    <w:rPr>
      <w:rFonts w:ascii="Times New Roman" w:hAnsi="Times New Roman" w:eastAsia="Times New Roman" w:cs="Times New Roman"/>
      <w:sz w:val="24"/>
      <w:szCs w:val="20"/>
    </w:rPr>
  </w:style>
  <w:style w:type="character" w:styleId="CharChar10" w:customStyle="1">
    <w:name w:val="Char Char10"/>
    <w:qFormat/>
    <w:rsid w:val="005a7373"/>
    <w:rPr>
      <w:rFonts w:ascii="Times New Roman" w:hAnsi="Times New Roman" w:eastAsia="Times New Roman" w:cs="Times New Roman"/>
      <w:sz w:val="24"/>
      <w:szCs w:val="24"/>
    </w:rPr>
  </w:style>
  <w:style w:type="character" w:styleId="CharChar9" w:customStyle="1">
    <w:name w:val="Char Char9"/>
    <w:qFormat/>
    <w:rsid w:val="005a7373"/>
    <w:rPr>
      <w:rFonts w:ascii="Times New Roman" w:hAnsi="Times New Roman" w:eastAsia="Times New Roman" w:cs="Times New Roman"/>
      <w:color w:val="FF0000"/>
      <w:sz w:val="24"/>
      <w:szCs w:val="24"/>
    </w:rPr>
  </w:style>
  <w:style w:type="character" w:styleId="CharChar8" w:customStyle="1">
    <w:name w:val="Char Char8"/>
    <w:qFormat/>
    <w:rsid w:val="005a7373"/>
    <w:rPr>
      <w:rFonts w:ascii="Times New Roman" w:hAnsi="Times New Roman" w:eastAsia="Times New Roman" w:cs="Times New Roman"/>
      <w:sz w:val="24"/>
      <w:szCs w:val="24"/>
    </w:rPr>
  </w:style>
  <w:style w:type="character" w:styleId="CharChar7" w:customStyle="1">
    <w:name w:val="Char Char7"/>
    <w:qFormat/>
    <w:rsid w:val="005a7373"/>
    <w:rPr>
      <w:rFonts w:ascii="Times New Roman" w:hAnsi="Times New Roman" w:eastAsia="Times New Roman" w:cs="Times New Roman"/>
      <w:color w:val="000000"/>
      <w:sz w:val="24"/>
      <w:szCs w:val="20"/>
    </w:rPr>
  </w:style>
  <w:style w:type="character" w:styleId="CharChar6" w:customStyle="1">
    <w:name w:val="Char Char6"/>
    <w:qFormat/>
    <w:rsid w:val="005a7373"/>
    <w:rPr>
      <w:rFonts w:ascii="Tahoma" w:hAnsi="Tahoma" w:eastAsia="Times New Roman" w:cs="Tahoma"/>
      <w:i/>
      <w:color w:val="000000"/>
      <w:sz w:val="24"/>
      <w:szCs w:val="20"/>
      <w:shd w:fill="000080" w:val="clear"/>
    </w:rPr>
  </w:style>
  <w:style w:type="character" w:styleId="CharChar5" w:customStyle="1">
    <w:name w:val="Char Char5"/>
    <w:qFormat/>
    <w:rsid w:val="005a7373"/>
    <w:rPr>
      <w:rFonts w:ascii="Times New Roman" w:hAnsi="Times New Roman" w:eastAsia="Times New Roman" w:cs="Times New Roman"/>
      <w:sz w:val="24"/>
      <w:szCs w:val="24"/>
    </w:rPr>
  </w:style>
  <w:style w:type="character" w:styleId="CharChar4" w:customStyle="1">
    <w:name w:val="Char Char4"/>
    <w:qFormat/>
    <w:rsid w:val="005a7373"/>
    <w:rPr>
      <w:rFonts w:ascii="Times New Roman" w:hAnsi="Times New Roman" w:eastAsia="Times New Roman" w:cs="Times New Roman"/>
      <w:sz w:val="20"/>
      <w:szCs w:val="20"/>
    </w:rPr>
  </w:style>
  <w:style w:type="character" w:styleId="FollowedHyperlink">
    <w:name w:val="FollowedHyperlink"/>
    <w:rsid w:val="005a7373"/>
    <w:rPr>
      <w:color w:val="800080"/>
      <w:u w:val="single"/>
    </w:rPr>
  </w:style>
  <w:style w:type="character" w:styleId="CharChar3" w:customStyle="1">
    <w:name w:val="Char Char3"/>
    <w:qFormat/>
    <w:rsid w:val="005a7373"/>
    <w:rPr>
      <w:rFonts w:ascii="Times New Roman" w:hAnsi="Times New Roman" w:eastAsia="Times New Roman" w:cs="Times New Roman"/>
      <w:sz w:val="20"/>
      <w:szCs w:val="20"/>
    </w:rPr>
  </w:style>
  <w:style w:type="character" w:styleId="CharChar2" w:customStyle="1">
    <w:name w:val="Char Char2"/>
    <w:qFormat/>
    <w:rsid w:val="005a7373"/>
    <w:rPr>
      <w:rFonts w:ascii="Arial" w:hAnsi="Arial" w:eastAsia="Times New Roman" w:cs="Arial"/>
      <w:sz w:val="24"/>
      <w:szCs w:val="20"/>
    </w:rPr>
  </w:style>
  <w:style w:type="character" w:styleId="CharChar1" w:customStyle="1">
    <w:name w:val="Char Char1"/>
    <w:qFormat/>
    <w:rsid w:val="005a7373"/>
    <w:rPr>
      <w:rFonts w:ascii="Tahoma" w:hAnsi="Tahoma" w:eastAsia="Times New Roman" w:cs="Tahoma"/>
      <w:sz w:val="16"/>
      <w:szCs w:val="16"/>
    </w:rPr>
  </w:style>
  <w:style w:type="character" w:styleId="style41" w:customStyle="1">
    <w:name w:val="style41"/>
    <w:qFormat/>
    <w:rsid w:val="005a7373"/>
    <w:rPr>
      <w:b/>
      <w:bCs/>
      <w:sz w:val="20"/>
      <w:szCs w:val="20"/>
    </w:rPr>
  </w:style>
  <w:style w:type="character" w:styleId="Refdecomentrio1" w:customStyle="1">
    <w:name w:val="Ref. de comentário1"/>
    <w:qFormat/>
    <w:rsid w:val="005a7373"/>
    <w:rPr>
      <w:sz w:val="16"/>
      <w:szCs w:val="16"/>
    </w:rPr>
  </w:style>
  <w:style w:type="character" w:styleId="CharChar" w:customStyle="1">
    <w:name w:val="Char Char"/>
    <w:qFormat/>
    <w:rsid w:val="005a7373"/>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5a7373"/>
    <w:rPr/>
  </w:style>
  <w:style w:type="character" w:styleId="CorpodetextoChar" w:customStyle="1">
    <w:name w:val="Corpo de texto Char"/>
    <w:basedOn w:val="DefaultParagraphFont"/>
    <w:uiPriority w:val="99"/>
    <w:qFormat/>
    <w:rsid w:val="005a7373"/>
    <w:rPr>
      <w:rFonts w:ascii="Times New Roman" w:hAnsi="Times New Roman" w:eastAsia="Times New Roman" w:cs="Times New Roman"/>
      <w:sz w:val="24"/>
      <w:szCs w:val="24"/>
      <w:lang w:eastAsia="zh-CN"/>
    </w:rPr>
  </w:style>
  <w:style w:type="character" w:styleId="CorpodetextoChar1" w:customStyle="1">
    <w:name w:val="Corpo de texto Char1"/>
    <w:basedOn w:val="DefaultParagraphFont"/>
    <w:uiPriority w:val="99"/>
    <w:semiHidden/>
    <w:qFormat/>
    <w:rsid w:val="005a7373"/>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5a7373"/>
    <w:rPr>
      <w:rFonts w:ascii="Times New Roman" w:hAnsi="Times New Roman" w:eastAsia="Times New Roman" w:cs="Times New Roman"/>
      <w:sz w:val="24"/>
      <w:szCs w:val="20"/>
      <w:lang w:eastAsia="zh-CN"/>
    </w:rPr>
  </w:style>
  <w:style w:type="character" w:styleId="RecuodecorpodetextoChar1" w:customStyle="1">
    <w:name w:val="Recuo de corpo de texto Char1"/>
    <w:basedOn w:val="DefaultParagraphFont"/>
    <w:uiPriority w:val="99"/>
    <w:semiHidden/>
    <w:qFormat/>
    <w:rsid w:val="005a7373"/>
    <w:rPr>
      <w:rFonts w:ascii="Times New Roman" w:hAnsi="Times New Roman" w:cs="Times New Roman"/>
      <w:color w:val="000000"/>
    </w:rPr>
  </w:style>
  <w:style w:type="character" w:styleId="TextodenotaderodapChar" w:customStyle="1">
    <w:name w:val="Texto de nota de rodapé Char"/>
    <w:basedOn w:val="DefaultParagraphFont"/>
    <w:link w:val="Textodenotaderodap1"/>
    <w:uiPriority w:val="99"/>
    <w:qFormat/>
    <w:rsid w:val="005a7373"/>
    <w:rPr>
      <w:rFonts w:ascii="Times New Roman" w:hAnsi="Times New Roman" w:eastAsia="Times New Roman" w:cs="Times New Roman"/>
      <w:szCs w:val="20"/>
      <w:lang w:eastAsia="zh-CN"/>
    </w:rPr>
  </w:style>
  <w:style w:type="character" w:styleId="TextodenotaderodapChar1" w:customStyle="1">
    <w:name w:val="Texto de nota de rodapé Char1"/>
    <w:basedOn w:val="DefaultParagraphFont"/>
    <w:uiPriority w:val="99"/>
    <w:semiHidden/>
    <w:qFormat/>
    <w:rsid w:val="005a7373"/>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5a7373"/>
    <w:rPr>
      <w:rFonts w:ascii="Times New Roman" w:hAnsi="Times New Roman" w:eastAsia="Times New Roman" w:cs="Times New Roman"/>
      <w:szCs w:val="20"/>
      <w:lang w:eastAsia="zh-CN"/>
    </w:rPr>
  </w:style>
  <w:style w:type="character" w:styleId="TextodecomentrioChar1" w:customStyle="1">
    <w:name w:val="Texto de comentário Char1"/>
    <w:basedOn w:val="DefaultParagraphFont"/>
    <w:uiPriority w:val="99"/>
    <w:semiHidden/>
    <w:qFormat/>
    <w:rsid w:val="005a7373"/>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5a7373"/>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Strong">
    <w:name w:val="Strong"/>
    <w:uiPriority w:val="22"/>
    <w:qFormat/>
    <w:rsid w:val="005a7373"/>
    <w:rPr>
      <w:b/>
      <w:bCs/>
    </w:rPr>
  </w:style>
  <w:style w:type="character" w:styleId="CommentReference">
    <w:name w:val="annotation reference"/>
    <w:unhideWhenUsed/>
    <w:qFormat/>
    <w:rsid w:val="005a7373"/>
    <w:rPr>
      <w:sz w:val="16"/>
      <w:szCs w:val="16"/>
    </w:rPr>
  </w:style>
  <w:style w:type="character" w:styleId="PlaceholderText">
    <w:name w:val="Placeholder Text"/>
    <w:uiPriority w:val="99"/>
    <w:semiHidden/>
    <w:qFormat/>
    <w:rsid w:val="005a7373"/>
    <w:rPr>
      <w:color w:val="808080"/>
    </w:rPr>
  </w:style>
  <w:style w:type="character" w:styleId="PadroChar" w:customStyle="1">
    <w:name w:val="Padrão Char"/>
    <w:link w:val="Padro"/>
    <w:qFormat/>
    <w:rsid w:val="005a7373"/>
    <w:rPr>
      <w:rFonts w:ascii="Calibri" w:hAnsi="Calibri" w:eastAsia="Calibri" w:cs="Times New Roman"/>
      <w:color w:val="00000A"/>
    </w:rPr>
  </w:style>
  <w:style w:type="character" w:styleId="CabealhoChar1" w:customStyle="1">
    <w:name w:val="Cabeçalho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5a7373"/>
    <w:rPr>
      <w:rFonts w:ascii="Tahoma" w:hAnsi="Tahoma" w:eastAsia="Times New Roman" w:cs="Tahoma"/>
      <w:sz w:val="16"/>
      <w:szCs w:val="16"/>
      <w:lang w:eastAsia="zh-CN"/>
    </w:rPr>
  </w:style>
  <w:style w:type="character" w:styleId="font-familyverdana" w:customStyle="1">
    <w:name w:val="font-family:verdana"/>
    <w:basedOn w:val="DefaultParagraphFont"/>
    <w:qFormat/>
    <w:rsid w:val="005a7373"/>
    <w:rPr/>
  </w:style>
  <w:style w:type="character" w:styleId="Corpodetexto2Char" w:customStyle="1">
    <w:name w:val="Corpo de texto 2 Char"/>
    <w:basedOn w:val="DefaultParagraphFont"/>
    <w:link w:val="BodyText2"/>
    <w:uiPriority w:val="99"/>
    <w:semiHidden/>
    <w:qFormat/>
    <w:rsid w:val="005a7373"/>
    <w:rPr>
      <w:rFonts w:ascii="Times New Roman" w:hAnsi="Times New Roman" w:eastAsia="Times New Roman" w:cs="Times New Roman"/>
      <w:b/>
      <w:bCs/>
      <w:sz w:val="24"/>
      <w:szCs w:val="20"/>
    </w:rPr>
  </w:style>
  <w:style w:type="character" w:styleId="Recuodecorpodetexto2Char" w:customStyle="1">
    <w:name w:val="Recuo de corpo de texto 2 Char"/>
    <w:basedOn w:val="DefaultParagraphFont"/>
    <w:link w:val="BodyTextIndent2"/>
    <w:uiPriority w:val="99"/>
    <w:semiHidden/>
    <w:qFormat/>
    <w:rsid w:val="005a7373"/>
    <w:rPr>
      <w:rFonts w:ascii="Times New Roman" w:hAnsi="Times New Roman" w:eastAsia="Times New Roman" w:cs="Times New Roman"/>
      <w:sz w:val="24"/>
      <w:szCs w:val="20"/>
    </w:rPr>
  </w:style>
  <w:style w:type="character" w:styleId="Recuodecorpodetexto3Char" w:customStyle="1">
    <w:name w:val="Recuo de corpo de texto 3 Char"/>
    <w:basedOn w:val="DefaultParagraphFont"/>
    <w:link w:val="BodyTextIndent3"/>
    <w:uiPriority w:val="99"/>
    <w:semiHidden/>
    <w:qFormat/>
    <w:rsid w:val="005a7373"/>
    <w:rPr>
      <w:rFonts w:ascii="Times New Roman" w:hAnsi="Times New Roman" w:eastAsia="Times New Roman" w:cs="Times New Roman"/>
      <w:sz w:val="24"/>
      <w:szCs w:val="20"/>
    </w:rPr>
  </w:style>
  <w:style w:type="character" w:styleId="MapadoDocumentoChar" w:customStyle="1">
    <w:name w:val="Mapa do Documento Char"/>
    <w:basedOn w:val="DefaultParagraphFont"/>
    <w:link w:val="DocumentMap"/>
    <w:uiPriority w:val="99"/>
    <w:semiHidden/>
    <w:qFormat/>
    <w:rsid w:val="005a7373"/>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5a7373"/>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5a7373"/>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5a7373"/>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5a7373"/>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5a7373"/>
    <w:rPr/>
  </w:style>
  <w:style w:type="character" w:styleId="reference" w:customStyle="1">
    <w:name w:val="reference"/>
    <w:qFormat/>
    <w:rsid w:val="005a7373"/>
    <w:rPr>
      <w:b w:val="false"/>
      <w:bCs w:val="false"/>
      <w:caps w:val="false"/>
      <w:smallCaps w:val="false"/>
      <w:color w:val="FF0000"/>
      <w:sz w:val="19"/>
      <w:szCs w:val="19"/>
    </w:rPr>
  </w:style>
  <w:style w:type="character" w:styleId="identificador6" w:customStyle="1">
    <w:name w:val="identificador6"/>
    <w:basedOn w:val="DefaultParagraphFont"/>
    <w:qFormat/>
    <w:rsid w:val="005a7373"/>
    <w:rPr/>
  </w:style>
  <w:style w:type="character" w:styleId="WW-CaracteresdeNotadeRodap121" w:customStyle="1">
    <w:name w:val="WW-Caracteres de Nota de Rodapé121"/>
    <w:qFormat/>
    <w:rsid w:val="005a7373"/>
    <w:rPr>
      <w:vertAlign w:val="superscript"/>
    </w:rPr>
  </w:style>
  <w:style w:type="character" w:styleId="Manoel" w:customStyle="1">
    <w:name w:val="Manoel"/>
    <w:qFormat/>
    <w:rsid w:val="005a7373"/>
    <w:rPr>
      <w:rFonts w:ascii="Arial" w:hAnsi="Arial" w:cs="Arial"/>
      <w:color w:val="7030A0"/>
      <w:sz w:val="20"/>
    </w:rPr>
  </w:style>
  <w:style w:type="character" w:styleId="WW8Num1z1" w:customStyle="1">
    <w:name w:val="WW8Num1z1"/>
    <w:qFormat/>
    <w:rsid w:val="005a7373"/>
    <w:rPr>
      <w:rFonts w:ascii="Courier New" w:hAnsi="Courier New" w:cs="Courier New"/>
    </w:rPr>
  </w:style>
  <w:style w:type="character" w:styleId="nfase1" w:customStyle="1">
    <w:name w:val="Ênfase1"/>
    <w:uiPriority w:val="20"/>
    <w:qFormat/>
    <w:rsid w:val="005a7373"/>
    <w:rPr>
      <w:i/>
      <w:iCs/>
    </w:rPr>
  </w:style>
  <w:style w:type="character" w:styleId="highlight" w:customStyle="1">
    <w:name w:val="highlight"/>
    <w:qFormat/>
    <w:rsid w:val="005a7373"/>
    <w:rPr/>
  </w:style>
  <w:style w:type="character" w:styleId="Fontepargpadro7" w:customStyle="1">
    <w:name w:val="Fonte parág. padrão7"/>
    <w:qFormat/>
    <w:rsid w:val="005a7373"/>
    <w:rPr/>
  </w:style>
  <w:style w:type="character" w:styleId="MenoPendente2" w:customStyle="1">
    <w:name w:val="Menção Pendente2"/>
    <w:basedOn w:val="DefaultParagraphFont"/>
    <w:uiPriority w:val="99"/>
    <w:semiHidden/>
    <w:unhideWhenUsed/>
    <w:qFormat/>
    <w:rsid w:val="00b32ab1"/>
    <w:rPr>
      <w:color w:val="605E5C"/>
      <w:shd w:fill="E1DFDD" w:val="clear"/>
    </w:rPr>
  </w:style>
  <w:style w:type="character" w:styleId="normaltextrun" w:customStyle="1">
    <w:name w:val="normaltextrun"/>
    <w:basedOn w:val="DefaultParagraphFont"/>
    <w:qFormat/>
    <w:rsid w:val="007e747a"/>
    <w:rPr/>
  </w:style>
  <w:style w:type="character" w:styleId="findhit" w:customStyle="1">
    <w:name w:val="findhit"/>
    <w:basedOn w:val="DefaultParagraphFont"/>
    <w:qFormat/>
    <w:rsid w:val="007e747a"/>
    <w:rPr/>
  </w:style>
  <w:style w:type="character" w:styleId="eop" w:customStyle="1">
    <w:name w:val="eop"/>
    <w:basedOn w:val="DefaultParagraphFont"/>
    <w:qFormat/>
    <w:rsid w:val="007e747a"/>
    <w:rPr/>
  </w:style>
  <w:style w:type="character" w:styleId="Meno1" w:customStyle="1">
    <w:name w:val="Menção1"/>
    <w:basedOn w:val="DefaultParagraphFont"/>
    <w:uiPriority w:val="99"/>
    <w:unhideWhenUsed/>
    <w:qFormat/>
    <w:rsid w:val="005e64bf"/>
    <w:rPr>
      <w:color w:val="2B579A"/>
      <w:shd w:fill="E1DFDD" w:val="clear"/>
    </w:rPr>
  </w:style>
  <w:style w:type="character" w:styleId="Nmerodelinha1" w:customStyle="1">
    <w:name w:val="Número de linha1"/>
    <w:qFormat/>
    <w:rsid w:val="00ee0c9c"/>
    <w:rPr/>
  </w:style>
  <w:style w:type="character" w:styleId="CabealhoChar2" w:customStyle="1">
    <w:name w:val="Cabeçalho Char2"/>
    <w:basedOn w:val="DefaultParagraphFont"/>
    <w:uiPriority w:val="99"/>
    <w:qFormat/>
    <w:rsid w:val="004a3beb"/>
    <w:rPr>
      <w:color w:val="000000"/>
    </w:rPr>
  </w:style>
  <w:style w:type="character" w:styleId="RodapChar2" w:customStyle="1">
    <w:name w:val="Rodapé Char2"/>
    <w:basedOn w:val="DefaultParagraphFont"/>
    <w:uiPriority w:val="99"/>
    <w:qFormat/>
    <w:rsid w:val="004a3beb"/>
    <w:rPr>
      <w:color w:val="000000"/>
    </w:rPr>
  </w:style>
  <w:style w:type="character" w:styleId="Ttulo2Char1" w:customStyle="1">
    <w:name w:val="Título 2 Char1"/>
    <w:basedOn w:val="DefaultParagraphFont"/>
    <w:uiPriority w:val="1"/>
    <w:qFormat/>
    <w:rsid w:val="004a3beb"/>
    <w:rPr>
      <w:b/>
      <w:bCs/>
      <w:lang w:val="pt-PT" w:eastAsia="en-US"/>
    </w:rPr>
  </w:style>
  <w:style w:type="character" w:styleId="InternetLink">
    <w:name w:val="Internet Link"/>
    <w:uiPriority w:val="99"/>
    <w:qFormat/>
    <w:rsid w:val="00ff00af"/>
    <w:rPr>
      <w:color w:val="0000FF"/>
      <w:u w:val="single"/>
    </w:rPr>
  </w:style>
  <w:style w:type="character" w:styleId="Ttulo5Char1" w:customStyle="1">
    <w:name w:val="Título 5 Char1"/>
    <w:basedOn w:val="DefaultParagraphFont"/>
    <w:uiPriority w:val="9"/>
    <w:semiHidden/>
    <w:qFormat/>
    <w:rsid w:val="00076771"/>
    <w:rPr>
      <w:rFonts w:ascii="Cambria" w:hAnsi="Cambria" w:eastAsia="" w:cs="" w:asciiTheme="majorHAnsi" w:cstheme="majorBidi" w:eastAsiaTheme="majorEastAsia" w:hAnsiTheme="majorHAnsi"/>
      <w:color w:themeColor="accent1" w:themeShade="7f" w:val="243F60"/>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5a7373"/>
    <w:pPr>
      <w:widowControl w:val="false"/>
      <w:spacing w:lineRule="auto" w:line="240"/>
    </w:pPr>
    <w:rPr>
      <w:color w:val="auto"/>
      <w:sz w:val="24"/>
      <w:szCs w:val="24"/>
      <w:lang w:eastAsia="zh-CN"/>
    </w:rPr>
  </w:style>
  <w:style w:type="paragraph" w:styleId="List">
    <w:name w:val="List"/>
    <w:basedOn w:val="BodyText"/>
    <w:uiPriority w:val="99"/>
    <w:qFormat/>
    <w:rsid w:val="005a7373"/>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uiPriority w:val="99"/>
    <w:qFormat/>
    <w:rsid w:val="005a7373"/>
    <w:pPr>
      <w:suppressLineNumbers/>
      <w:spacing w:lineRule="auto" w:line="240"/>
    </w:pPr>
    <w:rPr>
      <w:rFonts w:cs="Mangal"/>
      <w:sz w:val="24"/>
      <w:szCs w:val="24"/>
      <w:lang w:eastAsia="zh-CN"/>
    </w:rPr>
  </w:style>
  <w:style w:type="paragraph" w:styleId="Title">
    <w:name w:val="Title"/>
    <w:basedOn w:val="Normal"/>
    <w:next w:val="BodyText"/>
    <w:link w:val="TtuloChar"/>
    <w:uiPriority w:val="10"/>
    <w:qFormat/>
    <w:rsid w:val="005a7373"/>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themeColor="text2" w:themeShade="bf" w:val="17365D"/>
      <w:spacing w:val="5"/>
      <w:kern w:val="2"/>
      <w:sz w:val="52"/>
      <w:szCs w:val="52"/>
    </w:rPr>
  </w:style>
  <w:style w:type="paragraph" w:styleId="Ttulo11" w:customStyle="1">
    <w:name w:val="Título 11"/>
    <w:basedOn w:val="Normal"/>
    <w:next w:val="Normal"/>
    <w:link w:val="Ttulo1Char"/>
    <w:uiPriority w:val="9"/>
    <w:qFormat/>
    <w:rsid w:val="005a7373"/>
    <w:pPr>
      <w:keepNext w:val="true"/>
      <w:keepLines/>
      <w:spacing w:before="240" w:after="0"/>
      <w:jc w:val="center"/>
      <w:outlineLvl w:val="0"/>
    </w:pPr>
    <w:rPr>
      <w:rFonts w:eastAsia="" w:eastAsiaTheme="majorEastAsia"/>
      <w:b/>
      <w:bCs/>
    </w:rPr>
  </w:style>
  <w:style w:type="paragraph" w:styleId="Ttulo21" w:customStyle="1">
    <w:name w:val="Título 21"/>
    <w:basedOn w:val="Normal"/>
    <w:next w:val="Normal"/>
    <w:link w:val="Ttulo2Char"/>
    <w:uiPriority w:val="9"/>
    <w:unhideWhenUsed/>
    <w:qFormat/>
    <w:rsid w:val="005a7373"/>
    <w:pPr>
      <w:widowControl w:val="false"/>
      <w:ind w:left="851" w:right="849"/>
      <w:jc w:val="center"/>
      <w:outlineLvl w:val="1"/>
    </w:pPr>
    <w:rPr>
      <w:b/>
      <w:bCs/>
      <w:caps/>
    </w:rPr>
  </w:style>
  <w:style w:type="paragraph" w:styleId="Ttulo31" w:customStyle="1">
    <w:name w:val="Título 31"/>
    <w:basedOn w:val="Normal"/>
    <w:next w:val="Normal"/>
    <w:link w:val="Ttulo3Char"/>
    <w:uiPriority w:val="9"/>
    <w:unhideWhenUsed/>
    <w:qFormat/>
    <w:rsid w:val="005a7373"/>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Ttulo41" w:customStyle="1">
    <w:name w:val="Título 41"/>
    <w:basedOn w:val="Normal"/>
    <w:next w:val="Normal"/>
    <w:link w:val="Ttulo4Char"/>
    <w:uiPriority w:val="9"/>
    <w:unhideWhenUsed/>
    <w:qFormat/>
    <w:rsid w:val="005a7373"/>
    <w:pPr>
      <w:keepNext w:val="true"/>
      <w:keepLines/>
      <w:spacing w:before="200" w:after="0"/>
      <w:outlineLvl w:val="3"/>
    </w:pPr>
    <w:rPr>
      <w:rFonts w:ascii="Cambria" w:hAnsi="Cambria" w:eastAsia="" w:cs="" w:asciiTheme="majorHAnsi" w:cstheme="majorBidi" w:eastAsiaTheme="majorEastAsia" w:hAnsiTheme="majorHAnsi"/>
      <w:b/>
      <w:bCs/>
      <w:i/>
      <w:iCs/>
      <w:color w:themeColor="accent1" w:val="4F81BD"/>
    </w:rPr>
  </w:style>
  <w:style w:type="paragraph" w:styleId="Ttulo51" w:customStyle="1">
    <w:name w:val="Título 51"/>
    <w:basedOn w:val="Normal"/>
    <w:next w:val="Normal"/>
    <w:link w:val="Ttulo5Char"/>
    <w:uiPriority w:val="9"/>
    <w:unhideWhenUsed/>
    <w:qFormat/>
    <w:rsid w:val="005a7373"/>
    <w:pPr>
      <w:keepNext w:val="true"/>
      <w:spacing w:before="0" w:after="60"/>
      <w:outlineLvl w:val="4"/>
    </w:pPr>
    <w:rPr>
      <w:b/>
    </w:rPr>
  </w:style>
  <w:style w:type="paragraph" w:styleId="Ttulo61" w:customStyle="1">
    <w:name w:val="Título 61"/>
    <w:basedOn w:val="Normal"/>
    <w:next w:val="Normal"/>
    <w:link w:val="Ttulo6Char"/>
    <w:uiPriority w:val="9"/>
    <w:semiHidden/>
    <w:unhideWhenUsed/>
    <w:qFormat/>
    <w:rsid w:val="005a7373"/>
    <w:pPr>
      <w:keepNext w:val="true"/>
      <w:outlineLvl w:val="5"/>
    </w:pPr>
    <w:rPr>
      <w:b/>
      <w:lang w:eastAsia="en-US"/>
    </w:rPr>
  </w:style>
  <w:style w:type="paragraph" w:styleId="Ttulo71" w:customStyle="1">
    <w:name w:val="Título 71"/>
    <w:basedOn w:val="Normal"/>
    <w:next w:val="Normal"/>
    <w:link w:val="Ttulo7Char"/>
    <w:uiPriority w:val="99"/>
    <w:qFormat/>
    <w:rsid w:val="005a7373"/>
    <w:pPr>
      <w:keepNext w:val="true"/>
      <w:tabs>
        <w:tab w:val="clear" w:pos="720"/>
        <w:tab w:val="left" w:pos="284" w:leader="none"/>
        <w:tab w:val="left" w:pos="426" w:leader="none"/>
      </w:tabs>
      <w:spacing w:lineRule="auto" w:line="240" w:before="240" w:after="0"/>
      <w:ind w:hanging="1296" w:left="1296"/>
      <w:outlineLvl w:val="6"/>
    </w:pPr>
    <w:rPr>
      <w:b/>
      <w:sz w:val="20"/>
      <w:szCs w:val="20"/>
      <w:lang w:eastAsia="zh-CN"/>
    </w:rPr>
  </w:style>
  <w:style w:type="paragraph" w:styleId="Ttulo81" w:customStyle="1">
    <w:name w:val="Título 81"/>
    <w:basedOn w:val="Normal"/>
    <w:next w:val="Normal"/>
    <w:link w:val="Ttulo8Char"/>
    <w:uiPriority w:val="99"/>
    <w:qFormat/>
    <w:rsid w:val="005a7373"/>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Ttulo91" w:customStyle="1">
    <w:name w:val="Título 91"/>
    <w:basedOn w:val="Normal"/>
    <w:next w:val="Normal"/>
    <w:link w:val="Ttulo9Char"/>
    <w:uiPriority w:val="99"/>
    <w:qFormat/>
    <w:rsid w:val="005a7373"/>
    <w:pPr>
      <w:keepNext w:val="true"/>
      <w:spacing w:lineRule="auto" w:line="240"/>
      <w:ind w:hanging="1584" w:left="1584"/>
      <w:outlineLvl w:val="8"/>
    </w:pPr>
    <w:rPr>
      <w:rFonts w:ascii="Arial" w:hAnsi="Arial" w:cs="Arial"/>
      <w:b/>
      <w:i/>
      <w:sz w:val="20"/>
      <w:szCs w:val="20"/>
      <w:lang w:eastAsia="zh-CN"/>
    </w:rPr>
  </w:style>
  <w:style w:type="paragraph" w:styleId="Legenda1" w:customStyle="1">
    <w:name w:val="Legenda1"/>
    <w:basedOn w:val="Normal"/>
    <w:qFormat/>
    <w:rsid w:val="00ee0c9c"/>
    <w:pPr>
      <w:suppressLineNumbers/>
      <w:spacing w:before="120" w:after="120"/>
    </w:pPr>
    <w:rPr>
      <w:rFonts w:cs="Arial"/>
      <w:i/>
      <w:iCs/>
      <w:sz w:val="24"/>
      <w:szCs w:val="24"/>
    </w:rPr>
  </w:style>
  <w:style w:type="paragraph" w:styleId="Corpodetextorecuado" w:customStyle="1">
    <w:name w:val="Corpo de texto recuado"/>
    <w:basedOn w:val="Normal"/>
    <w:qFormat/>
    <w:rsid w:val="005a7373"/>
    <w:pPr>
      <w:spacing w:lineRule="atLeast" w:line="100"/>
      <w:ind w:firstLine="4111"/>
    </w:pPr>
    <w:rPr>
      <w:rFonts w:ascii="Arial" w:hAnsi="Arial" w:cs="Arial"/>
    </w:rPr>
  </w:style>
  <w:style w:type="paragraph" w:styleId="Standard" w:customStyle="1">
    <w:name w:val="Standard"/>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5a7373"/>
    <w:pPr>
      <w:spacing w:beforeAutospacing="1" w:afterAutospacing="1"/>
    </w:pPr>
    <w:rPr>
      <w:color w:val="auto"/>
    </w:rPr>
  </w:style>
  <w:style w:type="paragraph" w:styleId="BalloonText">
    <w:name w:val="Balloon Text"/>
    <w:basedOn w:val="Normal"/>
    <w:link w:val="TextodebaloChar"/>
    <w:uiPriority w:val="99"/>
    <w:unhideWhenUsed/>
    <w:qFormat/>
    <w:rsid w:val="005a7373"/>
    <w:pPr/>
    <w:rPr>
      <w:rFonts w:ascii="Tahoma" w:hAnsi="Tahoma" w:cs="Tahoma"/>
      <w:sz w:val="16"/>
      <w:szCs w:val="16"/>
    </w:rPr>
  </w:style>
  <w:style w:type="paragraph" w:styleId="CabealhoeRodap" w:customStyle="1">
    <w:name w:val="Cabeçalho e Rodapé"/>
    <w:basedOn w:val="Normal"/>
    <w:uiPriority w:val="99"/>
    <w:qFormat/>
    <w:rsid w:val="005a7373"/>
    <w:pPr>
      <w:spacing w:lineRule="auto" w:line="240"/>
    </w:pPr>
    <w:rPr>
      <w:sz w:val="24"/>
      <w:szCs w:val="24"/>
      <w:lang w:eastAsia="zh-CN"/>
    </w:rPr>
  </w:style>
  <w:style w:type="paragraph" w:styleId="Cabealho1" w:customStyle="1">
    <w:name w:val="Cabeçalho1"/>
    <w:basedOn w:val="Normal"/>
    <w:link w:val="CabealhoChar"/>
    <w:uiPriority w:val="99"/>
    <w:unhideWhenUsed/>
    <w:qFormat/>
    <w:rsid w:val="005a7373"/>
    <w:pPr>
      <w:tabs>
        <w:tab w:val="clear" w:pos="720"/>
        <w:tab w:val="center" w:pos="4252" w:leader="none"/>
        <w:tab w:val="right" w:pos="8504" w:leader="none"/>
      </w:tabs>
    </w:pPr>
    <w:rPr/>
  </w:style>
  <w:style w:type="paragraph" w:styleId="Rodap1" w:customStyle="1">
    <w:name w:val="Rodapé1"/>
    <w:basedOn w:val="Normal"/>
    <w:link w:val="RodapChar"/>
    <w:uiPriority w:val="99"/>
    <w:unhideWhenUsed/>
    <w:qFormat/>
    <w:rsid w:val="005a7373"/>
    <w:pPr>
      <w:tabs>
        <w:tab w:val="clear" w:pos="720"/>
        <w:tab w:val="center" w:pos="4252" w:leader="none"/>
        <w:tab w:val="right" w:pos="8504" w:leader="none"/>
      </w:tabs>
    </w:pPr>
    <w:rPr/>
  </w:style>
  <w:style w:type="paragraph" w:styleId="Subtitle">
    <w:name w:val="Subtitle"/>
    <w:basedOn w:val="Normal"/>
    <w:next w:val="Normal"/>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5a7373"/>
    <w:pPr>
      <w:spacing w:lineRule="auto" w:line="240"/>
      <w:ind w:hanging="567" w:left="2552"/>
    </w:pPr>
    <w:rPr>
      <w:color w:val="auto"/>
      <w:sz w:val="24"/>
      <w:szCs w:val="20"/>
      <w:lang w:eastAsia="zh-CN"/>
    </w:rPr>
  </w:style>
  <w:style w:type="paragraph" w:styleId="Textodenotaderodap1" w:customStyle="1">
    <w:name w:val="Texto de nota de rodapé1"/>
    <w:basedOn w:val="Normal"/>
    <w:link w:val="TextodenotaderodapChar"/>
    <w:uiPriority w:val="99"/>
    <w:qFormat/>
    <w:rsid w:val="005a7373"/>
    <w:pPr>
      <w:spacing w:lineRule="auto" w:line="240"/>
    </w:pPr>
    <w:rPr>
      <w:color w:val="auto"/>
      <w:szCs w:val="20"/>
      <w:lang w:eastAsia="zh-CN"/>
    </w:rPr>
  </w:style>
  <w:style w:type="paragraph" w:styleId="CommentText">
    <w:name w:val="annotation text"/>
    <w:basedOn w:val="Normal"/>
    <w:link w:val="TextodecomentrioChar"/>
    <w:uiPriority w:val="99"/>
    <w:unhideWhenUsed/>
    <w:qFormat/>
    <w:rsid w:val="005a7373"/>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5a7373"/>
    <w:pPr/>
    <w:rPr>
      <w:b/>
      <w:bCs/>
      <w:color w:val="auto"/>
      <w:sz w:val="22"/>
    </w:rPr>
  </w:style>
  <w:style w:type="paragraph" w:styleId="Textodecomentrio1" w:customStyle="1">
    <w:name w:val="Texto de comentário1"/>
    <w:basedOn w:val="Normal"/>
    <w:qFormat/>
    <w:rsid w:val="005a7373"/>
    <w:pPr>
      <w:spacing w:lineRule="auto" w:line="240"/>
    </w:pPr>
    <w:rPr>
      <w:sz w:val="20"/>
      <w:szCs w:val="20"/>
      <w:lang w:eastAsia="zh-CN"/>
    </w:rPr>
  </w:style>
  <w:style w:type="paragraph" w:styleId="Padro" w:customStyle="1">
    <w:name w:val="Padrão"/>
    <w:link w:val="PadroChar"/>
    <w:qFormat/>
    <w:rsid w:val="005a7373"/>
    <w:pPr>
      <w:widowControl/>
      <w:tabs>
        <w:tab w:val="clear" w:pos="720"/>
        <w:tab w:val="left" w:pos="708" w:leader="none"/>
      </w:tabs>
      <w:suppressAutoHyphens w:val="true"/>
      <w:bidi w:val="0"/>
      <w:spacing w:lineRule="auto" w:line="360" w:before="0" w:after="0"/>
      <w:jc w:val="both"/>
    </w:pPr>
    <w:rPr>
      <w:rFonts w:ascii="Calibri" w:hAnsi="Calibri" w:eastAsia="Calibri" w:cs="Times New Roman"/>
      <w:color w:val="00000A"/>
      <w:kern w:val="0"/>
      <w:sz w:val="22"/>
      <w:szCs w:val="22"/>
      <w:lang w:eastAsia="pt-BR" w:val="pt-BR" w:bidi="ar-SA"/>
    </w:rPr>
  </w:style>
  <w:style w:type="paragraph" w:styleId="caption1" w:customStyle="1">
    <w:name w:val="caption1"/>
    <w:basedOn w:val="Normal"/>
    <w:next w:val="Normal"/>
    <w:uiPriority w:val="99"/>
    <w:qFormat/>
    <w:rsid w:val="005a7373"/>
    <w:pPr>
      <w:widowControl w:val="false"/>
      <w:tabs>
        <w:tab w:val="clear" w:pos="720"/>
        <w:tab w:val="left" w:pos="142" w:leader="none"/>
      </w:tabs>
      <w:spacing w:lineRule="auto" w:line="240"/>
      <w:jc w:val="center"/>
    </w:pPr>
    <w:rPr>
      <w:b/>
      <w:bCs/>
      <w:sz w:val="20"/>
      <w:szCs w:val="20"/>
      <w:lang w:eastAsia="zh-CN"/>
    </w:rPr>
  </w:style>
  <w:style w:type="paragraph" w:styleId="Ttulo1" w:customStyle="1">
    <w:name w:val="Título1"/>
    <w:basedOn w:val="Normal"/>
    <w:next w:val="BodyText"/>
    <w:qFormat/>
    <w:rsid w:val="005a7373"/>
    <w:pPr>
      <w:keepNext w:val="true"/>
      <w:spacing w:lineRule="auto" w:line="240" w:before="240" w:after="120"/>
    </w:pPr>
    <w:rPr>
      <w:rFonts w:ascii="Arial" w:hAnsi="Arial" w:eastAsia="Microsoft YaHei" w:cs="Mangal"/>
      <w:sz w:val="28"/>
      <w:szCs w:val="28"/>
      <w:lang w:eastAsia="zh-CN"/>
    </w:rPr>
  </w:style>
  <w:style w:type="paragraph" w:styleId="Recuodecorpodetexto21" w:customStyle="1">
    <w:name w:val="Recuo de corpo de texto 21"/>
    <w:basedOn w:val="Normal"/>
    <w:uiPriority w:val="99"/>
    <w:qFormat/>
    <w:rsid w:val="005a7373"/>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5a7373"/>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5a7373"/>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5a7373"/>
    <w:pPr>
      <w:spacing w:lineRule="auto" w:line="240"/>
    </w:pPr>
    <w:rPr>
      <w:sz w:val="24"/>
      <w:szCs w:val="20"/>
      <w:lang w:eastAsia="zh-CN"/>
    </w:rPr>
  </w:style>
  <w:style w:type="paragraph" w:styleId="c3" w:customStyle="1">
    <w:name w:val="c3"/>
    <w:basedOn w:val="Normal"/>
    <w:uiPriority w:val="99"/>
    <w:qFormat/>
    <w:rsid w:val="005a7373"/>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5a7373"/>
    <w:pPr>
      <w:spacing w:lineRule="auto" w:line="240"/>
    </w:pPr>
    <w:rPr>
      <w:sz w:val="24"/>
      <w:szCs w:val="20"/>
      <w:lang w:eastAsia="zh-CN"/>
    </w:rPr>
  </w:style>
  <w:style w:type="paragraph" w:styleId="Corpodetexto31" w:customStyle="1">
    <w:name w:val="Corpo de texto 31"/>
    <w:basedOn w:val="Normal"/>
    <w:uiPriority w:val="99"/>
    <w:qFormat/>
    <w:rsid w:val="005a7373"/>
    <w:pPr>
      <w:spacing w:lineRule="auto" w:line="240"/>
      <w:ind w:right="566"/>
    </w:pPr>
    <w:rPr>
      <w:sz w:val="24"/>
      <w:szCs w:val="20"/>
      <w:lang w:eastAsia="zh-CN"/>
    </w:rPr>
  </w:style>
  <w:style w:type="paragraph" w:styleId="p10" w:customStyle="1">
    <w:name w:val="p10"/>
    <w:basedOn w:val="Normal"/>
    <w:uiPriority w:val="99"/>
    <w:qFormat/>
    <w:rsid w:val="005a7373"/>
    <w:pPr>
      <w:widowControl w:val="false"/>
      <w:spacing w:lineRule="atLeast" w:line="260"/>
    </w:pPr>
    <w:rPr>
      <w:sz w:val="24"/>
      <w:szCs w:val="20"/>
      <w:lang w:val="de-DE" w:eastAsia="zh-CN"/>
    </w:rPr>
  </w:style>
  <w:style w:type="paragraph" w:styleId="p2" w:customStyle="1">
    <w:name w:val="p2"/>
    <w:basedOn w:val="Normal"/>
    <w:uiPriority w:val="99"/>
    <w:qFormat/>
    <w:rsid w:val="005a7373"/>
    <w:pPr>
      <w:widowControl w:val="false"/>
      <w:spacing w:lineRule="atLeast" w:line="260"/>
    </w:pPr>
    <w:rPr>
      <w:sz w:val="24"/>
      <w:szCs w:val="20"/>
      <w:lang w:val="de-DE" w:eastAsia="zh-CN"/>
    </w:rPr>
  </w:style>
  <w:style w:type="paragraph" w:styleId="p3" w:customStyle="1">
    <w:name w:val="p3"/>
    <w:basedOn w:val="Normal"/>
    <w:uiPriority w:val="99"/>
    <w:qFormat/>
    <w:rsid w:val="005a7373"/>
    <w:pPr>
      <w:widowControl w:val="false"/>
      <w:spacing w:lineRule="atLeast" w:line="240"/>
    </w:pPr>
    <w:rPr>
      <w:sz w:val="24"/>
      <w:szCs w:val="20"/>
      <w:lang w:val="de-DE" w:eastAsia="zh-CN"/>
    </w:rPr>
  </w:style>
  <w:style w:type="paragraph" w:styleId="p4" w:customStyle="1">
    <w:name w:val="p4"/>
    <w:basedOn w:val="Normal"/>
    <w:uiPriority w:val="99"/>
    <w:qFormat/>
    <w:rsid w:val="005a7373"/>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5a7373"/>
    <w:pPr>
      <w:widowControl w:val="false"/>
      <w:spacing w:lineRule="atLeast" w:line="240"/>
      <w:ind w:left="1120"/>
    </w:pPr>
    <w:rPr>
      <w:sz w:val="24"/>
      <w:szCs w:val="20"/>
      <w:lang w:val="de-DE" w:eastAsia="zh-CN"/>
    </w:rPr>
  </w:style>
  <w:style w:type="paragraph" w:styleId="p14" w:customStyle="1">
    <w:name w:val="p14"/>
    <w:basedOn w:val="Normal"/>
    <w:uiPriority w:val="99"/>
    <w:qFormat/>
    <w:rsid w:val="005a7373"/>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5a7373"/>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5a7373"/>
    <w:pPr>
      <w:spacing w:lineRule="auto" w:line="240"/>
      <w:ind w:right="340"/>
    </w:pPr>
    <w:rPr>
      <w:sz w:val="24"/>
      <w:szCs w:val="24"/>
      <w:lang w:eastAsia="zh-CN"/>
    </w:rPr>
  </w:style>
  <w:style w:type="paragraph" w:styleId="indice" w:customStyle="1">
    <w:name w:val="indice"/>
    <w:basedOn w:val="Normal"/>
    <w:qFormat/>
    <w:rsid w:val="005a7373"/>
    <w:pPr>
      <w:widowControl w:val="false"/>
      <w:spacing w:lineRule="auto" w:line="276" w:before="80" w:after="0"/>
    </w:pPr>
    <w:rPr>
      <w:b/>
      <w:bCs/>
    </w:rPr>
  </w:style>
  <w:style w:type="paragraph" w:styleId="TextosemFormatao1" w:customStyle="1">
    <w:name w:val="Texto sem Formatação1"/>
    <w:basedOn w:val="Normal"/>
    <w:uiPriority w:val="99"/>
    <w:qFormat/>
    <w:rsid w:val="005a7373"/>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5a7373"/>
    <w:pPr>
      <w:widowControl/>
      <w:suppressAutoHyphens w:val="true"/>
      <w:bidi w:val="0"/>
      <w:spacing w:lineRule="auto" w:line="360"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5a7373"/>
    <w:pPr>
      <w:widowControl/>
      <w:tabs>
        <w:tab w:val="clear" w:pos="720"/>
        <w:tab w:val="left" w:pos="1152" w:leader="none"/>
        <w:tab w:val="decimal" w:pos="1440" w:leader="none"/>
      </w:tabs>
      <w:suppressAutoHyphens w:val="true"/>
      <w:bidi w:val="0"/>
      <w:spacing w:lineRule="auto" w:line="360" w:before="0" w:after="0"/>
      <w:ind w:hanging="1152" w:left="2880"/>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5a7373"/>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5a7373"/>
    <w:pPr>
      <w:pBdr>
        <w:top w:val="single" w:sz="8" w:space="0" w:color="000000"/>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5a7373"/>
    <w:pPr>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5a7373"/>
    <w:pPr>
      <w:pBdr>
        <w:bottom w:val="single" w:sz="8" w:space="0" w:color="000000"/>
      </w:pBdr>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5a7373"/>
    <w:pPr>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5a7373"/>
    <w:pPr>
      <w:pBdr>
        <w:bottom w:val="single" w:sz="8" w:space="0" w:color="000000"/>
      </w:pBdr>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5a7373"/>
    <w:pP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5a7373"/>
    <w:pPr>
      <w:pBdr>
        <w:top w:val="single" w:sz="8" w:space="0" w:color="000000"/>
        <w:left w:val="single" w:sz="8"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5a7373"/>
    <w:pPr>
      <w:pBdr>
        <w:left w:val="single" w:sz="8"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5a7373"/>
    <w:pPr>
      <w:pBdr>
        <w:left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5a7373"/>
    <w:pPr>
      <w:pBdr>
        <w:left w:val="single" w:sz="8" w:space="0" w:color="000000"/>
        <w:right w:val="single" w:sz="4"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5a7373"/>
    <w:pPr>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5a7373"/>
    <w:pPr>
      <w:pBdr>
        <w:left w:val="single" w:sz="8" w:space="0" w:color="000000"/>
        <w:bottom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5a7373"/>
    <w:pPr>
      <w:pBdr>
        <w:top w:val="single" w:sz="8" w:space="0" w:color="000000"/>
        <w:left w:val="single" w:sz="4" w:space="0" w:color="000000"/>
        <w:right w:val="single" w:sz="8" w:space="0" w:color="000000"/>
      </w:pBdr>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5a7373"/>
    <w:pPr>
      <w:shd w:val="clear" w:color="auto" w:fill="FFFF99"/>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5a7373"/>
    <w:pPr>
      <w:pBdr>
        <w:left w:val="single" w:sz="4" w:space="0" w:color="000000"/>
        <w:bottom w:val="single" w:sz="8"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5a7373"/>
    <w:pPr>
      <w:pBdr>
        <w:top w:val="single" w:sz="8" w:space="0" w:color="000000"/>
        <w:bottom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5a7373"/>
    <w:pPr>
      <w:pBdr>
        <w:top w:val="single" w:sz="8" w:space="0" w:color="000000"/>
      </w:pBdr>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5a7373"/>
    <w:pPr>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5a7373"/>
    <w:pPr>
      <w:pBdr>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5a7373"/>
    <w:pPr>
      <w:pBdr>
        <w:top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5a7373"/>
    <w:pPr>
      <w:pBdr>
        <w:left w:val="single" w:sz="4"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5a7373"/>
    <w:pPr>
      <w:pBdr>
        <w:left w:val="single" w:sz="4" w:space="0" w:color="000000"/>
        <w:right w:val="single" w:sz="4" w:space="0" w:color="000000"/>
      </w:pBdr>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5a7373"/>
    <w:pPr>
      <w:pBdr>
        <w:left w:val="single" w:sz="4" w:space="0" w:color="000000"/>
        <w:right w:val="single" w:sz="4" w:space="0" w:color="000000"/>
      </w:pBdr>
      <w:shd w:val="clear" w:color="auto" w:fill="808080"/>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5a7373"/>
    <w:pPr>
      <w:pBdr>
        <w:top w:val="single" w:sz="8" w:space="0" w:color="000000"/>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5a7373"/>
    <w:pPr>
      <w:pBdr>
        <w:top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5a7373"/>
    <w:pPr>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5a7373"/>
    <w:pPr>
      <w:pBdr>
        <w:top w:val="single" w:sz="8" w:space="0" w:color="000000"/>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5a7373"/>
    <w:pPr>
      <w:pBdr>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5a7373"/>
    <w:pPr>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5a7373"/>
    <w:pPr>
      <w:pBdr>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5a7373"/>
    <w:pPr>
      <w:pBdr>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5a7373"/>
    <w:pPr>
      <w:pBdr>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5a7373"/>
    <w:pPr>
      <w:pBdr>
        <w:bottom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5a7373"/>
    <w:pPr>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5a7373"/>
    <w:pPr>
      <w:spacing w:lineRule="auto" w:line="240" w:before="120" w:after="0"/>
      <w:ind w:right="6"/>
    </w:pPr>
    <w:rPr>
      <w:sz w:val="24"/>
      <w:szCs w:val="20"/>
      <w:lang w:eastAsia="zh-CN"/>
    </w:rPr>
  </w:style>
  <w:style w:type="paragraph" w:styleId="Estilo1" w:customStyle="1">
    <w:name w:val="Estilo1"/>
    <w:basedOn w:val="Normal"/>
    <w:uiPriority w:val="99"/>
    <w:qFormat/>
    <w:rsid w:val="005a7373"/>
    <w:pPr>
      <w:tabs>
        <w:tab w:val="clear" w:pos="720"/>
        <w:tab w:val="left" w:pos="2268" w:leader="none"/>
      </w:tabs>
      <w:spacing w:lineRule="auto" w:line="240"/>
      <w:ind w:hanging="992" w:left="2410"/>
    </w:pPr>
    <w:rPr>
      <w:sz w:val="24"/>
      <w:szCs w:val="20"/>
      <w:lang w:eastAsia="zh-CN"/>
    </w:rPr>
  </w:style>
  <w:style w:type="paragraph" w:styleId="ListParagraph">
    <w:name w:val="List Paragraph"/>
    <w:basedOn w:val="Normal"/>
    <w:qFormat/>
    <w:rsid w:val="005a7373"/>
    <w:pPr>
      <w:spacing w:lineRule="auto" w:line="240"/>
      <w:ind w:left="708"/>
    </w:pPr>
    <w:rPr>
      <w:sz w:val="24"/>
      <w:szCs w:val="24"/>
      <w:lang w:eastAsia="zh-CN"/>
    </w:rPr>
  </w:style>
  <w:style w:type="paragraph" w:styleId="c2" w:customStyle="1">
    <w:name w:val="c2"/>
    <w:basedOn w:val="Normal"/>
    <w:uiPriority w:val="99"/>
    <w:qFormat/>
    <w:rsid w:val="005a7373"/>
    <w:pPr>
      <w:widowControl w:val="false"/>
      <w:spacing w:lineRule="atLeast" w:line="240"/>
      <w:jc w:val="center"/>
    </w:pPr>
    <w:rPr>
      <w:sz w:val="24"/>
      <w:szCs w:val="20"/>
      <w:lang w:eastAsia="zh-CN"/>
    </w:rPr>
  </w:style>
  <w:style w:type="paragraph" w:styleId="PargrafodaLista1" w:customStyle="1">
    <w:name w:val="Parágrafo da Lista1"/>
    <w:basedOn w:val="Normal"/>
    <w:uiPriority w:val="99"/>
    <w:qFormat/>
    <w:rsid w:val="005a7373"/>
    <w:pPr>
      <w:spacing w:lineRule="auto" w:line="240"/>
      <w:ind w:left="708"/>
    </w:pPr>
    <w:rPr>
      <w:sz w:val="24"/>
      <w:szCs w:val="24"/>
      <w:lang w:eastAsia="zh-CN"/>
    </w:rPr>
  </w:style>
  <w:style w:type="paragraph" w:styleId="Normal1" w:customStyle="1">
    <w:name w:val="Normal1"/>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5a7373"/>
    <w:pPr>
      <w:spacing w:lineRule="auto" w:line="240"/>
    </w:pPr>
    <w:rPr>
      <w:rFonts w:eastAsia="Calibri"/>
      <w:sz w:val="24"/>
      <w:szCs w:val="24"/>
      <w:lang w:eastAsia="zh-CN"/>
    </w:rPr>
  </w:style>
  <w:style w:type="paragraph" w:styleId="Contedodatabela" w:customStyle="1">
    <w:name w:val="Conteúdo da tabela"/>
    <w:basedOn w:val="Normal"/>
    <w:qFormat/>
    <w:rsid w:val="005a7373"/>
    <w:pPr>
      <w:suppressLineNumbers/>
      <w:spacing w:lineRule="auto" w:line="240"/>
    </w:pPr>
    <w:rPr>
      <w:sz w:val="24"/>
      <w:szCs w:val="24"/>
      <w:lang w:eastAsia="zh-CN"/>
    </w:rPr>
  </w:style>
  <w:style w:type="paragraph" w:styleId="Ttulodetabela" w:customStyle="1">
    <w:name w:val="Título de tabela"/>
    <w:basedOn w:val="Contedodatabela"/>
    <w:uiPriority w:val="99"/>
    <w:qFormat/>
    <w:rsid w:val="005a7373"/>
    <w:pPr>
      <w:jc w:val="center"/>
    </w:pPr>
    <w:rPr>
      <w:b/>
      <w:bCs/>
    </w:rPr>
  </w:style>
  <w:style w:type="paragraph" w:styleId="texto" w:customStyle="1">
    <w:name w:val="texto"/>
    <w:basedOn w:val="Normal"/>
    <w:uiPriority w:val="99"/>
    <w:qFormat/>
    <w:rsid w:val="005a7373"/>
    <w:pPr>
      <w:spacing w:lineRule="auto" w:line="240"/>
    </w:pPr>
    <w:rPr>
      <w:sz w:val="24"/>
      <w:szCs w:val="24"/>
    </w:rPr>
  </w:style>
  <w:style w:type="paragraph" w:styleId="Default1" w:customStyle="1">
    <w:name w:val="Default1"/>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4"/>
      <w:lang w:eastAsia="pt-BR" w:val="pt-BR" w:bidi="ar-SA"/>
    </w:rPr>
  </w:style>
  <w:style w:type="paragraph" w:styleId="Revision">
    <w:name w:val="Revision"/>
    <w:uiPriority w:val="99"/>
    <w:semiHidden/>
    <w:qFormat/>
    <w:rsid w:val="005a7373"/>
    <w:pPr>
      <w:widowControl/>
      <w:suppressAutoHyphens w:val="true"/>
      <w:bidi w:val="0"/>
      <w:spacing w:lineRule="auto" w:line="360"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5a7373"/>
    <w:pPr>
      <w:widowControl w:val="false"/>
      <w:suppressLineNumbers/>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5a7373"/>
    <w:pPr>
      <w:widowControl w:val="false"/>
      <w:spacing w:lineRule="auto" w:line="240"/>
    </w:pPr>
    <w:rPr>
      <w:color w:val="00000A"/>
      <w:lang w:eastAsia="zh-CN" w:bidi="pt-BR"/>
    </w:rPr>
  </w:style>
  <w:style w:type="paragraph" w:styleId="Nivel1" w:customStyle="1">
    <w:name w:val="Nivel1"/>
    <w:basedOn w:val="Ttulo11"/>
    <w:next w:val="Normal"/>
    <w:uiPriority w:val="99"/>
    <w:qFormat/>
    <w:rsid w:val="005a7373"/>
    <w:pPr>
      <w:tabs>
        <w:tab w:val="left" w:pos="720" w:leader="none"/>
      </w:tabs>
      <w:spacing w:lineRule="auto" w:line="276" w:before="480" w:after="120"/>
      <w:ind w:hanging="357" w:left="357"/>
      <w:jc w:val="both"/>
    </w:pPr>
    <w:rPr>
      <w:rFonts w:ascii="Arial" w:hAnsi="Arial" w:cs="Arial"/>
      <w:bCs w:val="false"/>
      <w:sz w:val="20"/>
      <w:szCs w:val="20"/>
    </w:rPr>
  </w:style>
  <w:style w:type="paragraph" w:styleId="pfs20" w:customStyle="1">
    <w:name w:val="pfs20"/>
    <w:uiPriority w:val="99"/>
    <w:qFormat/>
    <w:rsid w:val="005a7373"/>
    <w:pPr>
      <w:widowControl w:val="false"/>
      <w:suppressAutoHyphens w:val="true"/>
      <w:bidi w:val="0"/>
      <w:spacing w:lineRule="auto" w:line="36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Ttulo11"/>
    <w:next w:val="Normal"/>
    <w:uiPriority w:val="99"/>
    <w:qFormat/>
    <w:rsid w:val="005a7373"/>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5a7373"/>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5a7373"/>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5a7373"/>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5a7373"/>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5a7373"/>
    <w:pPr>
      <w:spacing w:lineRule="auto" w:line="240"/>
    </w:pPr>
    <w:rPr>
      <w:rFonts w:ascii="Arial" w:hAnsi="Arial"/>
      <w:color w:val="auto"/>
      <w:sz w:val="24"/>
      <w:szCs w:val="20"/>
    </w:rPr>
  </w:style>
  <w:style w:type="paragraph" w:styleId="titulo" w:customStyle="1">
    <w:name w:val="titulo"/>
    <w:basedOn w:val="Normal"/>
    <w:uiPriority w:val="99"/>
    <w:qFormat/>
    <w:rsid w:val="005a7373"/>
    <w:pPr>
      <w:spacing w:lineRule="auto" w:line="240"/>
      <w:jc w:val="left"/>
    </w:pPr>
    <w:rPr>
      <w:color w:val="auto"/>
      <w:sz w:val="24"/>
      <w:szCs w:val="24"/>
    </w:rPr>
  </w:style>
  <w:style w:type="paragraph" w:styleId="Corpodetexto211" w:customStyle="1">
    <w:name w:val="Corpo de texto 211"/>
    <w:basedOn w:val="Normal"/>
    <w:uiPriority w:val="99"/>
    <w:qFormat/>
    <w:rsid w:val="005a7373"/>
    <w:pPr>
      <w:tabs>
        <w:tab w:val="clear" w:pos="720"/>
        <w:tab w:val="left" w:pos="709" w:leader="none"/>
      </w:tabs>
      <w:spacing w:lineRule="auto" w:line="240"/>
    </w:pPr>
    <w:rPr>
      <w:color w:val="auto"/>
      <w:sz w:val="24"/>
      <w:szCs w:val="20"/>
      <w:lang w:eastAsia="ar-SA"/>
    </w:rPr>
  </w:style>
  <w:style w:type="paragraph" w:styleId="Contrato" w:customStyle="1">
    <w:name w:val="Contrato"/>
    <w:basedOn w:val="Normal"/>
    <w:uiPriority w:val="99"/>
    <w:qFormat/>
    <w:rsid w:val="005a7373"/>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5a7373"/>
    <w:pPr>
      <w:widowControl/>
      <w:tabs>
        <w:tab w:val="clear" w:pos="720"/>
        <w:tab w:val="left" w:pos="1440" w:leader="none"/>
      </w:tabs>
      <w:suppressAutoHyphens w:val="true"/>
      <w:bidi w:val="0"/>
      <w:spacing w:lineRule="auto" w:line="360" w:before="120" w:after="120"/>
      <w:ind w:hanging="720" w:left="1440"/>
      <w:jc w:val="both"/>
    </w:pPr>
    <w:rPr>
      <w:rFonts w:ascii="Ecofont_Spranq_eco_Sans" w:hAnsi="Ecofont_Spranq_eco_Sans" w:eastAsia="Arial Unicode MS" w:cs="Times New Roman"/>
      <w:color w:val="auto"/>
      <w:kern w:val="0"/>
      <w:sz w:val="20"/>
      <w:szCs w:val="20"/>
      <w:lang w:eastAsia="pt-BR" w:val="pt-BR" w:bidi="ar-SA"/>
    </w:rPr>
  </w:style>
  <w:style w:type="paragraph" w:styleId="Nivel11" w:customStyle="1">
    <w:name w:val="Nivel 1"/>
    <w:basedOn w:val="Nivel2"/>
    <w:next w:val="Nivel2"/>
    <w:uiPriority w:val="99"/>
    <w:qFormat/>
    <w:rsid w:val="005a7373"/>
    <w:pPr>
      <w:ind w:hanging="360" w:left="502"/>
    </w:pPr>
    <w:rPr>
      <w:rFonts w:cs="Arial"/>
      <w:b/>
    </w:rPr>
  </w:style>
  <w:style w:type="paragraph" w:styleId="Nivel3" w:customStyle="1">
    <w:name w:val="Nivel 3"/>
    <w:basedOn w:val="Nivel2"/>
    <w:uiPriority w:val="99"/>
    <w:qFormat/>
    <w:rsid w:val="005a7373"/>
    <w:pPr>
      <w:tabs>
        <w:tab w:val="clear" w:pos="1440"/>
      </w:tabs>
      <w:ind w:hanging="504" w:left="1224"/>
    </w:pPr>
    <w:rPr>
      <w:rFonts w:cs="Arial"/>
      <w:color w:val="000000"/>
    </w:rPr>
  </w:style>
  <w:style w:type="paragraph" w:styleId="Nivel4" w:customStyle="1">
    <w:name w:val="Nivel 4"/>
    <w:basedOn w:val="Nivel3"/>
    <w:link w:val="Nivel4Char"/>
    <w:qFormat/>
    <w:rsid w:val="005a7373"/>
    <w:pPr/>
    <w:rPr>
      <w:color w:val="auto"/>
    </w:rPr>
  </w:style>
  <w:style w:type="paragraph" w:styleId="Nivel5" w:customStyle="1">
    <w:name w:val="Nivel 5"/>
    <w:basedOn w:val="Nivel4"/>
    <w:link w:val="Nivel5Char"/>
    <w:qFormat/>
    <w:rsid w:val="005a7373"/>
    <w:pPr>
      <w:ind w:hanging="1080" w:left="2496"/>
    </w:pPr>
    <w:rPr/>
  </w:style>
  <w:style w:type="paragraph" w:styleId="Ttulo2" w:customStyle="1">
    <w:name w:val="Título2"/>
    <w:basedOn w:val="Normal"/>
    <w:next w:val="BodyText"/>
    <w:uiPriority w:val="99"/>
    <w:qFormat/>
    <w:rsid w:val="005a7373"/>
    <w:pPr>
      <w:keepNext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5a7373"/>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5a7373"/>
    <w:pPr>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5a7373"/>
    <w:pPr>
      <w:keepLines/>
      <w:tabs>
        <w:tab w:val="clear" w:pos="720"/>
        <w:tab w:val="left" w:pos="0" w:leader="none"/>
      </w:tabs>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5a7373"/>
    <w:pPr>
      <w:tabs>
        <w:tab w:val="clear" w:pos="720"/>
        <w:tab w:val="left" w:pos="0" w:leader="none"/>
      </w:tabs>
      <w:spacing w:lineRule="auto" w:line="240"/>
    </w:pPr>
    <w:rPr>
      <w:rFonts w:ascii="Arial" w:hAnsi="Arial" w:cs="Arial"/>
      <w:sz w:val="24"/>
      <w:szCs w:val="20"/>
      <w:lang w:val="pt-PT" w:eastAsia="zh-CN"/>
    </w:rPr>
  </w:style>
  <w:style w:type="paragraph" w:styleId="Prefcio1" w:customStyle="1">
    <w:name w:val="Prefácio1"/>
    <w:basedOn w:val="Normal"/>
    <w:qFormat/>
    <w:rsid w:val="005a7373"/>
    <w:pPr>
      <w:keepLines/>
      <w:tabs>
        <w:tab w:val="clear" w:pos="720"/>
        <w:tab w:val="left" w:pos="0" w:leader="none"/>
      </w:tabs>
      <w:spacing w:lineRule="auto" w:line="240" w:before="340" w:after="0"/>
    </w:pPr>
    <w:rPr>
      <w:rFonts w:ascii="Arial" w:hAnsi="Arial" w:cs="Arial"/>
      <w:b/>
      <w:caps/>
      <w:spacing w:val="10"/>
      <w:sz w:val="18"/>
      <w:szCs w:val="20"/>
      <w:lang w:eastAsia="zh-CN"/>
    </w:rPr>
  </w:style>
  <w:style w:type="paragraph" w:styleId="Ttulodendiceremissivo1" w:customStyle="1">
    <w:name w:val="Título de índice remissivo1"/>
    <w:basedOn w:val="Title"/>
    <w:qFormat/>
    <w:rsid w:val="00ee0c9c"/>
    <w:pPr/>
    <w:rPr/>
  </w:style>
  <w:style w:type="paragraph" w:styleId="IndexHeading">
    <w:name w:val="index heading"/>
    <w:basedOn w:val="Title"/>
    <w:pPr/>
    <w:rPr/>
  </w:style>
  <w:style w:type="paragraph" w:styleId="TOCHeading">
    <w:name w:val="TOC Heading"/>
    <w:basedOn w:val="Ttulo11"/>
    <w:next w:val="Normal"/>
    <w:uiPriority w:val="39"/>
    <w:unhideWhenUsed/>
    <w:qFormat/>
    <w:rsid w:val="00ed17a8"/>
    <w:pPr>
      <w:spacing w:lineRule="auto" w:line="259"/>
      <w:jc w:val="left"/>
      <w:outlineLvl w:val="9"/>
    </w:pPr>
    <w:rPr>
      <w:rFonts w:ascii="Cambria" w:hAnsi="Cambria" w:cs="" w:asciiTheme="majorHAnsi" w:cstheme="majorBidi" w:hAnsiTheme="majorHAnsi"/>
      <w:b w:val="false"/>
      <w:bCs w:val="false"/>
      <w:color w:themeColor="accent1" w:themeShade="bf" w:val="365F91"/>
      <w:sz w:val="32"/>
      <w:szCs w:val="32"/>
    </w:rPr>
  </w:style>
  <w:style w:type="paragraph" w:styleId="Sumrio21" w:customStyle="1">
    <w:name w:val="Sumário 21"/>
    <w:basedOn w:val="Normal"/>
    <w:next w:val="Normal"/>
    <w:autoRedefine/>
    <w:uiPriority w:val="39"/>
    <w:unhideWhenUsed/>
    <w:qFormat/>
    <w:rsid w:val="00ed17a8"/>
    <w:pPr>
      <w:spacing w:before="0" w:after="100"/>
      <w:ind w:left="220"/>
    </w:pPr>
    <w:rPr/>
  </w:style>
  <w:style w:type="paragraph" w:styleId="paragraph" w:customStyle="1">
    <w:name w:val="paragraph"/>
    <w:basedOn w:val="Normal"/>
    <w:qFormat/>
    <w:rsid w:val="00bf1580"/>
    <w:pPr>
      <w:spacing w:lineRule="auto" w:line="240" w:beforeAutospacing="1" w:afterAutospacing="1"/>
      <w:jc w:val="left"/>
    </w:pPr>
    <w:rPr>
      <w:color w:val="auto"/>
      <w:sz w:val="24"/>
      <w:szCs w:val="24"/>
    </w:rPr>
  </w:style>
  <w:style w:type="paragraph" w:styleId="Sumrio51" w:customStyle="1">
    <w:name w:val="Sumário 51"/>
    <w:basedOn w:val="Normal"/>
    <w:next w:val="Normal"/>
    <w:autoRedefine/>
    <w:uiPriority w:val="39"/>
    <w:unhideWhenUsed/>
    <w:qFormat/>
    <w:rsid w:val="007403ff"/>
    <w:pPr>
      <w:spacing w:before="0" w:after="100"/>
      <w:ind w:left="880"/>
    </w:pPr>
    <w:rPr/>
  </w:style>
  <w:style w:type="paragraph" w:styleId="Cabealhoerodap1">
    <w:name w:val="Cabeçalho e rodapé1"/>
    <w:basedOn w:val="Normal"/>
    <w:qFormat/>
    <w:pPr/>
    <w:rPr/>
  </w:style>
  <w:style w:type="paragraph" w:styleId="Header">
    <w:name w:val="header"/>
    <w:basedOn w:val="Normal"/>
    <w:link w:val="CabealhoChar2"/>
    <w:uiPriority w:val="99"/>
    <w:unhideWhenUsed/>
    <w:qFormat/>
    <w:rsid w:val="004a3beb"/>
    <w:pPr>
      <w:tabs>
        <w:tab w:val="clear" w:pos="720"/>
        <w:tab w:val="center" w:pos="4252" w:leader="none"/>
        <w:tab w:val="right" w:pos="8504" w:leader="none"/>
      </w:tabs>
      <w:spacing w:lineRule="auto" w:line="240"/>
    </w:pPr>
    <w:rPr/>
  </w:style>
  <w:style w:type="paragraph" w:styleId="Footer">
    <w:name w:val="footer"/>
    <w:basedOn w:val="Normal"/>
    <w:link w:val="RodapChar2"/>
    <w:uiPriority w:val="99"/>
    <w:unhideWhenUsed/>
    <w:qFormat/>
    <w:rsid w:val="004a3beb"/>
    <w:pPr>
      <w:tabs>
        <w:tab w:val="clear" w:pos="720"/>
        <w:tab w:val="center" w:pos="4252" w:leader="none"/>
        <w:tab w:val="right" w:pos="8504" w:leader="none"/>
      </w:tabs>
      <w:spacing w:lineRule="auto" w:line="240"/>
    </w:pPr>
    <w:rPr/>
  </w:style>
  <w:style w:type="numbering" w:styleId="Semlista" w:default="1">
    <w:name w:val="Sem lista"/>
    <w:uiPriority w:val="99"/>
    <w:semiHidden/>
    <w:unhideWhenUsed/>
    <w:qFormat/>
  </w:style>
  <w:style w:type="numbering" w:styleId="estiloeditais" w:customStyle="1">
    <w:name w:val="estiloeditais"/>
    <w:uiPriority w:val="99"/>
    <w:qFormat/>
    <w:rsid w:val="00d530cd"/>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NormalTable0">
    <w:name w:val="Normal Table0"/>
    <w:rsid w:val="00ee0c9c"/>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5a7373"/>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36"/>
    <w:basedOn w:val="Tabelanormal"/>
    <w:rsid w:val="00ee0c9c"/>
    <w:tblPr>
      <w:tblStyleRowBandSize w:val="1"/>
      <w:tblStyleColBandSize w:val="1"/>
      <w:tblCellMar>
        <w:left w:w="115" w:type="dxa"/>
        <w:right w:w="115" w:type="dxa"/>
      </w:tblCellMar>
    </w:tblPr>
  </w:style>
  <w:style w:type="table" w:customStyle="1" w:styleId="35">
    <w:name w:val="35"/>
    <w:basedOn w:val="Tabelanormal"/>
    <w:rsid w:val="00ee0c9c"/>
    <w:tblPr>
      <w:tblStyleRowBandSize w:val="1"/>
      <w:tblStyleColBandSize w:val="1"/>
      <w:tblCellMar>
        <w:left w:w="115" w:type="dxa"/>
        <w:right w:w="115" w:type="dxa"/>
      </w:tblCellMar>
    </w:tblPr>
  </w:style>
  <w:style w:type="table" w:customStyle="1" w:styleId="34">
    <w:name w:val="34"/>
    <w:basedOn w:val="Tabelanormal"/>
    <w:rsid w:val="00ee0c9c"/>
    <w:tblPr>
      <w:tblStyleRowBandSize w:val="1"/>
      <w:tblStyleColBandSize w:val="1"/>
      <w:tblCellMar>
        <w:left w:w="115" w:type="dxa"/>
        <w:right w:w="115" w:type="dxa"/>
      </w:tblCellMar>
    </w:tblPr>
  </w:style>
  <w:style w:type="table" w:customStyle="1" w:styleId="33">
    <w:name w:val="33"/>
    <w:basedOn w:val="Tabelanormal"/>
    <w:rsid w:val="00ee0c9c"/>
    <w:tblPr>
      <w:tblStyleRowBandSize w:val="1"/>
      <w:tblStyleColBandSize w:val="1"/>
    </w:tblPr>
  </w:style>
  <w:style w:type="table" w:customStyle="1" w:styleId="32">
    <w:name w:val="32"/>
    <w:basedOn w:val="Tabelanormal"/>
    <w:rsid w:val="00ee0c9c"/>
    <w:rPr>
      <w:sz w:val="20"/>
      <w:szCs w:val="20"/>
    </w:rPr>
    <w:tblPr>
      <w:tblStyleRowBandSize w:val="1"/>
      <w:tblStyleColBandSize w:val="1"/>
    </w:tblPr>
  </w:style>
  <w:style w:type="table" w:customStyle="1" w:styleId="31">
    <w:name w:val="31"/>
    <w:basedOn w:val="Tabelanormal"/>
    <w:rsid w:val="00ee0c9c"/>
    <w:rPr>
      <w:sz w:val="20"/>
      <w:szCs w:val="20"/>
    </w:rPr>
    <w:tblPr>
      <w:tblStyleRowBandSize w:val="1"/>
      <w:tblStyleColBandSize w:val="1"/>
    </w:tblPr>
  </w:style>
  <w:style w:type="table" w:customStyle="1" w:styleId="30">
    <w:name w:val="30"/>
    <w:basedOn w:val="Tabelanormal"/>
    <w:rsid w:val="00ee0c9c"/>
    <w:rPr>
      <w:sz w:val="20"/>
      <w:szCs w:val="20"/>
    </w:rPr>
    <w:tblPr>
      <w:tblStyleRowBandSize w:val="1"/>
      <w:tblStyleColBandSize w:val="1"/>
    </w:tblPr>
  </w:style>
  <w:style w:type="table" w:customStyle="1" w:styleId="29">
    <w:name w:val="29"/>
    <w:basedOn w:val="Tabelanormal"/>
    <w:rsid w:val="00ee0c9c"/>
    <w:rPr>
      <w:sz w:val="20"/>
      <w:szCs w:val="20"/>
    </w:rPr>
    <w:tblPr>
      <w:tblStyleRowBandSize w:val="1"/>
      <w:tblStyleColBandSize w:val="1"/>
    </w:tblPr>
  </w:style>
  <w:style w:type="table" w:customStyle="1" w:styleId="28">
    <w:name w:val="28"/>
    <w:basedOn w:val="Tabelanormal"/>
    <w:rsid w:val="00ee0c9c"/>
    <w:rPr>
      <w:sz w:val="20"/>
      <w:szCs w:val="20"/>
    </w:rPr>
    <w:tblPr>
      <w:tblStyleRowBandSize w:val="1"/>
      <w:tblStyleColBandSize w:val="1"/>
    </w:tblPr>
  </w:style>
  <w:style w:type="table" w:customStyle="1" w:styleId="27">
    <w:name w:val="27"/>
    <w:basedOn w:val="Tabelanormal"/>
    <w:rsid w:val="00ee0c9c"/>
    <w:rPr>
      <w:sz w:val="20"/>
      <w:szCs w:val="20"/>
    </w:rPr>
    <w:tblPr>
      <w:tblStyleRowBandSize w:val="1"/>
      <w:tblStyleColBandSize w:val="1"/>
    </w:tblPr>
  </w:style>
  <w:style w:type="table" w:customStyle="1" w:styleId="26">
    <w:name w:val="26"/>
    <w:basedOn w:val="Tabelanormal"/>
    <w:rsid w:val="00ee0c9c"/>
    <w:rPr>
      <w:sz w:val="20"/>
      <w:szCs w:val="20"/>
    </w:rPr>
    <w:tblPr>
      <w:tblStyleRowBandSize w:val="1"/>
      <w:tblStyleColBandSize w:val="1"/>
    </w:tblPr>
  </w:style>
  <w:style w:type="table" w:customStyle="1" w:styleId="25">
    <w:name w:val="25"/>
    <w:basedOn w:val="Tabelanormal"/>
    <w:rsid w:val="00ee0c9c"/>
    <w:rPr>
      <w:sz w:val="20"/>
      <w:szCs w:val="20"/>
    </w:rPr>
    <w:tblPr>
      <w:tblStyleRowBandSize w:val="1"/>
      <w:tblStyleColBandSize w:val="1"/>
    </w:tblPr>
  </w:style>
  <w:style w:type="table" w:customStyle="1" w:styleId="24">
    <w:name w:val="24"/>
    <w:basedOn w:val="Tabelanormal"/>
    <w:rsid w:val="00ee0c9c"/>
    <w:rPr>
      <w:sz w:val="20"/>
      <w:szCs w:val="20"/>
    </w:rPr>
    <w:tblPr>
      <w:tblStyleRowBandSize w:val="1"/>
      <w:tblStyleColBandSize w:val="1"/>
    </w:tblPr>
  </w:style>
  <w:style w:type="table" w:customStyle="1" w:styleId="23">
    <w:name w:val="23"/>
    <w:basedOn w:val="Tabelanormal"/>
    <w:rsid w:val="00ee0c9c"/>
    <w:rPr>
      <w:sz w:val="20"/>
      <w:szCs w:val="20"/>
    </w:rPr>
    <w:tblPr>
      <w:tblStyleRowBandSize w:val="1"/>
      <w:tblStyleColBandSize w:val="1"/>
    </w:tblPr>
  </w:style>
  <w:style w:type="table" w:customStyle="1" w:styleId="22">
    <w:name w:val="22"/>
    <w:basedOn w:val="Tabelanormal"/>
    <w:rsid w:val="00ee0c9c"/>
    <w:rPr>
      <w:sz w:val="20"/>
      <w:szCs w:val="20"/>
    </w:rPr>
    <w:tblPr>
      <w:tblStyleRowBandSize w:val="1"/>
      <w:tblStyleColBandSize w:val="1"/>
    </w:tblPr>
  </w:style>
  <w:style w:type="table" w:customStyle="1" w:styleId="21">
    <w:name w:val="21"/>
    <w:basedOn w:val="Tabelanormal"/>
    <w:rsid w:val="00ee0c9c"/>
    <w:rPr>
      <w:sz w:val="20"/>
      <w:szCs w:val="20"/>
    </w:rPr>
    <w:tblPr>
      <w:tblStyleRowBandSize w:val="1"/>
      <w:tblStyleColBandSize w:val="1"/>
    </w:tblPr>
  </w:style>
  <w:style w:type="table" w:customStyle="1" w:styleId="20">
    <w:name w:val="20"/>
    <w:basedOn w:val="Tabelanormal"/>
    <w:rsid w:val="00ee0c9c"/>
    <w:rPr>
      <w:sz w:val="20"/>
      <w:szCs w:val="20"/>
    </w:rPr>
    <w:tblPr>
      <w:tblStyleRowBandSize w:val="1"/>
      <w:tblStyleColBandSize w:val="1"/>
    </w:tblPr>
  </w:style>
  <w:style w:type="table" w:customStyle="1" w:styleId="19">
    <w:name w:val="19"/>
    <w:basedOn w:val="Tabelanormal"/>
    <w:rsid w:val="00ee0c9c"/>
    <w:rPr>
      <w:sz w:val="20"/>
      <w:szCs w:val="20"/>
    </w:rPr>
    <w:tblPr>
      <w:tblStyleRowBandSize w:val="1"/>
      <w:tblStyleColBandSize w:val="1"/>
    </w:tblPr>
  </w:style>
  <w:style w:type="table" w:customStyle="1" w:styleId="18">
    <w:name w:val="18"/>
    <w:basedOn w:val="Tabelanormal"/>
    <w:rsid w:val="00ee0c9c"/>
    <w:rPr>
      <w:sz w:val="20"/>
      <w:szCs w:val="20"/>
    </w:rPr>
    <w:tblPr>
      <w:tblStyleRowBandSize w:val="1"/>
      <w:tblStyleColBandSize w:val="1"/>
    </w:tblPr>
  </w:style>
  <w:style w:type="table" w:customStyle="1" w:styleId="17">
    <w:name w:val="17"/>
    <w:basedOn w:val="Tabelanormal"/>
    <w:rsid w:val="00ee0c9c"/>
    <w:rPr>
      <w:sz w:val="20"/>
      <w:szCs w:val="20"/>
    </w:rPr>
    <w:tblPr>
      <w:tblStyleRowBandSize w:val="1"/>
      <w:tblStyleColBandSize w:val="1"/>
    </w:tblPr>
  </w:style>
  <w:style w:type="table" w:customStyle="1" w:styleId="16">
    <w:name w:val="16"/>
    <w:basedOn w:val="Tabelanormal"/>
    <w:rsid w:val="00ee0c9c"/>
    <w:rPr>
      <w:sz w:val="20"/>
      <w:szCs w:val="20"/>
    </w:rPr>
    <w:tblPr>
      <w:tblStyleRowBandSize w:val="1"/>
      <w:tblStyleColBandSize w:val="1"/>
    </w:tblPr>
  </w:style>
  <w:style w:type="table" w:customStyle="1" w:styleId="15">
    <w:name w:val="15"/>
    <w:basedOn w:val="Tabelanormal"/>
    <w:rsid w:val="00ee0c9c"/>
    <w:tblPr>
      <w:tblStyleRowBandSize w:val="1"/>
      <w:tblStyleColBandSize w:val="1"/>
      <w:tblCellMar>
        <w:left w:w="115" w:type="dxa"/>
        <w:right w:w="115" w:type="dxa"/>
      </w:tblCellMar>
    </w:tblPr>
  </w:style>
  <w:style w:type="table" w:customStyle="1" w:styleId="14">
    <w:name w:val="14"/>
    <w:basedOn w:val="Tabelanormal"/>
    <w:rsid w:val="00ee0c9c"/>
    <w:tblPr>
      <w:tblStyleRowBandSize w:val="1"/>
      <w:tblStyleColBandSize w:val="1"/>
      <w:tblCellMar>
        <w:left w:w="70" w:type="dxa"/>
        <w:right w:w="70" w:type="dxa"/>
      </w:tblCellMar>
    </w:tblPr>
  </w:style>
  <w:style w:type="table" w:customStyle="1" w:styleId="13">
    <w:name w:val="13"/>
    <w:basedOn w:val="Tabelanormal"/>
    <w:rsid w:val="00ee0c9c"/>
    <w:tblPr>
      <w:tblStyleRowBandSize w:val="1"/>
      <w:tblStyleColBandSize w:val="1"/>
      <w:tblCellMar>
        <w:left w:w="70" w:type="dxa"/>
        <w:right w:w="70" w:type="dxa"/>
      </w:tblCellMar>
    </w:tblPr>
  </w:style>
  <w:style w:type="table" w:customStyle="1" w:styleId="12">
    <w:name w:val="12"/>
    <w:basedOn w:val="Tabelanormal"/>
    <w:rsid w:val="00ee0c9c"/>
    <w:tblPr>
      <w:tblStyleRowBandSize w:val="1"/>
      <w:tblStyleColBandSize w:val="1"/>
      <w:tblCellMar>
        <w:left w:w="70" w:type="dxa"/>
        <w:right w:w="70" w:type="dxa"/>
      </w:tblCellMar>
    </w:tblPr>
  </w:style>
  <w:style w:type="table" w:customStyle="1" w:styleId="11">
    <w:name w:val="11"/>
    <w:basedOn w:val="Tabelanormal"/>
    <w:rsid w:val="00ee0c9c"/>
    <w:tblPr>
      <w:tblStyleRowBandSize w:val="1"/>
      <w:tblStyleColBandSize w:val="1"/>
      <w:tblCellMar>
        <w:left w:w="70" w:type="dxa"/>
        <w:right w:w="70" w:type="dxa"/>
      </w:tblCellMar>
    </w:tblPr>
  </w:style>
  <w:style w:type="table" w:customStyle="1" w:styleId="10">
    <w:name w:val="10"/>
    <w:basedOn w:val="Tabelanormal"/>
    <w:rsid w:val="00ee0c9c"/>
    <w:tblPr>
      <w:tblStyleRowBandSize w:val="1"/>
      <w:tblStyleColBandSize w:val="1"/>
      <w:tblCellMar>
        <w:left w:w="70" w:type="dxa"/>
        <w:right w:w="70" w:type="dxa"/>
      </w:tblCellMar>
    </w:tblPr>
  </w:style>
  <w:style w:type="table" w:customStyle="1" w:styleId="9">
    <w:name w:val="9"/>
    <w:basedOn w:val="Tabelanormal"/>
    <w:rsid w:val="00ee0c9c"/>
    <w:tblPr>
      <w:tblStyleRowBandSize w:val="1"/>
      <w:tblStyleColBandSize w:val="1"/>
      <w:tblCellMar>
        <w:left w:w="70" w:type="dxa"/>
        <w:right w:w="70" w:type="dxa"/>
      </w:tblCellMar>
    </w:tblPr>
  </w:style>
  <w:style w:type="table" w:customStyle="1" w:styleId="8">
    <w:name w:val="8"/>
    <w:basedOn w:val="Tabelanormal"/>
    <w:rsid w:val="00ee0c9c"/>
    <w:tblPr>
      <w:tblStyleRowBandSize w:val="1"/>
      <w:tblStyleColBandSize w:val="1"/>
      <w:tblCellMar>
        <w:left w:w="70" w:type="dxa"/>
        <w:right w:w="70" w:type="dxa"/>
      </w:tblCellMar>
    </w:tblPr>
  </w:style>
  <w:style w:type="table" w:customStyle="1" w:styleId="7">
    <w:name w:val="7"/>
    <w:basedOn w:val="Tabelanormal"/>
    <w:rsid w:val="00ee0c9c"/>
    <w:tblPr>
      <w:tblStyleRowBandSize w:val="1"/>
      <w:tblStyleColBandSize w:val="1"/>
      <w:tblCellMar>
        <w:left w:w="70" w:type="dxa"/>
        <w:right w:w="70" w:type="dxa"/>
      </w:tblCellMar>
    </w:tblPr>
  </w:style>
  <w:style w:type="table" w:customStyle="1" w:styleId="6">
    <w:name w:val="6"/>
    <w:basedOn w:val="Tabelanormal"/>
    <w:rsid w:val="00ee0c9c"/>
    <w:tblPr>
      <w:tblStyleRowBandSize w:val="1"/>
      <w:tblStyleColBandSize w:val="1"/>
      <w:tblCellMar>
        <w:left w:w="70" w:type="dxa"/>
        <w:right w:w="70" w:type="dxa"/>
      </w:tblCellMar>
    </w:tblPr>
  </w:style>
  <w:style w:type="table" w:customStyle="1" w:styleId="5">
    <w:name w:val="5"/>
    <w:basedOn w:val="Tabelanormal"/>
    <w:rsid w:val="00ee0c9c"/>
    <w:tblPr>
      <w:tblStyleRowBandSize w:val="1"/>
      <w:tblStyleColBandSize w:val="1"/>
      <w:tblCellMar>
        <w:left w:w="70" w:type="dxa"/>
        <w:right w:w="70" w:type="dxa"/>
      </w:tblCellMar>
    </w:tblPr>
  </w:style>
  <w:style w:type="table" w:customStyle="1" w:styleId="4">
    <w:name w:val="4"/>
    <w:basedOn w:val="Tabelanormal"/>
    <w:rsid w:val="00ee0c9c"/>
    <w:tblPr>
      <w:tblStyleRowBandSize w:val="1"/>
      <w:tblStyleColBandSize w:val="1"/>
      <w:tblCellMar>
        <w:left w:w="70" w:type="dxa"/>
        <w:right w:w="70" w:type="dxa"/>
      </w:tblCellMar>
    </w:tblPr>
  </w:style>
  <w:style w:type="table" w:customStyle="1" w:styleId="3">
    <w:name w:val="3"/>
    <w:basedOn w:val="Tabelanormal"/>
    <w:rsid w:val="00ee0c9c"/>
    <w:tblPr>
      <w:tblStyleRowBandSize w:val="1"/>
      <w:tblStyleColBandSize w:val="1"/>
      <w:tblCellMar>
        <w:left w:w="70" w:type="dxa"/>
        <w:right w:w="70" w:type="dxa"/>
      </w:tblCellMar>
    </w:tblPr>
  </w:style>
  <w:style w:type="table" w:customStyle="1" w:styleId="2">
    <w:name w:val="2"/>
    <w:basedOn w:val="Tabelanormal"/>
    <w:rsid w:val="00ee0c9c"/>
    <w:tblPr>
      <w:tblStyleRowBandSize w:val="1"/>
      <w:tblStyleColBandSize w:val="1"/>
      <w:tblCellMar>
        <w:left w:w="70" w:type="dxa"/>
        <w:right w:w="70" w:type="dxa"/>
      </w:tblCellMar>
    </w:tblPr>
  </w:style>
  <w:style w:type="table" w:customStyle="1" w:styleId="1">
    <w:name w:val="1"/>
    <w:basedOn w:val="Tabelanormal"/>
    <w:rsid w:val="00ee0c9c"/>
    <w:tblPr>
      <w:tblStyleRowBandSize w:val="1"/>
      <w:tblStyleColBandSize w:val="1"/>
      <w:tblCellMar>
        <w:left w:w="7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cecom.rs.gov.br/" TargetMode="External"/><Relationship Id="rId4" Type="http://schemas.openxmlformats.org/officeDocument/2006/relationships/hyperlink" Target="http://www.compras.rs.gov.br/" TargetMode="External"/><Relationship Id="rId5" Type="http://schemas.openxmlformats.org/officeDocument/2006/relationships/hyperlink" Target="http://www.compras.rs.gov.br/" TargetMode="External"/><Relationship Id="rId6" Type="http://schemas.openxmlformats.org/officeDocument/2006/relationships/hyperlink" Target="http://www.celic.rs.gov.br/index.php?menu=secao&amp;cod=42" TargetMode="External"/><Relationship Id="rId7" Type="http://schemas.openxmlformats.org/officeDocument/2006/relationships/hyperlink" Target="http://www.compras.rs.gov.br/" TargetMode="External"/><Relationship Id="rId8" Type="http://schemas.openxmlformats.org/officeDocument/2006/relationships/hyperlink" Target="http://www.sisacf.sefaz.rs.gov.br/"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66IfiPIs6xD0wRS1SNnB2+6zZ3Q==">CgMxLjAyCWguM3pueXNoNzIKaWQuMmV0OTJwMDIIaC50eWpjd3QyCmlkLjNkeTZ2a20yCWguMXQzaDVzZjIJaC40ZDM0b2c4OAByITFBWlJZU2t3UHJaNlpHYnFJSmFzUUlIWEdKcVFuN1F4YQ==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LibreOffice/24.8.2.1$Windows_X86_64 LibreOffice_project/0f794b6e29741098670a3b95d60478a65d05ef13</Application>
  <AppVersion>15.0000</AppVersion>
  <Pages>45</Pages>
  <Words>13949</Words>
  <Characters>78448</Characters>
  <CharactersWithSpaces>92041</CharactersWithSpaces>
  <Paragraphs>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2025-02-28T11:57:00Z</dcterms:created>
  <dc:creator>Melissa</dc:creator>
  <dc:description/>
  <dc:language>pt-BR</dc:language>
  <cp:lastModifiedBy/>
  <dcterms:modified xsi:type="dcterms:W3CDTF">2025-04-04T15:51:06Z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