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0F6" w:rsidRDefault="00A07027" w:rsidP="00A07027">
      <w:pPr>
        <w:pStyle w:val="Corpodetexto"/>
        <w:spacing w:before="3"/>
        <w:ind w:left="0"/>
        <w:jc w:val="center"/>
        <w:rPr>
          <w:rFonts w:ascii="Arial" w:hAnsi="Arial" w:cs="Arial"/>
          <w:b/>
          <w:sz w:val="24"/>
          <w:szCs w:val="24"/>
        </w:rPr>
      </w:pPr>
      <w:r>
        <w:rPr>
          <w:rFonts w:ascii="Arial" w:hAnsi="Arial" w:cs="Arial"/>
          <w:b/>
          <w:sz w:val="24"/>
          <w:szCs w:val="24"/>
        </w:rPr>
        <w:t>TERMO DE REFERÊNCIA</w:t>
      </w:r>
    </w:p>
    <w:p w:rsidR="00A07027" w:rsidRPr="00A07027" w:rsidRDefault="00A07027" w:rsidP="00A07027">
      <w:pPr>
        <w:pStyle w:val="Corpodetexto"/>
        <w:spacing w:before="3"/>
        <w:ind w:left="0"/>
        <w:jc w:val="center"/>
        <w:rPr>
          <w:rFonts w:ascii="Arial" w:hAnsi="Arial" w:cs="Arial"/>
          <w:b/>
          <w:sz w:val="24"/>
          <w:szCs w:val="24"/>
        </w:rPr>
      </w:pPr>
    </w:p>
    <w:p w:rsidR="00CF2350" w:rsidRPr="00A07027" w:rsidRDefault="00E05B42">
      <w:pPr>
        <w:pStyle w:val="PargrafodaLista"/>
        <w:numPr>
          <w:ilvl w:val="0"/>
          <w:numId w:val="4"/>
        </w:numPr>
        <w:tabs>
          <w:tab w:val="left" w:pos="686"/>
        </w:tabs>
        <w:spacing w:line="244" w:lineRule="auto"/>
        <w:ind w:right="106" w:firstLine="0"/>
        <w:rPr>
          <w:rFonts w:ascii="Arial" w:hAnsi="Arial" w:cs="Arial"/>
          <w:b/>
          <w:sz w:val="24"/>
          <w:szCs w:val="24"/>
        </w:rPr>
      </w:pPr>
      <w:r w:rsidRPr="00A07027">
        <w:rPr>
          <w:rFonts w:ascii="Arial" w:hAnsi="Arial" w:cs="Arial"/>
          <w:b/>
          <w:sz w:val="24"/>
          <w:szCs w:val="24"/>
        </w:rPr>
        <w:t xml:space="preserve">Objeto: </w:t>
      </w:r>
    </w:p>
    <w:p w:rsidR="00CF2350" w:rsidRPr="00A07027" w:rsidRDefault="00CF2350" w:rsidP="00CF2350">
      <w:pPr>
        <w:pStyle w:val="PargrafodaLista"/>
        <w:tabs>
          <w:tab w:val="left" w:pos="686"/>
        </w:tabs>
        <w:spacing w:line="244" w:lineRule="auto"/>
        <w:ind w:right="106"/>
        <w:jc w:val="left"/>
        <w:rPr>
          <w:rFonts w:ascii="Arial" w:hAnsi="Arial" w:cs="Arial"/>
          <w:b/>
          <w:sz w:val="24"/>
          <w:szCs w:val="24"/>
        </w:rPr>
      </w:pPr>
    </w:p>
    <w:p w:rsidR="00CF2350" w:rsidRPr="00A07027" w:rsidRDefault="00E05B42" w:rsidP="000A4F31">
      <w:pPr>
        <w:tabs>
          <w:tab w:val="left" w:pos="686"/>
        </w:tabs>
        <w:spacing w:line="244" w:lineRule="auto"/>
        <w:ind w:left="368" w:right="106"/>
        <w:rPr>
          <w:rFonts w:ascii="Arial" w:hAnsi="Arial" w:cs="Arial"/>
          <w:sz w:val="24"/>
          <w:szCs w:val="24"/>
        </w:rPr>
      </w:pPr>
      <w:r w:rsidRPr="00A07027">
        <w:rPr>
          <w:rFonts w:ascii="Arial" w:hAnsi="Arial" w:cs="Arial"/>
          <w:sz w:val="24"/>
          <w:szCs w:val="24"/>
        </w:rPr>
        <w:t>Concessão de uso remunerada visando a instalação de Serviço de Análises Clínicas no</w:t>
      </w:r>
      <w:r w:rsidR="00CF2350" w:rsidRPr="00A07027">
        <w:rPr>
          <w:rFonts w:ascii="Arial" w:hAnsi="Arial" w:cs="Arial"/>
          <w:sz w:val="24"/>
          <w:szCs w:val="24"/>
        </w:rPr>
        <w:t xml:space="preserve"> </w:t>
      </w:r>
      <w:r w:rsidRPr="00A07027">
        <w:rPr>
          <w:rFonts w:ascii="Arial" w:hAnsi="Arial" w:cs="Arial"/>
          <w:sz w:val="24"/>
          <w:szCs w:val="24"/>
        </w:rPr>
        <w:t>Hospital da Brigada Militar de Porto Alegre, compreendendo um espaço aproximado de 236 m² para área técnica, localizados no andar térreo do hospital.</w:t>
      </w:r>
      <w:r w:rsidR="000A4F31" w:rsidRPr="00A07027">
        <w:rPr>
          <w:rFonts w:ascii="Arial" w:hAnsi="Arial" w:cs="Arial"/>
          <w:sz w:val="24"/>
          <w:szCs w:val="24"/>
        </w:rPr>
        <w:t xml:space="preserve"> </w:t>
      </w:r>
    </w:p>
    <w:p w:rsidR="004D20F6" w:rsidRPr="00A07027" w:rsidRDefault="004D20F6">
      <w:pPr>
        <w:pStyle w:val="Corpodetexto"/>
        <w:spacing w:before="6"/>
        <w:ind w:left="0"/>
        <w:jc w:val="left"/>
        <w:rPr>
          <w:rFonts w:ascii="Arial" w:hAnsi="Arial" w:cs="Arial"/>
          <w:sz w:val="24"/>
          <w:szCs w:val="24"/>
        </w:rPr>
      </w:pPr>
    </w:p>
    <w:p w:rsidR="00CF2350" w:rsidRPr="00A07027" w:rsidRDefault="00E05B42">
      <w:pPr>
        <w:pStyle w:val="PargrafodaLista"/>
        <w:numPr>
          <w:ilvl w:val="0"/>
          <w:numId w:val="4"/>
        </w:numPr>
        <w:tabs>
          <w:tab w:val="left" w:pos="710"/>
        </w:tabs>
        <w:spacing w:line="244" w:lineRule="auto"/>
        <w:ind w:right="108" w:firstLine="0"/>
        <w:rPr>
          <w:rFonts w:ascii="Arial" w:hAnsi="Arial" w:cs="Arial"/>
          <w:b/>
          <w:sz w:val="24"/>
          <w:szCs w:val="24"/>
        </w:rPr>
      </w:pPr>
      <w:r w:rsidRPr="00A07027">
        <w:rPr>
          <w:rFonts w:ascii="Arial" w:hAnsi="Arial" w:cs="Arial"/>
          <w:b/>
          <w:sz w:val="24"/>
          <w:szCs w:val="24"/>
        </w:rPr>
        <w:t xml:space="preserve">Motivação/Justificativa: </w:t>
      </w:r>
    </w:p>
    <w:p w:rsidR="00CF2350" w:rsidRPr="00A07027" w:rsidRDefault="00CF2350" w:rsidP="00CF2350">
      <w:pPr>
        <w:pStyle w:val="Corpodetexto"/>
        <w:rPr>
          <w:rFonts w:ascii="Arial" w:hAnsi="Arial" w:cs="Arial"/>
          <w:sz w:val="24"/>
          <w:szCs w:val="24"/>
        </w:rPr>
      </w:pPr>
      <w:r w:rsidRPr="00A07027">
        <w:rPr>
          <w:rFonts w:ascii="Arial" w:hAnsi="Arial" w:cs="Arial"/>
          <w:sz w:val="24"/>
          <w:szCs w:val="24"/>
        </w:rPr>
        <w:t xml:space="preserve">Solicito a abertura de pregão eletrônico para cessão de área para a instalação de laboratório de análises clínicas no Hospital da Brigada Militar de Porto Alegre (HBM-PA). Esse pedido se faz necessário uma vez que o CONTRATO DE CONCESSÃO DE USO REMUNERADO Nº 23/2018 realizado através do Pregão Eletrônico Celic nº 634/2018 para a instalação de Serviços de Análises Clínicas no Hospital da Brigada Militar de Porto Alegre (HBM-PA) acaba em 21 de janeiro de 2023. A solicitação se e justifica pelo fato de o HBM-PA ser um hospital secundário, com serviço de pronto-atendimento sendo o serviço de análises clínicas é essencial e imprescindível para o funcionamento do hospital, pois todos os diagnósticos médicos são realizados com base em exames complementares, sejam eles de imagem, de patologia ou de análises clínicas. Além disso, o laboratório de análises clínicas tem um papel fundamental no acompanhamento e avaliação do tratamento prescrito aos pacientes internados, além do convênio realizado para isenção do fator moderados nos exames realizados na Bienal de Saúde. </w:t>
      </w:r>
    </w:p>
    <w:p w:rsidR="00CF2350" w:rsidRPr="00A07027" w:rsidRDefault="00CF2350" w:rsidP="00CF2350">
      <w:pPr>
        <w:pStyle w:val="Corpodetexto"/>
        <w:ind w:left="0" w:firstLine="368"/>
        <w:rPr>
          <w:rFonts w:ascii="Arial" w:hAnsi="Arial" w:cs="Arial"/>
          <w:sz w:val="24"/>
          <w:szCs w:val="24"/>
        </w:rPr>
      </w:pPr>
    </w:p>
    <w:p w:rsidR="004D20F6" w:rsidRPr="00A07027" w:rsidRDefault="00E05B42">
      <w:pPr>
        <w:pStyle w:val="PargrafodaLista"/>
        <w:numPr>
          <w:ilvl w:val="0"/>
          <w:numId w:val="4"/>
        </w:numPr>
        <w:tabs>
          <w:tab w:val="left" w:pos="643"/>
        </w:tabs>
        <w:ind w:left="643" w:hanging="275"/>
        <w:rPr>
          <w:rFonts w:ascii="Arial" w:hAnsi="Arial" w:cs="Arial"/>
          <w:b/>
          <w:sz w:val="24"/>
          <w:szCs w:val="24"/>
        </w:rPr>
      </w:pPr>
      <w:r w:rsidRPr="00A07027">
        <w:rPr>
          <w:rFonts w:ascii="Arial" w:hAnsi="Arial" w:cs="Arial"/>
          <w:b/>
          <w:sz w:val="24"/>
          <w:szCs w:val="24"/>
        </w:rPr>
        <w:t>Especificações</w:t>
      </w:r>
      <w:r w:rsidR="000A4F31" w:rsidRPr="00A07027">
        <w:rPr>
          <w:rFonts w:ascii="Arial" w:hAnsi="Arial" w:cs="Arial"/>
          <w:b/>
          <w:sz w:val="24"/>
          <w:szCs w:val="24"/>
        </w:rPr>
        <w:t xml:space="preserve"> técnicas:</w:t>
      </w:r>
    </w:p>
    <w:p w:rsidR="004D20F6" w:rsidRPr="00A07027" w:rsidRDefault="004D20F6">
      <w:pPr>
        <w:pStyle w:val="Corpodetexto"/>
        <w:spacing w:before="8"/>
        <w:ind w:left="0"/>
        <w:jc w:val="left"/>
        <w:rPr>
          <w:rFonts w:ascii="Arial" w:hAnsi="Arial" w:cs="Arial"/>
          <w:sz w:val="24"/>
          <w:szCs w:val="24"/>
        </w:rPr>
      </w:pPr>
    </w:p>
    <w:p w:rsidR="000A4F31" w:rsidRDefault="000A4F31" w:rsidP="000A4F31">
      <w:pPr>
        <w:tabs>
          <w:tab w:val="left" w:pos="686"/>
        </w:tabs>
        <w:spacing w:line="244" w:lineRule="auto"/>
        <w:ind w:left="368" w:right="106"/>
        <w:rPr>
          <w:rFonts w:ascii="Arial" w:hAnsi="Arial" w:cs="Arial"/>
          <w:sz w:val="24"/>
          <w:szCs w:val="24"/>
        </w:rPr>
      </w:pPr>
      <w:r w:rsidRPr="00A07027">
        <w:rPr>
          <w:rFonts w:ascii="Arial" w:hAnsi="Arial" w:cs="Arial"/>
          <w:sz w:val="24"/>
          <w:szCs w:val="24"/>
        </w:rPr>
        <w:t xml:space="preserve">Concessão de uso remunerada visando a instalação de Serviço de Análises Clínicas no Hospital da Brigada Militar de Porto Alegre, compreendendo um espaço aproximado de 236 m² para área técnica, localizados no andar térreo do hospital. </w:t>
      </w:r>
    </w:p>
    <w:p w:rsidR="00A737F4" w:rsidRDefault="00A737F4" w:rsidP="000A4F31">
      <w:pPr>
        <w:tabs>
          <w:tab w:val="left" w:pos="686"/>
        </w:tabs>
        <w:spacing w:line="244" w:lineRule="auto"/>
        <w:ind w:left="368" w:right="106"/>
        <w:rPr>
          <w:rFonts w:ascii="Arial" w:hAnsi="Arial" w:cs="Arial"/>
          <w:sz w:val="24"/>
          <w:szCs w:val="24"/>
        </w:rPr>
      </w:pPr>
    </w:p>
    <w:p w:rsidR="00A737F4" w:rsidRPr="00585050" w:rsidRDefault="00A737F4" w:rsidP="00A737F4">
      <w:pPr>
        <w:tabs>
          <w:tab w:val="left" w:pos="686"/>
        </w:tabs>
        <w:spacing w:line="244" w:lineRule="auto"/>
        <w:ind w:left="368" w:right="106"/>
        <w:jc w:val="both"/>
        <w:rPr>
          <w:rFonts w:ascii="Arial" w:hAnsi="Arial" w:cs="Arial"/>
          <w:i/>
          <w:sz w:val="24"/>
          <w:szCs w:val="24"/>
          <w:u w:val="single"/>
        </w:rPr>
      </w:pPr>
      <w:r w:rsidRPr="00585050">
        <w:rPr>
          <w:rFonts w:ascii="Arial" w:hAnsi="Arial" w:cs="Arial"/>
          <w:i/>
          <w:sz w:val="24"/>
          <w:szCs w:val="24"/>
          <w:u w:val="single"/>
        </w:rPr>
        <w:t>A concessionária deverá manter no mínimo duas pessoas na recepção do laboratório, sendo uma pessoa para recepção e uma pessoa para coleta.</w:t>
      </w:r>
    </w:p>
    <w:p w:rsidR="000A4F31" w:rsidRPr="00A07027" w:rsidRDefault="000A4F31" w:rsidP="000A4F31">
      <w:pPr>
        <w:tabs>
          <w:tab w:val="left" w:pos="686"/>
        </w:tabs>
        <w:spacing w:line="244" w:lineRule="auto"/>
        <w:ind w:left="368" w:right="106"/>
        <w:rPr>
          <w:rFonts w:ascii="Arial" w:hAnsi="Arial" w:cs="Arial"/>
          <w:sz w:val="24"/>
          <w:szCs w:val="24"/>
        </w:rPr>
      </w:pPr>
    </w:p>
    <w:p w:rsidR="000A4F31" w:rsidRPr="00A07027" w:rsidRDefault="000A4F31" w:rsidP="000A4F31">
      <w:pPr>
        <w:tabs>
          <w:tab w:val="left" w:pos="686"/>
        </w:tabs>
        <w:spacing w:line="244" w:lineRule="auto"/>
        <w:ind w:left="368" w:right="106"/>
        <w:rPr>
          <w:rFonts w:ascii="Arial" w:hAnsi="Arial" w:cs="Arial"/>
          <w:sz w:val="24"/>
          <w:szCs w:val="24"/>
        </w:rPr>
      </w:pPr>
      <w:r w:rsidRPr="00A07027">
        <w:rPr>
          <w:rFonts w:ascii="Arial" w:hAnsi="Arial" w:cs="Arial"/>
          <w:sz w:val="24"/>
          <w:szCs w:val="24"/>
        </w:rPr>
        <w:t>Os pré-requisitos técnicos e profissionais especializados para a contratação dos serviços de</w:t>
      </w:r>
      <w:r w:rsidR="00A737F4">
        <w:rPr>
          <w:rFonts w:ascii="Arial" w:hAnsi="Arial" w:cs="Arial"/>
          <w:sz w:val="24"/>
          <w:szCs w:val="24"/>
        </w:rPr>
        <w:t xml:space="preserve"> </w:t>
      </w:r>
      <w:r w:rsidRPr="00A07027">
        <w:rPr>
          <w:rFonts w:ascii="Arial" w:hAnsi="Arial" w:cs="Arial"/>
          <w:sz w:val="24"/>
          <w:szCs w:val="24"/>
        </w:rPr>
        <w:t>laboratório de análises clínicas são:</w:t>
      </w:r>
    </w:p>
    <w:p w:rsidR="000A4F31" w:rsidRPr="00A07027" w:rsidRDefault="000A4F31" w:rsidP="000A4F31">
      <w:pPr>
        <w:tabs>
          <w:tab w:val="left" w:pos="686"/>
        </w:tabs>
        <w:spacing w:line="244" w:lineRule="auto"/>
        <w:ind w:left="368" w:right="106"/>
        <w:rPr>
          <w:rFonts w:ascii="Arial" w:hAnsi="Arial" w:cs="Arial"/>
          <w:sz w:val="24"/>
          <w:szCs w:val="24"/>
        </w:rPr>
      </w:pPr>
    </w:p>
    <w:p w:rsidR="000A4F31"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1. A coleta de materiais clínicos para análise, seu processamento e emissão de laudos com os</w:t>
      </w:r>
      <w:r w:rsidR="00A07027" w:rsidRPr="00A07027">
        <w:rPr>
          <w:rFonts w:ascii="Arial" w:hAnsi="Arial" w:cs="Arial"/>
          <w:sz w:val="24"/>
          <w:szCs w:val="24"/>
        </w:rPr>
        <w:t xml:space="preserve"> </w:t>
      </w:r>
      <w:r w:rsidR="00137692" w:rsidRPr="00A07027">
        <w:rPr>
          <w:rFonts w:ascii="Arial" w:hAnsi="Arial" w:cs="Arial"/>
          <w:sz w:val="24"/>
          <w:szCs w:val="24"/>
        </w:rPr>
        <w:t>respectivos resultados das análises, visando o atendimento regular das necessidades de apoio</w:t>
      </w:r>
      <w:r w:rsidR="00A07027" w:rsidRPr="00A07027">
        <w:rPr>
          <w:rFonts w:ascii="Arial" w:hAnsi="Arial" w:cs="Arial"/>
          <w:sz w:val="24"/>
          <w:szCs w:val="24"/>
        </w:rPr>
        <w:t xml:space="preserve"> </w:t>
      </w:r>
      <w:r w:rsidR="00137692" w:rsidRPr="00A07027">
        <w:rPr>
          <w:rFonts w:ascii="Arial" w:hAnsi="Arial" w:cs="Arial"/>
          <w:sz w:val="24"/>
          <w:szCs w:val="24"/>
        </w:rPr>
        <w:t>diagnóstico definidas pelo Corpo Clínico do HBM/PA e pela demanda dos pacientes ambulatoriais e internados;</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 Exames que serão realizados:</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2.1. Dosagens Bioquímicas;</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2.2. Determinações hematológicas;</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2.3. Imunologia (doenças auto-imunes, doenças infecto-contagiosas, hormônios, drogas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lastRenderedPageBreak/>
        <w:t>terapêuticas e marcadores tumorais)</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2.4. Exames toxicológicos (urina e queratina)</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 Microbiologia (bacteriologia, micologia e parasitologia)</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2.5.1. Secreções - deverão ter seu resultado entregue em até 48 horas (até 72 horas caso na leitura de 48hs identifique-se crescimento inicial de algum microrganismo potencialmente fastidioso, se houver necessidade de repique por crescimento misto ou de encaminhamento de material para identificação por automação); Os resultados de bacterioscopia (coloração de Gram) resultados deverão ser liberados em menos de duas horas para exames oriundos de emergência ou de unidade de terapia intensiva (UTI).</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2.5.2. Urocultura - a liberação deverá ser overnight, exceto se houver necessidade de realização de antibiograma complementar. Amostras oriundas de pacientes internados deverão ser automaticamente testadas para suscetibilidade aos antimicrobianos de maior espectro e de uso hospitalar;</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2.5.3. Ponta de cateter - Será admitida a realização de técnica semiquantitativa de rolagem em</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placa (Maki). O resultado deverá ser disponibilizado em até 48hs;</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2.5.4. Hemoculturas – O laboratório disponibilizar frascos aeróbios e anaeróbios. Resultados positivos deverão ser submetidos à subcultivo tão rápido quanto possível. Resultados deverão ser liberados como negativos se não ocorrer crescimento após 5 dias de incubação 2.5.5. O documento mais recente do CLSI (Clinical Laboratory Standards Institute) deverá ser seguido. Além disso, deverão ser realizados os testes específicos definidos como obrigatórios pela Comissão de Controle de Infecção Hospitalar (CCIH) do Município de Porto Alegre.</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2.5.6. A testagem de suscetibilidade do S.aureus à Vancomicina em todos os isolados de MRSA deverá ser realizada por microdiluiçao ou e-test;</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2.5.7. A suscetibilidade à Clindamicina por parte de isolados de S.aureus resistentes à Eritromicina deverá ser confirmada através da realização do teste D;</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2.5.8. A suscetibilidade de isolados de S.aureus à Rifampicina deverá ser confirmada em todos os casos de MRSA;</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2.5.9. Isolados de Enterococcus spp deverão ser testados em relação à suscetibilidade à Ampicilina, à Penicilina, à Vancomicina, àLinezolida e a concentrações elevadas de Gentamicina. Em caso de resistência a concentrações elevadas de Gentamicina, deverá se testar suscetibilidade a concentrações elevadas de Streptomicina para todos os isolados de corrente sanguínea;</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2.5.10. Rastreamento para a presença de B-lactamases de espectro estendido (ESBL) deverá ser realizado em todos os isolados de E.coli, Klebsiella pneumoniae e Proteus mirabilis através da testagem de Ceftazidima, Ceftriaxona e Cefotaxima; Os isolados positivos no rastreamento para ESBL deverão ser submetidos à confirmação através de técnica fenotípica de sinergismo com ácido clavulânico;</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2.5.11. Isolados de quaisquer enterobactérias que apresentem suscetibilidade reduzida a qualquer carbapenêmico deverão ser submetidos a testagem para presença de carbapenemases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por qualquer método aprovado (fenotípico ou genotípico)</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 xml:space="preserve">2.5.12. À exceção da Pseudomonas aeruginosa, todos os demais bacilos </w:t>
      </w:r>
      <w:r w:rsidR="00137692" w:rsidRPr="00A07027">
        <w:rPr>
          <w:rFonts w:ascii="Arial" w:hAnsi="Arial" w:cs="Arial"/>
          <w:sz w:val="24"/>
          <w:szCs w:val="24"/>
        </w:rPr>
        <w:lastRenderedPageBreak/>
        <w:t>Gram negativos não fermentadores (BGNNF) deverão ser identificados em nível de espécie.</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2.5.13. Isolados de Pseudomonas aeruginosa deverão ter sua suscetibilidade à Polimixina B confirmada por técnica de discodifusão.</w:t>
      </w: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137692" w:rsidRPr="00A07027">
        <w:rPr>
          <w:rFonts w:ascii="Arial" w:hAnsi="Arial" w:cs="Arial"/>
          <w:sz w:val="24"/>
          <w:szCs w:val="24"/>
        </w:rPr>
        <w:t>2.5.14. Isolados de Acinetobacter baumannii deve se fazer a determinação quantitativa (microdiluição ou E-test).</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 xml:space="preserve">3.3. </w:t>
      </w:r>
      <w:r w:rsidR="00137692" w:rsidRPr="00A07027">
        <w:rPr>
          <w:rFonts w:ascii="Arial" w:hAnsi="Arial" w:cs="Arial"/>
          <w:sz w:val="24"/>
          <w:szCs w:val="24"/>
        </w:rPr>
        <w:t>Urinálise.</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3.</w:t>
      </w:r>
      <w:r w:rsidR="00152D0E">
        <w:rPr>
          <w:rFonts w:ascii="Arial" w:hAnsi="Arial" w:cs="Arial"/>
          <w:sz w:val="24"/>
          <w:szCs w:val="24"/>
        </w:rPr>
        <w:t>3.1.</w:t>
      </w:r>
      <w:r w:rsidRPr="00A07027">
        <w:rPr>
          <w:rFonts w:ascii="Arial" w:hAnsi="Arial" w:cs="Arial"/>
          <w:sz w:val="24"/>
          <w:szCs w:val="24"/>
        </w:rPr>
        <w:t xml:space="preserve"> Deverão ser realizados nas dependências do HBMPA no mínimo os seguintes exames: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Glicose</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Colesterol</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Triglicerideos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Potássio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Sódio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Cloro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CO2 total (reserva alcalina)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Transaminase pirúvica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Transaminase oxalacética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Amilase</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Creatino quinase total (CPK)</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CK-MB</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Bilirrubinas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Uréia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Creatinina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Gasometria arterial</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Hemograma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Contagem de Plaquetas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Exame qualitativo de urina (exame químico + sedimento)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Tempo de Protrombina (TP)</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Tempo de Tromboplastina parcial Ativado (ATTP)</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Troponina T Proteína C Reativa</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3.2</w:t>
      </w:r>
      <w:r w:rsidR="00137692" w:rsidRPr="00A07027">
        <w:rPr>
          <w:rFonts w:ascii="Arial" w:hAnsi="Arial" w:cs="Arial"/>
          <w:sz w:val="24"/>
          <w:szCs w:val="24"/>
        </w:rPr>
        <w:t>. Os exames caracterizados como urgência serão realizados no HBM/PA e terão um prazo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máximo de entrega dos resultados de 1 (uma) hora. Os exames considerados urgentes são: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Glicose</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Potássio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Sódio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Cloro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CO2 total (reserva alcalina)</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Transaminase pirúvica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Transaminase oxalacética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Amilase Creatino quinase total (CPK)</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CK-MB</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Bilirrubinas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Uréia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lastRenderedPageBreak/>
        <w:t>Creatinina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Gasometria arterial</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Hemograma</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Contagem de Plaquetas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Exame qualitativo de urina (exame químico + sedimento)</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Tempo de Protrombina (TP)</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Tempo de Tromboplastina parcial Ativado (ATTP)</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Troponina T Proteína C Reativa</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sidR="00137692" w:rsidRPr="00A07027">
        <w:rPr>
          <w:rFonts w:ascii="Arial" w:hAnsi="Arial" w:cs="Arial"/>
          <w:sz w:val="24"/>
          <w:szCs w:val="24"/>
        </w:rPr>
        <w:t>.</w:t>
      </w:r>
      <w:r w:rsidR="000E6525">
        <w:rPr>
          <w:rFonts w:ascii="Arial" w:hAnsi="Arial" w:cs="Arial"/>
          <w:sz w:val="24"/>
          <w:szCs w:val="24"/>
        </w:rPr>
        <w:t>3.</w:t>
      </w:r>
      <w:r w:rsidR="00137692" w:rsidRPr="00A07027">
        <w:rPr>
          <w:rFonts w:ascii="Arial" w:hAnsi="Arial" w:cs="Arial"/>
          <w:sz w:val="24"/>
          <w:szCs w:val="24"/>
        </w:rPr>
        <w:t xml:space="preserve"> Para os serviços descritos acima a PERMISSIONÁRIA deverá fornecer equipamentos, materiais e funcionários necessários, bem como efetuar a manutenção predial e outras melhorias que se fizerem necessárias para o pleno funcionamento dos serviços.</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Pr>
          <w:rFonts w:ascii="Arial" w:hAnsi="Arial" w:cs="Arial"/>
          <w:sz w:val="24"/>
          <w:szCs w:val="24"/>
        </w:rPr>
        <w:t>.</w:t>
      </w:r>
      <w:r w:rsidR="000E6525">
        <w:rPr>
          <w:rFonts w:ascii="Arial" w:hAnsi="Arial" w:cs="Arial"/>
          <w:sz w:val="24"/>
          <w:szCs w:val="24"/>
        </w:rPr>
        <w:t>4</w:t>
      </w:r>
      <w:r w:rsidR="00137692" w:rsidRPr="00A07027">
        <w:rPr>
          <w:rFonts w:ascii="Arial" w:hAnsi="Arial" w:cs="Arial"/>
          <w:sz w:val="24"/>
          <w:szCs w:val="24"/>
        </w:rPr>
        <w:t>. A PERMISSIONÁRIA deverá ser responsável pelo uso e manutenção dos equipamentos que</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venha a instalar nas dependências cedidas para a execução dos serviços.</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Pr>
          <w:rFonts w:ascii="Arial" w:hAnsi="Arial" w:cs="Arial"/>
          <w:sz w:val="24"/>
          <w:szCs w:val="24"/>
        </w:rPr>
        <w:t>.</w:t>
      </w:r>
      <w:r w:rsidR="000E6525">
        <w:rPr>
          <w:rFonts w:ascii="Arial" w:hAnsi="Arial" w:cs="Arial"/>
          <w:sz w:val="24"/>
          <w:szCs w:val="24"/>
        </w:rPr>
        <w:t>5</w:t>
      </w:r>
      <w:r w:rsidR="00137692" w:rsidRPr="00A07027">
        <w:rPr>
          <w:rFonts w:ascii="Arial" w:hAnsi="Arial" w:cs="Arial"/>
          <w:sz w:val="24"/>
          <w:szCs w:val="24"/>
        </w:rPr>
        <w:t>. A PERMISSIONARIA terá a responsabilidade exclusiva e total sobre seus funcionários com referência aos encargos sociais, fiscais, trabalhistas, tributários, previdenciários e outros decorrentes da execução do presente contrato, ficando vedada a utilização de funcionários com vínculo empregatício com o Estado do Rio Grande do Sul, através da Brigada militar.</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Pr>
          <w:rFonts w:ascii="Arial" w:hAnsi="Arial" w:cs="Arial"/>
          <w:sz w:val="24"/>
          <w:szCs w:val="24"/>
        </w:rPr>
        <w:t>.</w:t>
      </w:r>
      <w:r w:rsidR="000E6525">
        <w:rPr>
          <w:rFonts w:ascii="Arial" w:hAnsi="Arial" w:cs="Arial"/>
          <w:sz w:val="24"/>
          <w:szCs w:val="24"/>
        </w:rPr>
        <w:t>6</w:t>
      </w:r>
      <w:r w:rsidR="00137692" w:rsidRPr="00A07027">
        <w:rPr>
          <w:rFonts w:ascii="Arial" w:hAnsi="Arial" w:cs="Arial"/>
          <w:sz w:val="24"/>
          <w:szCs w:val="24"/>
        </w:rPr>
        <w:t>. Caberá a PREMISSIONÁRIA a emissão de notas de débito e fatura contra o IPERGS – Instituto de Previdência do Estado do Rio Grande do Sul, para pacientes particulares e demais convênios que porventura sejam atendidos no HBM/PA.</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3.7</w:t>
      </w:r>
      <w:r w:rsidR="00137692" w:rsidRPr="00A07027">
        <w:rPr>
          <w:rFonts w:ascii="Arial" w:hAnsi="Arial" w:cs="Arial"/>
          <w:sz w:val="24"/>
          <w:szCs w:val="24"/>
        </w:rPr>
        <w:t xml:space="preserve">. Os profissionais responsáveis pela realização dos exames deverão ter experiência comprovada de no mínimo </w:t>
      </w:r>
      <w:r w:rsidR="004D47A8">
        <w:rPr>
          <w:rFonts w:ascii="Arial" w:hAnsi="Arial" w:cs="Arial"/>
          <w:sz w:val="24"/>
          <w:szCs w:val="24"/>
        </w:rPr>
        <w:t xml:space="preserve">seis meses </w:t>
      </w:r>
      <w:r w:rsidR="00137692" w:rsidRPr="00A07027">
        <w:rPr>
          <w:rFonts w:ascii="Arial" w:hAnsi="Arial" w:cs="Arial"/>
          <w:sz w:val="24"/>
          <w:szCs w:val="24"/>
        </w:rPr>
        <w:t>no exercício do objeto do contrato.</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3.8</w:t>
      </w:r>
      <w:r w:rsidR="00137692" w:rsidRPr="00A07027">
        <w:rPr>
          <w:rFonts w:ascii="Arial" w:hAnsi="Arial" w:cs="Arial"/>
          <w:sz w:val="24"/>
          <w:szCs w:val="24"/>
        </w:rPr>
        <w:t>. O horário de prestação do Serviço de Análises Clínicas será das 07:00 às 19:00 e das 19:00 às 07: 00, diariamente incluindo fins-de-semana e feriados.</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3.9.</w:t>
      </w:r>
      <w:r w:rsidR="00137692" w:rsidRPr="00A07027">
        <w:rPr>
          <w:rFonts w:ascii="Arial" w:hAnsi="Arial" w:cs="Arial"/>
          <w:sz w:val="24"/>
          <w:szCs w:val="24"/>
        </w:rPr>
        <w:t>. Nos fins-de-semana, feriados e à noite o serviço poderá funcionar em regime de sobreaviso, para a realização de exames de urgência, mediante chamada, sendo que o tempo de resposta e comparecimento ao HBM/PA não poderá ser superior a 01 (uma) hora.</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Pr>
          <w:rFonts w:ascii="Arial" w:hAnsi="Arial" w:cs="Arial"/>
          <w:sz w:val="24"/>
          <w:szCs w:val="24"/>
        </w:rPr>
        <w:t>.</w:t>
      </w:r>
      <w:r w:rsidR="00137692" w:rsidRPr="00A07027">
        <w:rPr>
          <w:rFonts w:ascii="Arial" w:hAnsi="Arial" w:cs="Arial"/>
          <w:sz w:val="24"/>
          <w:szCs w:val="24"/>
        </w:rPr>
        <w:t>1</w:t>
      </w:r>
      <w:r w:rsidR="000E6525">
        <w:rPr>
          <w:rFonts w:ascii="Arial" w:hAnsi="Arial" w:cs="Arial"/>
          <w:sz w:val="24"/>
          <w:szCs w:val="24"/>
        </w:rPr>
        <w:t>0</w:t>
      </w:r>
      <w:r w:rsidR="00137692" w:rsidRPr="00A07027">
        <w:rPr>
          <w:rFonts w:ascii="Arial" w:hAnsi="Arial" w:cs="Arial"/>
          <w:sz w:val="24"/>
          <w:szCs w:val="24"/>
        </w:rPr>
        <w:t>. Os equipamentos de proteção individual e coletiva deverão ser fornecidos pela PERMISSIONÁRIA aos seus funcionários, bem como a exigência e fiscalização de seu correto uso e o controle da saúde ocupacional, inclusive com exames periódicos.</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Pr>
          <w:rFonts w:ascii="Arial" w:hAnsi="Arial" w:cs="Arial"/>
          <w:sz w:val="24"/>
          <w:szCs w:val="24"/>
        </w:rPr>
        <w:t>.1</w:t>
      </w:r>
      <w:r w:rsidR="000E6525">
        <w:rPr>
          <w:rFonts w:ascii="Arial" w:hAnsi="Arial" w:cs="Arial"/>
          <w:sz w:val="24"/>
          <w:szCs w:val="24"/>
        </w:rPr>
        <w:t>1</w:t>
      </w:r>
      <w:r w:rsidR="00137692" w:rsidRPr="00A07027">
        <w:rPr>
          <w:rFonts w:ascii="Arial" w:hAnsi="Arial" w:cs="Arial"/>
          <w:sz w:val="24"/>
          <w:szCs w:val="24"/>
        </w:rPr>
        <w:t>. Os equipamentos e serviços prestados deverão estar de acordo com as diretrizes estabelecidas pela RDC N.º 302 DE 13/10/2005 – Regulamento Técnico para Funcionamento de Laboratórios Clínicos.</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Pr>
          <w:rFonts w:ascii="Arial" w:hAnsi="Arial" w:cs="Arial"/>
          <w:sz w:val="24"/>
          <w:szCs w:val="24"/>
        </w:rPr>
        <w:t>.</w:t>
      </w:r>
      <w:r w:rsidR="00137692" w:rsidRPr="00A07027">
        <w:rPr>
          <w:rFonts w:ascii="Arial" w:hAnsi="Arial" w:cs="Arial"/>
          <w:sz w:val="24"/>
          <w:szCs w:val="24"/>
        </w:rPr>
        <w:t>1</w:t>
      </w:r>
      <w:r w:rsidR="000E6525">
        <w:rPr>
          <w:rFonts w:ascii="Arial" w:hAnsi="Arial" w:cs="Arial"/>
          <w:sz w:val="24"/>
          <w:szCs w:val="24"/>
        </w:rPr>
        <w:t>2</w:t>
      </w:r>
      <w:r w:rsidR="00137692" w:rsidRPr="00A07027">
        <w:rPr>
          <w:rFonts w:ascii="Arial" w:hAnsi="Arial" w:cs="Arial"/>
          <w:sz w:val="24"/>
          <w:szCs w:val="24"/>
        </w:rPr>
        <w:t>. Os Servidores Militares e seus dependentes diretos serão atendidos mediante apresentação de Identificação funcional e cartão do IPE.</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52D0E" w:rsidP="00137692">
      <w:pPr>
        <w:tabs>
          <w:tab w:val="left" w:pos="686"/>
        </w:tabs>
        <w:spacing w:line="244" w:lineRule="auto"/>
        <w:ind w:left="368" w:right="106"/>
        <w:jc w:val="both"/>
        <w:rPr>
          <w:rFonts w:ascii="Arial" w:hAnsi="Arial" w:cs="Arial"/>
          <w:sz w:val="24"/>
          <w:szCs w:val="24"/>
        </w:rPr>
      </w:pPr>
      <w:r>
        <w:rPr>
          <w:rFonts w:ascii="Arial" w:hAnsi="Arial" w:cs="Arial"/>
          <w:sz w:val="24"/>
          <w:szCs w:val="24"/>
        </w:rPr>
        <w:t>3.</w:t>
      </w:r>
      <w:r w:rsidR="000E6525">
        <w:rPr>
          <w:rFonts w:ascii="Arial" w:hAnsi="Arial" w:cs="Arial"/>
          <w:sz w:val="24"/>
          <w:szCs w:val="24"/>
        </w:rPr>
        <w:t>3</w:t>
      </w:r>
      <w:r>
        <w:rPr>
          <w:rFonts w:ascii="Arial" w:hAnsi="Arial" w:cs="Arial"/>
          <w:sz w:val="24"/>
          <w:szCs w:val="24"/>
        </w:rPr>
        <w:t>.</w:t>
      </w:r>
      <w:r w:rsidR="00137692" w:rsidRPr="00A07027">
        <w:rPr>
          <w:rFonts w:ascii="Arial" w:hAnsi="Arial" w:cs="Arial"/>
          <w:sz w:val="24"/>
          <w:szCs w:val="24"/>
        </w:rPr>
        <w:t>1</w:t>
      </w:r>
      <w:r w:rsidR="000E6525">
        <w:rPr>
          <w:rFonts w:ascii="Arial" w:hAnsi="Arial" w:cs="Arial"/>
          <w:sz w:val="24"/>
          <w:szCs w:val="24"/>
        </w:rPr>
        <w:t>3</w:t>
      </w:r>
      <w:r w:rsidR="00137692" w:rsidRPr="00A07027">
        <w:rPr>
          <w:rFonts w:ascii="Arial" w:hAnsi="Arial" w:cs="Arial"/>
          <w:sz w:val="24"/>
          <w:szCs w:val="24"/>
        </w:rPr>
        <w:t>. A cobrança do fator moderador pela empresa Permissionária ocorrera de acordo com as</w:t>
      </w: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sz w:val="24"/>
          <w:szCs w:val="24"/>
        </w:rPr>
        <w:t>listagens abaixo:</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b/>
          <w:sz w:val="24"/>
          <w:szCs w:val="24"/>
        </w:rPr>
        <w:t>Lista I</w:t>
      </w:r>
      <w:r w:rsidRPr="00A07027">
        <w:rPr>
          <w:rFonts w:ascii="Arial" w:hAnsi="Arial" w:cs="Arial"/>
          <w:sz w:val="24"/>
          <w:szCs w:val="24"/>
        </w:rPr>
        <w:t xml:space="preserve"> – Exames com 100% de isenção na cobrança do fator moderador Acido folico, Acido urico, Albumina, Amilase, Anti-O, BACTERIOL[OGICO, Bacterioscópico, Bilirrubinas, Calcio, Calcio ionico, Capacidade de ligação do ferro, CPK, Cloro, Colesterol, HDL, Colesterol LDL, Colesterol total, Coprocultura, Creatinina, C K M B , Curva glicemica, DHL (desidrogenase latica), E Q U, Espermograma, Fator antinuclear (FAN), Fator Reumatóide, Fator Rh, Ferritina, Ferro, Fibrinogenio, Fosfatase alcalina, Fosforo, FTA-ABS IgG, Gama G, Gasometria, Glicose, Glicose pós-prandial, Grupo sanguineo, Hemoglobina Glicada, Hemograma, KTTP, Leucócitos fecais, Lipase, Lipidios totais, Litio, Magnésio, Microalbuminuria, Parasitologico de fezes, Pesquisa de BAAR, Pesquisa de hemacias dismorficas, Plaquetas, Potássio, Proteina C reativa, Proteinas totais, Reserva alcalina – CO2, Retioculocitos, Sangue oculto, Sodio, TGO (Transaminase oxalacetica), TGP (Transaminase piruvica), Tempo de Protrombina, Triglicerideos, Uréia, Urocultura, VDRL, VSG e Waaler Rose.</w:t>
      </w:r>
    </w:p>
    <w:p w:rsidR="00137692" w:rsidRPr="00A07027" w:rsidRDefault="00137692" w:rsidP="00137692">
      <w:pPr>
        <w:tabs>
          <w:tab w:val="left" w:pos="686"/>
        </w:tabs>
        <w:spacing w:line="244" w:lineRule="auto"/>
        <w:ind w:left="368" w:right="106"/>
        <w:jc w:val="both"/>
        <w:rPr>
          <w:rFonts w:ascii="Arial" w:hAnsi="Arial" w:cs="Arial"/>
          <w:sz w:val="24"/>
          <w:szCs w:val="24"/>
        </w:rPr>
      </w:pPr>
    </w:p>
    <w:p w:rsidR="00137692" w:rsidRPr="00A07027" w:rsidRDefault="00137692" w:rsidP="00137692">
      <w:pPr>
        <w:tabs>
          <w:tab w:val="left" w:pos="686"/>
        </w:tabs>
        <w:spacing w:line="244" w:lineRule="auto"/>
        <w:ind w:left="368" w:right="106"/>
        <w:jc w:val="both"/>
        <w:rPr>
          <w:rFonts w:ascii="Arial" w:hAnsi="Arial" w:cs="Arial"/>
          <w:sz w:val="24"/>
          <w:szCs w:val="24"/>
        </w:rPr>
      </w:pPr>
      <w:r w:rsidRPr="00A07027">
        <w:rPr>
          <w:rFonts w:ascii="Arial" w:hAnsi="Arial" w:cs="Arial"/>
          <w:b/>
          <w:sz w:val="24"/>
          <w:szCs w:val="24"/>
        </w:rPr>
        <w:t>Lista II</w:t>
      </w:r>
      <w:r w:rsidRPr="00A07027">
        <w:rPr>
          <w:rFonts w:ascii="Arial" w:hAnsi="Arial" w:cs="Arial"/>
          <w:sz w:val="24"/>
          <w:szCs w:val="24"/>
        </w:rPr>
        <w:t xml:space="preserve"> – Exames com 50% de desconto na cobrança do fator moderador 17-Alfa hidroxo Progesterona, Ac anti-tranglutaminase tissular IgA, Acido latico, Acido valproico, Alfafetoproteina, Anti-TPO, Anti-Hbs, Anti HCV, CA125, CA 19-9, CEA, Chagas IgG/IgM, Chlamydia IgG/IgM, Citomegalovírus IG/IgM, Citológico de liquidos, Citopatologico, Complemento C3, Complemento C4, cortisol, Curva lactose 5 dosagens, D-Dimero, DHEA, SDHEA, DHT, Digoxina, Eletroforese de hemoglobinas, Eletrofose de proteinas, Estradiol, FSH, Gliadina IgG, HBC IgM, HBC total, HbsAg, Hemocultura, Herpes IgG/IgM, HIV PCR, HIV1/2, HLA B27 – PCR, Homocisteinas, HGH, IgA, IgE, IgG, IgM, Insulina, Linfócitos CD4, Linfocitos CD8, Micologico -cultura, Micologico direto, Pool de Prolactina, Progesterona, Prolactina, Proteina C reativa ultrassensível, PSA livre, PSA total, PTH, Rubéola IgG/IgM, T3, T3 livre, T4, T4 livre, Testosterona livre, Testosterona total, Toxoplasmose IgG/IgM, Troponina, TSH ultrasensível, Vitamina A, Vitamina B1, Vitamina B12, Vitamina B6, Vitamina C, Vitamina D, Vitamina E, Zinco sérico.</w:t>
      </w:r>
    </w:p>
    <w:p w:rsidR="000A4F31" w:rsidRPr="00A07027" w:rsidRDefault="000A4F31">
      <w:pPr>
        <w:pStyle w:val="Corpodetexto"/>
        <w:spacing w:before="8"/>
        <w:ind w:left="0"/>
        <w:jc w:val="left"/>
        <w:rPr>
          <w:rFonts w:ascii="Arial" w:hAnsi="Arial" w:cs="Arial"/>
          <w:sz w:val="24"/>
          <w:szCs w:val="24"/>
        </w:rPr>
      </w:pPr>
    </w:p>
    <w:p w:rsidR="004D20F6" w:rsidRPr="00A07027" w:rsidRDefault="004D20F6">
      <w:pPr>
        <w:pStyle w:val="Corpodetexto"/>
        <w:ind w:left="0"/>
        <w:jc w:val="left"/>
        <w:rPr>
          <w:rFonts w:ascii="Arial" w:hAnsi="Arial" w:cs="Arial"/>
          <w:sz w:val="24"/>
          <w:szCs w:val="24"/>
        </w:rPr>
      </w:pPr>
    </w:p>
    <w:p w:rsidR="00152D0E" w:rsidRDefault="00152D0E" w:rsidP="00DA0BAE">
      <w:pPr>
        <w:tabs>
          <w:tab w:val="left" w:pos="8187"/>
        </w:tabs>
        <w:spacing w:line="360" w:lineRule="auto"/>
        <w:ind w:left="368"/>
        <w:jc w:val="both"/>
        <w:rPr>
          <w:rFonts w:ascii="Arial" w:hAnsi="Arial" w:cs="Arial"/>
          <w:sz w:val="24"/>
          <w:szCs w:val="24"/>
        </w:rPr>
      </w:pPr>
      <w:r>
        <w:rPr>
          <w:rFonts w:ascii="Arial" w:hAnsi="Arial" w:cs="Arial"/>
          <w:sz w:val="24"/>
          <w:szCs w:val="24"/>
        </w:rPr>
        <w:t>4</w:t>
      </w:r>
      <w:r w:rsidRPr="00152D0E">
        <w:rPr>
          <w:rFonts w:ascii="Arial" w:hAnsi="Arial" w:cs="Arial"/>
          <w:b/>
          <w:sz w:val="24"/>
          <w:szCs w:val="24"/>
        </w:rPr>
        <w:t>. Condições gerais</w:t>
      </w:r>
    </w:p>
    <w:p w:rsidR="00DA0BAE" w:rsidRPr="00DA0BAE" w:rsidRDefault="00152D0E" w:rsidP="00DA0BAE">
      <w:pPr>
        <w:tabs>
          <w:tab w:val="left" w:pos="8187"/>
        </w:tabs>
        <w:spacing w:line="360" w:lineRule="auto"/>
        <w:ind w:left="368"/>
        <w:jc w:val="both"/>
        <w:rPr>
          <w:rFonts w:ascii="Arial" w:hAnsi="Arial" w:cs="Arial"/>
          <w:sz w:val="24"/>
          <w:szCs w:val="24"/>
        </w:rPr>
      </w:pPr>
      <w:r>
        <w:rPr>
          <w:rFonts w:ascii="Arial" w:hAnsi="Arial" w:cs="Arial"/>
          <w:sz w:val="24"/>
          <w:szCs w:val="24"/>
        </w:rPr>
        <w:t xml:space="preserve">4.1. </w:t>
      </w:r>
      <w:r w:rsidR="00DA0BAE">
        <w:rPr>
          <w:rFonts w:ascii="Arial" w:hAnsi="Arial" w:cs="Arial"/>
          <w:sz w:val="24"/>
          <w:szCs w:val="24"/>
        </w:rPr>
        <w:t xml:space="preserve">Os pagamentos deverão ocorrer </w:t>
      </w:r>
      <w:r w:rsidR="00DA0BAE" w:rsidRPr="00DA0BAE">
        <w:rPr>
          <w:rFonts w:ascii="Arial" w:hAnsi="Arial" w:cs="Arial"/>
          <w:sz w:val="24"/>
          <w:szCs w:val="24"/>
        </w:rPr>
        <w:t xml:space="preserve">até o 5º dia útil do </w:t>
      </w:r>
      <w:r w:rsidR="00DA0BAE">
        <w:rPr>
          <w:rFonts w:ascii="Arial" w:hAnsi="Arial" w:cs="Arial"/>
          <w:sz w:val="24"/>
          <w:szCs w:val="24"/>
        </w:rPr>
        <w:t>m</w:t>
      </w:r>
      <w:r w:rsidR="00DA0BAE" w:rsidRPr="00DA0BAE">
        <w:rPr>
          <w:rFonts w:ascii="Arial" w:hAnsi="Arial" w:cs="Arial"/>
          <w:sz w:val="24"/>
          <w:szCs w:val="24"/>
        </w:rPr>
        <w:t>ês subsequente ao vencimento, através de Guia de Arrecadação - GA, cujo código e 219, sendo que deverá ser enviada cópia da GA ao preposto do contrato.</w:t>
      </w:r>
    </w:p>
    <w:p w:rsidR="00DA0BAE" w:rsidRPr="00DA0BAE" w:rsidRDefault="00DA0BAE" w:rsidP="00DA0BAE">
      <w:pPr>
        <w:tabs>
          <w:tab w:val="left" w:pos="8187"/>
        </w:tabs>
        <w:spacing w:line="360" w:lineRule="auto"/>
        <w:ind w:left="368"/>
        <w:jc w:val="both"/>
        <w:rPr>
          <w:rFonts w:ascii="Arial" w:hAnsi="Arial" w:cs="Arial"/>
          <w:sz w:val="24"/>
          <w:szCs w:val="24"/>
        </w:rPr>
      </w:pPr>
      <w:r w:rsidRPr="00DA0BAE">
        <w:rPr>
          <w:rFonts w:ascii="Arial" w:hAnsi="Arial" w:cs="Arial"/>
          <w:sz w:val="24"/>
          <w:szCs w:val="24"/>
        </w:rPr>
        <w:t xml:space="preserve">O valor a ser pago pela utilização da área concedida será de no mínimo R$ </w:t>
      </w:r>
      <w:r w:rsidRPr="00DA0BAE">
        <w:rPr>
          <w:rFonts w:ascii="Arial" w:hAnsi="Arial" w:cs="Arial"/>
          <w:sz w:val="24"/>
          <w:szCs w:val="24"/>
        </w:rPr>
        <w:lastRenderedPageBreak/>
        <w:t>53.550,00 por ano.</w:t>
      </w:r>
    </w:p>
    <w:p w:rsidR="00492769" w:rsidRDefault="00DA0BAE" w:rsidP="00DA0BAE">
      <w:pPr>
        <w:tabs>
          <w:tab w:val="left" w:pos="8187"/>
        </w:tabs>
        <w:spacing w:line="360" w:lineRule="auto"/>
        <w:ind w:left="368"/>
        <w:jc w:val="both"/>
        <w:rPr>
          <w:rFonts w:ascii="Arial" w:hAnsi="Arial" w:cs="Arial"/>
          <w:sz w:val="24"/>
          <w:szCs w:val="24"/>
        </w:rPr>
      </w:pPr>
      <w:r w:rsidRPr="00DA0BAE">
        <w:rPr>
          <w:rFonts w:ascii="Arial" w:hAnsi="Arial" w:cs="Arial"/>
          <w:sz w:val="24"/>
          <w:szCs w:val="24"/>
        </w:rPr>
        <w:t xml:space="preserve">O valor da taxa de ressarcimento de água, esgoto, coleta de lixo, energia elétrica e outras taxas, será determinado </w:t>
      </w:r>
      <w:r w:rsidR="00492769">
        <w:rPr>
          <w:rFonts w:ascii="Arial" w:hAnsi="Arial" w:cs="Arial"/>
          <w:sz w:val="24"/>
          <w:szCs w:val="24"/>
        </w:rPr>
        <w:t xml:space="preserve">por meio dos seguintes parâmetros: </w:t>
      </w:r>
      <w:r w:rsidRPr="00DA0BAE">
        <w:rPr>
          <w:rFonts w:ascii="Arial" w:hAnsi="Arial" w:cs="Arial"/>
          <w:sz w:val="24"/>
          <w:szCs w:val="24"/>
        </w:rPr>
        <w:t xml:space="preserve"> </w:t>
      </w:r>
    </w:p>
    <w:p w:rsidR="00492769" w:rsidRDefault="00492769" w:rsidP="00DA0BAE">
      <w:pPr>
        <w:tabs>
          <w:tab w:val="left" w:pos="8187"/>
        </w:tabs>
        <w:spacing w:line="360" w:lineRule="auto"/>
        <w:ind w:left="368"/>
        <w:jc w:val="both"/>
        <w:rPr>
          <w:rFonts w:ascii="Arial" w:hAnsi="Arial" w:cs="Arial"/>
          <w:sz w:val="24"/>
          <w:szCs w:val="24"/>
        </w:rPr>
      </w:pPr>
    </w:p>
    <w:p w:rsidR="00492769" w:rsidRDefault="000719AE" w:rsidP="00DA0BAE">
      <w:pPr>
        <w:tabs>
          <w:tab w:val="left" w:pos="8187"/>
        </w:tabs>
        <w:spacing w:line="360" w:lineRule="auto"/>
        <w:ind w:left="368"/>
        <w:jc w:val="both"/>
        <w:rPr>
          <w:rFonts w:ascii="Arial" w:hAnsi="Arial" w:cs="Arial"/>
          <w:sz w:val="24"/>
          <w:szCs w:val="24"/>
        </w:rPr>
      </w:pPr>
      <w:r>
        <w:rPr>
          <w:rFonts w:ascii="Arial" w:hAnsi="Arial" w:cs="Arial"/>
          <w:noProof/>
          <w:sz w:val="24"/>
          <w:szCs w:val="24"/>
          <w:lang w:val="pt-BR" w:eastAsia="pt-BR"/>
        </w:rPr>
        <w:drawing>
          <wp:inline distT="0" distB="0" distL="0" distR="0">
            <wp:extent cx="5286123" cy="2170706"/>
            <wp:effectExtent l="57150" t="38100" r="28827" b="20044"/>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286418" cy="2170827"/>
                    </a:xfrm>
                    <a:prstGeom prst="rect">
                      <a:avLst/>
                    </a:prstGeom>
                    <a:noFill/>
                    <a:ln w="38100">
                      <a:solidFill>
                        <a:schemeClr val="tx1"/>
                      </a:solidFill>
                    </a:ln>
                  </pic:spPr>
                </pic:pic>
              </a:graphicData>
            </a:graphic>
          </wp:inline>
        </w:drawing>
      </w:r>
    </w:p>
    <w:p w:rsidR="0033209B" w:rsidRDefault="0033209B" w:rsidP="0033209B">
      <w:pPr>
        <w:tabs>
          <w:tab w:val="left" w:pos="8187"/>
        </w:tabs>
        <w:spacing w:line="360" w:lineRule="auto"/>
        <w:ind w:left="368"/>
        <w:jc w:val="both"/>
        <w:rPr>
          <w:rFonts w:ascii="Arial" w:hAnsi="Arial" w:cs="Arial"/>
          <w:sz w:val="24"/>
          <w:szCs w:val="24"/>
        </w:rPr>
      </w:pPr>
    </w:p>
    <w:p w:rsidR="00152D0E" w:rsidRPr="00A07027" w:rsidRDefault="00152D0E" w:rsidP="00152D0E">
      <w:pPr>
        <w:tabs>
          <w:tab w:val="left" w:pos="8187"/>
        </w:tabs>
        <w:spacing w:line="360" w:lineRule="auto"/>
        <w:ind w:left="368"/>
        <w:jc w:val="both"/>
        <w:rPr>
          <w:rFonts w:ascii="Arial" w:hAnsi="Arial" w:cs="Arial"/>
          <w:sz w:val="24"/>
          <w:szCs w:val="24"/>
        </w:rPr>
      </w:pPr>
      <w:r>
        <w:rPr>
          <w:rFonts w:ascii="Arial" w:hAnsi="Arial" w:cs="Arial"/>
          <w:sz w:val="24"/>
          <w:szCs w:val="24"/>
        </w:rPr>
        <w:t xml:space="preserve">4.2. </w:t>
      </w:r>
      <w:r w:rsidR="0033209B">
        <w:rPr>
          <w:rFonts w:ascii="Arial" w:hAnsi="Arial" w:cs="Arial"/>
          <w:sz w:val="24"/>
          <w:szCs w:val="24"/>
        </w:rPr>
        <w:t>O Consumo de Energia Elétrica será calculado da seguinte maneira: a Contratada deverá a</w:t>
      </w:r>
      <w:r w:rsidR="0033209B" w:rsidRPr="0033209B">
        <w:rPr>
          <w:rFonts w:ascii="Arial" w:hAnsi="Arial" w:cs="Arial"/>
          <w:sz w:val="24"/>
          <w:szCs w:val="24"/>
        </w:rPr>
        <w:t>presentar relação dos aparelhos/equipamentos elétricos que forem</w:t>
      </w:r>
      <w:r w:rsidR="0033209B">
        <w:rPr>
          <w:rFonts w:ascii="Arial" w:hAnsi="Arial" w:cs="Arial"/>
          <w:sz w:val="24"/>
          <w:szCs w:val="24"/>
        </w:rPr>
        <w:t xml:space="preserve"> </w:t>
      </w:r>
      <w:r w:rsidR="0033209B" w:rsidRPr="0033209B">
        <w:rPr>
          <w:rFonts w:ascii="Arial" w:hAnsi="Arial" w:cs="Arial"/>
          <w:sz w:val="24"/>
          <w:szCs w:val="24"/>
        </w:rPr>
        <w:t>instalados no local, até 5 dias após o início das atividades, informando</w:t>
      </w:r>
      <w:r w:rsidR="0033209B">
        <w:rPr>
          <w:rFonts w:ascii="Arial" w:hAnsi="Arial" w:cs="Arial"/>
          <w:sz w:val="24"/>
          <w:szCs w:val="24"/>
        </w:rPr>
        <w:t xml:space="preserve"> </w:t>
      </w:r>
      <w:r w:rsidR="0033209B" w:rsidRPr="0033209B">
        <w:rPr>
          <w:rFonts w:ascii="Arial" w:hAnsi="Arial" w:cs="Arial"/>
          <w:sz w:val="24"/>
          <w:szCs w:val="24"/>
        </w:rPr>
        <w:t>quantidades, potência (w) de consumo de cada um e tempo de uso diário, tendo</w:t>
      </w:r>
      <w:r w:rsidR="0033209B">
        <w:rPr>
          <w:rFonts w:ascii="Arial" w:hAnsi="Arial" w:cs="Arial"/>
          <w:sz w:val="24"/>
          <w:szCs w:val="24"/>
        </w:rPr>
        <w:t xml:space="preserve"> </w:t>
      </w:r>
      <w:r w:rsidR="0033209B" w:rsidRPr="0033209B">
        <w:rPr>
          <w:rFonts w:ascii="Arial" w:hAnsi="Arial" w:cs="Arial"/>
          <w:sz w:val="24"/>
          <w:szCs w:val="24"/>
        </w:rPr>
        <w:t>em vista o cálculo do consumo de energia elétrica mensal, com o fim de</w:t>
      </w:r>
      <w:r w:rsidR="0033209B">
        <w:rPr>
          <w:rFonts w:ascii="Arial" w:hAnsi="Arial" w:cs="Arial"/>
          <w:sz w:val="24"/>
          <w:szCs w:val="24"/>
        </w:rPr>
        <w:t xml:space="preserve"> </w:t>
      </w:r>
      <w:r w:rsidR="0033209B" w:rsidRPr="0033209B">
        <w:rPr>
          <w:rFonts w:ascii="Arial" w:hAnsi="Arial" w:cs="Arial"/>
          <w:sz w:val="24"/>
          <w:szCs w:val="24"/>
        </w:rPr>
        <w:t>ressarcimento do valor respectivo, ou providenciar instalação de relógio próprio</w:t>
      </w:r>
      <w:r w:rsidR="0033209B">
        <w:rPr>
          <w:rFonts w:ascii="Arial" w:hAnsi="Arial" w:cs="Arial"/>
          <w:sz w:val="24"/>
          <w:szCs w:val="24"/>
        </w:rPr>
        <w:t xml:space="preserve"> </w:t>
      </w:r>
      <w:r w:rsidR="0033209B" w:rsidRPr="0033209B">
        <w:rPr>
          <w:rFonts w:ascii="Arial" w:hAnsi="Arial" w:cs="Arial"/>
          <w:sz w:val="24"/>
          <w:szCs w:val="24"/>
        </w:rPr>
        <w:t xml:space="preserve">junto a companhia de energia elétrica; </w:t>
      </w:r>
      <w:r w:rsidR="0033209B" w:rsidRPr="0033209B">
        <w:rPr>
          <w:rFonts w:ascii="Arial" w:hAnsi="Arial" w:cs="Arial"/>
          <w:sz w:val="24"/>
          <w:szCs w:val="24"/>
        </w:rPr>
        <w:cr/>
      </w:r>
      <w:r>
        <w:rPr>
          <w:rFonts w:ascii="Arial" w:hAnsi="Arial" w:cs="Arial"/>
          <w:sz w:val="24"/>
          <w:szCs w:val="24"/>
        </w:rPr>
        <w:t xml:space="preserve">4.3. </w:t>
      </w:r>
      <w:r w:rsidRPr="00A07027">
        <w:rPr>
          <w:rFonts w:ascii="Arial" w:hAnsi="Arial" w:cs="Arial"/>
          <w:sz w:val="24"/>
          <w:szCs w:val="24"/>
        </w:rPr>
        <w:t>Aos demais servidores do estado haverá a cobrança do fator moderador.</w:t>
      </w:r>
    </w:p>
    <w:p w:rsidR="00152D0E" w:rsidRDefault="00152D0E" w:rsidP="0033209B">
      <w:pPr>
        <w:tabs>
          <w:tab w:val="left" w:pos="8187"/>
        </w:tabs>
        <w:spacing w:line="360" w:lineRule="auto"/>
        <w:ind w:left="368"/>
        <w:jc w:val="both"/>
        <w:rPr>
          <w:rFonts w:ascii="Arial" w:hAnsi="Arial" w:cs="Arial"/>
          <w:sz w:val="24"/>
          <w:szCs w:val="24"/>
        </w:rPr>
      </w:pPr>
    </w:p>
    <w:p w:rsidR="00492769" w:rsidRDefault="00492769" w:rsidP="00DA0BAE">
      <w:pPr>
        <w:tabs>
          <w:tab w:val="left" w:pos="8187"/>
        </w:tabs>
        <w:spacing w:line="360" w:lineRule="auto"/>
        <w:ind w:left="368"/>
        <w:jc w:val="both"/>
        <w:rPr>
          <w:rFonts w:ascii="Arial" w:hAnsi="Arial" w:cs="Arial"/>
          <w:sz w:val="24"/>
          <w:szCs w:val="24"/>
        </w:rPr>
      </w:pPr>
    </w:p>
    <w:p w:rsidR="00DA0BAE" w:rsidRPr="00DA0BAE" w:rsidRDefault="00DA0BAE" w:rsidP="00A07027">
      <w:pPr>
        <w:jc w:val="center"/>
        <w:rPr>
          <w:rFonts w:ascii="Arial" w:hAnsi="Arial" w:cs="Arial"/>
          <w:sz w:val="24"/>
          <w:szCs w:val="24"/>
        </w:rPr>
      </w:pPr>
    </w:p>
    <w:p w:rsidR="00A07027" w:rsidRPr="00A07027" w:rsidRDefault="00A07027" w:rsidP="00A07027">
      <w:pPr>
        <w:jc w:val="center"/>
        <w:rPr>
          <w:rFonts w:ascii="Arial" w:hAnsi="Arial" w:cs="Arial"/>
          <w:bCs/>
          <w:sz w:val="24"/>
          <w:szCs w:val="24"/>
        </w:rPr>
      </w:pPr>
      <w:r w:rsidRPr="00A07027">
        <w:rPr>
          <w:rFonts w:ascii="Arial" w:hAnsi="Arial" w:cs="Arial"/>
          <w:bCs/>
          <w:sz w:val="24"/>
          <w:szCs w:val="24"/>
        </w:rPr>
        <w:t xml:space="preserve">Porto Alegre, RS, </w:t>
      </w:r>
      <w:r w:rsidR="00EB563F">
        <w:rPr>
          <w:rFonts w:ascii="Arial" w:hAnsi="Arial" w:cs="Arial"/>
          <w:bCs/>
          <w:sz w:val="24"/>
          <w:szCs w:val="24"/>
        </w:rPr>
        <w:t>09</w:t>
      </w:r>
      <w:r w:rsidRPr="00A07027">
        <w:rPr>
          <w:rFonts w:ascii="Arial" w:hAnsi="Arial" w:cs="Arial"/>
          <w:bCs/>
          <w:sz w:val="24"/>
          <w:szCs w:val="24"/>
        </w:rPr>
        <w:t xml:space="preserve"> de </w:t>
      </w:r>
      <w:r w:rsidR="00EB563F">
        <w:rPr>
          <w:rFonts w:ascii="Arial" w:hAnsi="Arial" w:cs="Arial"/>
          <w:bCs/>
          <w:sz w:val="24"/>
          <w:szCs w:val="24"/>
        </w:rPr>
        <w:t>janeiro</w:t>
      </w:r>
      <w:r w:rsidR="00152D0E">
        <w:rPr>
          <w:rFonts w:ascii="Arial" w:hAnsi="Arial" w:cs="Arial"/>
          <w:bCs/>
          <w:sz w:val="24"/>
          <w:szCs w:val="24"/>
        </w:rPr>
        <w:t xml:space="preserve"> </w:t>
      </w:r>
      <w:r w:rsidRPr="00A07027">
        <w:rPr>
          <w:rFonts w:ascii="Arial" w:hAnsi="Arial" w:cs="Arial"/>
          <w:bCs/>
          <w:sz w:val="24"/>
          <w:szCs w:val="24"/>
        </w:rPr>
        <w:t>de 202</w:t>
      </w:r>
      <w:r w:rsidR="00EB563F">
        <w:rPr>
          <w:rFonts w:ascii="Arial" w:hAnsi="Arial" w:cs="Arial"/>
          <w:bCs/>
          <w:sz w:val="24"/>
          <w:szCs w:val="24"/>
        </w:rPr>
        <w:t>5</w:t>
      </w:r>
      <w:r w:rsidRPr="00A07027">
        <w:rPr>
          <w:rFonts w:ascii="Arial" w:hAnsi="Arial" w:cs="Arial"/>
          <w:bCs/>
          <w:sz w:val="24"/>
          <w:szCs w:val="24"/>
        </w:rPr>
        <w:t>.</w:t>
      </w:r>
    </w:p>
    <w:p w:rsidR="00A07027" w:rsidRPr="00A07027" w:rsidRDefault="00A07027" w:rsidP="00A07027">
      <w:pPr>
        <w:jc w:val="center"/>
        <w:rPr>
          <w:rFonts w:ascii="Arial" w:hAnsi="Arial" w:cs="Arial"/>
          <w:b/>
          <w:sz w:val="24"/>
          <w:szCs w:val="24"/>
        </w:rPr>
      </w:pPr>
    </w:p>
    <w:p w:rsidR="00A07027" w:rsidRPr="00A07027" w:rsidRDefault="00A07027" w:rsidP="00A07027">
      <w:pPr>
        <w:jc w:val="center"/>
        <w:rPr>
          <w:rFonts w:ascii="Arial" w:hAnsi="Arial" w:cs="Arial"/>
          <w:b/>
          <w:sz w:val="24"/>
          <w:szCs w:val="24"/>
        </w:rPr>
      </w:pPr>
    </w:p>
    <w:p w:rsidR="00A07027" w:rsidRPr="00A07027" w:rsidRDefault="00EB563F" w:rsidP="00A07027">
      <w:pPr>
        <w:jc w:val="center"/>
        <w:rPr>
          <w:rFonts w:ascii="Arial" w:hAnsi="Arial" w:cs="Arial"/>
          <w:sz w:val="24"/>
          <w:szCs w:val="24"/>
        </w:rPr>
      </w:pPr>
      <w:r>
        <w:rPr>
          <w:rFonts w:ascii="Arial" w:hAnsi="Arial" w:cs="Arial"/>
          <w:sz w:val="24"/>
          <w:szCs w:val="24"/>
        </w:rPr>
        <w:t xml:space="preserve">Simoni Torri - </w:t>
      </w:r>
      <w:r w:rsidR="00A07027" w:rsidRPr="00A07027">
        <w:rPr>
          <w:rFonts w:ascii="Arial" w:hAnsi="Arial" w:cs="Arial"/>
          <w:b/>
          <w:sz w:val="24"/>
          <w:szCs w:val="24"/>
        </w:rPr>
        <w:t>Maj</w:t>
      </w:r>
      <w:r w:rsidR="00A07027" w:rsidRPr="00A07027">
        <w:rPr>
          <w:rFonts w:ascii="Arial" w:hAnsi="Arial" w:cs="Arial"/>
          <w:sz w:val="24"/>
          <w:szCs w:val="24"/>
        </w:rPr>
        <w:t xml:space="preserve"> </w:t>
      </w:r>
      <w:r w:rsidRPr="00EB563F">
        <w:rPr>
          <w:rFonts w:ascii="Arial" w:hAnsi="Arial" w:cs="Arial"/>
          <w:b/>
          <w:sz w:val="24"/>
          <w:szCs w:val="24"/>
        </w:rPr>
        <w:t>Dent PM</w:t>
      </w:r>
    </w:p>
    <w:p w:rsidR="004D20F6" w:rsidRPr="00A07027" w:rsidRDefault="00EB563F" w:rsidP="00D42241">
      <w:pPr>
        <w:jc w:val="center"/>
        <w:rPr>
          <w:rFonts w:ascii="Arial" w:hAnsi="Arial" w:cs="Arial"/>
          <w:sz w:val="24"/>
          <w:szCs w:val="24"/>
        </w:rPr>
      </w:pPr>
      <w:r>
        <w:rPr>
          <w:rFonts w:ascii="Arial" w:hAnsi="Arial" w:cs="Arial"/>
          <w:sz w:val="24"/>
          <w:szCs w:val="24"/>
        </w:rPr>
        <w:t xml:space="preserve">Respondendo pelo </w:t>
      </w:r>
      <w:r w:rsidR="00A07027" w:rsidRPr="00A07027">
        <w:rPr>
          <w:rFonts w:ascii="Arial" w:hAnsi="Arial" w:cs="Arial"/>
          <w:sz w:val="24"/>
          <w:szCs w:val="24"/>
        </w:rPr>
        <w:t>Chefe do Setor de Compras</w:t>
      </w:r>
      <w:r w:rsidR="001A601C">
        <w:rPr>
          <w:rFonts w:ascii="Arial" w:hAnsi="Arial" w:cs="Arial"/>
          <w:sz w:val="24"/>
          <w:szCs w:val="24"/>
        </w:rPr>
        <w:t xml:space="preserve"> do Departamento de Saúde</w:t>
      </w:r>
    </w:p>
    <w:sectPr w:rsidR="004D20F6" w:rsidRPr="00A07027" w:rsidSect="004D20F6">
      <w:headerReference w:type="default" r:id="rId8"/>
      <w:footerReference w:type="default" r:id="rId9"/>
      <w:pgSz w:w="11900" w:h="16840"/>
      <w:pgMar w:top="2000" w:right="1520" w:bottom="720" w:left="1680" w:header="180" w:footer="5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9AE" w:rsidRDefault="000719AE" w:rsidP="004D20F6">
      <w:r>
        <w:separator/>
      </w:r>
    </w:p>
  </w:endnote>
  <w:endnote w:type="continuationSeparator" w:id="1">
    <w:p w:rsidR="000719AE" w:rsidRDefault="000719AE" w:rsidP="004D20F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AE" w:rsidRDefault="00BF4479">
    <w:pPr>
      <w:pStyle w:val="Corpodetexto"/>
      <w:spacing w:line="14" w:lineRule="auto"/>
      <w:ind w:left="0"/>
      <w:jc w:val="left"/>
      <w:rPr>
        <w:sz w:val="20"/>
      </w:rPr>
    </w:pPr>
    <w:r w:rsidRPr="00BF4479">
      <w:pict>
        <v:shapetype id="_x0000_t202" coordsize="21600,21600" o:spt="202" path="m,l,21600r21600,l21600,xe">
          <v:stroke joinstyle="miter"/>
          <v:path gradientshapeok="t" o:connecttype="rect"/>
        </v:shapetype>
        <v:shape id="docshape6" o:spid="_x0000_s1027" type="#_x0000_t202" style="position:absolute;margin-left:29.1pt;margin-top:816.85pt;width:94.1pt;height:13.7pt;z-index:-15804416;mso-position-horizontal-relative:page;mso-position-vertical-relative:page" filled="f" stroked="f">
          <v:textbox style="mso-next-textbox:#docshape6" inset="0,0,0,0">
            <w:txbxContent>
              <w:p w:rsidR="000719AE" w:rsidRPr="00E05B42" w:rsidRDefault="000719AE" w:rsidP="00E05B42"/>
            </w:txbxContent>
          </v:textbox>
          <w10:wrap anchorx="page" anchory="page"/>
        </v:shape>
      </w:pict>
    </w:r>
    <w:r w:rsidRPr="00BF4479">
      <w:pict>
        <v:shape id="docshape7" o:spid="_x0000_s1026" type="#_x0000_t202" style="position:absolute;margin-left:174.15pt;margin-top:816.85pt;width:352.2pt;height:13.7pt;z-index:-15803904;mso-position-horizontal-relative:page;mso-position-vertical-relative:page" filled="f" stroked="f">
          <v:textbox style="mso-next-textbox:#docshape7" inset="0,0,0,0">
            <w:txbxContent>
              <w:p w:rsidR="000719AE" w:rsidRPr="00E05B42" w:rsidRDefault="000719AE" w:rsidP="00E05B42"/>
            </w:txbxContent>
          </v:textbox>
          <w10:wrap anchorx="page" anchory="page"/>
        </v:shape>
      </w:pict>
    </w:r>
    <w:r w:rsidRPr="00BF4479">
      <w:pict>
        <v:shape id="docshape8" o:spid="_x0000_s1025" type="#_x0000_t202" style="position:absolute;margin-left:552.15pt;margin-top:816.85pt;width:21.65pt;height:13.7pt;z-index:-15803392;mso-position-horizontal-relative:page;mso-position-vertical-relative:page" filled="f" stroked="f">
          <v:textbox style="mso-next-textbox:#docshape8" inset="0,0,0,0">
            <w:txbxContent>
              <w:p w:rsidR="000719AE" w:rsidRPr="00E05B42" w:rsidRDefault="000719AE" w:rsidP="00E05B42"/>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9AE" w:rsidRDefault="000719AE" w:rsidP="004D20F6">
      <w:r>
        <w:separator/>
      </w:r>
    </w:p>
  </w:footnote>
  <w:footnote w:type="continuationSeparator" w:id="1">
    <w:p w:rsidR="000719AE" w:rsidRDefault="000719AE" w:rsidP="004D20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AE" w:rsidRDefault="000719AE">
    <w:pPr>
      <w:pStyle w:val="Corpodetexto"/>
      <w:spacing w:line="14" w:lineRule="auto"/>
      <w:ind w:left="0"/>
      <w:jc w:val="left"/>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A4C01"/>
    <w:multiLevelType w:val="hybridMultilevel"/>
    <w:tmpl w:val="3356C5A6"/>
    <w:lvl w:ilvl="0" w:tplc="EC620FAC">
      <w:start w:val="1"/>
      <w:numFmt w:val="decimal"/>
      <w:lvlText w:val="(%1)"/>
      <w:lvlJc w:val="left"/>
      <w:pPr>
        <w:ind w:left="368" w:hanging="321"/>
      </w:pPr>
      <w:rPr>
        <w:rFonts w:ascii="Arial" w:eastAsia="Times New Roman" w:hAnsi="Arial" w:cs="Arial" w:hint="default"/>
        <w:b w:val="0"/>
        <w:bCs w:val="0"/>
        <w:i w:val="0"/>
        <w:iCs w:val="0"/>
        <w:spacing w:val="0"/>
        <w:w w:val="101"/>
        <w:sz w:val="24"/>
        <w:szCs w:val="24"/>
        <w:lang w:val="pt-PT" w:eastAsia="en-US" w:bidi="ar-SA"/>
      </w:rPr>
    </w:lvl>
    <w:lvl w:ilvl="1" w:tplc="2F80867E">
      <w:start w:val="1"/>
      <w:numFmt w:val="decimal"/>
      <w:lvlText w:val="%2."/>
      <w:lvlJc w:val="left"/>
      <w:pPr>
        <w:ind w:left="368" w:hanging="201"/>
      </w:pPr>
      <w:rPr>
        <w:rFonts w:ascii="Times New Roman" w:eastAsia="Times New Roman" w:hAnsi="Times New Roman" w:cs="Times New Roman" w:hint="default"/>
        <w:b w:val="0"/>
        <w:bCs w:val="0"/>
        <w:i w:val="0"/>
        <w:iCs w:val="0"/>
        <w:spacing w:val="0"/>
        <w:w w:val="101"/>
        <w:sz w:val="19"/>
        <w:szCs w:val="19"/>
        <w:lang w:val="pt-PT" w:eastAsia="en-US" w:bidi="ar-SA"/>
      </w:rPr>
    </w:lvl>
    <w:lvl w:ilvl="2" w:tplc="241CA250">
      <w:numFmt w:val="none"/>
      <w:lvlText w:val=""/>
      <w:lvlJc w:val="left"/>
      <w:pPr>
        <w:tabs>
          <w:tab w:val="num" w:pos="360"/>
        </w:tabs>
      </w:pPr>
    </w:lvl>
    <w:lvl w:ilvl="3" w:tplc="676C2D42">
      <w:numFmt w:val="bullet"/>
      <w:lvlText w:val="•"/>
      <w:lvlJc w:val="left"/>
      <w:pPr>
        <w:ind w:left="2477" w:hanging="340"/>
      </w:pPr>
      <w:rPr>
        <w:rFonts w:hint="default"/>
        <w:lang w:val="pt-PT" w:eastAsia="en-US" w:bidi="ar-SA"/>
      </w:rPr>
    </w:lvl>
    <w:lvl w:ilvl="4" w:tplc="843A4D62">
      <w:numFmt w:val="bullet"/>
      <w:lvlText w:val="•"/>
      <w:lvlJc w:val="left"/>
      <w:pPr>
        <w:ind w:left="3366" w:hanging="340"/>
      </w:pPr>
      <w:rPr>
        <w:rFonts w:hint="default"/>
        <w:lang w:val="pt-PT" w:eastAsia="en-US" w:bidi="ar-SA"/>
      </w:rPr>
    </w:lvl>
    <w:lvl w:ilvl="5" w:tplc="FA3A3924">
      <w:numFmt w:val="bullet"/>
      <w:lvlText w:val="•"/>
      <w:lvlJc w:val="left"/>
      <w:pPr>
        <w:ind w:left="4255" w:hanging="340"/>
      </w:pPr>
      <w:rPr>
        <w:rFonts w:hint="default"/>
        <w:lang w:val="pt-PT" w:eastAsia="en-US" w:bidi="ar-SA"/>
      </w:rPr>
    </w:lvl>
    <w:lvl w:ilvl="6" w:tplc="8428934E">
      <w:numFmt w:val="bullet"/>
      <w:lvlText w:val="•"/>
      <w:lvlJc w:val="left"/>
      <w:pPr>
        <w:ind w:left="5144" w:hanging="340"/>
      </w:pPr>
      <w:rPr>
        <w:rFonts w:hint="default"/>
        <w:lang w:val="pt-PT" w:eastAsia="en-US" w:bidi="ar-SA"/>
      </w:rPr>
    </w:lvl>
    <w:lvl w:ilvl="7" w:tplc="BA16781A">
      <w:numFmt w:val="bullet"/>
      <w:lvlText w:val="•"/>
      <w:lvlJc w:val="left"/>
      <w:pPr>
        <w:ind w:left="6033" w:hanging="340"/>
      </w:pPr>
      <w:rPr>
        <w:rFonts w:hint="default"/>
        <w:lang w:val="pt-PT" w:eastAsia="en-US" w:bidi="ar-SA"/>
      </w:rPr>
    </w:lvl>
    <w:lvl w:ilvl="8" w:tplc="FC2231D2">
      <w:numFmt w:val="bullet"/>
      <w:lvlText w:val="•"/>
      <w:lvlJc w:val="left"/>
      <w:pPr>
        <w:ind w:left="6922" w:hanging="340"/>
      </w:pPr>
      <w:rPr>
        <w:rFonts w:hint="default"/>
        <w:lang w:val="pt-PT" w:eastAsia="en-US" w:bidi="ar-SA"/>
      </w:rPr>
    </w:lvl>
  </w:abstractNum>
  <w:abstractNum w:abstractNumId="1">
    <w:nsid w:val="322E4931"/>
    <w:multiLevelType w:val="hybridMultilevel"/>
    <w:tmpl w:val="DB387ADC"/>
    <w:lvl w:ilvl="0" w:tplc="AF861CDA">
      <w:start w:val="17"/>
      <w:numFmt w:val="decimal"/>
      <w:lvlText w:val="%1."/>
      <w:lvlJc w:val="left"/>
      <w:pPr>
        <w:ind w:left="368" w:hanging="323"/>
      </w:pPr>
      <w:rPr>
        <w:rFonts w:ascii="Times New Roman" w:eastAsia="Times New Roman" w:hAnsi="Times New Roman" w:cs="Times New Roman" w:hint="default"/>
        <w:b w:val="0"/>
        <w:bCs w:val="0"/>
        <w:i w:val="0"/>
        <w:iCs w:val="0"/>
        <w:spacing w:val="0"/>
        <w:w w:val="101"/>
        <w:sz w:val="19"/>
        <w:szCs w:val="19"/>
        <w:lang w:val="pt-PT" w:eastAsia="en-US" w:bidi="ar-SA"/>
      </w:rPr>
    </w:lvl>
    <w:lvl w:ilvl="1" w:tplc="183AEE50">
      <w:numFmt w:val="bullet"/>
      <w:lvlText w:val="•"/>
      <w:lvlJc w:val="left"/>
      <w:pPr>
        <w:ind w:left="1194" w:hanging="323"/>
      </w:pPr>
      <w:rPr>
        <w:rFonts w:hint="default"/>
        <w:lang w:val="pt-PT" w:eastAsia="en-US" w:bidi="ar-SA"/>
      </w:rPr>
    </w:lvl>
    <w:lvl w:ilvl="2" w:tplc="3C141C40">
      <w:numFmt w:val="bullet"/>
      <w:lvlText w:val="•"/>
      <w:lvlJc w:val="left"/>
      <w:pPr>
        <w:ind w:left="2028" w:hanging="323"/>
      </w:pPr>
      <w:rPr>
        <w:rFonts w:hint="default"/>
        <w:lang w:val="pt-PT" w:eastAsia="en-US" w:bidi="ar-SA"/>
      </w:rPr>
    </w:lvl>
    <w:lvl w:ilvl="3" w:tplc="06203D32">
      <w:numFmt w:val="bullet"/>
      <w:lvlText w:val="•"/>
      <w:lvlJc w:val="left"/>
      <w:pPr>
        <w:ind w:left="2862" w:hanging="323"/>
      </w:pPr>
      <w:rPr>
        <w:rFonts w:hint="default"/>
        <w:lang w:val="pt-PT" w:eastAsia="en-US" w:bidi="ar-SA"/>
      </w:rPr>
    </w:lvl>
    <w:lvl w:ilvl="4" w:tplc="24CC337E">
      <w:numFmt w:val="bullet"/>
      <w:lvlText w:val="•"/>
      <w:lvlJc w:val="left"/>
      <w:pPr>
        <w:ind w:left="3696" w:hanging="323"/>
      </w:pPr>
      <w:rPr>
        <w:rFonts w:hint="default"/>
        <w:lang w:val="pt-PT" w:eastAsia="en-US" w:bidi="ar-SA"/>
      </w:rPr>
    </w:lvl>
    <w:lvl w:ilvl="5" w:tplc="E40072AC">
      <w:numFmt w:val="bullet"/>
      <w:lvlText w:val="•"/>
      <w:lvlJc w:val="left"/>
      <w:pPr>
        <w:ind w:left="4530" w:hanging="323"/>
      </w:pPr>
      <w:rPr>
        <w:rFonts w:hint="default"/>
        <w:lang w:val="pt-PT" w:eastAsia="en-US" w:bidi="ar-SA"/>
      </w:rPr>
    </w:lvl>
    <w:lvl w:ilvl="6" w:tplc="ABEC246E">
      <w:numFmt w:val="bullet"/>
      <w:lvlText w:val="•"/>
      <w:lvlJc w:val="left"/>
      <w:pPr>
        <w:ind w:left="5364" w:hanging="323"/>
      </w:pPr>
      <w:rPr>
        <w:rFonts w:hint="default"/>
        <w:lang w:val="pt-PT" w:eastAsia="en-US" w:bidi="ar-SA"/>
      </w:rPr>
    </w:lvl>
    <w:lvl w:ilvl="7" w:tplc="07327CB0">
      <w:numFmt w:val="bullet"/>
      <w:lvlText w:val="•"/>
      <w:lvlJc w:val="left"/>
      <w:pPr>
        <w:ind w:left="6198" w:hanging="323"/>
      </w:pPr>
      <w:rPr>
        <w:rFonts w:hint="default"/>
        <w:lang w:val="pt-PT" w:eastAsia="en-US" w:bidi="ar-SA"/>
      </w:rPr>
    </w:lvl>
    <w:lvl w:ilvl="8" w:tplc="0A3ACBD2">
      <w:numFmt w:val="bullet"/>
      <w:lvlText w:val="•"/>
      <w:lvlJc w:val="left"/>
      <w:pPr>
        <w:ind w:left="7032" w:hanging="323"/>
      </w:pPr>
      <w:rPr>
        <w:rFonts w:hint="default"/>
        <w:lang w:val="pt-PT" w:eastAsia="en-US" w:bidi="ar-SA"/>
      </w:rPr>
    </w:lvl>
  </w:abstractNum>
  <w:abstractNum w:abstractNumId="2">
    <w:nsid w:val="796F630E"/>
    <w:multiLevelType w:val="hybridMultilevel"/>
    <w:tmpl w:val="D586045C"/>
    <w:lvl w:ilvl="0" w:tplc="8B7A3FB6">
      <w:start w:val="2"/>
      <w:numFmt w:val="decimal"/>
      <w:lvlText w:val="%1"/>
      <w:lvlJc w:val="left"/>
      <w:pPr>
        <w:ind w:left="368" w:hanging="485"/>
      </w:pPr>
      <w:rPr>
        <w:rFonts w:hint="default"/>
        <w:lang w:val="pt-PT" w:eastAsia="en-US" w:bidi="ar-SA"/>
      </w:rPr>
    </w:lvl>
    <w:lvl w:ilvl="1" w:tplc="83467FF4">
      <w:numFmt w:val="none"/>
      <w:lvlText w:val=""/>
      <w:lvlJc w:val="left"/>
      <w:pPr>
        <w:tabs>
          <w:tab w:val="num" w:pos="360"/>
        </w:tabs>
      </w:pPr>
    </w:lvl>
    <w:lvl w:ilvl="2" w:tplc="154A3CCA">
      <w:numFmt w:val="none"/>
      <w:lvlText w:val=""/>
      <w:lvlJc w:val="left"/>
      <w:pPr>
        <w:tabs>
          <w:tab w:val="num" w:pos="360"/>
        </w:tabs>
      </w:pPr>
    </w:lvl>
    <w:lvl w:ilvl="3" w:tplc="6F28DC72">
      <w:numFmt w:val="bullet"/>
      <w:lvlText w:val="•"/>
      <w:lvlJc w:val="left"/>
      <w:pPr>
        <w:ind w:left="2862" w:hanging="485"/>
      </w:pPr>
      <w:rPr>
        <w:rFonts w:hint="default"/>
        <w:lang w:val="pt-PT" w:eastAsia="en-US" w:bidi="ar-SA"/>
      </w:rPr>
    </w:lvl>
    <w:lvl w:ilvl="4" w:tplc="958A6C3A">
      <w:numFmt w:val="bullet"/>
      <w:lvlText w:val="•"/>
      <w:lvlJc w:val="left"/>
      <w:pPr>
        <w:ind w:left="3696" w:hanging="485"/>
      </w:pPr>
      <w:rPr>
        <w:rFonts w:hint="default"/>
        <w:lang w:val="pt-PT" w:eastAsia="en-US" w:bidi="ar-SA"/>
      </w:rPr>
    </w:lvl>
    <w:lvl w:ilvl="5" w:tplc="61E023A0">
      <w:numFmt w:val="bullet"/>
      <w:lvlText w:val="•"/>
      <w:lvlJc w:val="left"/>
      <w:pPr>
        <w:ind w:left="4530" w:hanging="485"/>
      </w:pPr>
      <w:rPr>
        <w:rFonts w:hint="default"/>
        <w:lang w:val="pt-PT" w:eastAsia="en-US" w:bidi="ar-SA"/>
      </w:rPr>
    </w:lvl>
    <w:lvl w:ilvl="6" w:tplc="1CD45632">
      <w:numFmt w:val="bullet"/>
      <w:lvlText w:val="•"/>
      <w:lvlJc w:val="left"/>
      <w:pPr>
        <w:ind w:left="5364" w:hanging="485"/>
      </w:pPr>
      <w:rPr>
        <w:rFonts w:hint="default"/>
        <w:lang w:val="pt-PT" w:eastAsia="en-US" w:bidi="ar-SA"/>
      </w:rPr>
    </w:lvl>
    <w:lvl w:ilvl="7" w:tplc="356260A4">
      <w:numFmt w:val="bullet"/>
      <w:lvlText w:val="•"/>
      <w:lvlJc w:val="left"/>
      <w:pPr>
        <w:ind w:left="6198" w:hanging="485"/>
      </w:pPr>
      <w:rPr>
        <w:rFonts w:hint="default"/>
        <w:lang w:val="pt-PT" w:eastAsia="en-US" w:bidi="ar-SA"/>
      </w:rPr>
    </w:lvl>
    <w:lvl w:ilvl="8" w:tplc="C908C83E">
      <w:numFmt w:val="bullet"/>
      <w:lvlText w:val="•"/>
      <w:lvlJc w:val="left"/>
      <w:pPr>
        <w:ind w:left="7032" w:hanging="485"/>
      </w:pPr>
      <w:rPr>
        <w:rFonts w:hint="default"/>
        <w:lang w:val="pt-PT" w:eastAsia="en-US" w:bidi="ar-SA"/>
      </w:rPr>
    </w:lvl>
  </w:abstractNum>
  <w:abstractNum w:abstractNumId="3">
    <w:nsid w:val="7A3A62EE"/>
    <w:multiLevelType w:val="hybridMultilevel"/>
    <w:tmpl w:val="7850F738"/>
    <w:lvl w:ilvl="0" w:tplc="A968AA96">
      <w:start w:val="2"/>
      <w:numFmt w:val="decimal"/>
      <w:lvlText w:val="%1"/>
      <w:lvlJc w:val="left"/>
      <w:pPr>
        <w:ind w:left="659" w:hanging="291"/>
      </w:pPr>
      <w:rPr>
        <w:rFonts w:hint="default"/>
        <w:lang w:val="pt-PT" w:eastAsia="en-US" w:bidi="ar-SA"/>
      </w:rPr>
    </w:lvl>
    <w:lvl w:ilvl="1" w:tplc="BDA6021A">
      <w:numFmt w:val="none"/>
      <w:lvlText w:val=""/>
      <w:lvlJc w:val="left"/>
      <w:pPr>
        <w:tabs>
          <w:tab w:val="num" w:pos="360"/>
        </w:tabs>
      </w:pPr>
    </w:lvl>
    <w:lvl w:ilvl="2" w:tplc="039CFAD6">
      <w:numFmt w:val="none"/>
      <w:lvlText w:val=""/>
      <w:lvlJc w:val="left"/>
      <w:pPr>
        <w:tabs>
          <w:tab w:val="num" w:pos="360"/>
        </w:tabs>
      </w:pPr>
    </w:lvl>
    <w:lvl w:ilvl="3" w:tplc="7C7C34D0">
      <w:numFmt w:val="bullet"/>
      <w:lvlText w:val="•"/>
      <w:lvlJc w:val="left"/>
      <w:pPr>
        <w:ind w:left="2446" w:hanging="487"/>
      </w:pPr>
      <w:rPr>
        <w:rFonts w:hint="default"/>
        <w:lang w:val="pt-PT" w:eastAsia="en-US" w:bidi="ar-SA"/>
      </w:rPr>
    </w:lvl>
    <w:lvl w:ilvl="4" w:tplc="8D8A933A">
      <w:numFmt w:val="bullet"/>
      <w:lvlText w:val="•"/>
      <w:lvlJc w:val="left"/>
      <w:pPr>
        <w:ind w:left="3340" w:hanging="487"/>
      </w:pPr>
      <w:rPr>
        <w:rFonts w:hint="default"/>
        <w:lang w:val="pt-PT" w:eastAsia="en-US" w:bidi="ar-SA"/>
      </w:rPr>
    </w:lvl>
    <w:lvl w:ilvl="5" w:tplc="954065C4">
      <w:numFmt w:val="bullet"/>
      <w:lvlText w:val="•"/>
      <w:lvlJc w:val="left"/>
      <w:pPr>
        <w:ind w:left="4233" w:hanging="487"/>
      </w:pPr>
      <w:rPr>
        <w:rFonts w:hint="default"/>
        <w:lang w:val="pt-PT" w:eastAsia="en-US" w:bidi="ar-SA"/>
      </w:rPr>
    </w:lvl>
    <w:lvl w:ilvl="6" w:tplc="7BB6572E">
      <w:numFmt w:val="bullet"/>
      <w:lvlText w:val="•"/>
      <w:lvlJc w:val="left"/>
      <w:pPr>
        <w:ind w:left="5126" w:hanging="487"/>
      </w:pPr>
      <w:rPr>
        <w:rFonts w:hint="default"/>
        <w:lang w:val="pt-PT" w:eastAsia="en-US" w:bidi="ar-SA"/>
      </w:rPr>
    </w:lvl>
    <w:lvl w:ilvl="7" w:tplc="D04470F0">
      <w:numFmt w:val="bullet"/>
      <w:lvlText w:val="•"/>
      <w:lvlJc w:val="left"/>
      <w:pPr>
        <w:ind w:left="6020" w:hanging="487"/>
      </w:pPr>
      <w:rPr>
        <w:rFonts w:hint="default"/>
        <w:lang w:val="pt-PT" w:eastAsia="en-US" w:bidi="ar-SA"/>
      </w:rPr>
    </w:lvl>
    <w:lvl w:ilvl="8" w:tplc="2B8E5F3A">
      <w:numFmt w:val="bullet"/>
      <w:lvlText w:val="•"/>
      <w:lvlJc w:val="left"/>
      <w:pPr>
        <w:ind w:left="6913" w:hanging="487"/>
      </w:pPr>
      <w:rPr>
        <w:rFonts w:hint="default"/>
        <w:lang w:val="pt-PT" w:eastAsia="en-US" w:bidi="ar-SA"/>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lTrailSpace/>
    <w:shapeLayoutLikeWW8/>
    <w:useFELayout/>
  </w:compat>
  <w:rsids>
    <w:rsidRoot w:val="004D20F6"/>
    <w:rsid w:val="000719AE"/>
    <w:rsid w:val="000A4F31"/>
    <w:rsid w:val="000E6525"/>
    <w:rsid w:val="00137692"/>
    <w:rsid w:val="00143471"/>
    <w:rsid w:val="00152D0E"/>
    <w:rsid w:val="001A601C"/>
    <w:rsid w:val="00266864"/>
    <w:rsid w:val="00311B85"/>
    <w:rsid w:val="0033209B"/>
    <w:rsid w:val="003D3488"/>
    <w:rsid w:val="00480F04"/>
    <w:rsid w:val="00487CFA"/>
    <w:rsid w:val="00492769"/>
    <w:rsid w:val="004D20F6"/>
    <w:rsid w:val="004D47A8"/>
    <w:rsid w:val="00585050"/>
    <w:rsid w:val="006B52C1"/>
    <w:rsid w:val="006E7E16"/>
    <w:rsid w:val="007C39A2"/>
    <w:rsid w:val="007D6847"/>
    <w:rsid w:val="008A3B26"/>
    <w:rsid w:val="00952B86"/>
    <w:rsid w:val="00A07027"/>
    <w:rsid w:val="00A7072E"/>
    <w:rsid w:val="00A737F4"/>
    <w:rsid w:val="00AA1B81"/>
    <w:rsid w:val="00AA6E20"/>
    <w:rsid w:val="00BF4479"/>
    <w:rsid w:val="00CF2350"/>
    <w:rsid w:val="00D42241"/>
    <w:rsid w:val="00DA0BAE"/>
    <w:rsid w:val="00E05B42"/>
    <w:rsid w:val="00EB56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D20F6"/>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D20F6"/>
    <w:tblPr>
      <w:tblInd w:w="0" w:type="dxa"/>
      <w:tblCellMar>
        <w:top w:w="0" w:type="dxa"/>
        <w:left w:w="0" w:type="dxa"/>
        <w:bottom w:w="0" w:type="dxa"/>
        <w:right w:w="0" w:type="dxa"/>
      </w:tblCellMar>
    </w:tblPr>
  </w:style>
  <w:style w:type="paragraph" w:styleId="Corpodetexto">
    <w:name w:val="Body Text"/>
    <w:basedOn w:val="Normal"/>
    <w:uiPriority w:val="1"/>
    <w:qFormat/>
    <w:rsid w:val="004D20F6"/>
    <w:pPr>
      <w:ind w:left="368"/>
      <w:jc w:val="both"/>
    </w:pPr>
    <w:rPr>
      <w:sz w:val="19"/>
      <w:szCs w:val="19"/>
    </w:rPr>
  </w:style>
  <w:style w:type="paragraph" w:styleId="PargrafodaLista">
    <w:name w:val="List Paragraph"/>
    <w:basedOn w:val="Normal"/>
    <w:uiPriority w:val="1"/>
    <w:qFormat/>
    <w:rsid w:val="004D20F6"/>
    <w:pPr>
      <w:ind w:left="368"/>
      <w:jc w:val="both"/>
    </w:pPr>
  </w:style>
  <w:style w:type="paragraph" w:customStyle="1" w:styleId="TableParagraph">
    <w:name w:val="Table Paragraph"/>
    <w:basedOn w:val="Normal"/>
    <w:uiPriority w:val="1"/>
    <w:qFormat/>
    <w:rsid w:val="004D20F6"/>
  </w:style>
  <w:style w:type="paragraph" w:styleId="Cabealho">
    <w:name w:val="header"/>
    <w:basedOn w:val="Normal"/>
    <w:link w:val="CabealhoChar"/>
    <w:uiPriority w:val="99"/>
    <w:semiHidden/>
    <w:unhideWhenUsed/>
    <w:rsid w:val="00E05B42"/>
    <w:pPr>
      <w:tabs>
        <w:tab w:val="center" w:pos="4252"/>
        <w:tab w:val="right" w:pos="8504"/>
      </w:tabs>
    </w:pPr>
  </w:style>
  <w:style w:type="character" w:customStyle="1" w:styleId="CabealhoChar">
    <w:name w:val="Cabeçalho Char"/>
    <w:basedOn w:val="Fontepargpadro"/>
    <w:link w:val="Cabealho"/>
    <w:uiPriority w:val="99"/>
    <w:semiHidden/>
    <w:rsid w:val="00E05B42"/>
    <w:rPr>
      <w:rFonts w:ascii="Times New Roman" w:eastAsia="Times New Roman" w:hAnsi="Times New Roman" w:cs="Times New Roman"/>
      <w:lang w:val="pt-PT"/>
    </w:rPr>
  </w:style>
  <w:style w:type="paragraph" w:styleId="Rodap">
    <w:name w:val="footer"/>
    <w:basedOn w:val="Normal"/>
    <w:link w:val="RodapChar"/>
    <w:uiPriority w:val="99"/>
    <w:semiHidden/>
    <w:unhideWhenUsed/>
    <w:rsid w:val="00E05B42"/>
    <w:pPr>
      <w:tabs>
        <w:tab w:val="center" w:pos="4252"/>
        <w:tab w:val="right" w:pos="8504"/>
      </w:tabs>
    </w:pPr>
  </w:style>
  <w:style w:type="character" w:customStyle="1" w:styleId="RodapChar">
    <w:name w:val="Rodapé Char"/>
    <w:basedOn w:val="Fontepargpadro"/>
    <w:link w:val="Rodap"/>
    <w:uiPriority w:val="99"/>
    <w:semiHidden/>
    <w:rsid w:val="00E05B42"/>
    <w:rPr>
      <w:rFonts w:ascii="Times New Roman" w:eastAsia="Times New Roman" w:hAnsi="Times New Roman" w:cs="Times New Roman"/>
      <w:lang w:val="pt-PT"/>
    </w:rPr>
  </w:style>
  <w:style w:type="paragraph" w:styleId="Textodecomentrio">
    <w:name w:val="annotation text"/>
    <w:basedOn w:val="Normal"/>
    <w:link w:val="TextodecomentrioChar"/>
    <w:uiPriority w:val="99"/>
    <w:unhideWhenUsed/>
    <w:rsid w:val="00DA0BAE"/>
    <w:pPr>
      <w:widowControl/>
      <w:suppressAutoHyphens/>
      <w:autoSpaceDE/>
      <w:autoSpaceDN/>
    </w:pPr>
    <w:rPr>
      <w:sz w:val="20"/>
      <w:szCs w:val="20"/>
      <w:lang w:eastAsia="zh-CN"/>
    </w:rPr>
  </w:style>
  <w:style w:type="character" w:customStyle="1" w:styleId="TextodecomentrioChar">
    <w:name w:val="Texto de comentário Char"/>
    <w:basedOn w:val="Fontepargpadro"/>
    <w:link w:val="Textodecomentrio"/>
    <w:uiPriority w:val="99"/>
    <w:rsid w:val="00DA0BAE"/>
    <w:rPr>
      <w:rFonts w:ascii="Times New Roman" w:eastAsia="Times New Roman" w:hAnsi="Times New Roman" w:cs="Times New Roman"/>
      <w:sz w:val="20"/>
      <w:szCs w:val="20"/>
      <w:lang w:eastAsia="zh-CN"/>
    </w:rPr>
  </w:style>
  <w:style w:type="paragraph" w:styleId="Textodebalo">
    <w:name w:val="Balloon Text"/>
    <w:basedOn w:val="Normal"/>
    <w:link w:val="TextodebaloChar"/>
    <w:uiPriority w:val="99"/>
    <w:semiHidden/>
    <w:unhideWhenUsed/>
    <w:rsid w:val="00492769"/>
    <w:rPr>
      <w:rFonts w:ascii="Tahoma" w:hAnsi="Tahoma" w:cs="Tahoma"/>
      <w:sz w:val="16"/>
      <w:szCs w:val="16"/>
    </w:rPr>
  </w:style>
  <w:style w:type="character" w:customStyle="1" w:styleId="TextodebaloChar">
    <w:name w:val="Texto de balão Char"/>
    <w:basedOn w:val="Fontepargpadro"/>
    <w:link w:val="Textodebalo"/>
    <w:uiPriority w:val="99"/>
    <w:semiHidden/>
    <w:rsid w:val="00492769"/>
    <w:rPr>
      <w:rFonts w:ascii="Tahoma" w:eastAsia="Times New Roman" w:hAnsi="Tahoma" w:cs="Tahoma"/>
      <w:sz w:val="16"/>
      <w:szCs w:val="16"/>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1961</Words>
  <Characters>10595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VINICIUS DIAS VALENÇA</dc:creator>
  <cp:lastModifiedBy>bm2877295</cp:lastModifiedBy>
  <cp:revision>9</cp:revision>
  <dcterms:created xsi:type="dcterms:W3CDTF">2024-03-28T15:46:00Z</dcterms:created>
  <dcterms:modified xsi:type="dcterms:W3CDTF">2025-01-09T14:24:00Z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2024-02-26T00:00:00Z</vt:filetime>
  </property>
  <property fmtid="{D5CDD505-2E9C-101B-9397-08002B2CF9AE}" pid="3" name="Creator">
    <vt:lpwstr>Mozilla Firefox 123.0</vt:lpwstr>
  </property>
  <property fmtid="{D5CDD505-2E9C-101B-9397-08002B2CF9AE}" pid="4" name="Producer">
    <vt:lpwstr>cairo 1.17.4 (https://cairographics.org)</vt:lpwstr>
  </property>
  <property fmtid="{D5CDD505-2E9C-101B-9397-08002B2CF9AE}" pid="5" name="LastSaved">
    <vt:filetime>2024-02-26T00:00:00Z</vt:filetime>
  </property>
</Properties>
</file>