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F2EBCC2" w14:textId="77777777" w:rsidR="000B5A98" w:rsidRDefault="00000000">
      <w:pPr>
        <w:pStyle w:val="Ttulo"/>
      </w:pPr>
      <w:r>
        <w:t>Respostas aos esclarecimentos sobre o DEMO</w:t>
      </w:r>
    </w:p>
    <w:p w14:paraId="5F0C2761" w14:textId="77777777" w:rsidR="000B5A98" w:rsidRDefault="00000000">
      <w:r>
        <w:rPr>
          <w:b/>
        </w:rPr>
        <w:t>Concorrência Eletrônica nº 15/2026 • Processo nº 172/2026</w:t>
      </w:r>
    </w:p>
    <w:p w14:paraId="704FAA53" w14:textId="77777777" w:rsidR="000B5A98" w:rsidRDefault="00000000">
      <w:r>
        <w:rPr>
          <w:sz w:val="19"/>
        </w:rPr>
        <w:t>MINUTA PARA VALIDAÇÃO PELA ADMINISTRAÇÃO</w:t>
      </w:r>
    </w:p>
    <w:p w14:paraId="0ACDCF6F" w14:textId="77777777" w:rsidR="000B5A98" w:rsidRDefault="00000000">
      <w:pPr>
        <w:pStyle w:val="Ttulo1"/>
      </w:pPr>
      <w:r>
        <w:t xml:space="preserve">1 Forma de </w:t>
      </w:r>
      <w:proofErr w:type="spellStart"/>
      <w:r>
        <w:t>envio</w:t>
      </w:r>
      <w:proofErr w:type="spellEnd"/>
      <w:r>
        <w:t xml:space="preserve"> do DEMO</w:t>
      </w:r>
    </w:p>
    <w:p w14:paraId="149B9E4F" w14:textId="77777777" w:rsidR="000B5A98" w:rsidRDefault="00000000">
      <w:pPr>
        <w:keepNext/>
      </w:pPr>
      <w:r>
        <w:rPr>
          <w:b/>
        </w:rPr>
        <w:t>a) Os vídeos, áudios e documentos devem ser anexados no portal com a proposta, até as 9h de 03/11? Qual o limite por arquivo?</w:t>
      </w:r>
    </w:p>
    <w:p w14:paraId="3114ED07" w14:textId="77777777" w:rsidR="000B5A98" w:rsidRDefault="00000000">
      <w:r>
        <w:rPr>
          <w:color w:val="0057B8"/>
        </w:rPr>
        <w:t>O DEMO integra a proposta técnica, conforme o título e o conteúdo do item 11 do TR. A data de cadastramento prevista no edital é 03/11/2026, às 9h, horário de Brasília, salvo alteração oficial. Portanto, o encaminhamento do DEMO deve estar vinculado a essa entrega; não há previsão de produção ou substituição posterior do conteúdo.</w:t>
      </w:r>
    </w:p>
    <w:p w14:paraId="0AD60574" w14:textId="77777777" w:rsidR="000B5A98" w:rsidRDefault="00000000">
      <w:r>
        <w:rPr>
          <w:color w:val="0057B8"/>
        </w:rPr>
        <w:t>Entretanto, não é possível confirmar o upload direto dos vídeos e áudios: o edital remete ao TR e o TR devolve ao edital a definição do meio de envio. Os 4 GB do item 11.7 são o tamanho máximo de cada vídeo, não a confirmação da capacidade do portal. O limite efetivo por arquivo, o limite total e as extensões admitidas precisam ser confirmados com o operador do sistema e divulgados pela Administração.</w:t>
      </w:r>
    </w:p>
    <w:p w14:paraId="4F9BF9CC" w14:textId="77777777" w:rsidR="000B5A98" w:rsidRDefault="00000000">
      <w:r w:rsidRPr="00450228">
        <w:rPr>
          <w:b/>
          <w:bCs/>
          <w:i/>
          <w:iCs/>
          <w:color w:val="76923C" w:themeColor="accent3" w:themeShade="BF"/>
        </w:rPr>
        <w:t>Solução proposta: publicar instrução operacional que permita protocolar, junto à proposta, um PDF com link para download integral do DEMO e inventário dos arquivos</w:t>
      </w:r>
      <w:r w:rsidRPr="00450228">
        <w:rPr>
          <w:color w:val="76923C" w:themeColor="accent3" w:themeShade="BF"/>
        </w:rPr>
        <w:t xml:space="preserve">, </w:t>
      </w:r>
      <w:r>
        <w:rPr>
          <w:color w:val="0057B8"/>
        </w:rPr>
        <w:t>caso o portal não comporte os arquivos audiovisuais. O documento deve informar nomes, tamanhos e, preferencialmente, hashes SHA-256 para fixar a versão entregue. O uso de link precisa ser expressamente autorizado antes da entrega; não deve depender de iniciativa isolada de cada licitante.</w:t>
      </w:r>
    </w:p>
    <w:p w14:paraId="2DCAEBF7" w14:textId="77777777" w:rsidR="000B5A98" w:rsidRDefault="00000000">
      <w:pPr>
        <w:keepNext/>
      </w:pPr>
      <w:r>
        <w:rPr>
          <w:b/>
        </w:rPr>
        <w:t>b) Se houver envio por link, em qual campo informar e por quanto tempo mantê-lo disponível?</w:t>
      </w:r>
    </w:p>
    <w:p w14:paraId="5CCB28F0" w14:textId="77777777" w:rsidR="000B5A98" w:rsidRDefault="00000000">
      <w:r>
        <w:rPr>
          <w:color w:val="0057B8"/>
        </w:rPr>
        <w:t>O campo e o período de disponibilidade não estão definidos nos documentos examinados. Propõe-se inserir o PDF de acesso no campo destinado ao anexo da proposta, cuja denominação exata deve ser confirmada no portal. Se houver apenas um anexo, o PDF pode integrar o volume de protocolo, desde que a comissão separe esse documento do material enviado à banca.</w:t>
      </w:r>
    </w:p>
    <w:p w14:paraId="78EE6097" w14:textId="77777777" w:rsidR="000B5A98" w:rsidRDefault="00000000">
      <w:r w:rsidRPr="00450228">
        <w:rPr>
          <w:b/>
          <w:bCs/>
          <w:i/>
          <w:iCs/>
          <w:color w:val="76923C" w:themeColor="accent3" w:themeShade="BF"/>
        </w:rPr>
        <w:t>Sugere-se disponibilidade mínima de 90 dias corridos a partir da data-limite da proposta e, se o certame continuar, até a homologação ou encerramento formal</w:t>
      </w:r>
      <w:r w:rsidRPr="001C44B2">
        <w:rPr>
          <w:b/>
          <w:bCs/>
          <w:i/>
          <w:iCs/>
          <w:color w:val="0057B8"/>
        </w:rPr>
        <w:t>.</w:t>
      </w:r>
      <w:r>
        <w:rPr>
          <w:color w:val="0057B8"/>
        </w:rPr>
        <w:t xml:space="preserve"> Esse período é uma proposta de solução, não prazo já previsto. Eventuais credenciais devem acompanhar o protocolo em documento restrito à comissão de recebimento. O acesso deve permitir download, sem autorização posterior da licitante, e os arquivos não podem ser alterados após o prazo.</w:t>
      </w:r>
    </w:p>
    <w:p w14:paraId="6BFC8627" w14:textId="77777777" w:rsidR="000B5A98" w:rsidRDefault="00000000">
      <w:r>
        <w:rPr>
          <w:color w:val="0057B8"/>
        </w:rPr>
        <w:t>A comissão deve registrar o protocolo, a data e hora do download, a integridade dos arquivos e preservar cópia oficial. O hash calculado somente após o download não comprova, sozinho, qual conteúdo estava disponível no encerramento; por isso, recomenda-se vincular o inventário de hashes ao documento protocolado dentro do prazo.</w:t>
      </w:r>
    </w:p>
    <w:p w14:paraId="51B36567" w14:textId="77777777" w:rsidR="000B5A98" w:rsidRDefault="00000000">
      <w:r>
        <w:br w:type="page"/>
      </w:r>
    </w:p>
    <w:p w14:paraId="6A45F529" w14:textId="77777777" w:rsidR="000B5A98" w:rsidRDefault="00000000">
      <w:pPr>
        <w:pStyle w:val="Ttulo"/>
      </w:pPr>
      <w:r>
        <w:lastRenderedPageBreak/>
        <w:t>Identificação e documentos da equipe</w:t>
      </w:r>
    </w:p>
    <w:p w14:paraId="18DB1072" w14:textId="77777777" w:rsidR="000B5A98" w:rsidRDefault="00000000">
      <w:pPr>
        <w:pStyle w:val="Ttulo1"/>
      </w:pPr>
      <w:r>
        <w:t>1 Forma de envio do DEMO continuação</w:t>
      </w:r>
    </w:p>
    <w:p w14:paraId="2712A422" w14:textId="17ABE808" w:rsidR="000B5A98" w:rsidRDefault="00000000">
      <w:pPr>
        <w:keepNext/>
      </w:pPr>
      <w:r>
        <w:rPr>
          <w:b/>
        </w:rPr>
        <w:t xml:space="preserve">c) </w:t>
      </w:r>
      <w:proofErr w:type="spellStart"/>
      <w:r>
        <w:rPr>
          <w:b/>
        </w:rPr>
        <w:t>Devemos</w:t>
      </w:r>
      <w:proofErr w:type="spellEnd"/>
      <w:r>
        <w:rPr>
          <w:b/>
        </w:rPr>
        <w:t xml:space="preserve"> usar </w:t>
      </w:r>
      <w:proofErr w:type="spellStart"/>
      <w:r w:rsidR="00643DD8">
        <w:rPr>
          <w:b/>
        </w:rPr>
        <w:t>o</w:t>
      </w:r>
      <w:r>
        <w:rPr>
          <w:b/>
        </w:rPr>
        <w:t>CODIGO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nomes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já</w:t>
      </w:r>
      <w:proofErr w:type="spellEnd"/>
      <w:r>
        <w:rPr>
          <w:b/>
        </w:rPr>
        <w:t xml:space="preserve"> que a comissão fará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anonimização?</w:t>
      </w:r>
    </w:p>
    <w:p w14:paraId="439F5678" w14:textId="23E41E21" w:rsidR="000B5A98" w:rsidRDefault="001C44B2">
      <w:proofErr w:type="spellStart"/>
      <w:r>
        <w:rPr>
          <w:color w:val="0057B8"/>
        </w:rPr>
        <w:t>Não</w:t>
      </w:r>
      <w:proofErr w:type="spellEnd"/>
      <w:r w:rsidR="00450228">
        <w:rPr>
          <w:color w:val="0057B8"/>
        </w:rPr>
        <w:t xml:space="preserve">. </w:t>
      </w:r>
      <w:proofErr w:type="spellStart"/>
      <w:r w:rsidR="00450228">
        <w:rPr>
          <w:color w:val="0057B8"/>
        </w:rPr>
        <w:t>A</w:t>
      </w:r>
      <w:r>
        <w:rPr>
          <w:color w:val="0057B8"/>
        </w:rPr>
        <w:t>penas</w:t>
      </w:r>
      <w:proofErr w:type="spellEnd"/>
      <w:r>
        <w:rPr>
          <w:color w:val="0057B8"/>
        </w:rPr>
        <w:t xml:space="preserve"> </w:t>
      </w:r>
      <w:proofErr w:type="spellStart"/>
      <w:r>
        <w:rPr>
          <w:color w:val="0057B8"/>
        </w:rPr>
        <w:t>deve</w:t>
      </w:r>
      <w:proofErr w:type="spellEnd"/>
      <w:r>
        <w:rPr>
          <w:color w:val="0057B8"/>
        </w:rPr>
        <w:t xml:space="preserve"> ser </w:t>
      </w:r>
      <w:proofErr w:type="spellStart"/>
      <w:r>
        <w:rPr>
          <w:color w:val="0057B8"/>
        </w:rPr>
        <w:t>manter</w:t>
      </w:r>
      <w:proofErr w:type="spellEnd"/>
      <w:r>
        <w:rPr>
          <w:color w:val="0057B8"/>
        </w:rPr>
        <w:t xml:space="preserve"> a </w:t>
      </w:r>
      <w:proofErr w:type="spellStart"/>
      <w:r>
        <w:rPr>
          <w:color w:val="0057B8"/>
        </w:rPr>
        <w:t>nomenclatura</w:t>
      </w:r>
      <w:proofErr w:type="spellEnd"/>
      <w:r>
        <w:rPr>
          <w:color w:val="0057B8"/>
        </w:rPr>
        <w:t xml:space="preserve"> de </w:t>
      </w:r>
      <w:proofErr w:type="spellStart"/>
      <w:r>
        <w:rPr>
          <w:color w:val="0057B8"/>
        </w:rPr>
        <w:t>identificação</w:t>
      </w:r>
      <w:proofErr w:type="spellEnd"/>
      <w:r>
        <w:rPr>
          <w:color w:val="0057B8"/>
        </w:rPr>
        <w:t xml:space="preserve"> dos </w:t>
      </w:r>
      <w:proofErr w:type="spellStart"/>
      <w:r>
        <w:rPr>
          <w:color w:val="0057B8"/>
        </w:rPr>
        <w:t>itens</w:t>
      </w:r>
      <w:proofErr w:type="spellEnd"/>
      <w:r>
        <w:rPr>
          <w:color w:val="0057B8"/>
        </w:rPr>
        <w:t xml:space="preserve">. O </w:t>
      </w:r>
      <w:proofErr w:type="spellStart"/>
      <w:r>
        <w:rPr>
          <w:color w:val="0057B8"/>
        </w:rPr>
        <w:t>devido</w:t>
      </w:r>
      <w:proofErr w:type="spellEnd"/>
      <w:r>
        <w:rPr>
          <w:color w:val="0057B8"/>
        </w:rPr>
        <w:t xml:space="preserve"> </w:t>
      </w:r>
      <w:proofErr w:type="spellStart"/>
      <w:r>
        <w:rPr>
          <w:color w:val="0057B8"/>
        </w:rPr>
        <w:t>código</w:t>
      </w:r>
      <w:proofErr w:type="spellEnd"/>
      <w:r>
        <w:rPr>
          <w:color w:val="0057B8"/>
        </w:rPr>
        <w:t xml:space="preserve"> </w:t>
      </w:r>
      <w:proofErr w:type="spellStart"/>
      <w:r>
        <w:rPr>
          <w:color w:val="0057B8"/>
        </w:rPr>
        <w:t>será</w:t>
      </w:r>
      <w:proofErr w:type="spellEnd"/>
      <w:r>
        <w:rPr>
          <w:color w:val="0057B8"/>
        </w:rPr>
        <w:t xml:space="preserve"> </w:t>
      </w:r>
      <w:proofErr w:type="spellStart"/>
      <w:r>
        <w:rPr>
          <w:color w:val="0057B8"/>
        </w:rPr>
        <w:t>atribuido</w:t>
      </w:r>
      <w:proofErr w:type="spellEnd"/>
      <w:r>
        <w:rPr>
          <w:color w:val="0057B8"/>
        </w:rPr>
        <w:t xml:space="preserve"> </w:t>
      </w:r>
      <w:proofErr w:type="spellStart"/>
      <w:r>
        <w:rPr>
          <w:color w:val="0057B8"/>
        </w:rPr>
        <w:t>por</w:t>
      </w:r>
      <w:proofErr w:type="spellEnd"/>
      <w:r>
        <w:rPr>
          <w:color w:val="0057B8"/>
        </w:rPr>
        <w:t xml:space="preserve"> </w:t>
      </w:r>
      <w:proofErr w:type="spellStart"/>
      <w:r>
        <w:rPr>
          <w:color w:val="0057B8"/>
        </w:rPr>
        <w:t>pessoal</w:t>
      </w:r>
      <w:proofErr w:type="spellEnd"/>
      <w:r>
        <w:rPr>
          <w:color w:val="0057B8"/>
        </w:rPr>
        <w:t xml:space="preserve"> </w:t>
      </w:r>
      <w:proofErr w:type="spellStart"/>
      <w:r>
        <w:rPr>
          <w:color w:val="0057B8"/>
        </w:rPr>
        <w:t>responsavel</w:t>
      </w:r>
      <w:proofErr w:type="spellEnd"/>
      <w:r>
        <w:rPr>
          <w:color w:val="0057B8"/>
        </w:rPr>
        <w:t xml:space="preserve"> pela </w:t>
      </w:r>
      <w:proofErr w:type="spellStart"/>
      <w:r>
        <w:rPr>
          <w:color w:val="0057B8"/>
        </w:rPr>
        <w:t>organização</w:t>
      </w:r>
      <w:proofErr w:type="spellEnd"/>
      <w:r>
        <w:rPr>
          <w:color w:val="0057B8"/>
        </w:rPr>
        <w:t xml:space="preserve"> das </w:t>
      </w:r>
      <w:proofErr w:type="spellStart"/>
      <w:r>
        <w:rPr>
          <w:color w:val="0057B8"/>
        </w:rPr>
        <w:t>avaliações</w:t>
      </w:r>
      <w:proofErr w:type="spellEnd"/>
      <w:r>
        <w:rPr>
          <w:color w:val="0057B8"/>
        </w:rPr>
        <w:t xml:space="preserve">. </w:t>
      </w:r>
      <w:r w:rsidR="00643DD8">
        <w:rPr>
          <w:color w:val="0057B8"/>
        </w:rPr>
        <w:t xml:space="preserve">Para a </w:t>
      </w:r>
      <w:proofErr w:type="spellStart"/>
      <w:r w:rsidR="00643DD8">
        <w:rPr>
          <w:color w:val="0057B8"/>
        </w:rPr>
        <w:t>bancada</w:t>
      </w:r>
      <w:proofErr w:type="spellEnd"/>
      <w:r w:rsidR="00643DD8">
        <w:rPr>
          <w:color w:val="0057B8"/>
        </w:rPr>
        <w:t xml:space="preserve"> de </w:t>
      </w:r>
      <w:proofErr w:type="spellStart"/>
      <w:r w:rsidR="00643DD8">
        <w:rPr>
          <w:color w:val="0057B8"/>
        </w:rPr>
        <w:t>avaliacão</w:t>
      </w:r>
      <w:proofErr w:type="spellEnd"/>
      <w:r w:rsidR="006D709E">
        <w:rPr>
          <w:color w:val="0057B8"/>
        </w:rPr>
        <w:t xml:space="preserve">, </w:t>
      </w:r>
      <w:proofErr w:type="spellStart"/>
      <w:r w:rsidR="00643DD8">
        <w:rPr>
          <w:color w:val="0057B8"/>
        </w:rPr>
        <w:t>apenas</w:t>
      </w:r>
      <w:proofErr w:type="spellEnd"/>
      <w:r w:rsidR="00643DD8">
        <w:rPr>
          <w:color w:val="0057B8"/>
        </w:rPr>
        <w:t xml:space="preserve"> </w:t>
      </w:r>
      <w:proofErr w:type="spellStart"/>
      <w:r w:rsidR="00643DD8">
        <w:rPr>
          <w:color w:val="0057B8"/>
        </w:rPr>
        <w:t>será</w:t>
      </w:r>
      <w:proofErr w:type="spellEnd"/>
      <w:r w:rsidR="00643DD8">
        <w:rPr>
          <w:color w:val="0057B8"/>
        </w:rPr>
        <w:t xml:space="preserve"> </w:t>
      </w:r>
      <w:proofErr w:type="spellStart"/>
      <w:r w:rsidR="00643DD8">
        <w:rPr>
          <w:color w:val="0057B8"/>
        </w:rPr>
        <w:t>fornecido</w:t>
      </w:r>
      <w:proofErr w:type="spellEnd"/>
      <w:r w:rsidR="00643DD8">
        <w:rPr>
          <w:color w:val="0057B8"/>
        </w:rPr>
        <w:t xml:space="preserve"> o </w:t>
      </w:r>
      <w:proofErr w:type="spellStart"/>
      <w:r w:rsidR="00643DD8">
        <w:rPr>
          <w:color w:val="0057B8"/>
        </w:rPr>
        <w:t>codigo</w:t>
      </w:r>
      <w:proofErr w:type="spellEnd"/>
      <w:r w:rsidR="006D709E">
        <w:rPr>
          <w:color w:val="0057B8"/>
        </w:rPr>
        <w:t xml:space="preserve"> de </w:t>
      </w:r>
      <w:proofErr w:type="spellStart"/>
      <w:r w:rsidR="006D709E">
        <w:rPr>
          <w:color w:val="0057B8"/>
        </w:rPr>
        <w:t>cada</w:t>
      </w:r>
      <w:proofErr w:type="spellEnd"/>
      <w:r w:rsidR="006D709E">
        <w:rPr>
          <w:color w:val="0057B8"/>
        </w:rPr>
        <w:t xml:space="preserve"> </w:t>
      </w:r>
      <w:proofErr w:type="spellStart"/>
      <w:r w:rsidR="006D709E">
        <w:rPr>
          <w:color w:val="0057B8"/>
        </w:rPr>
        <w:t>particpante</w:t>
      </w:r>
      <w:proofErr w:type="spellEnd"/>
      <w:r w:rsidR="006D709E">
        <w:rPr>
          <w:color w:val="0057B8"/>
        </w:rPr>
        <w:t xml:space="preserve"> do </w:t>
      </w:r>
      <w:proofErr w:type="spellStart"/>
      <w:r w:rsidR="006D709E">
        <w:rPr>
          <w:color w:val="0057B8"/>
        </w:rPr>
        <w:t>processo</w:t>
      </w:r>
      <w:proofErr w:type="spellEnd"/>
      <w:r w:rsidR="00643DD8">
        <w:rPr>
          <w:color w:val="0057B8"/>
        </w:rPr>
        <w:t xml:space="preserve">, </w:t>
      </w:r>
      <w:proofErr w:type="spellStart"/>
      <w:r w:rsidR="00643DD8">
        <w:rPr>
          <w:color w:val="0057B8"/>
        </w:rPr>
        <w:t>mantendo</w:t>
      </w:r>
      <w:proofErr w:type="spellEnd"/>
      <w:r w:rsidR="00643DD8">
        <w:rPr>
          <w:color w:val="0057B8"/>
        </w:rPr>
        <w:t xml:space="preserve"> </w:t>
      </w:r>
      <w:proofErr w:type="gramStart"/>
      <w:r w:rsidR="00450228">
        <w:rPr>
          <w:color w:val="0057B8"/>
        </w:rPr>
        <w:t>a</w:t>
      </w:r>
      <w:proofErr w:type="gramEnd"/>
      <w:r w:rsidR="00450228">
        <w:rPr>
          <w:color w:val="0057B8"/>
        </w:rPr>
        <w:t xml:space="preserve"> </w:t>
      </w:r>
      <w:proofErr w:type="spellStart"/>
      <w:r w:rsidR="00643DD8">
        <w:rPr>
          <w:color w:val="0057B8"/>
        </w:rPr>
        <w:t>anonimização</w:t>
      </w:r>
      <w:proofErr w:type="spellEnd"/>
      <w:r w:rsidR="00643DD8">
        <w:rPr>
          <w:color w:val="0057B8"/>
        </w:rPr>
        <w:t>.</w:t>
      </w:r>
    </w:p>
    <w:p w14:paraId="52C50E30" w14:textId="77777777" w:rsidR="000B5A98" w:rsidRDefault="00000000">
      <w:pPr>
        <w:keepNext/>
      </w:pPr>
      <w:r>
        <w:rPr>
          <w:b/>
        </w:rPr>
        <w:t xml:space="preserve">d) Em qual campo apresentar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identificação separada do DEMO?</w:t>
      </w:r>
    </w:p>
    <w:p w14:paraId="6CBE240C" w14:textId="77777777" w:rsidR="000B5A98" w:rsidRDefault="00000000">
      <w:r>
        <w:rPr>
          <w:color w:val="0057B8"/>
        </w:rPr>
        <w:t>A separação é expressamente exigida pelo TR 11.7 e pelo Anexo II, item B, mas o campo eletrônico não foi indicado. Propõe-se documento denominado IDENTIFICACAO_LICITANTE.pdf, em anexo administrativo acessível apenas à comissão de recebimento e aos responsáveis pela verificação documental, sem encaminhamento à banca.</w:t>
      </w:r>
    </w:p>
    <w:p w14:paraId="5579CDAE" w14:textId="77777777" w:rsidR="000B5A98" w:rsidRDefault="00000000">
      <w:r>
        <w:rPr>
          <w:color w:val="0057B8"/>
        </w:rPr>
        <w:t>Se o portal só aceitar um volume, a Administração deve definir a separação interna e a extração dos documentos pela comissão antes do envio à banca. Caso o sistema não permita esse fluxo, deve ser criado canal oficial alternativo, com protocolo e controle de acesso. Não é adequado indicar um campo inexistente ou encaminhar a identificação no pacote anônimo.</w:t>
      </w:r>
    </w:p>
    <w:p w14:paraId="3CD466A6" w14:textId="77777777" w:rsidR="000B5A98" w:rsidRDefault="00000000">
      <w:pPr>
        <w:pStyle w:val="Ttulo1"/>
      </w:pPr>
      <w:r>
        <w:t>2 Documentos da equipe técnica mínima</w:t>
      </w:r>
    </w:p>
    <w:p w14:paraId="3B72D15C" w14:textId="77777777" w:rsidR="000B5A98" w:rsidRDefault="00000000">
      <w:pPr>
        <w:keepNext/>
      </w:pPr>
      <w:r>
        <w:rPr>
          <w:b/>
        </w:rPr>
        <w:t>Os currículos, comprovações e vínculos devem ser entregues até 03/11 com a identificação separada, fora do pacote anônimo?</w:t>
      </w:r>
    </w:p>
    <w:p w14:paraId="3ED69535" w14:textId="77777777" w:rsidR="000B5A98" w:rsidRDefault="00000000">
      <w:r>
        <w:rPr>
          <w:color w:val="0057B8"/>
        </w:rPr>
        <w:t>Esse entendimento é coerente com os itens 10.3, 10.4 e 11.6 do TR, mas necessita de harmonização formal com os itens 5.1 e 5.7, alínea b, do edital, que situam esses documentos na habilitação da vencedora. A contradição não deve ser resolvida por presunção desfavorável à licitante.</w:t>
      </w:r>
    </w:p>
    <w:p w14:paraId="4926E37A" w14:textId="77777777" w:rsidR="000B5A98" w:rsidRDefault="00000000">
      <w:r>
        <w:rPr>
          <w:color w:val="0057B8"/>
        </w:rPr>
        <w:t>Solução proposta: definir a entrega dos documentos da equipe com a proposta técnica, até o prazo oficial, em conjunto identificado separado do material anônimo. A comissão verifica nominalmente qualificação, experiência, participação e vínculo; a banca recebe a metodologia e a distribuição de funções por códigos, preservadas as informações necessárias ao critério 13, sem acesso aos nomes e às provas que revelem a autoria.</w:t>
      </w:r>
    </w:p>
    <w:p w14:paraId="73F19543" w14:textId="77777777" w:rsidR="000B5A98" w:rsidRDefault="00000000">
      <w:r>
        <w:rPr>
          <w:color w:val="0057B8"/>
        </w:rPr>
        <w:t>A habilitação da vencedora permanece na fase prevista no edital, com reaproveitamento ou reapresentação desses documentos conforme instrução oficial. O compromisso de contratação futura é admitido pelo TR 10.4: não se exige contratação trabalhista prévia. A equipe e os fatos comprobatórios devem atender à data-limite; diligências sobre fatos preexistentes seguem o art. 64 da Lei nº 14.133/2021, sem permitir formar nova equipe após o prazo.</w:t>
      </w:r>
    </w:p>
    <w:p w14:paraId="15F8124B" w14:textId="77777777" w:rsidR="000B5A98" w:rsidRDefault="00000000">
      <w:r>
        <w:br w:type="page"/>
      </w:r>
    </w:p>
    <w:p w14:paraId="68E290C0" w14:textId="77777777" w:rsidR="000B5A98" w:rsidRDefault="00000000">
      <w:pPr>
        <w:pStyle w:val="Ttulo"/>
      </w:pPr>
      <w:r>
        <w:lastRenderedPageBreak/>
        <w:t>Relatórios e referência histórica</w:t>
      </w:r>
    </w:p>
    <w:p w14:paraId="56D7F6DB" w14:textId="77777777" w:rsidR="000B5A98" w:rsidRDefault="00000000">
      <w:pPr>
        <w:pStyle w:val="Ttulo1"/>
      </w:pPr>
      <w:r>
        <w:t>3 Relatório da Primeira Etapa Mapping</w:t>
      </w:r>
    </w:p>
    <w:p w14:paraId="362618FC" w14:textId="77777777" w:rsidR="000B5A98" w:rsidRDefault="00000000">
      <w:pPr>
        <w:keepNext/>
      </w:pPr>
      <w:r>
        <w:rPr>
          <w:b/>
        </w:rPr>
        <w:t>a) O arquivo CODIGO_RELATORIO_PRIMEIRA_ETAPA_MAPPING.pdf é o relatório da licitante e pode reunir os documentos do TR 11.6, exceto os da equipe?</w:t>
      </w:r>
    </w:p>
    <w:p w14:paraId="6E9944D3" w14:textId="77777777" w:rsidR="000B5A98" w:rsidRDefault="00000000">
      <w:r>
        <w:rPr>
          <w:color w:val="0057B8"/>
        </w:rPr>
        <w:t>Sim, quanto à finalidade descrita no questionamento: o relatório que explica conceito, sequência, recursos 2D/3D, trilha, locução e aplicação do DEMO é produzido pela própria licitante. Ele não se confunde com o relatório de pesquisa histórica elaborado pela consultoria e citado no TR 6.1.1 e no Anexo VII.</w:t>
      </w:r>
    </w:p>
    <w:p w14:paraId="08F24539" w14:textId="77777777" w:rsidR="000B5A98" w:rsidRDefault="00000000">
      <w:r>
        <w:rPr>
          <w:color w:val="0057B8"/>
        </w:rPr>
        <w:t>É cabível reunir nesse PDF os documentos técnicos do TR 11.6, desde que todas as exigências estejam contempladas em seções identificáveis: memorial conceitual e histórico; roteiro e escaleta; correspondência com os sete blocos; quadro de cenas e aferição 3D; metodologia; evidências 3D; aplicação na máscara e no modelo; identificação e versão dos arquivos oficiais; e declarações de igualdade e de direitos.</w:t>
      </w:r>
    </w:p>
    <w:p w14:paraId="515644D8" w14:textId="77777777" w:rsidR="000B5A98" w:rsidRDefault="00000000">
      <w:r>
        <w:rPr>
          <w:color w:val="0057B8"/>
        </w:rPr>
        <w:t>A consolidação não dispensa os vídeos, os áudios nem evidências que precisem ser entregues em arquivos próprios. Documentos da equipe e originais assinados que identifiquem a licitante devem permanecer no conjunto administrativo. À banca podem ser fornecidas cópias anonimizadas das declarações, com a autenticidade dos originais verificada pela comissão.</w:t>
      </w:r>
    </w:p>
    <w:p w14:paraId="759BE197" w14:textId="77777777" w:rsidR="000B5A98" w:rsidRDefault="00000000">
      <w:r>
        <w:rPr>
          <w:color w:val="0057B8"/>
        </w:rPr>
        <w:t>Solução proposta: esclarecer oficialmente que se trata do memorial técnico da licitante e adotar o nome CODIGO_MEMORIAL_TECNICO_DEMO.pdf, aceitando como equivalente a nomenclatura anterior. A alteração deve ser publicada para todos, sem penalizar quem utilizou o nome originalmente indicado.</w:t>
      </w:r>
    </w:p>
    <w:p w14:paraId="782A56DD" w14:textId="77777777" w:rsidR="000B5A98" w:rsidRDefault="00000000">
      <w:pPr>
        <w:keepNext/>
      </w:pPr>
      <w:r>
        <w:rPr>
          <w:b/>
        </w:rPr>
        <w:t>b) O relatório histórico será disponibilizado? Se não, o julgamento ficará restrito ao Anexo I e aos documentos publicados?</w:t>
      </w:r>
    </w:p>
    <w:p w14:paraId="0B53439D" w14:textId="77777777" w:rsidR="000B5A98" w:rsidRDefault="00000000">
      <w:r>
        <w:rPr>
          <w:color w:val="0057B8"/>
        </w:rPr>
        <w:t>A disponibilização depende da Administração; não há base para afirmar que já ocorreu ou prometer uma data. Nos cinco arquivos do processo examinados, o relatório histórico é citado como referência, mas não foi identificado seu inteiro teor. A menção bibliográfica no Anexo VII não substitui sua entrega.</w:t>
      </w:r>
    </w:p>
    <w:p w14:paraId="1455A419" w14:textId="77777777" w:rsidR="000B5A98" w:rsidRDefault="00000000">
      <w:r>
        <w:rPr>
          <w:color w:val="0057B8"/>
        </w:rPr>
        <w:t>A solução preferencial é disponibilizar oficialmente o relatório histórico completo, identificado por autoria, versão e data, por ser referência obrigatória no TR 6.1.1. Se a publicação acrescentar premissas capazes de modificar a elaboração do DEMO, será necessário adequar os documentos e reabrir o prazo legal.</w:t>
      </w:r>
    </w:p>
    <w:p w14:paraId="34850031" w14:textId="77777777" w:rsidR="000B5A98" w:rsidRDefault="00000000">
      <w:r>
        <w:rPr>
          <w:color w:val="0057B8"/>
        </w:rPr>
        <w:t>Se a Administração optar por não disponibilizá-lo nesta fase, deve formalizar que o DEMO será produzido e julgado exclusivamente com base no Anexo I e nos demais documentos efetivamente disponibilizados com o edital, como determina o TR 6.1.3. Devem ser ajustadas as referências que possam sugerir obrigação de consultar material não fornecido. Não cabe reduzir nota ou desclassificar por conteúdo exigido apenas em documento inacessível às licitantes.</w:t>
      </w:r>
    </w:p>
    <w:p w14:paraId="6D65189C" w14:textId="77777777" w:rsidR="000B5A98" w:rsidRPr="00450228" w:rsidRDefault="00000000">
      <w:pPr>
        <w:rPr>
          <w:color w:val="EE0000"/>
        </w:rPr>
      </w:pPr>
      <w:r w:rsidRPr="00450228">
        <w:rPr>
          <w:color w:val="EE0000"/>
          <w:sz w:val="19"/>
        </w:rPr>
        <w:t>Nota de conferência: a versão do Guia localizada, Guia_Orientacao_Padronizacao_DEMO_Sao_Miguel_V1_Modificado.docx, contém a descrição do relatório no item 8, a nomenclatura no 9.1 e o checklist no 10. Essa numeração difere da citada no e-mail. Antes da publicação da resposta, deve-se confirmar qual versão do Guia integra oficialmente o certame. A distinção entre os dois relatórios permanece necessária.</w:t>
      </w:r>
    </w:p>
    <w:p w14:paraId="5A6E1D72" w14:textId="77777777" w:rsidR="000B5A98" w:rsidRDefault="00000000">
      <w:r>
        <w:br w:type="page"/>
      </w:r>
    </w:p>
    <w:p w14:paraId="4D6C7328" w14:textId="77777777" w:rsidR="000B5A98" w:rsidRDefault="00000000">
      <w:pPr>
        <w:pStyle w:val="Ttulo"/>
      </w:pPr>
      <w:r>
        <w:lastRenderedPageBreak/>
        <w:t>Consórcio e assinatura eletrônica</w:t>
      </w:r>
    </w:p>
    <w:p w14:paraId="548AB014" w14:textId="77777777" w:rsidR="000B5A98" w:rsidRDefault="00000000">
      <w:pPr>
        <w:pStyle w:val="Ttulo1"/>
      </w:pPr>
      <w:r>
        <w:t>4 Consórcio</w:t>
      </w:r>
    </w:p>
    <w:p w14:paraId="6791D458" w14:textId="77777777" w:rsidR="000B5A98" w:rsidRDefault="00000000">
      <w:pPr>
        <w:keepNext/>
      </w:pPr>
      <w:r>
        <w:rPr>
          <w:b/>
        </w:rPr>
        <w:t xml:space="preserve">É </w:t>
      </w:r>
      <w:proofErr w:type="spellStart"/>
      <w:r>
        <w:rPr>
          <w:b/>
        </w:rPr>
        <w:t>admitido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consórcio</w:t>
      </w:r>
      <w:proofErr w:type="spellEnd"/>
      <w:r>
        <w:rPr>
          <w:b/>
        </w:rPr>
        <w:t xml:space="preserve">, com somatório dos quantitativos e vínculo dos </w:t>
      </w:r>
      <w:proofErr w:type="spellStart"/>
      <w:r>
        <w:rPr>
          <w:b/>
        </w:rPr>
        <w:t>profissionais</w:t>
      </w:r>
      <w:proofErr w:type="spellEnd"/>
      <w:r>
        <w:rPr>
          <w:b/>
        </w:rPr>
        <w:t xml:space="preserve"> com </w:t>
      </w:r>
      <w:proofErr w:type="spellStart"/>
      <w:r>
        <w:rPr>
          <w:b/>
        </w:rPr>
        <w:t>qualquer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consorciada</w:t>
      </w:r>
      <w:proofErr w:type="spellEnd"/>
      <w:r>
        <w:rPr>
          <w:b/>
        </w:rPr>
        <w:t>?</w:t>
      </w:r>
    </w:p>
    <w:p w14:paraId="608C0F14" w14:textId="77777777" w:rsidR="000B5A98" w:rsidRDefault="00000000">
      <w:r w:rsidRPr="00450228">
        <w:rPr>
          <w:b/>
          <w:bCs/>
          <w:color w:val="76923C" w:themeColor="accent3" w:themeShade="BF"/>
        </w:rPr>
        <w:t xml:space="preserve">Sim, </w:t>
      </w:r>
      <w:proofErr w:type="spellStart"/>
      <w:r w:rsidRPr="00450228">
        <w:rPr>
          <w:b/>
          <w:bCs/>
          <w:color w:val="76923C" w:themeColor="accent3" w:themeShade="BF"/>
        </w:rPr>
        <w:t>na</w:t>
      </w:r>
      <w:proofErr w:type="spellEnd"/>
      <w:r w:rsidRPr="00450228">
        <w:rPr>
          <w:b/>
          <w:bCs/>
          <w:color w:val="76923C" w:themeColor="accent3" w:themeShade="BF"/>
        </w:rPr>
        <w:t xml:space="preserve"> </w:t>
      </w:r>
      <w:proofErr w:type="spellStart"/>
      <w:r w:rsidRPr="00450228">
        <w:rPr>
          <w:b/>
          <w:bCs/>
          <w:color w:val="76923C" w:themeColor="accent3" w:themeShade="BF"/>
        </w:rPr>
        <w:t>ausência</w:t>
      </w:r>
      <w:proofErr w:type="spellEnd"/>
      <w:r w:rsidRPr="00450228">
        <w:rPr>
          <w:b/>
          <w:bCs/>
          <w:color w:val="76923C" w:themeColor="accent3" w:themeShade="BF"/>
        </w:rPr>
        <w:t xml:space="preserve"> de vedação expressa e devidamente justificada.</w:t>
      </w:r>
      <w:r w:rsidRPr="00450228">
        <w:rPr>
          <w:color w:val="76923C" w:themeColor="accent3" w:themeShade="BF"/>
        </w:rPr>
        <w:t xml:space="preserve"> </w:t>
      </w:r>
      <w:r>
        <w:rPr>
          <w:color w:val="0057B8"/>
        </w:rPr>
        <w:t xml:space="preserve">O </w:t>
      </w:r>
      <w:proofErr w:type="spellStart"/>
      <w:r>
        <w:rPr>
          <w:color w:val="0057B8"/>
        </w:rPr>
        <w:t>edital</w:t>
      </w:r>
      <w:proofErr w:type="spellEnd"/>
      <w:r>
        <w:rPr>
          <w:color w:val="0057B8"/>
        </w:rPr>
        <w:t xml:space="preserve"> </w:t>
      </w:r>
      <w:proofErr w:type="spellStart"/>
      <w:r>
        <w:rPr>
          <w:color w:val="0057B8"/>
        </w:rPr>
        <w:t>examinado</w:t>
      </w:r>
      <w:proofErr w:type="spellEnd"/>
      <w:r>
        <w:rPr>
          <w:color w:val="0057B8"/>
        </w:rPr>
        <w:t xml:space="preserve"> </w:t>
      </w:r>
      <w:proofErr w:type="spellStart"/>
      <w:r>
        <w:rPr>
          <w:color w:val="0057B8"/>
        </w:rPr>
        <w:t>não</w:t>
      </w:r>
      <w:proofErr w:type="spellEnd"/>
      <w:r>
        <w:rPr>
          <w:color w:val="0057B8"/>
        </w:rPr>
        <w:t xml:space="preserve"> contém proibição geral de consórcios. A referência a empresa isolada ou em consórcio no item 1.4, alínea b, trata do impedimento de quem elaborou o projeto; não constitui vedação geral. O art. 15 da Lei nº 14.133/2021 admite participação consorciada, e seu inciso III autoriza somar quantitativos para habilitação técnica.</w:t>
      </w:r>
    </w:p>
    <w:p w14:paraId="782B6DAB" w14:textId="77777777" w:rsidR="000B5A98" w:rsidRDefault="00000000">
      <w:r>
        <w:rPr>
          <w:color w:val="0057B8"/>
        </w:rPr>
        <w:t>O vínculo com qualquer consorciada é uma interpretação compatível com a participação conjunta, desde que cada profissional seja identificado, cumpra integralmente os requisitos de sua função e se comprometa expressamente com a execução do objeto pelo consórcio. Não se deve exigir vínculo exclusivamente com a líder. A Administração deve confirmar esse entendimento no esclarecimento, observando o TR 10.4.</w:t>
      </w:r>
    </w:p>
    <w:p w14:paraId="351B3F8B" w14:textId="77777777" w:rsidR="000B5A98" w:rsidRDefault="00000000">
      <w:r>
        <w:rPr>
          <w:color w:val="0057B8"/>
        </w:rPr>
        <w:t>O somatório da capacidade das empresas não dispensa a qualificação individual dos profissionais, nem permite somar currículos de pessoas distintas para suprir requisito exigido de um único integrante. Permanecem o limite de duas funções compatíveis por profissional e as demais condições do TR.</w:t>
      </w:r>
    </w:p>
    <w:p w14:paraId="71618C16" w14:textId="77777777" w:rsidR="000B5A98" w:rsidRDefault="00000000">
      <w:r>
        <w:rPr>
          <w:color w:val="0057B8"/>
        </w:rPr>
        <w:t>Solução proposta: explicitar no instrumento as regras de compromisso de constituição, indicação da líder, responsabilidade solidária, impedimento de participação simultânea isolada ou em outro consórcio e constituição e registro antes do contrato. A qualificação econômico-financeira deve ser compatibilizada com o art. 15, §§ 1º e 2º, sem criar percentual ou exigência financeira não publicados. O edital analisado não fixa valor de capital ou patrimônio mínimo sobre o qual aplicar automaticamente um acréscimo.</w:t>
      </w:r>
    </w:p>
    <w:p w14:paraId="46482AF7" w14:textId="77777777" w:rsidR="000B5A98" w:rsidRDefault="00000000">
      <w:pPr>
        <w:pStyle w:val="Ttulo1"/>
      </w:pPr>
      <w:r>
        <w:t>5 Assinatura eletrônica</w:t>
      </w:r>
    </w:p>
    <w:p w14:paraId="59A5330D" w14:textId="77777777" w:rsidR="000B5A98" w:rsidRDefault="00000000">
      <w:pPr>
        <w:keepNext/>
      </w:pPr>
      <w:r>
        <w:rPr>
          <w:b/>
        </w:rPr>
        <w:t>Serão aceitas proposta, declarações e compromissos da equipe assinados com ICP-Brasil ou gov.br?</w:t>
      </w:r>
    </w:p>
    <w:p w14:paraId="31A45416" w14:textId="77777777" w:rsidR="000B5A98" w:rsidRDefault="00000000">
      <w:r w:rsidRPr="00450228">
        <w:rPr>
          <w:b/>
          <w:bCs/>
          <w:i/>
          <w:iCs/>
          <w:color w:val="76923C" w:themeColor="accent3" w:themeShade="BF"/>
        </w:rPr>
        <w:t xml:space="preserve">ICP-Brasil: sim, desde que </w:t>
      </w:r>
      <w:proofErr w:type="gramStart"/>
      <w:r w:rsidRPr="00450228">
        <w:rPr>
          <w:b/>
          <w:bCs/>
          <w:i/>
          <w:iCs/>
          <w:color w:val="76923C" w:themeColor="accent3" w:themeShade="BF"/>
        </w:rPr>
        <w:t>a</w:t>
      </w:r>
      <w:proofErr w:type="gramEnd"/>
      <w:r w:rsidRPr="00450228">
        <w:rPr>
          <w:b/>
          <w:bCs/>
          <w:i/>
          <w:iCs/>
          <w:color w:val="76923C" w:themeColor="accent3" w:themeShade="BF"/>
        </w:rPr>
        <w:t xml:space="preserve"> assinatura seja válida, íntegra e atribuída ao signatário competente</w:t>
      </w:r>
      <w:r w:rsidRPr="00F456F9">
        <w:rPr>
          <w:b/>
          <w:bCs/>
          <w:i/>
          <w:iCs/>
          <w:color w:val="548DD4" w:themeColor="text2" w:themeTint="99"/>
        </w:rPr>
        <w:t>.</w:t>
      </w:r>
      <w:r>
        <w:rPr>
          <w:color w:val="0057B8"/>
        </w:rPr>
        <w:t xml:space="preserve"> Trata-se de assinatura eletrônica qualificada, admitida nas interações com entes públicos pelo art. 5º, § 1º, III, da Lei nº 14.063/2020.</w:t>
      </w:r>
    </w:p>
    <w:p w14:paraId="083AAC15" w14:textId="77777777" w:rsidR="000B5A98" w:rsidRDefault="00000000">
      <w:r w:rsidRPr="00450228">
        <w:rPr>
          <w:b/>
          <w:bCs/>
          <w:i/>
          <w:iCs/>
          <w:color w:val="76923C" w:themeColor="accent3" w:themeShade="BF"/>
        </w:rPr>
        <w:t xml:space="preserve">gov.br: </w:t>
      </w:r>
      <w:proofErr w:type="gramStart"/>
      <w:r w:rsidRPr="00450228">
        <w:rPr>
          <w:b/>
          <w:bCs/>
          <w:i/>
          <w:iCs/>
          <w:color w:val="76923C" w:themeColor="accent3" w:themeShade="BF"/>
        </w:rPr>
        <w:t>a</w:t>
      </w:r>
      <w:proofErr w:type="gramEnd"/>
      <w:r w:rsidRPr="00450228">
        <w:rPr>
          <w:b/>
          <w:bCs/>
          <w:i/>
          <w:iCs/>
          <w:color w:val="76923C" w:themeColor="accent3" w:themeShade="BF"/>
        </w:rPr>
        <w:t xml:space="preserve"> assinatura avançada pode ser admitida, mas não é possível afirmar sua aceitação incondicional neste certame sem confirmar a regulamentação municipal e o nível exigido para esses atos</w:t>
      </w:r>
      <w:r w:rsidRPr="00F456F9">
        <w:rPr>
          <w:b/>
          <w:bCs/>
          <w:i/>
          <w:iCs/>
          <w:color w:val="548DD4" w:themeColor="text2" w:themeTint="99"/>
        </w:rPr>
        <w:t>.</w:t>
      </w:r>
      <w:r w:rsidRPr="00F456F9">
        <w:rPr>
          <w:color w:val="548DD4" w:themeColor="text2" w:themeTint="99"/>
        </w:rPr>
        <w:t xml:space="preserve"> </w:t>
      </w:r>
      <w:r>
        <w:rPr>
          <w:color w:val="0057B8"/>
        </w:rPr>
        <w:t>Recomenda-se que a Administração publique expressamente sua aceitação, caso compatível com a norma aplicável, indicando o procedimento de validação. O Decreto federal nº 10.543/2020, por si só, não comprova a adoção municipal.</w:t>
      </w:r>
    </w:p>
    <w:p w14:paraId="4DE85E2C" w14:textId="77777777" w:rsidR="000B5A98" w:rsidRDefault="00000000">
      <w:r>
        <w:rPr>
          <w:color w:val="0057B8"/>
        </w:rPr>
        <w:t>Devem ser enviados os arquivos eletrônicos originais assinados, preservando a verificação da assinatura. Proposta e declarações devem ser firmadas por representante com poderes; o compromisso futuro deve conter a manifestação da licitante e a anuência do profissional. Uma imagem de assinatura não equivale a assinatura eletrônica verificável.</w:t>
      </w:r>
    </w:p>
    <w:p w14:paraId="66718ED4" w14:textId="77777777" w:rsidR="000B5A98" w:rsidRDefault="00000000">
      <w:r>
        <w:rPr>
          <w:color w:val="0057B8"/>
        </w:rPr>
        <w:t>Os originais assinados devem ficar no conjunto identificado. Para avaliação cega, devem ser utilizadas cópias anonimizadas preparadas e vinculadas aos originais pela comissão, sem modificar o arquivo original assinado.</w:t>
      </w:r>
    </w:p>
    <w:p w14:paraId="2D815AD8" w14:textId="77777777" w:rsidR="000B5A98" w:rsidRDefault="00000000">
      <w:r>
        <w:br w:type="page"/>
      </w:r>
    </w:p>
    <w:p w14:paraId="5686E5A9" w14:textId="77777777" w:rsidR="000B5A98" w:rsidRDefault="00000000">
      <w:pPr>
        <w:pStyle w:val="Ttulo"/>
      </w:pPr>
      <w:r>
        <w:lastRenderedPageBreak/>
        <w:t>Providências para formalização das respostas</w:t>
      </w:r>
    </w:p>
    <w:p w14:paraId="10257264" w14:textId="77777777" w:rsidR="000B5A98" w:rsidRDefault="00000000">
      <w:r>
        <w:rPr>
          <w:sz w:val="19"/>
        </w:rPr>
        <w:t>As medidas abaixo complementam as soluções propostas e devem ser resolvidas antes da divulgação de uma resposta definitiva às licitantes.</w:t>
      </w:r>
    </w:p>
    <w:p w14:paraId="07A232AF" w14:textId="77777777" w:rsidR="000B5A98" w:rsidRDefault="00000000">
      <w:r>
        <w:rPr>
          <w:color w:val="0057B8"/>
        </w:rPr>
        <w:t>1. Confirmar com o portal o campo, os limites e as extensões permitidas. Publicar o procedimento único de envio, com eventual autorização de link, credenciais, período de disponibilidade, preservação da versão e protocolo de recebimento.</w:t>
      </w:r>
    </w:p>
    <w:p w14:paraId="747F1A92" w14:textId="77777777" w:rsidR="000B5A98" w:rsidRDefault="00000000">
      <w:r>
        <w:rPr>
          <w:color w:val="0057B8"/>
        </w:rPr>
        <w:t>2. Formalizar a separação entre o pacote anônimo, a identificação, os documentos da equipe e a habilitação. Definir quem verifica os originais e quais informações a banca recebe para avaliar a metodologia sem conhecer a autoria.</w:t>
      </w:r>
    </w:p>
    <w:p w14:paraId="4B2B3951" w14:textId="77777777" w:rsidR="000B5A98" w:rsidRDefault="00000000">
      <w:r>
        <w:rPr>
          <w:color w:val="0057B8"/>
        </w:rPr>
        <w:t>3. Identificar a versão oficial do Guia; distinguir o memorial da licitante do relatório histórico; disponibilizar este último ou ajustar expressamente a base documental exigível no DEMO.</w:t>
      </w:r>
    </w:p>
    <w:p w14:paraId="5442B004" w14:textId="77777777" w:rsidR="000B5A98" w:rsidRDefault="00000000">
      <w:r>
        <w:rPr>
          <w:color w:val="0057B8"/>
        </w:rPr>
        <w:t>4. Confirmar as regras para consórcios e para assinaturas avançadas gov.br. Não transformar interpretações ou soluções desta minuta em obrigações sem publicação oficial.</w:t>
      </w:r>
    </w:p>
    <w:p w14:paraId="1D677042" w14:textId="77777777" w:rsidR="000B5A98" w:rsidRDefault="00000000">
      <w:r>
        <w:rPr>
          <w:color w:val="0057B8"/>
        </w:rPr>
        <w:t>5. Publicar a resposta no sítio oficial, nos termos do edital 16.2 e do art. 164 da Lei nº 14.133/2021. Se a alteração comprometer a formulação das propostas, republicar o instrumento e observar a reabertura do prazo legal. Para técnica e preço, o art. 55, IV, prevê 35 dias úteis; a exceção do § 1º exige que a alteração não comprometa a formulação das propostas. A manutenção de 03/11/2026 não deve ser presumida se houver mudança material.</w:t>
      </w:r>
    </w:p>
    <w:p w14:paraId="244A4F8C" w14:textId="77777777" w:rsidR="000B5A98" w:rsidRDefault="00000000">
      <w:pPr>
        <w:pStyle w:val="Ttulo1"/>
      </w:pPr>
      <w:r>
        <w:t>Documentos utilizados</w:t>
      </w:r>
    </w:p>
    <w:p w14:paraId="51DA70D8" w14:textId="77777777" w:rsidR="000B5A98" w:rsidRDefault="00000000">
      <w:r>
        <w:rPr>
          <w:sz w:val="19"/>
        </w:rPr>
        <w:t>899951.docx — Edital: preâmbulo; itens 1.1, 1.4, 4.1.6, 4.1.10, 4.1.12, 4.1.16, 4.2.1, 4.5.1, 5.1, 5.7 e 16.</w:t>
      </w:r>
    </w:p>
    <w:p w14:paraId="4427F725" w14:textId="77777777" w:rsidR="000B5A98" w:rsidRDefault="00000000">
      <w:r>
        <w:rPr>
          <w:sz w:val="19"/>
        </w:rPr>
        <w:t>899953.pdf — TR consolidado, 51 páginas: itens 6.1, 10.1 a 10.4, 11.6 a 11.8; Anexo II, item B; Anexo IV, critério 13; Anexo VII. Conferido também o TR reproduzido em 899954.pdf.</w:t>
      </w:r>
    </w:p>
    <w:p w14:paraId="4C4116C4" w14:textId="77777777" w:rsidR="000B5A98" w:rsidRDefault="00000000">
      <w:r>
        <w:rPr>
          <w:sz w:val="19"/>
        </w:rPr>
        <w:t>899952.doc — ETP, utilizado como contexto de planejamento. 904368.docx — Errata de 28/09/2026, que suprime disposições sobre CREA e ART; não resolve as dúvidas de envio e anonimização aqui tratadas.</w:t>
      </w:r>
    </w:p>
    <w:p w14:paraId="78132C40" w14:textId="77777777" w:rsidR="000B5A98" w:rsidRDefault="00000000">
      <w:r>
        <w:rPr>
          <w:sz w:val="19"/>
        </w:rPr>
        <w:t>Guia_Orientacao_Padronizacao_DEMO_Sao_Miguel_V1_Modificado.docx — referência disponível para conferência do conteúdo e da nomenclatura, com a ressalva de versão indicada no item 3.</w:t>
      </w:r>
    </w:p>
    <w:p w14:paraId="1295854B" w14:textId="77777777" w:rsidR="000B5A98" w:rsidRDefault="00000000">
      <w:pPr>
        <w:pStyle w:val="Ttulo1"/>
      </w:pPr>
      <w:r>
        <w:t>Fontes legais oficiais</w:t>
      </w:r>
    </w:p>
    <w:p w14:paraId="0D275342" w14:textId="77777777" w:rsidR="000B5A98" w:rsidRDefault="00000000">
      <w:r>
        <w:rPr>
          <w:sz w:val="19"/>
        </w:rPr>
        <w:t>Lei nº 14.133/2021 — arts. 15, 55, 64 e 164.</w:t>
      </w:r>
      <w:r>
        <w:rPr>
          <w:sz w:val="19"/>
        </w:rPr>
        <w:br/>
        <w:t>https://www.planalto.gov.br/ccivil_03/_ato2019-2022/2021/lei/l14133.htm</w:t>
      </w:r>
    </w:p>
    <w:p w14:paraId="38B1C99E" w14:textId="77777777" w:rsidR="000B5A98" w:rsidRDefault="00000000">
      <w:r>
        <w:rPr>
          <w:sz w:val="19"/>
        </w:rPr>
        <w:t>Lei nº 14.063/2020 — arts. 4º e 5º.</w:t>
      </w:r>
      <w:r>
        <w:rPr>
          <w:sz w:val="19"/>
        </w:rPr>
        <w:br/>
        <w:t>https://www.planalto.gov.br/ccivil_03/_ato2019-2022/2020/lei/l14063.htm</w:t>
      </w:r>
    </w:p>
    <w:p w14:paraId="1790868C" w14:textId="77777777" w:rsidR="000B5A98" w:rsidRDefault="00000000">
      <w:r>
        <w:rPr>
          <w:sz w:val="19"/>
        </w:rPr>
        <w:t>Escopo da conferência: documentos disponibilizados para esta análise e legislação oficial. Não houve confirmação da configuração interna do portal, da adoção municipal de assinatura avançada ou de publicações adicionais que não integrem o conjunto examinado.</w:t>
      </w:r>
    </w:p>
    <w:sectPr w:rsidR="000B5A98" w:rsidSect="00034616">
      <w:headerReference w:type="default" r:id="rId8"/>
      <w:footerReference w:type="default" r:id="rId9"/>
      <w:pgSz w:w="11906" w:h="16838"/>
      <w:pgMar w:top="964" w:right="1134" w:bottom="964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3321FF4" w14:textId="77777777" w:rsidR="00FC5E4B" w:rsidRDefault="00FC5E4B">
      <w:pPr>
        <w:spacing w:after="0" w:line="240" w:lineRule="auto"/>
      </w:pPr>
      <w:r>
        <w:separator/>
      </w:r>
    </w:p>
  </w:endnote>
  <w:endnote w:type="continuationSeparator" w:id="0">
    <w:p w14:paraId="0296C131" w14:textId="77777777" w:rsidR="00FC5E4B" w:rsidRDefault="00FC5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496234" w14:textId="77777777" w:rsidR="000B5A98" w:rsidRDefault="00000000">
    <w:pPr>
      <w:pStyle w:val="Rodap"/>
    </w:pPr>
    <w:proofErr w:type="spellStart"/>
    <w:r>
      <w:rPr>
        <w:sz w:val="16"/>
      </w:rPr>
      <w:t>Minuta</w:t>
    </w:r>
    <w:proofErr w:type="spellEnd"/>
    <w:r>
      <w:rPr>
        <w:sz w:val="16"/>
      </w:rPr>
      <w:t xml:space="preserve"> para </w:t>
    </w:r>
    <w:proofErr w:type="spellStart"/>
    <w:proofErr w:type="gramStart"/>
    <w:r>
      <w:rPr>
        <w:sz w:val="16"/>
      </w:rPr>
      <w:t>validação</w:t>
    </w:r>
    <w:proofErr w:type="spellEnd"/>
    <w:r>
      <w:rPr>
        <w:sz w:val="16"/>
      </w:rPr>
      <w:t xml:space="preserve">  •</w:t>
    </w:r>
    <w:proofErr w:type="gramEnd"/>
    <w:r>
      <w:rPr>
        <w:sz w:val="16"/>
      </w:rPr>
      <w:t xml:space="preserve">  </w:t>
    </w:r>
    <w:proofErr w:type="spellStart"/>
    <w:r>
      <w:rPr>
        <w:sz w:val="16"/>
      </w:rPr>
      <w:t>Concorrência</w:t>
    </w:r>
    <w:proofErr w:type="spellEnd"/>
    <w:r>
      <w:rPr>
        <w:sz w:val="16"/>
      </w:rPr>
      <w:t xml:space="preserve"> 15/2026                                      </w:t>
    </w:r>
    <w:r>
      <w:fldChar w:fldCharType="begin"/>
    </w:r>
    <w:r>
      <w:instrText>PAGE</w:instrText>
    </w:r>
    <w:r>
      <w:fldChar w:fldCharType="separate"/>
    </w:r>
    <w:r w:rsidR="001C44B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EAF5270" w14:textId="77777777" w:rsidR="00FC5E4B" w:rsidRDefault="00FC5E4B">
      <w:pPr>
        <w:spacing w:after="0" w:line="240" w:lineRule="auto"/>
      </w:pPr>
      <w:r>
        <w:separator/>
      </w:r>
    </w:p>
  </w:footnote>
  <w:footnote w:type="continuationSeparator" w:id="0">
    <w:p w14:paraId="2D5968CA" w14:textId="77777777" w:rsidR="00FC5E4B" w:rsidRDefault="00FC5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8072A42" w14:textId="77777777" w:rsidR="000B5A98" w:rsidRDefault="00000000">
    <w:pPr>
      <w:pStyle w:val="Cabealho"/>
    </w:pPr>
    <w:r>
      <w:rPr>
        <w:sz w:val="16"/>
      </w:rPr>
      <w:t xml:space="preserve">SÃO MIGUEL DAS </w:t>
    </w:r>
    <w:proofErr w:type="gramStart"/>
    <w:r>
      <w:rPr>
        <w:sz w:val="16"/>
      </w:rPr>
      <w:t>MISSÕES  |</w:t>
    </w:r>
    <w:proofErr w:type="gramEnd"/>
    <w:r>
      <w:rPr>
        <w:sz w:val="16"/>
      </w:rPr>
      <w:t xml:space="preserve">  ESCLARECIMENTOS DO DEMO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61105103">
    <w:abstractNumId w:val="8"/>
  </w:num>
  <w:num w:numId="2" w16cid:durableId="1231576011">
    <w:abstractNumId w:val="6"/>
  </w:num>
  <w:num w:numId="3" w16cid:durableId="1311249996">
    <w:abstractNumId w:val="5"/>
  </w:num>
  <w:num w:numId="4" w16cid:durableId="1105615570">
    <w:abstractNumId w:val="4"/>
  </w:num>
  <w:num w:numId="5" w16cid:durableId="136605842">
    <w:abstractNumId w:val="7"/>
  </w:num>
  <w:num w:numId="6" w16cid:durableId="441993861">
    <w:abstractNumId w:val="3"/>
  </w:num>
  <w:num w:numId="7" w16cid:durableId="664406075">
    <w:abstractNumId w:val="2"/>
  </w:num>
  <w:num w:numId="8" w16cid:durableId="1727996273">
    <w:abstractNumId w:val="1"/>
  </w:num>
  <w:num w:numId="9" w16cid:durableId="45903321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5A98"/>
    <w:rsid w:val="0015074B"/>
    <w:rsid w:val="001C44B2"/>
    <w:rsid w:val="0029639D"/>
    <w:rsid w:val="00326F90"/>
    <w:rsid w:val="00450228"/>
    <w:rsid w:val="00454DC8"/>
    <w:rsid w:val="00643DD8"/>
    <w:rsid w:val="006D709E"/>
    <w:rsid w:val="00AA1D8D"/>
    <w:rsid w:val="00B47730"/>
    <w:rsid w:val="00CB0664"/>
    <w:rsid w:val="00F456F9"/>
    <w:rsid w:val="00FC5E4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2BE505"/>
  <w14:defaultImageDpi w14:val="300"/>
  <w15:docId w15:val="{5548FE91-03F7-4D4A-986F-80A598DBD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54" w:lineRule="auto"/>
    </w:pPr>
    <w:rPr>
      <w:rFonts w:ascii="Arial" w:hAnsi="Arial"/>
      <w:sz w:val="21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160" w:after="140"/>
      <w:outlineLvl w:val="0"/>
    </w:pPr>
    <w:rPr>
      <w:rFonts w:asciiTheme="majorHAnsi" w:eastAsiaTheme="majorEastAsia" w:hAnsiTheme="majorHAnsi" w:cstheme="majorBidi"/>
      <w:b/>
      <w:bCs/>
      <w:color w:val="000000"/>
      <w:sz w:val="26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160" w:after="140"/>
      <w:outlineLvl w:val="1"/>
    </w:pPr>
    <w:rPr>
      <w:rFonts w:asciiTheme="majorHAnsi" w:eastAsiaTheme="majorEastAsia" w:hAnsiTheme="majorHAnsi" w:cstheme="majorBidi"/>
      <w:b/>
      <w:bCs/>
      <w:color w:val="000000"/>
      <w:sz w:val="22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spacing w:before="160" w:after="140" w:line="240" w:lineRule="auto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38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2090</Words>
  <Characters>12061</Characters>
  <Application>Microsoft Office Word</Application>
  <DocSecurity>0</DocSecurity>
  <Lines>182</Lines>
  <Paragraphs>74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Respostas aos esclarecimentos sobre o DEMO de São Miguel das Missões</vt:lpstr>
      <vt:lpstr/>
    </vt:vector>
  </TitlesOfParts>
  <Manager/>
  <Company/>
  <LinksUpToDate>false</LinksUpToDate>
  <CharactersWithSpaces>14077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Respostas aos esclarecimentos sobre o DEMO de São Miguel das Missões</dc:title>
  <dc:subject>Concorrência Eletrônica 15/2026 — Processo 172/2026</dc:subject>
  <dc:creator/>
  <cp:keywords/>
  <dc:description>generated by python-docx</dc:description>
  <cp:lastModifiedBy>André Negreiros</cp:lastModifiedBy>
  <cp:revision>3</cp:revision>
  <dcterms:created xsi:type="dcterms:W3CDTF">2013-12-23T23:15:00Z</dcterms:created>
  <dcterms:modified xsi:type="dcterms:W3CDTF">2026-10-21T16:56:00Z</dcterms:modified>
  <cp:category/>
</cp:coreProperties>
</file>