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3.xml" ContentType="application/vnd.openxmlformats-officedocument.customXmlProperties+xml"/>
  <Override PartName="/customXml/itemProps1.xml" ContentType="application/vnd.openxmlformats-officedocument.customXmlProperties+xml"/>
  <Override PartName="/customXml/item2.xml" ContentType="application/xml"/>
  <Override PartName="/customXml/itemProps4.xml" ContentType="application/vnd.openxmlformats-officedocument.customXmlProperties+xml"/>
  <Override PartName="/customXml/itemProps2.xml" ContentType="application/vnd.openxmlformats-officedocument.customXmlProperties+xml"/>
  <Override PartName="/customXml/item3.xml" ContentType="application/xml"/>
  <Override PartName="/customXml/item4.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Arial" w:hAnsi="Arial"/>
        </w:rPr>
      </w:pPr>
      <w:r>
        <w:rPr>
          <w:rFonts w:cs="Arial" w:ascii="Arial" w:hAnsi="Arial"/>
          <w:color w:val="000000"/>
          <w:sz w:val="28"/>
          <w:szCs w:val="28"/>
          <w:shd w:fill="auto" w:val="clear"/>
        </w:rPr>
        <w:t xml:space="preserve">Aviso de </w:t>
      </w:r>
    </w:p>
    <w:p>
      <w:pPr>
        <w:pStyle w:val="Normal"/>
        <w:jc w:val="center"/>
        <w:rPr>
          <w:rFonts w:ascii="Arial" w:hAnsi="Arial"/>
        </w:rPr>
      </w:pPr>
      <w:r>
        <w:rPr>
          <w:rFonts w:cs="Arial" w:ascii="Arial" w:hAnsi="Arial"/>
          <w:b/>
          <w:bCs/>
          <w:color w:val="000000"/>
          <w:sz w:val="28"/>
          <w:szCs w:val="28"/>
          <w:shd w:fill="auto" w:val="clear"/>
        </w:rPr>
        <w:t xml:space="preserve">DISPENSA </w:t>
      </w:r>
    </w:p>
    <w:p>
      <w:pPr>
        <w:pStyle w:val="Normal"/>
        <w:jc w:val="center"/>
        <w:rPr>
          <w:i w:val="false"/>
          <w:i w:val="false"/>
          <w:iCs w:val="false"/>
        </w:rPr>
      </w:pPr>
      <w:r>
        <w:rPr>
          <w:rFonts w:cs="Arial" w:ascii="Arial" w:hAnsi="Arial"/>
          <w:b/>
          <w:bCs/>
          <w:i w:val="false"/>
          <w:iCs w:val="false"/>
          <w:color w:val="000000"/>
          <w:sz w:val="28"/>
          <w:szCs w:val="28"/>
          <w:shd w:fill="auto" w:val="clear"/>
        </w:rPr>
        <w:t>DE LICITAÇÃO</w:t>
      </w:r>
    </w:p>
    <w:p>
      <w:pPr>
        <w:pStyle w:val="Normal"/>
        <w:jc w:val="center"/>
        <w:rPr>
          <w:i w:val="false"/>
          <w:i w:val="false"/>
          <w:iCs w:val="false"/>
        </w:rPr>
      </w:pPr>
      <w:r>
        <w:rPr>
          <w:rFonts w:cs="Arial" w:ascii="Arial" w:hAnsi="Arial"/>
          <w:b/>
          <w:bCs/>
          <w:i w:val="false"/>
          <w:iCs w:val="false"/>
          <w:color w:val="000000"/>
          <w:sz w:val="28"/>
          <w:szCs w:val="28"/>
          <w:shd w:fill="auto" w:val="clear"/>
        </w:rPr>
        <w:t xml:space="preserve">N.º </w:t>
      </w:r>
      <w:r>
        <w:rPr>
          <w:rFonts w:cs="Arial" w:ascii="Arial" w:hAnsi="Arial"/>
          <w:b/>
          <w:bCs/>
          <w:i w:val="false"/>
          <w:iCs w:val="false"/>
          <w:color w:val="000000"/>
          <w:sz w:val="28"/>
          <w:szCs w:val="28"/>
          <w:shd w:fill="auto" w:val="clear"/>
        </w:rPr>
        <w:t>6</w:t>
      </w:r>
      <w:r>
        <w:rPr>
          <w:rFonts w:cs="Arial" w:ascii="Arial" w:hAnsi="Arial"/>
          <w:b/>
          <w:bCs/>
          <w:i w:val="false"/>
          <w:iCs w:val="false"/>
          <w:color w:val="000000"/>
          <w:sz w:val="28"/>
          <w:szCs w:val="28"/>
          <w:shd w:fill="auto" w:val="clear"/>
        </w:rPr>
        <w:t>/2026</w:t>
      </w:r>
    </w:p>
    <w:p>
      <w:pPr>
        <w:pStyle w:val="Normal"/>
        <w:spacing w:lineRule="auto" w:line="259"/>
        <w:rPr>
          <w:rFonts w:ascii="Arial" w:hAnsi="Arial" w:cs="Arial"/>
          <w:b/>
          <w:bCs/>
          <w:color w:val="000000"/>
          <w:sz w:val="28"/>
          <w:szCs w:val="28"/>
          <w:highlight w:val="none"/>
          <w:shd w:fill="auto" w:val="clear"/>
        </w:rPr>
      </w:pPr>
      <w:r>
        <w:rPr>
          <w:rFonts w:cs="Arial" w:ascii="Arial" w:hAnsi="Arial"/>
          <w:b/>
          <w:bCs/>
          <w:color w:val="000000"/>
          <w:sz w:val="28"/>
          <w:szCs w:val="28"/>
          <w:shd w:fill="auto" w:val="clear"/>
        </w:rPr>
      </w:r>
    </w:p>
    <w:p>
      <w:pPr>
        <w:pStyle w:val="Normal"/>
        <w:spacing w:lineRule="auto" w:line="259"/>
        <w:rPr>
          <w:rFonts w:ascii="Arial" w:hAnsi="Arial" w:cs="Arial"/>
          <w:b/>
          <w:bCs/>
          <w:color w:val="000000"/>
          <w:sz w:val="28"/>
          <w:szCs w:val="28"/>
          <w:highlight w:val="none"/>
          <w:shd w:fill="auto" w:val="clear"/>
        </w:rPr>
      </w:pPr>
      <w:r>
        <w:rPr>
          <w:rFonts w:cs="Arial" w:ascii="Arial" w:hAnsi="Arial"/>
          <w:b/>
          <w:bCs/>
          <w:color w:val="000000"/>
          <w:sz w:val="28"/>
          <w:szCs w:val="28"/>
          <w:shd w:fill="auto" w:val="clear"/>
        </w:rPr>
      </w:r>
    </w:p>
    <w:p>
      <w:pPr>
        <w:pStyle w:val="Normal"/>
        <w:spacing w:lineRule="auto" w:line="360"/>
        <w:rPr>
          <w:rFonts w:ascii="Arial" w:hAnsi="Arial"/>
        </w:rPr>
      </w:pPr>
      <w:r>
        <w:rPr>
          <w:rFonts w:cs="Arial" w:ascii="Arial" w:hAnsi="Arial"/>
          <w:b w:val="false"/>
          <w:bCs w:val="false"/>
          <w:color w:val="000000"/>
          <w:sz w:val="28"/>
          <w:szCs w:val="28"/>
          <w:shd w:fill="auto" w:val="clear"/>
        </w:rPr>
        <w:t>CONTRATANTE:</w:t>
      </w:r>
      <w:r>
        <w:rPr>
          <w:rFonts w:cs="Arial" w:ascii="Arial" w:hAnsi="Arial"/>
          <w:b w:val="false"/>
          <w:bCs w:val="false"/>
          <w:color w:val="000000"/>
          <w:sz w:val="24"/>
          <w:szCs w:val="24"/>
          <w:shd w:fill="auto" w:val="clear"/>
        </w:rPr>
        <w:t xml:space="preserve"> </w:t>
      </w:r>
    </w:p>
    <w:p>
      <w:pPr>
        <w:pStyle w:val="Normal"/>
        <w:spacing w:lineRule="auto" w:line="360"/>
        <w:rPr>
          <w:rFonts w:ascii="Arial" w:hAnsi="Arial"/>
        </w:rPr>
      </w:pPr>
      <w:r>
        <w:rPr>
          <w:rFonts w:cs="Arial" w:ascii="Arial" w:hAnsi="Arial"/>
          <w:b/>
          <w:bCs/>
          <w:color w:val="000000"/>
          <w:sz w:val="28"/>
          <w:szCs w:val="28"/>
          <w:shd w:fill="auto" w:val="clear"/>
        </w:rPr>
        <w:t>CÂMARA MUNICIPAL DE VEREADORES DE SARANDI</w:t>
      </w:r>
    </w:p>
    <w:p>
      <w:pPr>
        <w:pStyle w:val="Normal"/>
        <w:rPr>
          <w:rFonts w:ascii="Arial" w:hAnsi="Arial" w:cs="Arial"/>
          <w:color w:val="000000"/>
          <w:sz w:val="32"/>
          <w:szCs w:val="32"/>
          <w:highlight w:val="none"/>
          <w:shd w:fill="auto" w:val="clear"/>
        </w:rPr>
      </w:pPr>
      <w:r>
        <w:rPr>
          <w:rFonts w:cs="Arial" w:ascii="Arial" w:hAnsi="Arial"/>
          <w:color w:val="000000"/>
          <w:sz w:val="32"/>
          <w:szCs w:val="32"/>
          <w:shd w:fill="auto" w:val="clear"/>
        </w:rPr>
      </w:r>
    </w:p>
    <w:p>
      <w:pPr>
        <w:pStyle w:val="Normal"/>
        <w:spacing w:lineRule="auto" w:line="360"/>
        <w:rPr>
          <w:rFonts w:ascii="Arial" w:hAnsi="Arial"/>
        </w:rPr>
      </w:pPr>
      <w:r>
        <w:rPr>
          <w:rFonts w:cs="Arial" w:ascii="Arial" w:hAnsi="Arial"/>
          <w:b w:val="false"/>
          <w:bCs w:val="false"/>
          <w:color w:val="000000"/>
          <w:sz w:val="28"/>
          <w:szCs w:val="28"/>
          <w:shd w:fill="auto" w:val="clear"/>
        </w:rPr>
        <w:t>OBJETO:</w:t>
      </w:r>
    </w:p>
    <w:p>
      <w:pPr>
        <w:pStyle w:val="Normal"/>
        <w:spacing w:lineRule="auto" w:line="360"/>
        <w:jc w:val="both"/>
        <w:rPr>
          <w:rFonts w:ascii="Arial" w:hAnsi="Arial"/>
          <w:spacing w:val="-2"/>
        </w:rPr>
      </w:pPr>
      <w:r>
        <w:rPr>
          <w:rFonts w:eastAsia="Times New Roman" w:cs="Arial" w:ascii="Arial" w:hAnsi="Arial"/>
          <w:b/>
          <w:bCs/>
          <w:iCs/>
          <w:color w:val="000000"/>
          <w:spacing w:val="-2"/>
          <w:sz w:val="28"/>
          <w:szCs w:val="28"/>
          <w:shd w:fill="auto" w:val="clear"/>
          <w:lang w:val="pt-BR" w:bidi="ar-SA"/>
        </w:rPr>
        <w:t>AQUISIÇÃO DE MATERIAL DE EXPEDIENTE PARA SUPRIR AS DEMANDAS DA CÂMARA MUNICIPAL DE VEREADORES DE SARANDI/RS.</w:t>
      </w:r>
    </w:p>
    <w:p>
      <w:pPr>
        <w:pStyle w:val="Normal"/>
        <w:rPr>
          <w:rFonts w:ascii="Arial" w:hAnsi="Arial" w:cs="Arial"/>
          <w:color w:val="000000"/>
          <w:sz w:val="32"/>
          <w:szCs w:val="32"/>
          <w:highlight w:val="none"/>
          <w:shd w:fill="auto" w:val="clear"/>
        </w:rPr>
      </w:pPr>
      <w:r>
        <w:rPr>
          <w:rFonts w:cs="Arial" w:ascii="Arial" w:hAnsi="Arial"/>
          <w:color w:val="000000"/>
          <w:sz w:val="32"/>
          <w:szCs w:val="32"/>
          <w:shd w:fill="auto" w:val="clear"/>
        </w:rPr>
      </w:r>
    </w:p>
    <w:p>
      <w:pPr>
        <w:pStyle w:val="Normal"/>
        <w:rPr>
          <w:rFonts w:ascii="Arial" w:hAnsi="Arial"/>
        </w:rPr>
      </w:pPr>
      <w:r>
        <w:rPr>
          <w:rFonts w:cs="Arial" w:ascii="Arial" w:hAnsi="Arial"/>
          <w:b w:val="false"/>
          <w:bCs w:val="false"/>
          <w:color w:val="000000"/>
          <w:sz w:val="28"/>
          <w:szCs w:val="28"/>
          <w:shd w:fill="auto" w:val="clear"/>
        </w:rPr>
        <w:t xml:space="preserve">VALOR </w:t>
      </w:r>
      <w:bookmarkStart w:id="0" w:name="_GoBack"/>
      <w:bookmarkEnd w:id="0"/>
      <w:r>
        <w:rPr>
          <w:rFonts w:cs="Arial" w:ascii="Arial" w:hAnsi="Arial"/>
          <w:b w:val="false"/>
          <w:bCs w:val="false"/>
          <w:color w:val="000000"/>
          <w:sz w:val="28"/>
          <w:szCs w:val="28"/>
          <w:shd w:fill="auto" w:val="clear"/>
        </w:rPr>
        <w:t>ESTIMADO DA CONTRATAÇÃO</w:t>
      </w:r>
    </w:p>
    <w:p>
      <w:pPr>
        <w:pStyle w:val="Normal"/>
        <w:rPr>
          <w:rFonts w:ascii="Arial" w:hAnsi="Arial" w:eastAsia="Times New Roman" w:cs="Times New Roman"/>
          <w:b/>
          <w:bCs/>
          <w:color w:val="000000"/>
          <w:kern w:val="0"/>
          <w:shd w:fill="auto" w:val="clear"/>
          <w:lang w:val="pt-BR" w:eastAsia="en-US" w:bidi="ar-SA"/>
        </w:rPr>
      </w:pPr>
      <w:r>
        <w:rPr>
          <w:rFonts w:cs="Arial" w:ascii="Arial" w:hAnsi="Arial"/>
          <w:b/>
          <w:bCs/>
          <w:color w:val="000000"/>
          <w:sz w:val="28"/>
          <w:szCs w:val="28"/>
          <w:shd w:fill="auto" w:val="clear"/>
        </w:rPr>
        <w:t>R$ 7.871,26</w:t>
      </w:r>
      <w:r>
        <w:rPr>
          <w:rFonts w:eastAsia="Times New Roman" w:cs="Times New Roman" w:ascii="Arial" w:hAnsi="Arial"/>
          <w:b/>
          <w:bCs/>
          <w:color w:val="000000"/>
          <w:kern w:val="0"/>
          <w:sz w:val="28"/>
          <w:szCs w:val="28"/>
          <w:shd w:fill="auto" w:val="clear"/>
          <w:lang w:val="pt-BR" w:eastAsia="en-US" w:bidi="ar-SA"/>
        </w:rPr>
        <w:t xml:space="preserve"> </w:t>
      </w:r>
    </w:p>
    <w:p>
      <w:pPr>
        <w:pStyle w:val="Normal"/>
        <w:rPr>
          <w:rFonts w:ascii="Arial" w:hAnsi="Arial" w:cs="Arial"/>
          <w:color w:val="000000"/>
          <w:sz w:val="32"/>
          <w:szCs w:val="32"/>
          <w:highlight w:val="none"/>
          <w:shd w:fill="auto" w:val="clear"/>
        </w:rPr>
      </w:pPr>
      <w:r>
        <w:rPr>
          <w:rFonts w:cs="Arial" w:ascii="Arial" w:hAnsi="Arial"/>
          <w:color w:val="000000"/>
          <w:sz w:val="32"/>
          <w:szCs w:val="32"/>
          <w:shd w:fill="auto" w:val="clear"/>
        </w:rPr>
      </w:r>
    </w:p>
    <w:p>
      <w:pPr>
        <w:pStyle w:val="Normal"/>
        <w:rPr>
          <w:color w:val="000000"/>
          <w:highlight w:val="none"/>
          <w:shd w:fill="auto" w:val="clear"/>
        </w:rPr>
      </w:pPr>
      <w:r>
        <w:rPr>
          <w:rFonts w:cs="Arial" w:ascii="Arial" w:hAnsi="Arial"/>
          <w:b w:val="false"/>
          <w:bCs w:val="false"/>
          <w:color w:val="000000"/>
          <w:sz w:val="28"/>
          <w:szCs w:val="28"/>
          <w:shd w:fill="auto" w:val="clear"/>
        </w:rPr>
        <w:t>PERÍODO DE RECEBIMENTO DE PROPOSTAS ADICIONAIS</w:t>
      </w:r>
    </w:p>
    <w:p>
      <w:pPr>
        <w:pStyle w:val="Normal"/>
        <w:spacing w:lineRule="auto" w:line="276"/>
        <w:rPr>
          <w:color w:val="000000"/>
          <w:highlight w:val="none"/>
          <w:shd w:fill="auto" w:val="clear"/>
        </w:rPr>
      </w:pPr>
      <w:r>
        <w:rPr>
          <w:rFonts w:cs="Arial" w:ascii="Arial" w:hAnsi="Arial"/>
          <w:b/>
          <w:bCs/>
          <w:color w:val="000000"/>
          <w:sz w:val="28"/>
          <w:szCs w:val="28"/>
          <w:shd w:fill="auto" w:val="clear"/>
        </w:rPr>
        <w:t>De 12/05/2026 às 00h00min</w:t>
      </w:r>
    </w:p>
    <w:p>
      <w:pPr>
        <w:pStyle w:val="Normal"/>
        <w:spacing w:lineRule="auto" w:line="276"/>
        <w:rPr>
          <w:color w:val="000000"/>
          <w:highlight w:val="none"/>
          <w:shd w:fill="auto" w:val="clear"/>
        </w:rPr>
      </w:pPr>
      <w:r>
        <w:rPr>
          <w:rFonts w:cs="Arial" w:ascii="Arial" w:hAnsi="Arial"/>
          <w:b/>
          <w:bCs/>
          <w:color w:val="000000"/>
          <w:sz w:val="28"/>
          <w:szCs w:val="28"/>
          <w:shd w:fill="auto" w:val="clear"/>
        </w:rPr>
        <w:t>Até 14/05/2026 às 23h59min</w:t>
      </w:r>
    </w:p>
    <w:p>
      <w:pPr>
        <w:pStyle w:val="Normal"/>
        <w:rPr>
          <w:rFonts w:ascii="Arial" w:hAnsi="Arial" w:cs="Arial"/>
          <w:b/>
          <w:bCs/>
          <w:color w:val="000000"/>
          <w:sz w:val="32"/>
          <w:szCs w:val="32"/>
          <w:highlight w:val="none"/>
          <w:shd w:fill="auto" w:val="clear"/>
        </w:rPr>
      </w:pPr>
      <w:r>
        <w:rPr>
          <w:rFonts w:cs="Arial" w:ascii="Arial" w:hAnsi="Arial"/>
          <w:b/>
          <w:bCs/>
          <w:color w:val="000000"/>
          <w:sz w:val="32"/>
          <w:szCs w:val="32"/>
          <w:shd w:fill="auto" w:val="clear"/>
        </w:rPr>
      </w:r>
    </w:p>
    <w:p>
      <w:pPr>
        <w:pStyle w:val="Normal"/>
        <w:rPr>
          <w:color w:val="000000"/>
          <w:highlight w:val="none"/>
          <w:shd w:fill="auto" w:val="clear"/>
        </w:rPr>
      </w:pPr>
      <w:r>
        <w:rPr>
          <w:rFonts w:cs="Arial" w:ascii="Arial" w:hAnsi="Arial"/>
          <w:b w:val="false"/>
          <w:bCs w:val="false"/>
          <w:color w:val="000000"/>
          <w:sz w:val="28"/>
          <w:szCs w:val="28"/>
          <w:shd w:fill="auto" w:val="clear"/>
        </w:rPr>
        <w:t>PREFERÊNCIA ME/EPP/EQUIPARADAS:</w:t>
      </w:r>
    </w:p>
    <w:p>
      <w:pPr>
        <w:pStyle w:val="Normal"/>
        <w:rPr>
          <w:color w:val="000000"/>
          <w:highlight w:val="none"/>
          <w:shd w:fill="auto" w:val="clear"/>
        </w:rPr>
      </w:pPr>
      <w:r>
        <w:rPr>
          <w:rFonts w:cs="Arial" w:ascii="Arial" w:hAnsi="Arial"/>
          <w:b/>
          <w:bCs/>
          <w:color w:val="000000"/>
          <w:sz w:val="28"/>
          <w:szCs w:val="28"/>
          <w:shd w:fill="auto" w:val="clear"/>
        </w:rPr>
        <w:t>SIM</w:t>
      </w:r>
    </w:p>
    <w:p>
      <w:pPr>
        <w:pStyle w:val="Normal"/>
        <w:rPr>
          <w:rFonts w:ascii="Arial" w:hAnsi="Arial"/>
          <w:color w:val="000000"/>
          <w:highlight w:val="none"/>
          <w:shd w:fill="auto" w:val="clear"/>
        </w:rPr>
      </w:pPr>
      <w:r>
        <w:rPr>
          <w:rFonts w:ascii="Arial" w:hAnsi="Arial"/>
          <w:color w:val="000000"/>
          <w:shd w:fill="auto" w:val="clear"/>
        </w:rPr>
      </w:r>
    </w:p>
    <w:p>
      <w:pPr>
        <w:pStyle w:val="Normal"/>
        <w:spacing w:lineRule="auto" w:line="240"/>
        <w:rPr>
          <w:rFonts w:ascii="Arial" w:hAnsi="Arial"/>
        </w:rPr>
      </w:pPr>
      <w:r>
        <w:rPr>
          <w:rFonts w:cs="Arial" w:ascii="Arial" w:hAnsi="Arial"/>
          <w:b w:val="false"/>
          <w:bCs w:val="false"/>
          <w:color w:val="000000"/>
          <w:sz w:val="28"/>
          <w:szCs w:val="28"/>
          <w:shd w:fill="auto" w:val="clear"/>
        </w:rPr>
        <w:t>CONTATO PARA ENVIO DE PROPOSTAS:</w:t>
      </w:r>
    </w:p>
    <w:p>
      <w:pPr>
        <w:pStyle w:val="Normal"/>
        <w:spacing w:lineRule="auto" w:line="240"/>
        <w:rPr>
          <w:rFonts w:ascii="Arial" w:hAnsi="Arial"/>
        </w:rPr>
      </w:pPr>
      <w:r>
        <w:rPr>
          <w:rFonts w:cs="Arial" w:ascii="Arial" w:hAnsi="Arial"/>
          <w:b/>
          <w:bCs/>
          <w:color w:val="000000"/>
          <w:sz w:val="28"/>
          <w:szCs w:val="28"/>
          <w:shd w:fill="auto" w:val="clear"/>
        </w:rPr>
        <w:t>Email: secretaria@sarandi.rs.leg.br</w:t>
      </w:r>
    </w:p>
    <w:p>
      <w:pPr>
        <w:pStyle w:val="Normal"/>
        <w:rPr>
          <w:rFonts w:ascii="Arial" w:hAnsi="Arial"/>
        </w:rPr>
      </w:pPr>
      <w:r>
        <w:rPr>
          <w:rFonts w:cs="Arial" w:ascii="Arial" w:hAnsi="Arial"/>
          <w:b/>
          <w:bCs/>
          <w:color w:val="000000"/>
          <w:sz w:val="28"/>
          <w:szCs w:val="28"/>
          <w:shd w:fill="auto" w:val="clear"/>
        </w:rPr>
        <w:t>Presencial: Avenida Sete de Setembro, 1790, Centro, Sarandi – RS</w:t>
      </w:r>
    </w:p>
    <w:p>
      <w:pPr>
        <w:pStyle w:val="Normal"/>
        <w:rPr>
          <w:rFonts w:ascii="Arial" w:hAnsi="Arial" w:cs="Arial"/>
          <w:b/>
          <w:bCs/>
          <w:sz w:val="28"/>
          <w:szCs w:val="28"/>
          <w:highlight w:val="none"/>
          <w:shd w:fill="auto" w:val="clear"/>
        </w:rPr>
      </w:pPr>
      <w:r>
        <w:rPr>
          <w:rFonts w:cs="Arial" w:ascii="Arial" w:hAnsi="Arial"/>
          <w:b/>
          <w:bCs/>
          <w:sz w:val="28"/>
          <w:szCs w:val="28"/>
          <w:shd w:fill="auto" w:val="clear"/>
        </w:rPr>
      </w:r>
    </w:p>
    <w:p>
      <w:pPr>
        <w:pStyle w:val="Normal"/>
        <w:jc w:val="both"/>
        <w:rPr>
          <w:rFonts w:ascii="Arial" w:hAnsi="Arial"/>
        </w:rPr>
      </w:pPr>
      <w:r>
        <w:rPr>
          <w:rFonts w:cs="Arial" w:ascii="Arial" w:hAnsi="Arial"/>
          <w:b/>
          <w:bCs/>
          <w:color w:val="000000"/>
          <w:sz w:val="28"/>
          <w:szCs w:val="28"/>
          <w:shd w:fill="auto" w:val="clear"/>
        </w:rPr>
        <w:tab/>
        <w:t>Todas as informações relevantes constam no Anexo I – Termo de Referência.</w:t>
      </w:r>
    </w:p>
    <w:p>
      <w:pPr>
        <w:pStyle w:val="Normal"/>
        <w:jc w:val="both"/>
        <w:rPr>
          <w:rFonts w:ascii="Arial" w:hAnsi="Arial"/>
        </w:rPr>
      </w:pPr>
      <w:r>
        <w:rPr>
          <w:rFonts w:ascii="Arial" w:hAnsi="Arial"/>
        </w:rPr>
      </w:r>
      <w:r>
        <w:br w:type="page"/>
      </w:r>
    </w:p>
    <w:p>
      <w:pPr>
        <w:pStyle w:val="Ttulo1"/>
        <w:spacing w:lineRule="auto" w:line="360"/>
        <w:ind w:left="0" w:hanging="0"/>
        <w:jc w:val="center"/>
        <w:rPr>
          <w:sz w:val="22"/>
          <w:szCs w:val="22"/>
        </w:rPr>
      </w:pPr>
      <w:r>
        <w:rPr>
          <w:sz w:val="22"/>
          <w:szCs w:val="22"/>
        </w:rPr>
        <w:t>ANEXO I -</w:t>
      </w:r>
      <w:r>
        <w:rPr>
          <w:sz w:val="22"/>
          <w:szCs w:val="22"/>
        </w:rPr>
        <w:t xml:space="preserve"> TERMO</w:t>
      </w:r>
      <w:r>
        <w:rPr>
          <w:spacing w:val="-17"/>
          <w:sz w:val="22"/>
          <w:szCs w:val="22"/>
        </w:rPr>
        <w:t xml:space="preserve"> </w:t>
      </w:r>
      <w:r>
        <w:rPr>
          <w:sz w:val="22"/>
          <w:szCs w:val="22"/>
        </w:rPr>
        <w:t>DE</w:t>
      </w:r>
      <w:r>
        <w:rPr>
          <w:spacing w:val="-17"/>
          <w:sz w:val="22"/>
          <w:szCs w:val="22"/>
        </w:rPr>
        <w:t xml:space="preserve"> </w:t>
      </w:r>
      <w:r>
        <w:rPr>
          <w:sz w:val="22"/>
          <w:szCs w:val="22"/>
        </w:rPr>
        <w:t>REFERÊNCIA</w:t>
      </w:r>
    </w:p>
    <w:p>
      <w:pPr>
        <w:pStyle w:val="Ttulo1"/>
        <w:spacing w:lineRule="auto" w:line="360"/>
        <w:ind w:left="0" w:right="1871" w:firstLine="3061"/>
        <w:rPr>
          <w:sz w:val="22"/>
          <w:szCs w:val="22"/>
        </w:rPr>
      </w:pPr>
      <w:r>
        <w:rPr>
          <w:sz w:val="22"/>
          <w:szCs w:val="22"/>
        </w:rPr>
      </w:r>
    </w:p>
    <w:p>
      <w:pPr>
        <w:pStyle w:val="Ttulo1"/>
        <w:spacing w:lineRule="auto" w:line="360"/>
        <w:ind w:left="0" w:right="1871" w:hanging="0"/>
        <w:rPr>
          <w:sz w:val="22"/>
          <w:szCs w:val="22"/>
        </w:rPr>
      </w:pPr>
      <w:r>
        <w:rPr>
          <w:sz w:val="22"/>
          <w:szCs w:val="22"/>
        </w:rPr>
        <w:t>PROCESSO ADMINISTRATIVO Nº 11/2026</w:t>
      </w:r>
    </w:p>
    <w:p>
      <w:pPr>
        <w:pStyle w:val="Normal"/>
        <w:spacing w:lineRule="auto" w:line="360"/>
        <w:jc w:val="both"/>
        <w:rPr/>
      </w:pPr>
      <w:r>
        <w:rPr/>
        <w:t>Câmara Municipal de Vereadores de Sarandi</w:t>
      </w:r>
    </w:p>
    <w:p>
      <w:pPr>
        <w:pStyle w:val="Normal"/>
        <w:spacing w:lineRule="auto" w:line="360"/>
        <w:jc w:val="both"/>
        <w:rPr>
          <w:rFonts w:ascii="Arial" w:hAnsi="Arial"/>
          <w:spacing w:val="-2"/>
        </w:rPr>
      </w:pPr>
      <w:r>
        <w:rPr>
          <w:b/>
          <w:bCs/>
          <w:spacing w:val="-2"/>
        </w:rPr>
        <w:t>Objeto da contratação:</w:t>
      </w:r>
      <w:r>
        <w:rPr>
          <w:spacing w:val="-2"/>
        </w:rPr>
        <w:t xml:space="preserve"> </w:t>
      </w:r>
      <w:r>
        <w:rPr>
          <w:rFonts w:ascii="Arial" w:hAnsi="Arial"/>
          <w:spacing w:val="-2"/>
        </w:rPr>
        <w:t>Aquisição de material de expediente para suprir as demandas da Câmara Municipal de Vereadores de Sarandi/RS.</w:t>
      </w:r>
    </w:p>
    <w:p>
      <w:pPr>
        <w:pStyle w:val="Corpodotexto"/>
        <w:spacing w:lineRule="auto" w:line="360"/>
        <w:rPr>
          <w:sz w:val="22"/>
          <w:szCs w:val="22"/>
        </w:rPr>
      </w:pPr>
      <w:r>
        <w:rPr>
          <w:sz w:val="22"/>
          <w:szCs w:val="22"/>
        </w:rPr>
      </w:r>
    </w:p>
    <w:p>
      <w:pPr>
        <w:pStyle w:val="Ttulo1"/>
        <w:numPr>
          <w:ilvl w:val="0"/>
          <w:numId w:val="1"/>
        </w:numPr>
        <w:tabs>
          <w:tab w:val="clear" w:pos="720"/>
          <w:tab w:val="left" w:pos="368" w:leader="none"/>
        </w:tabs>
        <w:spacing w:lineRule="auto" w:line="360" w:before="0" w:after="120"/>
        <w:ind w:left="426" w:hanging="357"/>
        <w:rPr>
          <w:sz w:val="22"/>
          <w:szCs w:val="22"/>
        </w:rPr>
      </w:pPr>
      <w:r>
        <w:rPr>
          <w:sz w:val="22"/>
          <w:szCs w:val="22"/>
        </w:rPr>
        <w:t xml:space="preserve">DO </w:t>
      </w:r>
      <w:r>
        <w:rPr>
          <w:spacing w:val="-2"/>
          <w:sz w:val="22"/>
          <w:szCs w:val="22"/>
        </w:rPr>
        <w:t>OBJETO</w:t>
      </w:r>
    </w:p>
    <w:p>
      <w:pPr>
        <w:pStyle w:val="Normal"/>
        <w:spacing w:lineRule="auto" w:line="360"/>
        <w:jc w:val="both"/>
        <w:rPr>
          <w:rFonts w:ascii="Arial" w:hAnsi="Arial" w:eastAsia="Times New Roman"/>
          <w:iCs/>
          <w:spacing w:val="-2"/>
          <w:lang w:val="pt-BR"/>
        </w:rPr>
      </w:pPr>
      <w:r>
        <w:rPr>
          <w:rFonts w:eastAsia="Times New Roman" w:cs="Times New Roman" w:ascii="Arial" w:hAnsi="Arial"/>
          <w:iCs/>
          <w:spacing w:val="-2"/>
        </w:rPr>
        <w:tab/>
      </w:r>
      <w:r>
        <w:rPr>
          <w:rFonts w:eastAsia="Times New Roman" w:ascii="Arial" w:hAnsi="Arial"/>
          <w:iCs/>
          <w:spacing w:val="-2"/>
          <w:lang w:val="pt-BR"/>
        </w:rPr>
        <w:t>Constitui objeto da presente contratação a aquisição de materiais de expediente, conforme especificações, quantitativos e condições estabelecidas neste Termo de Referência, com a finalidade de atender às necessidades administrativas da Câmara Municipal de Vereadores de Sarandi.</w:t>
      </w:r>
    </w:p>
    <w:p>
      <w:pPr>
        <w:pStyle w:val="Normal"/>
        <w:spacing w:lineRule="auto" w:line="360"/>
        <w:ind w:firstLine="720"/>
        <w:jc w:val="both"/>
        <w:rPr>
          <w:rFonts w:ascii="Arial" w:hAnsi="Arial" w:eastAsia="Times New Roman" w:cs="Times New Roman"/>
          <w:iCs/>
          <w:spacing w:val="-2"/>
          <w:lang w:val="pt-BR"/>
        </w:rPr>
      </w:pPr>
      <w:r>
        <w:rPr>
          <w:rFonts w:eastAsia="Times New Roman" w:cs="Times New Roman" w:ascii="Arial" w:hAnsi="Arial"/>
          <w:iCs/>
          <w:spacing w:val="-2"/>
          <w:lang w:val="pt-BR"/>
        </w:rPr>
        <w:t>Os materiais deverão atender a padrões mínimos de qualidade, durabilidade e segurança, garantindo o pleno funcionamento das atividades institucionais.</w:t>
      </w:r>
    </w:p>
    <w:p>
      <w:pPr>
        <w:pStyle w:val="Corpodotexto"/>
        <w:spacing w:lineRule="auto" w:line="360"/>
        <w:rPr>
          <w:sz w:val="22"/>
          <w:szCs w:val="22"/>
        </w:rPr>
      </w:pPr>
      <w:r>
        <w:rPr>
          <w:sz w:val="22"/>
          <w:szCs w:val="22"/>
        </w:rPr>
      </w:r>
    </w:p>
    <w:p>
      <w:pPr>
        <w:pStyle w:val="Ttulo1"/>
        <w:numPr>
          <w:ilvl w:val="0"/>
          <w:numId w:val="1"/>
        </w:numPr>
        <w:tabs>
          <w:tab w:val="clear" w:pos="720"/>
          <w:tab w:val="left" w:pos="368" w:leader="none"/>
        </w:tabs>
        <w:spacing w:lineRule="auto" w:line="360" w:before="0" w:after="120"/>
        <w:ind w:left="284" w:hanging="284"/>
        <w:rPr>
          <w:sz w:val="22"/>
          <w:szCs w:val="22"/>
        </w:rPr>
      </w:pPr>
      <w:r>
        <w:rPr>
          <w:sz w:val="22"/>
          <w:szCs w:val="22"/>
        </w:rPr>
        <w:t>FUNDAMENTAÇÃO</w:t>
      </w:r>
      <w:r>
        <w:rPr>
          <w:spacing w:val="-10"/>
          <w:sz w:val="22"/>
          <w:szCs w:val="22"/>
        </w:rPr>
        <w:t xml:space="preserve"> </w:t>
      </w:r>
      <w:r>
        <w:rPr>
          <w:sz w:val="22"/>
          <w:szCs w:val="22"/>
        </w:rPr>
        <w:t>DA</w:t>
      </w:r>
      <w:r>
        <w:rPr>
          <w:spacing w:val="-9"/>
          <w:sz w:val="22"/>
          <w:szCs w:val="22"/>
        </w:rPr>
        <w:t xml:space="preserve"> </w:t>
      </w:r>
      <w:r>
        <w:rPr>
          <w:spacing w:val="-2"/>
          <w:sz w:val="22"/>
          <w:szCs w:val="22"/>
        </w:rPr>
        <w:t>CONTRATAÇÃO</w:t>
      </w:r>
    </w:p>
    <w:p>
      <w:pPr>
        <w:pStyle w:val="Standard"/>
        <w:widowControl/>
        <w:suppressAutoHyphens w:val="false"/>
        <w:spacing w:lineRule="auto" w:line="360"/>
        <w:ind w:firstLine="709"/>
        <w:jc w:val="both"/>
        <w:textAlignment w:val="auto"/>
        <w:rPr>
          <w:sz w:val="22"/>
          <w:szCs w:val="22"/>
        </w:rPr>
      </w:pPr>
      <w:r>
        <w:rPr>
          <w:rFonts w:cs="Times New Roman" w:ascii="Arial" w:hAnsi="Arial"/>
          <w:bCs/>
          <w:iCs/>
        </w:rPr>
        <w:tab/>
      </w:r>
      <w:r>
        <w:rPr>
          <w:rFonts w:eastAsia="Times New Roman" w:cs="Arial" w:ascii="Arial" w:hAnsi="Arial"/>
          <w:kern w:val="0"/>
          <w:sz w:val="22"/>
          <w:szCs w:val="22"/>
          <w:lang w:eastAsia="pt-BR" w:bidi="ar-SA"/>
        </w:rPr>
        <w:t>A aquisição dos materiais de expediente especificados é fundamental para a continuidade das atividades administrativas e operacionais da Câmara Municipal de Vereadores de Sarandi. Estes itens são indispensáveis para o bom funcionamento das funções diárias da instituição, que exige a utilização constante de produtos de qualidade para garantir o conforto e a eficiência no desempenho das atividades dos servidores e no atendimento à população.</w:t>
      </w:r>
    </w:p>
    <w:p>
      <w:pPr>
        <w:pStyle w:val="Standard"/>
        <w:widowControl/>
        <w:suppressAutoHyphens w:val="false"/>
        <w:spacing w:lineRule="auto" w:line="360"/>
        <w:ind w:firstLine="709"/>
        <w:jc w:val="both"/>
        <w:textAlignment w:val="auto"/>
        <w:rPr>
          <w:sz w:val="22"/>
          <w:szCs w:val="22"/>
        </w:rPr>
      </w:pPr>
      <w:r>
        <w:rPr>
          <w:rFonts w:eastAsia="Times New Roman" w:cs="Arial" w:ascii="Arial" w:hAnsi="Arial"/>
          <w:kern w:val="0"/>
          <w:sz w:val="22"/>
          <w:szCs w:val="22"/>
          <w:lang w:eastAsia="pt-BR" w:bidi="ar-SA"/>
        </w:rPr>
        <w:t>Além disso, a compra desses itens visa garantir a disponibilidade constante de recursos para atender às necessidades cotidianas dos servidores e de outras atividades realizadas nas dependências da Câmara. A especificação detalhada de cada item visa assegurar que os materiais adquiridos atendam aos requisitos de qualidade, segurança e durabilidade, com a finalidade de otimizar os recursos públicos e evitar desperdícios.</w:t>
      </w:r>
    </w:p>
    <w:p>
      <w:pPr>
        <w:pStyle w:val="Normal"/>
        <w:spacing w:lineRule="auto" w:line="360"/>
        <w:ind w:firstLine="709"/>
        <w:jc w:val="both"/>
        <w:rPr>
          <w:rFonts w:ascii="Arial" w:hAnsi="Arial" w:eastAsia="Times New Roman" w:cs="Arial"/>
          <w:lang w:eastAsia="pt-BR"/>
        </w:rPr>
      </w:pPr>
      <w:r>
        <w:rPr>
          <w:rFonts w:eastAsia="Times New Roman" w:cs="Arial" w:ascii="Arial" w:hAnsi="Arial"/>
          <w:lang w:eastAsia="pt-BR"/>
        </w:rPr>
        <w:t>Portanto, a contratação é imprescindível para manter a continuidade das operações, assegurar o bom andamento dos serviços e garantir que a Câmara Municipal continue oferecendo um atendimento de excelência à população, com a máxima eficiência e sem interrupções nos processos internos.</w:t>
      </w:r>
    </w:p>
    <w:p>
      <w:pPr>
        <w:pStyle w:val="Normal"/>
        <w:spacing w:lineRule="auto" w:line="360"/>
        <w:jc w:val="both"/>
        <w:rPr>
          <w:rFonts w:ascii="Arial" w:hAnsi="Arial" w:cs="Times New Roman"/>
          <w:bCs/>
          <w:iCs/>
          <w:lang w:val="pt-BR"/>
        </w:rPr>
      </w:pPr>
      <w:r>
        <w:rPr>
          <w:rFonts w:cs="Times New Roman" w:ascii="Arial" w:hAnsi="Arial"/>
          <w:bCs/>
          <w:iCs/>
          <w:lang w:val="pt-BR"/>
        </w:rPr>
      </w:r>
    </w:p>
    <w:p>
      <w:pPr>
        <w:pStyle w:val="Ttulo1"/>
        <w:numPr>
          <w:ilvl w:val="0"/>
          <w:numId w:val="1"/>
        </w:numPr>
        <w:tabs>
          <w:tab w:val="clear" w:pos="720"/>
          <w:tab w:val="left" w:pos="368" w:leader="none"/>
        </w:tabs>
        <w:spacing w:lineRule="auto" w:line="360" w:before="0" w:after="120"/>
        <w:ind w:left="284" w:hanging="284"/>
        <w:rPr>
          <w:sz w:val="22"/>
          <w:szCs w:val="22"/>
        </w:rPr>
      </w:pPr>
      <w:r>
        <w:rPr>
          <w:sz w:val="22"/>
          <w:szCs w:val="22"/>
        </w:rPr>
        <w:t>DESCRIÇÃO</w:t>
      </w:r>
      <w:r>
        <w:rPr>
          <w:spacing w:val="-3"/>
          <w:sz w:val="22"/>
          <w:szCs w:val="22"/>
        </w:rPr>
        <w:t xml:space="preserve"> </w:t>
      </w:r>
      <w:r>
        <w:rPr>
          <w:sz w:val="22"/>
          <w:szCs w:val="22"/>
        </w:rPr>
        <w:t>DA</w:t>
      </w:r>
      <w:r>
        <w:rPr>
          <w:spacing w:val="-3"/>
          <w:sz w:val="22"/>
          <w:szCs w:val="22"/>
        </w:rPr>
        <w:t xml:space="preserve"> </w:t>
      </w:r>
      <w:r>
        <w:rPr>
          <w:sz w:val="22"/>
          <w:szCs w:val="22"/>
        </w:rPr>
        <w:t>SOLUÇÃO</w:t>
      </w:r>
      <w:r>
        <w:rPr>
          <w:spacing w:val="-3"/>
          <w:sz w:val="22"/>
          <w:szCs w:val="22"/>
        </w:rPr>
        <w:t xml:space="preserve"> </w:t>
      </w:r>
      <w:r>
        <w:rPr>
          <w:sz w:val="22"/>
          <w:szCs w:val="22"/>
        </w:rPr>
        <w:t>COMO</w:t>
      </w:r>
      <w:r>
        <w:rPr>
          <w:spacing w:val="-3"/>
          <w:sz w:val="22"/>
          <w:szCs w:val="22"/>
        </w:rPr>
        <w:t xml:space="preserve"> </w:t>
      </w:r>
      <w:r>
        <w:rPr>
          <w:sz w:val="22"/>
          <w:szCs w:val="22"/>
        </w:rPr>
        <w:t>UM</w:t>
      </w:r>
      <w:r>
        <w:rPr>
          <w:spacing w:val="-5"/>
          <w:sz w:val="22"/>
          <w:szCs w:val="22"/>
        </w:rPr>
        <w:t xml:space="preserve"> </w:t>
      </w:r>
      <w:r>
        <w:rPr>
          <w:spacing w:val="-4"/>
          <w:sz w:val="22"/>
          <w:szCs w:val="22"/>
        </w:rPr>
        <w:t>TODO</w:t>
      </w:r>
    </w:p>
    <w:p>
      <w:pPr>
        <w:pStyle w:val="Corpodotexto"/>
        <w:spacing w:lineRule="auto" w:line="360"/>
        <w:jc w:val="both"/>
        <w:rPr>
          <w:rFonts w:ascii="Arial" w:hAnsi="Arial"/>
          <w:bCs/>
          <w:sz w:val="22"/>
          <w:szCs w:val="22"/>
          <w:lang w:val="pt-BR"/>
        </w:rPr>
      </w:pPr>
      <w:r>
        <w:rPr>
          <w:rFonts w:ascii="Arial" w:hAnsi="Arial"/>
          <w:bCs/>
          <w:sz w:val="22"/>
          <w:szCs w:val="22"/>
        </w:rPr>
        <w:tab/>
      </w:r>
      <w:r>
        <w:rPr>
          <w:rFonts w:ascii="Arial" w:hAnsi="Arial"/>
          <w:bCs/>
          <w:sz w:val="22"/>
          <w:szCs w:val="22"/>
          <w:lang w:val="pt-BR"/>
        </w:rPr>
        <w:t>A Câmara Municipal de Vereadores de Sarandi/RS, visando garantir o pleno funcionamento de suas atividades administrativas e operacionais, realizará a aquisição de materiais de expediente por meio de dispensa de licitação, conforme especificações e quantitativos definidos no Documento de Formalização de Demanda (DFD).</w:t>
      </w:r>
    </w:p>
    <w:p>
      <w:pPr>
        <w:pStyle w:val="Corpodotexto"/>
        <w:spacing w:lineRule="auto" w:line="360"/>
        <w:ind w:firstLine="720"/>
        <w:jc w:val="both"/>
        <w:rPr>
          <w:rFonts w:ascii="Arial" w:hAnsi="Arial"/>
          <w:bCs/>
          <w:sz w:val="22"/>
          <w:szCs w:val="22"/>
          <w:lang w:val="pt-BR"/>
        </w:rPr>
      </w:pPr>
      <w:r>
        <w:rPr>
          <w:rFonts w:ascii="Arial" w:hAnsi="Arial"/>
          <w:bCs/>
          <w:sz w:val="22"/>
          <w:szCs w:val="22"/>
          <w:lang w:val="pt-BR"/>
        </w:rPr>
        <w:t>A solução adotada tem por finalidade assegurar a disponibilidade contínua de insumos essenciais ao desempenho das atividades diárias dos servidores, garantindo condições adequadas para a execução dos trabalhos administrativos e para o atendimento à população.</w:t>
      </w:r>
    </w:p>
    <w:p>
      <w:pPr>
        <w:pStyle w:val="Corpodotexto"/>
        <w:spacing w:lineRule="auto" w:line="360"/>
        <w:ind w:firstLine="720"/>
        <w:jc w:val="both"/>
        <w:rPr>
          <w:rFonts w:ascii="Arial" w:hAnsi="Arial"/>
          <w:bCs/>
          <w:sz w:val="22"/>
          <w:szCs w:val="22"/>
          <w:lang w:val="pt-BR"/>
        </w:rPr>
      </w:pPr>
      <w:r>
        <w:rPr>
          <w:rFonts w:ascii="Arial" w:hAnsi="Arial"/>
          <w:bCs/>
          <w:sz w:val="22"/>
          <w:szCs w:val="22"/>
          <w:lang w:val="pt-BR"/>
        </w:rPr>
        <w:t>Os materiais a serem adquiridos são de uso comum, amplamente disponíveis no mercado e indispensáveis ao funcionamento regular da instituição, sendo sua aquisição realizada junto a fornecedores do ramo, com fornecimento integral dos itens e entrega no local indicado pela Administração.</w:t>
      </w:r>
    </w:p>
    <w:p>
      <w:pPr>
        <w:pStyle w:val="Corpodotexto"/>
        <w:spacing w:lineRule="auto" w:line="360"/>
        <w:ind w:firstLine="720"/>
        <w:jc w:val="both"/>
        <w:rPr>
          <w:rFonts w:ascii="Arial" w:hAnsi="Arial"/>
          <w:bCs/>
          <w:sz w:val="22"/>
          <w:szCs w:val="22"/>
          <w:lang w:val="pt-BR"/>
        </w:rPr>
      </w:pPr>
      <w:r>
        <w:rPr>
          <w:rFonts w:ascii="Arial" w:hAnsi="Arial"/>
          <w:bCs/>
          <w:sz w:val="22"/>
          <w:szCs w:val="22"/>
          <w:lang w:val="pt-BR"/>
        </w:rPr>
        <w:t>A contratação será conduzida em conformidade com os princípios da administração pública, especialmente a legalidade, economicidade e eficiência, observando as disposições da Lei nº 14.133/2021, de forma a garantir a seleção da proposta mais vantajosa para a Administração.</w:t>
      </w:r>
    </w:p>
    <w:p>
      <w:pPr>
        <w:pStyle w:val="Corpodotexto"/>
        <w:spacing w:lineRule="auto" w:line="360"/>
        <w:ind w:firstLine="720"/>
        <w:jc w:val="both"/>
        <w:rPr>
          <w:rFonts w:ascii="Arial" w:hAnsi="Arial"/>
          <w:bCs/>
          <w:sz w:val="22"/>
          <w:szCs w:val="22"/>
          <w:lang w:val="pt-BR"/>
        </w:rPr>
      </w:pPr>
      <w:r>
        <w:rPr>
          <w:rFonts w:ascii="Arial" w:hAnsi="Arial"/>
          <w:bCs/>
          <w:sz w:val="22"/>
          <w:szCs w:val="22"/>
          <w:lang w:val="pt-BR"/>
        </w:rPr>
        <w:t>Além disso, a aquisição planejada contribui para a adequada gestão dos materiais de expediente, permitindo melhor controle de estoque, evitando desabastecimento e reduzindo a necessidade de aquisições emergenciais.</w:t>
      </w:r>
    </w:p>
    <w:p>
      <w:pPr>
        <w:pStyle w:val="Corpodotexto"/>
        <w:spacing w:lineRule="auto" w:line="360"/>
        <w:ind w:firstLine="720"/>
        <w:jc w:val="both"/>
        <w:rPr>
          <w:rFonts w:ascii="Arial" w:hAnsi="Arial"/>
          <w:bCs/>
          <w:sz w:val="22"/>
          <w:szCs w:val="22"/>
        </w:rPr>
      </w:pPr>
      <w:r>
        <w:rPr>
          <w:rFonts w:ascii="Arial" w:hAnsi="Arial"/>
          <w:bCs/>
          <w:sz w:val="22"/>
          <w:szCs w:val="22"/>
          <w:lang w:val="pt-BR"/>
        </w:rPr>
        <w:t>Dessa forma, a solução proposta mostra-se adequada e suficiente para atender à demanda identificada, assegurando a continuidade das atividades da Câmara Municipal e a adequada prestação dos serviços públicos.</w:t>
      </w:r>
    </w:p>
    <w:p>
      <w:pPr>
        <w:pStyle w:val="Corpodotexto"/>
        <w:spacing w:lineRule="auto" w:line="360"/>
        <w:jc w:val="both"/>
        <w:rPr>
          <w:rFonts w:ascii="Arial" w:hAnsi="Arial"/>
          <w:bCs/>
          <w:sz w:val="22"/>
          <w:szCs w:val="22"/>
        </w:rPr>
      </w:pPr>
      <w:r>
        <w:rPr>
          <w:rFonts w:ascii="Arial" w:hAnsi="Arial"/>
          <w:bCs/>
          <w:sz w:val="22"/>
          <w:szCs w:val="22"/>
        </w:rPr>
      </w:r>
    </w:p>
    <w:p>
      <w:pPr>
        <w:pStyle w:val="Ttulo1"/>
        <w:numPr>
          <w:ilvl w:val="0"/>
          <w:numId w:val="1"/>
        </w:numPr>
        <w:tabs>
          <w:tab w:val="clear" w:pos="720"/>
          <w:tab w:val="left" w:pos="368" w:leader="none"/>
        </w:tabs>
        <w:spacing w:lineRule="auto" w:line="360" w:before="0" w:after="120"/>
        <w:ind w:left="426" w:hanging="357"/>
        <w:rPr>
          <w:sz w:val="22"/>
          <w:szCs w:val="22"/>
        </w:rPr>
      </w:pPr>
      <w:r>
        <w:rPr>
          <w:sz w:val="22"/>
          <w:szCs w:val="22"/>
        </w:rPr>
        <w:t>REQUISITOS</w:t>
      </w:r>
      <w:r>
        <w:rPr>
          <w:spacing w:val="-3"/>
          <w:sz w:val="22"/>
          <w:szCs w:val="22"/>
        </w:rPr>
        <w:t xml:space="preserve"> </w:t>
      </w:r>
      <w:r>
        <w:rPr>
          <w:sz w:val="22"/>
          <w:szCs w:val="22"/>
        </w:rPr>
        <w:t>DA</w:t>
      </w:r>
      <w:r>
        <w:rPr>
          <w:spacing w:val="-3"/>
          <w:sz w:val="22"/>
          <w:szCs w:val="22"/>
        </w:rPr>
        <w:t xml:space="preserve"> </w:t>
      </w:r>
      <w:r>
        <w:rPr>
          <w:spacing w:val="-2"/>
          <w:sz w:val="22"/>
          <w:szCs w:val="22"/>
        </w:rPr>
        <w:t>CONTRATAÇÃO</w:t>
      </w:r>
    </w:p>
    <w:p>
      <w:pPr>
        <w:pStyle w:val="Corpodotexto"/>
        <w:spacing w:lineRule="auto" w:line="360" w:before="1" w:after="0"/>
        <w:ind w:firstLine="720"/>
        <w:jc w:val="both"/>
        <w:rPr>
          <w:sz w:val="22"/>
          <w:szCs w:val="22"/>
        </w:rPr>
      </w:pPr>
      <w:r>
        <w:rPr>
          <w:sz w:val="22"/>
          <w:szCs w:val="22"/>
        </w:rPr>
        <w:t>O objeto desta licitação tem natureza comum, tendo em vista que seus padrões de desempenho e qualidade podem ser objetivamente definidos pelo edital, por meio de especificações usuais de mercado, nos termos do art. 6º, inciso XIII, da Lei Federal nº 14.133/2021.</w:t>
      </w:r>
    </w:p>
    <w:p>
      <w:pPr>
        <w:pStyle w:val="Corpodotexto"/>
        <w:spacing w:lineRule="auto" w:line="360" w:before="1" w:after="0"/>
        <w:ind w:firstLine="720"/>
        <w:jc w:val="both"/>
        <w:rPr>
          <w:sz w:val="22"/>
          <w:szCs w:val="22"/>
        </w:rPr>
      </w:pPr>
      <w:r>
        <w:rPr>
          <w:sz w:val="22"/>
          <w:szCs w:val="22"/>
        </w:rPr>
        <w:t>Poderão participar deste processo de contratação empresas relacionadas ao objeto, que não possuam registro de sanção que impeça sua contratação.</w:t>
      </w:r>
    </w:p>
    <w:p>
      <w:pPr>
        <w:pStyle w:val="Corpodotexto"/>
        <w:spacing w:lineRule="auto" w:line="360" w:before="1" w:after="0"/>
        <w:jc w:val="both"/>
        <w:rPr>
          <w:sz w:val="22"/>
          <w:szCs w:val="22"/>
        </w:rPr>
      </w:pPr>
      <w:r>
        <w:rPr>
          <w:sz w:val="22"/>
          <w:szCs w:val="22"/>
        </w:rPr>
        <w:tab/>
        <w:t xml:space="preserve">A contratação será realizada por meio de </w:t>
      </w:r>
      <w:r>
        <w:rPr>
          <w:b/>
          <w:bCs/>
          <w:sz w:val="22"/>
          <w:szCs w:val="22"/>
        </w:rPr>
        <w:t>dispensa de licitação, na sua forma</w:t>
      </w:r>
      <w:r>
        <w:rPr>
          <w:b/>
          <w:bCs/>
          <w:spacing w:val="-3"/>
          <w:sz w:val="22"/>
          <w:szCs w:val="22"/>
        </w:rPr>
        <w:t xml:space="preserve"> </w:t>
      </w:r>
      <w:r>
        <w:rPr>
          <w:b/>
          <w:bCs/>
          <w:sz w:val="22"/>
          <w:szCs w:val="22"/>
        </w:rPr>
        <w:t>eletrônica,</w:t>
      </w:r>
      <w:r>
        <w:rPr>
          <w:b/>
          <w:bCs/>
          <w:spacing w:val="-3"/>
          <w:sz w:val="22"/>
          <w:szCs w:val="22"/>
        </w:rPr>
        <w:t xml:space="preserve"> </w:t>
      </w:r>
      <w:r>
        <w:rPr>
          <w:b/>
          <w:bCs/>
          <w:sz w:val="22"/>
          <w:szCs w:val="22"/>
        </w:rPr>
        <w:t>com</w:t>
      </w:r>
      <w:r>
        <w:rPr>
          <w:b/>
          <w:bCs/>
          <w:spacing w:val="-2"/>
          <w:sz w:val="22"/>
          <w:szCs w:val="22"/>
        </w:rPr>
        <w:t xml:space="preserve"> </w:t>
      </w:r>
      <w:r>
        <w:rPr>
          <w:b/>
          <w:bCs/>
          <w:sz w:val="22"/>
          <w:szCs w:val="22"/>
        </w:rPr>
        <w:t>critério</w:t>
      </w:r>
      <w:r>
        <w:rPr>
          <w:b/>
          <w:bCs/>
          <w:spacing w:val="-3"/>
          <w:sz w:val="22"/>
          <w:szCs w:val="22"/>
        </w:rPr>
        <w:t xml:space="preserve"> </w:t>
      </w:r>
      <w:r>
        <w:rPr>
          <w:b/>
          <w:bCs/>
          <w:sz w:val="22"/>
          <w:szCs w:val="22"/>
        </w:rPr>
        <w:t>de</w:t>
      </w:r>
      <w:r>
        <w:rPr>
          <w:b/>
          <w:bCs/>
          <w:spacing w:val="-3"/>
          <w:sz w:val="22"/>
          <w:szCs w:val="22"/>
        </w:rPr>
        <w:t xml:space="preserve"> </w:t>
      </w:r>
      <w:r>
        <w:rPr>
          <w:b/>
          <w:bCs/>
          <w:sz w:val="22"/>
          <w:szCs w:val="22"/>
        </w:rPr>
        <w:t>julgamento</w:t>
      </w:r>
      <w:r>
        <w:rPr>
          <w:b/>
          <w:bCs/>
          <w:spacing w:val="-4"/>
          <w:sz w:val="22"/>
          <w:szCs w:val="22"/>
        </w:rPr>
        <w:t xml:space="preserve"> </w:t>
      </w:r>
      <w:r>
        <w:rPr>
          <w:b/>
          <w:bCs/>
          <w:sz w:val="22"/>
          <w:szCs w:val="22"/>
        </w:rPr>
        <w:t>por</w:t>
      </w:r>
      <w:r>
        <w:rPr>
          <w:b/>
          <w:bCs/>
          <w:spacing w:val="-3"/>
          <w:sz w:val="22"/>
          <w:szCs w:val="22"/>
        </w:rPr>
        <w:t xml:space="preserve"> </w:t>
      </w:r>
      <w:r>
        <w:rPr>
          <w:b/>
          <w:bCs/>
          <w:sz w:val="22"/>
          <w:szCs w:val="22"/>
        </w:rPr>
        <w:t>menor</w:t>
      </w:r>
      <w:r>
        <w:rPr>
          <w:b/>
          <w:bCs/>
          <w:spacing w:val="-3"/>
          <w:sz w:val="22"/>
          <w:szCs w:val="22"/>
        </w:rPr>
        <w:t xml:space="preserve"> </w:t>
      </w:r>
      <w:r>
        <w:rPr>
          <w:b/>
          <w:bCs/>
          <w:sz w:val="22"/>
          <w:szCs w:val="22"/>
        </w:rPr>
        <w:t>preço por item</w:t>
      </w:r>
      <w:r>
        <w:rPr>
          <w:sz w:val="22"/>
          <w:szCs w:val="22"/>
        </w:rPr>
        <w:t>,</w:t>
      </w:r>
      <w:r>
        <w:rPr>
          <w:spacing w:val="-3"/>
          <w:sz w:val="22"/>
          <w:szCs w:val="22"/>
        </w:rPr>
        <w:t xml:space="preserve"> </w:t>
      </w:r>
      <w:r>
        <w:rPr>
          <w:sz w:val="22"/>
          <w:szCs w:val="22"/>
        </w:rPr>
        <w:t>nos</w:t>
      </w:r>
      <w:r>
        <w:rPr>
          <w:spacing w:val="-3"/>
          <w:sz w:val="22"/>
          <w:szCs w:val="22"/>
        </w:rPr>
        <w:t xml:space="preserve"> </w:t>
      </w:r>
      <w:r>
        <w:rPr>
          <w:sz w:val="22"/>
          <w:szCs w:val="22"/>
        </w:rPr>
        <w:t>termos</w:t>
      </w:r>
      <w:r>
        <w:rPr>
          <w:spacing w:val="-3"/>
          <w:sz w:val="22"/>
          <w:szCs w:val="22"/>
        </w:rPr>
        <w:t xml:space="preserve"> </w:t>
      </w:r>
      <w:r>
        <w:rPr>
          <w:sz w:val="22"/>
          <w:szCs w:val="22"/>
        </w:rPr>
        <w:t>do</w:t>
      </w:r>
      <w:r>
        <w:rPr>
          <w:spacing w:val="-3"/>
          <w:sz w:val="22"/>
          <w:szCs w:val="22"/>
        </w:rPr>
        <w:t xml:space="preserve"> A</w:t>
      </w:r>
      <w:r>
        <w:rPr>
          <w:sz w:val="22"/>
          <w:szCs w:val="22"/>
        </w:rPr>
        <w:t>rtigo 34 da Lei Federal n.º 14.133/2021.</w:t>
        <w:tab/>
      </w:r>
    </w:p>
    <w:p>
      <w:pPr>
        <w:pStyle w:val="Corpodotexto"/>
        <w:spacing w:lineRule="auto" w:line="360"/>
        <w:ind w:firstLine="720"/>
        <w:jc w:val="both"/>
        <w:rPr>
          <w:sz w:val="22"/>
          <w:szCs w:val="22"/>
        </w:rPr>
      </w:pPr>
      <w:r>
        <w:rPr>
          <w:sz w:val="22"/>
          <w:szCs w:val="22"/>
        </w:rPr>
        <w:t xml:space="preserve">A contratação decorrente do presente processo licitatório exigirá da contratada o cumprimento das boas práticas de sustentabilidade, contribuindo para a racionalização e otimização do uso dos recursos, bem como para a redução dos impactos ambientais. </w:t>
      </w:r>
    </w:p>
    <w:p>
      <w:pPr>
        <w:pStyle w:val="Corpodotexto"/>
        <w:numPr>
          <w:ilvl w:val="1"/>
          <w:numId w:val="1"/>
        </w:numPr>
        <w:spacing w:lineRule="auto" w:line="360" w:before="120" w:after="120"/>
        <w:ind w:left="1077" w:hanging="720"/>
        <w:jc w:val="both"/>
        <w:rPr>
          <w:b/>
          <w:bCs/>
          <w:sz w:val="22"/>
          <w:szCs w:val="22"/>
        </w:rPr>
      </w:pPr>
      <w:r>
        <w:rPr>
          <w:b/>
          <w:bCs/>
          <w:sz w:val="22"/>
          <w:szCs w:val="22"/>
        </w:rPr>
        <w:t>CARACTERÍSTICAS DO OBJETO:</w:t>
      </w:r>
    </w:p>
    <w:p>
      <w:pPr>
        <w:pStyle w:val="Corpodotexto"/>
        <w:spacing w:lineRule="auto" w:line="360"/>
        <w:ind w:firstLine="720"/>
        <w:jc w:val="both"/>
        <w:rPr>
          <w:sz w:val="22"/>
          <w:szCs w:val="22"/>
        </w:rPr>
      </w:pPr>
      <w:r>
        <w:rPr>
          <w:sz w:val="22"/>
          <w:szCs w:val="22"/>
        </w:rPr>
        <w:t>As especificações dos materiais são mostradas na tabela a seguir.</w:t>
      </w:r>
    </w:p>
    <w:p>
      <w:pPr>
        <w:pStyle w:val="Normal"/>
        <w:rPr/>
      </w:pPr>
      <w:r>
        <w:rPr/>
      </w:r>
    </w:p>
    <w:tbl>
      <w:tblPr>
        <w:tblW w:w="9534"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779"/>
        <w:gridCol w:w="729"/>
        <w:gridCol w:w="1133"/>
        <w:gridCol w:w="3686"/>
        <w:gridCol w:w="1604"/>
        <w:gridCol w:w="1602"/>
      </w:tblGrid>
      <w:tr>
        <w:trPr/>
        <w:tc>
          <w:tcPr>
            <w:tcW w:w="779" w:type="dxa"/>
            <w:tcBorders>
              <w:top w:val="single" w:sz="4" w:space="0" w:color="000000"/>
              <w:left w:val="single" w:sz="4" w:space="0" w:color="000000"/>
              <w:bottom w:val="single" w:sz="4" w:space="0" w:color="000000"/>
              <w:right w:val="single" w:sz="4" w:space="0" w:color="000000"/>
            </w:tcBorders>
            <w:shd w:color="auto" w:fill="D6E3BC" w:themeFill="accent3" w:themeFillTint="66" w:val="clear"/>
            <w:vAlign w:val="center"/>
          </w:tcPr>
          <w:p>
            <w:pPr>
              <w:pStyle w:val="Standard"/>
              <w:widowControl w:val="false"/>
              <w:spacing w:lineRule="auto" w:line="360"/>
              <w:jc w:val="center"/>
              <w:rPr>
                <w:rFonts w:ascii="Arial" w:hAnsi="Arial" w:cs="Arial"/>
                <w:b/>
                <w:bCs/>
                <w:sz w:val="22"/>
                <w:szCs w:val="22"/>
              </w:rPr>
            </w:pPr>
            <w:r>
              <w:rPr>
                <w:rFonts w:cs="Arial" w:ascii="Arial" w:hAnsi="Arial"/>
                <w:b/>
                <w:bCs/>
                <w:kern w:val="2"/>
                <w:sz w:val="22"/>
                <w:szCs w:val="22"/>
              </w:rPr>
              <w:t>Item</w:t>
            </w:r>
          </w:p>
        </w:tc>
        <w:tc>
          <w:tcPr>
            <w:tcW w:w="729" w:type="dxa"/>
            <w:tcBorders>
              <w:top w:val="single" w:sz="4" w:space="0" w:color="000000"/>
              <w:left w:val="single" w:sz="4" w:space="0" w:color="000000"/>
              <w:bottom w:val="single" w:sz="4" w:space="0" w:color="000000"/>
              <w:right w:val="single" w:sz="4" w:space="0" w:color="000000"/>
            </w:tcBorders>
            <w:shd w:color="auto" w:fill="D6E3BC" w:themeFill="accent3" w:themeFillTint="66" w:val="clear"/>
            <w:vAlign w:val="center"/>
          </w:tcPr>
          <w:p>
            <w:pPr>
              <w:pStyle w:val="Standard"/>
              <w:widowControl w:val="false"/>
              <w:spacing w:lineRule="auto" w:line="360"/>
              <w:jc w:val="center"/>
              <w:rPr>
                <w:rFonts w:ascii="Arial" w:hAnsi="Arial" w:cs="Arial"/>
                <w:b/>
                <w:bCs/>
                <w:sz w:val="22"/>
                <w:szCs w:val="22"/>
              </w:rPr>
            </w:pPr>
            <w:r>
              <w:rPr>
                <w:rFonts w:cs="Arial" w:ascii="Arial" w:hAnsi="Arial"/>
                <w:b/>
                <w:bCs/>
                <w:kern w:val="2"/>
                <w:sz w:val="22"/>
                <w:szCs w:val="22"/>
              </w:rPr>
              <w:t>Qnt</w:t>
            </w:r>
          </w:p>
        </w:tc>
        <w:tc>
          <w:tcPr>
            <w:tcW w:w="1133" w:type="dxa"/>
            <w:tcBorders>
              <w:top w:val="single" w:sz="4" w:space="0" w:color="000000"/>
              <w:left w:val="single" w:sz="4" w:space="0" w:color="000000"/>
              <w:bottom w:val="single" w:sz="4" w:space="0" w:color="000000"/>
              <w:right w:val="single" w:sz="4" w:space="0" w:color="000000"/>
            </w:tcBorders>
            <w:shd w:color="auto" w:fill="D6E3BC" w:themeFill="accent3" w:themeFillTint="66" w:val="clear"/>
            <w:vAlign w:val="center"/>
          </w:tcPr>
          <w:p>
            <w:pPr>
              <w:pStyle w:val="Standard"/>
              <w:widowControl w:val="false"/>
              <w:spacing w:lineRule="auto" w:line="360"/>
              <w:jc w:val="center"/>
              <w:rPr>
                <w:rFonts w:ascii="Arial" w:hAnsi="Arial" w:cs="Arial"/>
                <w:b/>
                <w:bCs/>
                <w:sz w:val="22"/>
                <w:szCs w:val="22"/>
              </w:rPr>
            </w:pPr>
            <w:r>
              <w:rPr>
                <w:rFonts w:cs="Arial" w:ascii="Arial" w:hAnsi="Arial"/>
                <w:b/>
                <w:bCs/>
                <w:kern w:val="2"/>
                <w:sz w:val="22"/>
                <w:szCs w:val="22"/>
              </w:rPr>
              <w:t>Unidade</w:t>
            </w:r>
          </w:p>
        </w:tc>
        <w:tc>
          <w:tcPr>
            <w:tcW w:w="3686" w:type="dxa"/>
            <w:tcBorders>
              <w:top w:val="single" w:sz="4" w:space="0" w:color="000000"/>
              <w:left w:val="single" w:sz="4" w:space="0" w:color="000000"/>
              <w:bottom w:val="single" w:sz="4" w:space="0" w:color="000000"/>
              <w:right w:val="single" w:sz="4" w:space="0" w:color="000000"/>
            </w:tcBorders>
            <w:shd w:color="auto" w:fill="D6E3BC" w:themeFill="accent3" w:themeFillTint="66" w:val="clear"/>
            <w:vAlign w:val="center"/>
          </w:tcPr>
          <w:p>
            <w:pPr>
              <w:pStyle w:val="Standard"/>
              <w:widowControl w:val="false"/>
              <w:spacing w:lineRule="auto" w:line="360"/>
              <w:jc w:val="center"/>
              <w:rPr>
                <w:rFonts w:ascii="Arial" w:hAnsi="Arial" w:cs="Arial"/>
                <w:b/>
                <w:bCs/>
                <w:sz w:val="22"/>
                <w:szCs w:val="22"/>
              </w:rPr>
            </w:pPr>
            <w:r>
              <w:rPr>
                <w:rFonts w:cs="Arial" w:ascii="Arial" w:hAnsi="Arial"/>
                <w:b/>
                <w:bCs/>
                <w:kern w:val="2"/>
                <w:sz w:val="22"/>
                <w:szCs w:val="22"/>
              </w:rPr>
              <w:t>Descrição do produto</w:t>
            </w:r>
          </w:p>
        </w:tc>
        <w:tc>
          <w:tcPr>
            <w:tcW w:w="1604" w:type="dxa"/>
            <w:tcBorders>
              <w:top w:val="single" w:sz="4" w:space="0" w:color="000000"/>
              <w:left w:val="single" w:sz="4" w:space="0" w:color="000000"/>
              <w:bottom w:val="single" w:sz="4" w:space="0" w:color="000000"/>
              <w:right w:val="single" w:sz="4" w:space="0" w:color="000000"/>
            </w:tcBorders>
            <w:shd w:color="auto" w:fill="D6E3BC" w:themeFill="accent3" w:themeFillTint="66" w:val="clear"/>
            <w:tcMar>
              <w:left w:w="10" w:type="dxa"/>
              <w:right w:w="10" w:type="dxa"/>
            </w:tcMar>
            <w:vAlign w:val="center"/>
          </w:tcPr>
          <w:p>
            <w:pPr>
              <w:pStyle w:val="Standard"/>
              <w:widowControl w:val="false"/>
              <w:spacing w:lineRule="auto" w:line="360"/>
              <w:jc w:val="center"/>
              <w:rPr>
                <w:rFonts w:ascii="Arial" w:hAnsi="Arial" w:cs="Arial"/>
                <w:b/>
                <w:bCs/>
                <w:kern w:val="2"/>
                <w:sz w:val="22"/>
                <w:szCs w:val="22"/>
              </w:rPr>
            </w:pPr>
            <w:r>
              <w:rPr>
                <w:rFonts w:cs="Arial" w:ascii="Arial" w:hAnsi="Arial"/>
                <w:b/>
                <w:bCs/>
                <w:kern w:val="2"/>
                <w:sz w:val="22"/>
                <w:szCs w:val="22"/>
              </w:rPr>
              <w:t>Valor Unitário</w:t>
            </w:r>
          </w:p>
        </w:tc>
        <w:tc>
          <w:tcPr>
            <w:tcW w:w="1602" w:type="dxa"/>
            <w:tcBorders>
              <w:top w:val="single" w:sz="4" w:space="0" w:color="000000"/>
              <w:left w:val="single" w:sz="4" w:space="0" w:color="000000"/>
              <w:bottom w:val="single" w:sz="4" w:space="0" w:color="000000"/>
              <w:right w:val="single" w:sz="4" w:space="0" w:color="000000"/>
            </w:tcBorders>
            <w:shd w:color="auto" w:fill="D6E3BC" w:themeFill="accent3" w:themeFillTint="66" w:val="clear"/>
            <w:tcMar>
              <w:left w:w="10" w:type="dxa"/>
              <w:right w:w="10" w:type="dxa"/>
            </w:tcMar>
            <w:vAlign w:val="center"/>
          </w:tcPr>
          <w:p>
            <w:pPr>
              <w:pStyle w:val="Standard"/>
              <w:widowControl w:val="false"/>
              <w:spacing w:lineRule="auto" w:line="360"/>
              <w:jc w:val="center"/>
              <w:rPr>
                <w:rFonts w:ascii="Arial" w:hAnsi="Arial" w:cs="Arial"/>
                <w:b/>
                <w:bCs/>
                <w:kern w:val="2"/>
                <w:sz w:val="22"/>
                <w:szCs w:val="22"/>
              </w:rPr>
            </w:pPr>
            <w:r>
              <w:rPr>
                <w:rFonts w:cs="Arial" w:ascii="Arial" w:hAnsi="Arial"/>
                <w:b/>
                <w:bCs/>
                <w:kern w:val="2"/>
                <w:sz w:val="22"/>
                <w:szCs w:val="22"/>
              </w:rPr>
              <w:t>Valor total</w:t>
            </w:r>
          </w:p>
        </w:tc>
      </w:tr>
      <w:tr>
        <w:trPr/>
        <w:tc>
          <w:tcPr>
            <w:tcW w:w="77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ind w:left="-113" w:hanging="0"/>
              <w:jc w:val="center"/>
              <w:rPr>
                <w:rFonts w:ascii="Arial" w:hAnsi="Arial" w:cs="Arial"/>
                <w:sz w:val="22"/>
                <w:szCs w:val="22"/>
              </w:rPr>
            </w:pPr>
            <w:r>
              <w:rPr>
                <w:rFonts w:cs="Arial" w:ascii="Arial" w:hAnsi="Arial"/>
                <w:kern w:val="2"/>
                <w:sz w:val="22"/>
                <w:szCs w:val="22"/>
              </w:rPr>
              <w:t>1</w:t>
            </w:r>
          </w:p>
        </w:tc>
        <w:tc>
          <w:tcPr>
            <w:tcW w:w="72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cs="Arial"/>
                <w:sz w:val="22"/>
                <w:szCs w:val="22"/>
              </w:rPr>
            </w:pPr>
            <w:r>
              <w:rPr>
                <w:rFonts w:cs="Arial" w:ascii="Arial" w:hAnsi="Arial"/>
                <w:kern w:val="2"/>
                <w:sz w:val="22"/>
                <w:szCs w:val="22"/>
              </w:rPr>
              <w:t>2</w:t>
            </w:r>
          </w:p>
        </w:tc>
        <w:tc>
          <w:tcPr>
            <w:tcW w:w="1133"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cs="Arial"/>
                <w:sz w:val="22"/>
                <w:szCs w:val="22"/>
              </w:rPr>
            </w:pPr>
            <w:r>
              <w:rPr>
                <w:rFonts w:cs="Arial" w:ascii="Arial" w:hAnsi="Arial"/>
                <w:kern w:val="2"/>
                <w:sz w:val="22"/>
                <w:szCs w:val="22"/>
              </w:rPr>
              <w:t>UN</w:t>
            </w:r>
          </w:p>
        </w:tc>
        <w:tc>
          <w:tcPr>
            <w:tcW w:w="3686" w:type="dxa"/>
            <w:tcBorders>
              <w:top w:val="single" w:sz="4" w:space="0" w:color="000000"/>
              <w:left w:val="single" w:sz="4" w:space="0" w:color="000000"/>
              <w:bottom w:val="single" w:sz="4" w:space="0" w:color="000000"/>
              <w:right w:val="single" w:sz="4" w:space="0" w:color="000000"/>
            </w:tcBorders>
            <w:vAlign w:val="center"/>
          </w:tcPr>
          <w:p>
            <w:pPr>
              <w:pStyle w:val="Padro"/>
              <w:widowControl w:val="false"/>
              <w:spacing w:before="0" w:after="200"/>
              <w:jc w:val="both"/>
              <w:rPr>
                <w:rFonts w:ascii="Arial" w:hAnsi="Arial"/>
              </w:rPr>
            </w:pPr>
            <w:r>
              <w:rPr>
                <w:rFonts w:ascii="Arial" w:hAnsi="Arial"/>
              </w:rPr>
              <w:t>Aplicador de cola quente, bivolt, potência de 40w, corpo plástico injetado e bico em metal, compatível com tubos de silicone de 11mm. Com selo do INMETRO.</w:t>
            </w:r>
          </w:p>
        </w:tc>
        <w:tc>
          <w:tcPr>
            <w:tcW w:w="1604"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Padro"/>
              <w:widowControl w:val="false"/>
              <w:spacing w:before="0" w:after="200"/>
              <w:jc w:val="center"/>
              <w:rPr>
                <w:rFonts w:ascii="Arial" w:hAnsi="Arial"/>
              </w:rPr>
            </w:pPr>
            <w:r>
              <w:rPr>
                <w:rFonts w:ascii="Arial" w:hAnsi="Arial"/>
              </w:rPr>
              <w:t>R$ 69,79</w:t>
            </w:r>
          </w:p>
        </w:tc>
        <w:tc>
          <w:tcPr>
            <w:tcW w:w="1602"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Padro"/>
              <w:widowControl w:val="false"/>
              <w:spacing w:before="0" w:after="200"/>
              <w:jc w:val="center"/>
              <w:rPr>
                <w:rFonts w:ascii="Arial" w:hAnsi="Arial"/>
              </w:rPr>
            </w:pPr>
            <w:r>
              <w:rPr>
                <w:rFonts w:ascii="Arial" w:hAnsi="Arial"/>
              </w:rPr>
              <w:t>R$ 139,58</w:t>
            </w:r>
          </w:p>
        </w:tc>
      </w:tr>
      <w:tr>
        <w:trPr/>
        <w:tc>
          <w:tcPr>
            <w:tcW w:w="77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ind w:left="-113" w:hanging="0"/>
              <w:jc w:val="center"/>
              <w:rPr>
                <w:rFonts w:ascii="Arial" w:hAnsi="Arial" w:cs="Arial"/>
                <w:sz w:val="22"/>
                <w:szCs w:val="22"/>
              </w:rPr>
            </w:pPr>
            <w:r>
              <w:rPr>
                <w:rFonts w:cs="Arial" w:ascii="Arial" w:hAnsi="Arial"/>
                <w:kern w:val="2"/>
                <w:sz w:val="22"/>
                <w:szCs w:val="22"/>
              </w:rPr>
              <w:t>2</w:t>
            </w:r>
          </w:p>
        </w:tc>
        <w:tc>
          <w:tcPr>
            <w:tcW w:w="72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cs="Arial"/>
                <w:sz w:val="22"/>
                <w:szCs w:val="22"/>
              </w:rPr>
            </w:pPr>
            <w:r>
              <w:rPr>
                <w:rFonts w:cs="Arial" w:ascii="Arial" w:hAnsi="Arial"/>
                <w:kern w:val="2"/>
                <w:sz w:val="22"/>
                <w:szCs w:val="22"/>
              </w:rPr>
              <w:t>20</w:t>
            </w:r>
          </w:p>
        </w:tc>
        <w:tc>
          <w:tcPr>
            <w:tcW w:w="1133"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cs="Arial"/>
                <w:sz w:val="22"/>
                <w:szCs w:val="22"/>
              </w:rPr>
            </w:pPr>
            <w:r>
              <w:rPr>
                <w:rFonts w:cs="Arial" w:ascii="Arial" w:hAnsi="Arial"/>
                <w:kern w:val="2"/>
                <w:sz w:val="22"/>
                <w:szCs w:val="22"/>
              </w:rPr>
              <w:t>UN</w:t>
            </w:r>
          </w:p>
        </w:tc>
        <w:tc>
          <w:tcPr>
            <w:tcW w:w="3686"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276"/>
              <w:jc w:val="both"/>
              <w:rPr>
                <w:rFonts w:ascii="Arial" w:hAnsi="Arial" w:eastAsia="MS Mincho" w:cs="Arial"/>
                <w:sz w:val="22"/>
                <w:szCs w:val="22"/>
                <w:lang w:eastAsia="en-US" w:bidi="ar-SA"/>
              </w:rPr>
            </w:pPr>
            <w:r>
              <w:rPr>
                <w:rFonts w:eastAsia="MS Mincho" w:cs="Arial" w:ascii="Arial" w:hAnsi="Arial"/>
                <w:kern w:val="2"/>
                <w:sz w:val="22"/>
                <w:szCs w:val="22"/>
                <w:lang w:eastAsia="en-US" w:bidi="ar-SA"/>
              </w:rPr>
              <w:t>Arquivo morto, caixa de papelão, com identificação na lateral para mês, ano, seção, código e espaço para descrição do conteúdo, revestido com papel Kraft puro.</w:t>
            </w:r>
          </w:p>
        </w:tc>
        <w:tc>
          <w:tcPr>
            <w:tcW w:w="1604"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spacing w:lineRule="auto" w:line="276"/>
              <w:jc w:val="center"/>
              <w:rPr>
                <w:rFonts w:ascii="Arial" w:hAnsi="Arial" w:eastAsia="MS Mincho" w:cs="Arial"/>
                <w:kern w:val="2"/>
                <w:sz w:val="22"/>
                <w:szCs w:val="22"/>
                <w:lang w:eastAsia="en-US" w:bidi="ar-SA"/>
              </w:rPr>
            </w:pPr>
            <w:r>
              <w:rPr>
                <w:rFonts w:eastAsia="MS Mincho" w:cs="Arial" w:ascii="Arial" w:hAnsi="Arial"/>
                <w:kern w:val="2"/>
                <w:sz w:val="22"/>
                <w:szCs w:val="22"/>
                <w:lang w:eastAsia="en-US" w:bidi="ar-SA"/>
              </w:rPr>
              <w:t>R$ 4,56</w:t>
            </w:r>
          </w:p>
        </w:tc>
        <w:tc>
          <w:tcPr>
            <w:tcW w:w="1602"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spacing w:lineRule="auto" w:line="276"/>
              <w:jc w:val="center"/>
              <w:rPr>
                <w:rFonts w:ascii="Arial" w:hAnsi="Arial" w:eastAsia="MS Mincho" w:cs="Arial"/>
                <w:kern w:val="2"/>
                <w:sz w:val="22"/>
                <w:szCs w:val="22"/>
                <w:lang w:eastAsia="en-US" w:bidi="ar-SA"/>
              </w:rPr>
            </w:pPr>
            <w:r>
              <w:rPr>
                <w:rFonts w:eastAsia="MS Mincho" w:cs="Arial" w:ascii="Arial" w:hAnsi="Arial"/>
                <w:kern w:val="2"/>
                <w:sz w:val="22"/>
                <w:szCs w:val="22"/>
                <w:lang w:eastAsia="en-US" w:bidi="ar-SA"/>
              </w:rPr>
              <w:t>R$ 91,20</w:t>
            </w:r>
          </w:p>
        </w:tc>
      </w:tr>
      <w:tr>
        <w:trPr/>
        <w:tc>
          <w:tcPr>
            <w:tcW w:w="77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ind w:left="-113" w:hanging="0"/>
              <w:jc w:val="center"/>
              <w:rPr>
                <w:rFonts w:ascii="Arial" w:hAnsi="Arial" w:cs="Arial"/>
                <w:sz w:val="22"/>
                <w:szCs w:val="22"/>
              </w:rPr>
            </w:pPr>
            <w:r>
              <w:rPr>
                <w:rFonts w:cs="Arial" w:ascii="Arial" w:hAnsi="Arial"/>
                <w:kern w:val="2"/>
                <w:sz w:val="22"/>
                <w:szCs w:val="22"/>
              </w:rPr>
              <w:t>3</w:t>
            </w:r>
          </w:p>
        </w:tc>
        <w:tc>
          <w:tcPr>
            <w:tcW w:w="72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sz w:val="22"/>
                <w:szCs w:val="22"/>
              </w:rPr>
            </w:pPr>
            <w:r>
              <w:rPr>
                <w:rFonts w:cs="Arial" w:ascii="Arial" w:hAnsi="Arial"/>
                <w:kern w:val="2"/>
                <w:sz w:val="22"/>
                <w:szCs w:val="22"/>
              </w:rPr>
              <w:t>100</w:t>
            </w:r>
          </w:p>
        </w:tc>
        <w:tc>
          <w:tcPr>
            <w:tcW w:w="1133"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cs="Arial"/>
                <w:sz w:val="22"/>
                <w:szCs w:val="22"/>
              </w:rPr>
            </w:pPr>
            <w:r>
              <w:rPr>
                <w:rFonts w:cs="Arial" w:ascii="Arial" w:hAnsi="Arial"/>
                <w:kern w:val="2"/>
                <w:sz w:val="22"/>
                <w:szCs w:val="22"/>
              </w:rPr>
              <w:t>UN</w:t>
            </w:r>
          </w:p>
        </w:tc>
        <w:tc>
          <w:tcPr>
            <w:tcW w:w="3686"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276"/>
              <w:jc w:val="both"/>
              <w:rPr>
                <w:rFonts w:ascii="Arial" w:hAnsi="Arial" w:eastAsia="MS Mincho" w:cs="Arial"/>
                <w:sz w:val="22"/>
                <w:szCs w:val="22"/>
                <w:lang w:eastAsia="en-US" w:bidi="ar-SA"/>
              </w:rPr>
            </w:pPr>
            <w:r>
              <w:rPr>
                <w:rFonts w:eastAsia="MS Mincho" w:cs="Arial" w:ascii="Arial" w:hAnsi="Arial"/>
                <w:kern w:val="2"/>
                <w:sz w:val="22"/>
                <w:szCs w:val="22"/>
                <w:lang w:eastAsia="en-US" w:bidi="ar-SA"/>
              </w:rPr>
              <w:t>Caneta esferográfica, Cor da tinta: Azul, Traço fino de 0,7mm, Corpo plástico e longo, Ponta tipo agulha; Esfera de aço inoxidável.</w:t>
            </w:r>
          </w:p>
        </w:tc>
        <w:tc>
          <w:tcPr>
            <w:tcW w:w="1604"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spacing w:lineRule="auto" w:line="276"/>
              <w:jc w:val="center"/>
              <w:rPr>
                <w:rFonts w:ascii="Arial" w:hAnsi="Arial" w:eastAsia="MS Mincho" w:cs="Arial"/>
                <w:kern w:val="2"/>
                <w:sz w:val="22"/>
                <w:szCs w:val="22"/>
                <w:lang w:eastAsia="en-US" w:bidi="ar-SA"/>
              </w:rPr>
            </w:pPr>
            <w:r>
              <w:rPr>
                <w:rFonts w:eastAsia="MS Mincho" w:cs="Arial" w:ascii="Arial" w:hAnsi="Arial"/>
                <w:kern w:val="2"/>
                <w:sz w:val="22"/>
                <w:szCs w:val="22"/>
                <w:lang w:eastAsia="en-US" w:bidi="ar-SA"/>
              </w:rPr>
              <w:t>R$ 4,05</w:t>
            </w:r>
          </w:p>
        </w:tc>
        <w:tc>
          <w:tcPr>
            <w:tcW w:w="1602"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spacing w:lineRule="auto" w:line="276"/>
              <w:jc w:val="center"/>
              <w:rPr>
                <w:rFonts w:ascii="Arial" w:hAnsi="Arial" w:eastAsia="MS Mincho" w:cs="Arial"/>
                <w:kern w:val="2"/>
                <w:sz w:val="22"/>
                <w:szCs w:val="22"/>
                <w:lang w:eastAsia="en-US" w:bidi="ar-SA"/>
              </w:rPr>
            </w:pPr>
            <w:r>
              <w:rPr>
                <w:rFonts w:eastAsia="MS Mincho" w:cs="Arial" w:ascii="Arial" w:hAnsi="Arial"/>
                <w:kern w:val="2"/>
                <w:sz w:val="22"/>
                <w:szCs w:val="22"/>
                <w:lang w:eastAsia="en-US" w:bidi="ar-SA"/>
              </w:rPr>
              <w:t>R$ 405,00</w:t>
            </w:r>
          </w:p>
        </w:tc>
      </w:tr>
      <w:tr>
        <w:trPr/>
        <w:tc>
          <w:tcPr>
            <w:tcW w:w="77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ind w:left="-113" w:hanging="0"/>
              <w:jc w:val="center"/>
              <w:rPr>
                <w:rFonts w:ascii="Arial" w:hAnsi="Arial"/>
                <w:sz w:val="22"/>
                <w:szCs w:val="22"/>
              </w:rPr>
            </w:pPr>
            <w:r>
              <w:rPr>
                <w:rFonts w:ascii="Arial" w:hAnsi="Arial"/>
                <w:kern w:val="2"/>
                <w:sz w:val="22"/>
                <w:szCs w:val="22"/>
              </w:rPr>
              <w:t>4</w:t>
            </w:r>
          </w:p>
        </w:tc>
        <w:tc>
          <w:tcPr>
            <w:tcW w:w="72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sz w:val="22"/>
                <w:szCs w:val="22"/>
              </w:rPr>
            </w:pPr>
            <w:r>
              <w:rPr>
                <w:rFonts w:ascii="Arial" w:hAnsi="Arial"/>
                <w:kern w:val="2"/>
                <w:sz w:val="22"/>
                <w:szCs w:val="22"/>
              </w:rPr>
              <w:t>3</w:t>
            </w:r>
          </w:p>
        </w:tc>
        <w:tc>
          <w:tcPr>
            <w:tcW w:w="1133"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sz w:val="22"/>
                <w:szCs w:val="22"/>
              </w:rPr>
            </w:pPr>
            <w:r>
              <w:rPr>
                <w:rFonts w:ascii="Arial" w:hAnsi="Arial"/>
                <w:kern w:val="2"/>
                <w:sz w:val="22"/>
                <w:szCs w:val="22"/>
              </w:rPr>
              <w:t>UN</w:t>
            </w:r>
          </w:p>
        </w:tc>
        <w:tc>
          <w:tcPr>
            <w:tcW w:w="3686"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276"/>
              <w:jc w:val="both"/>
              <w:rPr>
                <w:rFonts w:ascii="Cambria" w:hAnsi="Cambria" w:eastAsia="MS Mincho"/>
                <w:kern w:val="0"/>
                <w:sz w:val="22"/>
                <w:szCs w:val="22"/>
                <w:lang w:val="en-US" w:eastAsia="en-US" w:bidi="ar-SA"/>
              </w:rPr>
            </w:pPr>
            <w:r>
              <w:rPr>
                <w:rFonts w:eastAsia="Times New Roman" w:cs="Arial" w:ascii="Arial" w:hAnsi="Arial"/>
                <w:kern w:val="2"/>
                <w:sz w:val="22"/>
                <w:szCs w:val="22"/>
                <w:lang w:eastAsia="en-US" w:bidi="ar-SA"/>
              </w:rPr>
              <w:t xml:space="preserve">Caneta marca texto, na cor </w:t>
            </w:r>
            <w:r>
              <w:rPr>
                <w:rFonts w:eastAsia="Times New Roman" w:cs="Arial" w:ascii="Arial" w:hAnsi="Arial"/>
                <w:b/>
                <w:bCs/>
                <w:kern w:val="2"/>
                <w:sz w:val="22"/>
                <w:szCs w:val="22"/>
                <w:lang w:eastAsia="en-US" w:bidi="ar-SA"/>
              </w:rPr>
              <w:t xml:space="preserve">amarela </w:t>
            </w:r>
            <w:r>
              <w:rPr>
                <w:rFonts w:eastAsia="Times New Roman" w:cs="Arial" w:ascii="Arial" w:hAnsi="Arial"/>
                <w:kern w:val="2"/>
                <w:sz w:val="22"/>
                <w:szCs w:val="22"/>
                <w:lang w:eastAsia="en-US" w:bidi="ar-SA"/>
              </w:rPr>
              <w:t>com selo do INMETRO. Cx com 12 un</w:t>
            </w:r>
          </w:p>
        </w:tc>
        <w:tc>
          <w:tcPr>
            <w:tcW w:w="1604"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spacing w:lineRule="auto" w:line="276"/>
              <w:jc w:val="center"/>
              <w:rPr>
                <w:rFonts w:ascii="Arial" w:hAnsi="Arial" w:eastAsia="Times New Roman" w:cs="Arial"/>
                <w:kern w:val="2"/>
                <w:sz w:val="22"/>
                <w:szCs w:val="22"/>
                <w:lang w:eastAsia="en-US" w:bidi="ar-SA"/>
              </w:rPr>
            </w:pPr>
            <w:r>
              <w:rPr>
                <w:rFonts w:eastAsia="Times New Roman" w:cs="Arial" w:ascii="Arial" w:hAnsi="Arial"/>
                <w:kern w:val="2"/>
                <w:sz w:val="22"/>
                <w:szCs w:val="22"/>
                <w:lang w:eastAsia="en-US" w:bidi="ar-SA"/>
              </w:rPr>
              <w:t>R$ 43,53</w:t>
            </w:r>
          </w:p>
        </w:tc>
        <w:tc>
          <w:tcPr>
            <w:tcW w:w="1602"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spacing w:lineRule="auto" w:line="276"/>
              <w:jc w:val="center"/>
              <w:rPr>
                <w:rFonts w:ascii="Arial" w:hAnsi="Arial" w:eastAsia="Times New Roman" w:cs="Arial"/>
                <w:kern w:val="2"/>
                <w:sz w:val="22"/>
                <w:szCs w:val="22"/>
                <w:lang w:eastAsia="en-US" w:bidi="ar-SA"/>
              </w:rPr>
            </w:pPr>
            <w:r>
              <w:rPr>
                <w:rFonts w:eastAsia="Times New Roman" w:cs="Arial" w:ascii="Arial" w:hAnsi="Arial"/>
                <w:kern w:val="2"/>
                <w:sz w:val="22"/>
                <w:szCs w:val="22"/>
                <w:lang w:eastAsia="en-US" w:bidi="ar-SA"/>
              </w:rPr>
              <w:t>R$130,59</w:t>
            </w:r>
          </w:p>
        </w:tc>
      </w:tr>
      <w:tr>
        <w:trPr/>
        <w:tc>
          <w:tcPr>
            <w:tcW w:w="77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ind w:left="-113" w:hanging="0"/>
              <w:jc w:val="center"/>
              <w:rPr>
                <w:rFonts w:ascii="Arial" w:hAnsi="Arial"/>
                <w:sz w:val="22"/>
                <w:szCs w:val="22"/>
              </w:rPr>
            </w:pPr>
            <w:r>
              <w:rPr>
                <w:rFonts w:ascii="Arial" w:hAnsi="Arial"/>
                <w:kern w:val="2"/>
                <w:sz w:val="22"/>
                <w:szCs w:val="22"/>
              </w:rPr>
              <w:t>5</w:t>
            </w:r>
          </w:p>
        </w:tc>
        <w:tc>
          <w:tcPr>
            <w:tcW w:w="72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sz w:val="22"/>
                <w:szCs w:val="22"/>
              </w:rPr>
            </w:pPr>
            <w:r>
              <w:rPr>
                <w:rFonts w:ascii="Arial" w:hAnsi="Arial"/>
                <w:kern w:val="2"/>
                <w:sz w:val="22"/>
                <w:szCs w:val="22"/>
              </w:rPr>
              <w:t>3</w:t>
            </w:r>
          </w:p>
        </w:tc>
        <w:tc>
          <w:tcPr>
            <w:tcW w:w="1133"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sz w:val="22"/>
                <w:szCs w:val="22"/>
              </w:rPr>
            </w:pPr>
            <w:r>
              <w:rPr>
                <w:rFonts w:ascii="Arial" w:hAnsi="Arial"/>
                <w:kern w:val="2"/>
                <w:sz w:val="22"/>
                <w:szCs w:val="22"/>
              </w:rPr>
              <w:t>UN</w:t>
            </w:r>
          </w:p>
        </w:tc>
        <w:tc>
          <w:tcPr>
            <w:tcW w:w="3686"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276"/>
              <w:jc w:val="both"/>
              <w:rPr>
                <w:rFonts w:ascii="Cambria" w:hAnsi="Cambria" w:eastAsia="MS Mincho"/>
                <w:kern w:val="0"/>
                <w:sz w:val="22"/>
                <w:szCs w:val="22"/>
                <w:lang w:val="en-US" w:eastAsia="en-US" w:bidi="ar-SA"/>
              </w:rPr>
            </w:pPr>
            <w:r>
              <w:rPr>
                <w:rFonts w:eastAsia="Times New Roman" w:cs="Arial" w:ascii="Arial" w:hAnsi="Arial"/>
                <w:kern w:val="2"/>
                <w:sz w:val="22"/>
                <w:szCs w:val="22"/>
                <w:lang w:eastAsia="en-US" w:bidi="ar-SA"/>
              </w:rPr>
              <w:t xml:space="preserve">Caneta marca texto, na cor </w:t>
            </w:r>
            <w:r>
              <w:rPr>
                <w:rFonts w:eastAsia="Times New Roman" w:cs="Arial" w:ascii="Arial" w:hAnsi="Arial"/>
                <w:b/>
                <w:bCs/>
                <w:kern w:val="2"/>
                <w:sz w:val="22"/>
                <w:szCs w:val="22"/>
                <w:lang w:eastAsia="en-US" w:bidi="ar-SA"/>
              </w:rPr>
              <w:t xml:space="preserve">verde </w:t>
            </w:r>
            <w:r>
              <w:rPr>
                <w:rFonts w:eastAsia="Times New Roman" w:cs="Arial" w:ascii="Arial" w:hAnsi="Arial"/>
                <w:kern w:val="2"/>
                <w:sz w:val="22"/>
                <w:szCs w:val="22"/>
                <w:lang w:eastAsia="en-US" w:bidi="ar-SA"/>
              </w:rPr>
              <w:t>com selo do INMETRO. Cx com 12 un</w:t>
            </w:r>
          </w:p>
        </w:tc>
        <w:tc>
          <w:tcPr>
            <w:tcW w:w="1604"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spacing w:lineRule="auto" w:line="276"/>
              <w:jc w:val="center"/>
              <w:rPr>
                <w:rFonts w:ascii="Arial" w:hAnsi="Arial" w:eastAsia="Times New Roman" w:cs="Arial"/>
                <w:kern w:val="2"/>
                <w:sz w:val="22"/>
                <w:szCs w:val="22"/>
                <w:lang w:eastAsia="en-US" w:bidi="ar-SA"/>
              </w:rPr>
            </w:pPr>
            <w:r>
              <w:rPr>
                <w:rFonts w:eastAsia="Times New Roman" w:cs="Arial" w:ascii="Arial" w:hAnsi="Arial"/>
                <w:kern w:val="2"/>
                <w:sz w:val="22"/>
                <w:szCs w:val="22"/>
                <w:lang w:eastAsia="en-US" w:bidi="ar-SA"/>
              </w:rPr>
              <w:t>R$ 43,53</w:t>
            </w:r>
          </w:p>
        </w:tc>
        <w:tc>
          <w:tcPr>
            <w:tcW w:w="1602"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spacing w:lineRule="auto" w:line="276"/>
              <w:jc w:val="center"/>
              <w:rPr>
                <w:rFonts w:ascii="Arial" w:hAnsi="Arial" w:eastAsia="Times New Roman" w:cs="Arial"/>
                <w:kern w:val="2"/>
                <w:sz w:val="22"/>
                <w:szCs w:val="22"/>
                <w:lang w:eastAsia="en-US" w:bidi="ar-SA"/>
              </w:rPr>
            </w:pPr>
            <w:r>
              <w:rPr>
                <w:rFonts w:eastAsia="Times New Roman" w:cs="Arial" w:ascii="Arial" w:hAnsi="Arial"/>
                <w:kern w:val="2"/>
                <w:sz w:val="22"/>
                <w:szCs w:val="22"/>
                <w:lang w:eastAsia="en-US" w:bidi="ar-SA"/>
              </w:rPr>
              <w:t>R$130,59</w:t>
            </w:r>
          </w:p>
        </w:tc>
      </w:tr>
      <w:tr>
        <w:trPr/>
        <w:tc>
          <w:tcPr>
            <w:tcW w:w="77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ind w:left="-113" w:hanging="0"/>
              <w:jc w:val="center"/>
              <w:rPr>
                <w:rFonts w:ascii="Arial" w:hAnsi="Arial"/>
                <w:sz w:val="22"/>
                <w:szCs w:val="22"/>
              </w:rPr>
            </w:pPr>
            <w:r>
              <w:rPr>
                <w:rFonts w:ascii="Arial" w:hAnsi="Arial"/>
                <w:kern w:val="2"/>
                <w:sz w:val="22"/>
                <w:szCs w:val="22"/>
              </w:rPr>
              <w:t>6</w:t>
            </w:r>
          </w:p>
        </w:tc>
        <w:tc>
          <w:tcPr>
            <w:tcW w:w="72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sz w:val="22"/>
                <w:szCs w:val="22"/>
              </w:rPr>
            </w:pPr>
            <w:r>
              <w:rPr>
                <w:rFonts w:ascii="Arial" w:hAnsi="Arial"/>
                <w:kern w:val="2"/>
                <w:sz w:val="22"/>
                <w:szCs w:val="22"/>
              </w:rPr>
              <w:t>2</w:t>
            </w:r>
          </w:p>
        </w:tc>
        <w:tc>
          <w:tcPr>
            <w:tcW w:w="1133"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sz w:val="22"/>
                <w:szCs w:val="22"/>
              </w:rPr>
            </w:pPr>
            <w:r>
              <w:rPr>
                <w:rFonts w:ascii="Arial" w:hAnsi="Arial"/>
                <w:kern w:val="2"/>
                <w:sz w:val="22"/>
                <w:szCs w:val="22"/>
              </w:rPr>
              <w:t>UN</w:t>
            </w:r>
          </w:p>
        </w:tc>
        <w:tc>
          <w:tcPr>
            <w:tcW w:w="3686"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276"/>
              <w:jc w:val="both"/>
              <w:rPr>
                <w:rFonts w:ascii="Cambria" w:hAnsi="Cambria" w:eastAsia="MS Mincho"/>
                <w:kern w:val="0"/>
                <w:sz w:val="22"/>
                <w:szCs w:val="22"/>
                <w:lang w:val="en-US" w:eastAsia="en-US" w:bidi="ar-SA"/>
              </w:rPr>
            </w:pPr>
            <w:r>
              <w:rPr>
                <w:rFonts w:eastAsia="Times New Roman" w:cs="Arial" w:ascii="Arial" w:hAnsi="Arial"/>
                <w:kern w:val="2"/>
                <w:sz w:val="22"/>
                <w:szCs w:val="22"/>
                <w:lang w:eastAsia="en-US" w:bidi="ar-SA"/>
              </w:rPr>
              <w:t xml:space="preserve">Caneta marca texto, na cor </w:t>
            </w:r>
            <w:r>
              <w:rPr>
                <w:rFonts w:eastAsia="Times New Roman" w:cs="Arial" w:ascii="Arial" w:hAnsi="Arial"/>
                <w:b/>
                <w:bCs/>
                <w:kern w:val="2"/>
                <w:sz w:val="22"/>
                <w:szCs w:val="22"/>
                <w:lang w:eastAsia="en-US" w:bidi="ar-SA"/>
              </w:rPr>
              <w:t xml:space="preserve">azul </w:t>
            </w:r>
            <w:r>
              <w:rPr>
                <w:rFonts w:eastAsia="Times New Roman" w:cs="Arial" w:ascii="Arial" w:hAnsi="Arial"/>
                <w:kern w:val="2"/>
                <w:sz w:val="22"/>
                <w:szCs w:val="22"/>
                <w:lang w:eastAsia="en-US" w:bidi="ar-SA"/>
              </w:rPr>
              <w:t>com selo do INMETRO. Cx com 12 un</w:t>
            </w:r>
          </w:p>
        </w:tc>
        <w:tc>
          <w:tcPr>
            <w:tcW w:w="1604"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spacing w:lineRule="auto" w:line="276"/>
              <w:jc w:val="center"/>
              <w:rPr>
                <w:rFonts w:ascii="Arial" w:hAnsi="Arial" w:eastAsia="Times New Roman" w:cs="Arial"/>
                <w:kern w:val="2"/>
                <w:sz w:val="22"/>
                <w:szCs w:val="22"/>
                <w:lang w:eastAsia="en-US" w:bidi="ar-SA"/>
              </w:rPr>
            </w:pPr>
            <w:r>
              <w:rPr>
                <w:rFonts w:eastAsia="Times New Roman" w:cs="Arial" w:ascii="Arial" w:hAnsi="Arial"/>
                <w:kern w:val="2"/>
                <w:sz w:val="22"/>
                <w:szCs w:val="22"/>
                <w:lang w:eastAsia="en-US" w:bidi="ar-SA"/>
              </w:rPr>
              <w:t>R$ 43,53</w:t>
            </w:r>
          </w:p>
        </w:tc>
        <w:tc>
          <w:tcPr>
            <w:tcW w:w="1602"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spacing w:lineRule="auto" w:line="276"/>
              <w:jc w:val="center"/>
              <w:rPr>
                <w:rFonts w:ascii="Arial" w:hAnsi="Arial" w:eastAsia="Times New Roman" w:cs="Arial"/>
                <w:kern w:val="2"/>
                <w:sz w:val="22"/>
                <w:szCs w:val="22"/>
                <w:lang w:eastAsia="en-US" w:bidi="ar-SA"/>
              </w:rPr>
            </w:pPr>
            <w:r>
              <w:rPr>
                <w:rFonts w:eastAsia="Times New Roman" w:cs="Arial" w:ascii="Arial" w:hAnsi="Arial"/>
                <w:kern w:val="2"/>
                <w:sz w:val="22"/>
                <w:szCs w:val="22"/>
                <w:lang w:eastAsia="en-US" w:bidi="ar-SA"/>
              </w:rPr>
              <w:t>R$130,59</w:t>
            </w:r>
          </w:p>
        </w:tc>
      </w:tr>
      <w:tr>
        <w:trPr/>
        <w:tc>
          <w:tcPr>
            <w:tcW w:w="77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ind w:left="-113" w:hanging="0"/>
              <w:jc w:val="center"/>
              <w:rPr>
                <w:rFonts w:ascii="Arial" w:hAnsi="Arial" w:cs="Arial"/>
                <w:sz w:val="22"/>
                <w:szCs w:val="22"/>
              </w:rPr>
            </w:pPr>
            <w:r>
              <w:rPr>
                <w:rFonts w:cs="Arial" w:ascii="Arial" w:hAnsi="Arial"/>
                <w:kern w:val="2"/>
                <w:sz w:val="22"/>
                <w:szCs w:val="22"/>
              </w:rPr>
              <w:t>7</w:t>
            </w:r>
          </w:p>
        </w:tc>
        <w:tc>
          <w:tcPr>
            <w:tcW w:w="72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cs="Arial"/>
                <w:sz w:val="22"/>
                <w:szCs w:val="22"/>
              </w:rPr>
            </w:pPr>
            <w:r>
              <w:rPr>
                <w:rFonts w:cs="Arial" w:ascii="Arial" w:hAnsi="Arial"/>
                <w:kern w:val="2"/>
                <w:sz w:val="22"/>
                <w:szCs w:val="22"/>
              </w:rPr>
              <w:t>30</w:t>
            </w:r>
          </w:p>
        </w:tc>
        <w:tc>
          <w:tcPr>
            <w:tcW w:w="1133"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cs="Arial"/>
                <w:sz w:val="22"/>
                <w:szCs w:val="22"/>
              </w:rPr>
            </w:pPr>
            <w:r>
              <w:rPr>
                <w:rFonts w:cs="Arial" w:ascii="Arial" w:hAnsi="Arial"/>
                <w:kern w:val="2"/>
                <w:sz w:val="22"/>
                <w:szCs w:val="22"/>
              </w:rPr>
              <w:t>UN</w:t>
            </w:r>
          </w:p>
        </w:tc>
        <w:tc>
          <w:tcPr>
            <w:tcW w:w="3686"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276"/>
              <w:jc w:val="both"/>
              <w:rPr>
                <w:rFonts w:ascii="Arial" w:hAnsi="Arial" w:eastAsia="MS Mincho" w:cs="Arial"/>
                <w:sz w:val="22"/>
                <w:szCs w:val="22"/>
                <w:lang w:eastAsia="en-US" w:bidi="ar-SA"/>
              </w:rPr>
            </w:pPr>
            <w:r>
              <w:rPr>
                <w:rFonts w:eastAsia="MS Mincho" w:cs="Arial" w:ascii="Arial" w:hAnsi="Arial"/>
                <w:kern w:val="2"/>
                <w:sz w:val="22"/>
                <w:szCs w:val="22"/>
                <w:lang w:eastAsia="en-US" w:bidi="ar-SA"/>
              </w:rPr>
              <w:t>Clips metálico n.° 2/0, caixa com aproximadamente 100 unidades, niquelados, com informação do revestimento na embalagem</w:t>
            </w:r>
          </w:p>
        </w:tc>
        <w:tc>
          <w:tcPr>
            <w:tcW w:w="1604"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spacing w:lineRule="auto" w:line="276"/>
              <w:jc w:val="center"/>
              <w:rPr>
                <w:rFonts w:ascii="Arial" w:hAnsi="Arial" w:eastAsia="MS Mincho" w:cs="Arial"/>
                <w:kern w:val="2"/>
                <w:sz w:val="22"/>
                <w:szCs w:val="22"/>
                <w:lang w:eastAsia="en-US" w:bidi="ar-SA"/>
              </w:rPr>
            </w:pPr>
            <w:r>
              <w:rPr>
                <w:rFonts w:eastAsia="MS Mincho" w:cs="Arial" w:ascii="Arial" w:hAnsi="Arial"/>
                <w:kern w:val="2"/>
                <w:sz w:val="22"/>
                <w:szCs w:val="22"/>
                <w:lang w:eastAsia="en-US" w:bidi="ar-SA"/>
              </w:rPr>
              <w:t>R$ 3,94</w:t>
            </w:r>
          </w:p>
        </w:tc>
        <w:tc>
          <w:tcPr>
            <w:tcW w:w="1602"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spacing w:lineRule="auto" w:line="276"/>
              <w:jc w:val="center"/>
              <w:rPr>
                <w:rFonts w:ascii="Arial" w:hAnsi="Arial" w:eastAsia="MS Mincho" w:cs="Arial"/>
                <w:kern w:val="2"/>
                <w:sz w:val="22"/>
                <w:szCs w:val="22"/>
                <w:lang w:eastAsia="en-US" w:bidi="ar-SA"/>
              </w:rPr>
            </w:pPr>
            <w:r>
              <w:rPr>
                <w:rFonts w:eastAsia="MS Mincho" w:cs="Arial" w:ascii="Arial" w:hAnsi="Arial"/>
                <w:kern w:val="2"/>
                <w:sz w:val="22"/>
                <w:szCs w:val="22"/>
                <w:lang w:eastAsia="en-US" w:bidi="ar-SA"/>
              </w:rPr>
              <w:t>R$ 118,20</w:t>
            </w:r>
          </w:p>
        </w:tc>
      </w:tr>
      <w:tr>
        <w:trPr/>
        <w:tc>
          <w:tcPr>
            <w:tcW w:w="77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ind w:left="-113" w:hanging="0"/>
              <w:jc w:val="center"/>
              <w:rPr>
                <w:rFonts w:ascii="Arial" w:hAnsi="Arial" w:cs="Arial"/>
                <w:sz w:val="22"/>
                <w:szCs w:val="22"/>
              </w:rPr>
            </w:pPr>
            <w:r>
              <w:rPr>
                <w:rFonts w:cs="Arial" w:ascii="Arial" w:hAnsi="Arial"/>
                <w:kern w:val="2"/>
                <w:sz w:val="22"/>
                <w:szCs w:val="22"/>
              </w:rPr>
              <w:t>8</w:t>
            </w:r>
          </w:p>
        </w:tc>
        <w:tc>
          <w:tcPr>
            <w:tcW w:w="72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cs="Arial"/>
                <w:sz w:val="22"/>
                <w:szCs w:val="22"/>
              </w:rPr>
            </w:pPr>
            <w:r>
              <w:rPr>
                <w:rFonts w:cs="Arial" w:ascii="Arial" w:hAnsi="Arial"/>
                <w:kern w:val="2"/>
                <w:sz w:val="22"/>
                <w:szCs w:val="22"/>
              </w:rPr>
              <w:t>20</w:t>
            </w:r>
          </w:p>
        </w:tc>
        <w:tc>
          <w:tcPr>
            <w:tcW w:w="1133"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eastAsia="Times New Roman" w:cs="Arial"/>
                <w:sz w:val="22"/>
                <w:szCs w:val="22"/>
              </w:rPr>
            </w:pPr>
            <w:r>
              <w:rPr>
                <w:rFonts w:eastAsia="Times New Roman" w:cs="Arial" w:ascii="Arial" w:hAnsi="Arial"/>
                <w:kern w:val="2"/>
                <w:sz w:val="22"/>
                <w:szCs w:val="22"/>
              </w:rPr>
              <w:t>UN</w:t>
            </w:r>
          </w:p>
        </w:tc>
        <w:tc>
          <w:tcPr>
            <w:tcW w:w="3686"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276"/>
              <w:jc w:val="both"/>
              <w:rPr>
                <w:rFonts w:ascii="Cambria" w:hAnsi="Cambria" w:eastAsia="MS Mincho"/>
                <w:kern w:val="0"/>
                <w:sz w:val="22"/>
                <w:szCs w:val="22"/>
                <w:lang w:val="en-US" w:eastAsia="en-US" w:bidi="ar-SA"/>
              </w:rPr>
            </w:pPr>
            <w:r>
              <w:rPr>
                <w:rFonts w:eastAsia="Times New Roman" w:cs="Arial" w:ascii="Arial" w:hAnsi="Arial"/>
                <w:kern w:val="2"/>
                <w:sz w:val="22"/>
                <w:szCs w:val="22"/>
                <w:lang w:eastAsia="en-US" w:bidi="ar-SA"/>
              </w:rPr>
              <w:t>Clips metálico n.° 3/0, caixa com aproximadamente 100 unidades, niquelados, com informação do revestimento na embalagem</w:t>
            </w:r>
          </w:p>
        </w:tc>
        <w:tc>
          <w:tcPr>
            <w:tcW w:w="1604"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spacing w:lineRule="auto" w:line="276"/>
              <w:jc w:val="center"/>
              <w:rPr>
                <w:rFonts w:ascii="Arial" w:hAnsi="Arial" w:eastAsia="Times New Roman" w:cs="Arial"/>
                <w:kern w:val="2"/>
                <w:sz w:val="22"/>
                <w:szCs w:val="22"/>
                <w:lang w:eastAsia="en-US" w:bidi="ar-SA"/>
              </w:rPr>
            </w:pPr>
            <w:r>
              <w:rPr>
                <w:rFonts w:eastAsia="Times New Roman" w:cs="Arial" w:ascii="Arial" w:hAnsi="Arial"/>
                <w:kern w:val="2"/>
                <w:sz w:val="22"/>
                <w:szCs w:val="22"/>
                <w:lang w:eastAsia="en-US" w:bidi="ar-SA"/>
              </w:rPr>
              <w:t>R$ 4,35</w:t>
            </w:r>
          </w:p>
        </w:tc>
        <w:tc>
          <w:tcPr>
            <w:tcW w:w="1602"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spacing w:lineRule="auto" w:line="276"/>
              <w:jc w:val="center"/>
              <w:rPr>
                <w:rFonts w:ascii="Arial" w:hAnsi="Arial" w:eastAsia="Times New Roman" w:cs="Arial"/>
                <w:kern w:val="2"/>
                <w:sz w:val="22"/>
                <w:szCs w:val="22"/>
                <w:lang w:eastAsia="en-US" w:bidi="ar-SA"/>
              </w:rPr>
            </w:pPr>
            <w:r>
              <w:rPr>
                <w:rFonts w:eastAsia="Times New Roman" w:cs="Arial" w:ascii="Arial" w:hAnsi="Arial"/>
                <w:kern w:val="2"/>
                <w:sz w:val="22"/>
                <w:szCs w:val="22"/>
                <w:lang w:eastAsia="en-US" w:bidi="ar-SA"/>
              </w:rPr>
              <w:t>R$ 87,00</w:t>
            </w:r>
          </w:p>
        </w:tc>
      </w:tr>
      <w:tr>
        <w:trPr/>
        <w:tc>
          <w:tcPr>
            <w:tcW w:w="77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ind w:left="-113" w:hanging="0"/>
              <w:jc w:val="center"/>
              <w:rPr>
                <w:rFonts w:ascii="Arial" w:hAnsi="Arial" w:cs="Arial"/>
                <w:sz w:val="22"/>
                <w:szCs w:val="22"/>
              </w:rPr>
            </w:pPr>
            <w:r>
              <w:rPr>
                <w:rFonts w:cs="Arial" w:ascii="Arial" w:hAnsi="Arial"/>
                <w:kern w:val="2"/>
                <w:sz w:val="22"/>
                <w:szCs w:val="22"/>
              </w:rPr>
              <w:t>9</w:t>
            </w:r>
          </w:p>
        </w:tc>
        <w:tc>
          <w:tcPr>
            <w:tcW w:w="72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cs="Arial"/>
                <w:sz w:val="22"/>
                <w:szCs w:val="22"/>
              </w:rPr>
            </w:pPr>
            <w:r>
              <w:rPr>
                <w:rFonts w:cs="Arial" w:ascii="Arial" w:hAnsi="Arial"/>
                <w:kern w:val="2"/>
                <w:sz w:val="22"/>
                <w:szCs w:val="22"/>
              </w:rPr>
              <w:t>10</w:t>
            </w:r>
          </w:p>
        </w:tc>
        <w:tc>
          <w:tcPr>
            <w:tcW w:w="1133"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eastAsia="Times New Roman" w:cs="Arial"/>
                <w:sz w:val="22"/>
                <w:szCs w:val="22"/>
              </w:rPr>
            </w:pPr>
            <w:r>
              <w:rPr>
                <w:rFonts w:eastAsia="Times New Roman" w:cs="Arial" w:ascii="Arial" w:hAnsi="Arial"/>
                <w:kern w:val="2"/>
                <w:sz w:val="22"/>
                <w:szCs w:val="22"/>
              </w:rPr>
              <w:t>UN</w:t>
            </w:r>
          </w:p>
        </w:tc>
        <w:tc>
          <w:tcPr>
            <w:tcW w:w="3686"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276"/>
              <w:jc w:val="both"/>
              <w:rPr>
                <w:rFonts w:ascii="Arial" w:hAnsi="Arial" w:eastAsia="Times New Roman" w:cs="Arial"/>
                <w:sz w:val="22"/>
                <w:szCs w:val="22"/>
                <w:lang w:eastAsia="en-US" w:bidi="ar-SA"/>
              </w:rPr>
            </w:pPr>
            <w:r>
              <w:rPr>
                <w:rFonts w:eastAsia="Times New Roman" w:cs="Arial" w:ascii="Arial" w:hAnsi="Arial"/>
                <w:kern w:val="2"/>
                <w:sz w:val="22"/>
                <w:szCs w:val="22"/>
                <w:lang w:eastAsia="en-US" w:bidi="ar-SA"/>
              </w:rPr>
              <w:t>Cola líquida branca para papel, não tóxica, lavável, tubo com 90gr. Com selo do INMETRO</w:t>
            </w:r>
          </w:p>
        </w:tc>
        <w:tc>
          <w:tcPr>
            <w:tcW w:w="1604"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spacing w:lineRule="auto" w:line="276"/>
              <w:jc w:val="center"/>
              <w:rPr>
                <w:rFonts w:ascii="Arial" w:hAnsi="Arial" w:eastAsia="Times New Roman" w:cs="Arial"/>
                <w:kern w:val="2"/>
                <w:sz w:val="22"/>
                <w:szCs w:val="22"/>
                <w:lang w:eastAsia="en-US" w:bidi="ar-SA"/>
              </w:rPr>
            </w:pPr>
            <w:r>
              <w:rPr>
                <w:rFonts w:eastAsia="Times New Roman" w:cs="Arial" w:ascii="Arial" w:hAnsi="Arial"/>
                <w:kern w:val="2"/>
                <w:sz w:val="22"/>
                <w:szCs w:val="22"/>
                <w:lang w:eastAsia="en-US" w:bidi="ar-SA"/>
              </w:rPr>
              <w:t>R$ 3,95</w:t>
            </w:r>
          </w:p>
        </w:tc>
        <w:tc>
          <w:tcPr>
            <w:tcW w:w="1602"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spacing w:lineRule="auto" w:line="276"/>
              <w:jc w:val="center"/>
              <w:rPr>
                <w:rFonts w:ascii="Arial" w:hAnsi="Arial" w:eastAsia="Times New Roman" w:cs="Arial"/>
                <w:kern w:val="2"/>
                <w:sz w:val="22"/>
                <w:szCs w:val="22"/>
                <w:lang w:eastAsia="en-US" w:bidi="ar-SA"/>
              </w:rPr>
            </w:pPr>
            <w:r>
              <w:rPr>
                <w:rFonts w:eastAsia="Times New Roman" w:cs="Arial" w:ascii="Arial" w:hAnsi="Arial"/>
                <w:kern w:val="2"/>
                <w:sz w:val="22"/>
                <w:szCs w:val="22"/>
                <w:lang w:eastAsia="en-US" w:bidi="ar-SA"/>
              </w:rPr>
              <w:t>R$ 39,50</w:t>
            </w:r>
          </w:p>
        </w:tc>
      </w:tr>
      <w:tr>
        <w:trPr>
          <w:trHeight w:val="867" w:hRule="atLeast"/>
        </w:trPr>
        <w:tc>
          <w:tcPr>
            <w:tcW w:w="77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ind w:left="-113" w:hanging="0"/>
              <w:jc w:val="center"/>
              <w:rPr>
                <w:rFonts w:ascii="Arial" w:hAnsi="Arial"/>
                <w:sz w:val="22"/>
                <w:szCs w:val="22"/>
              </w:rPr>
            </w:pPr>
            <w:r>
              <w:rPr>
                <w:rFonts w:ascii="Arial" w:hAnsi="Arial"/>
                <w:kern w:val="2"/>
                <w:sz w:val="22"/>
                <w:szCs w:val="22"/>
              </w:rPr>
              <w:t>10</w:t>
            </w:r>
          </w:p>
        </w:tc>
        <w:tc>
          <w:tcPr>
            <w:tcW w:w="72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sz w:val="22"/>
                <w:szCs w:val="22"/>
              </w:rPr>
            </w:pPr>
            <w:r>
              <w:rPr>
                <w:rFonts w:ascii="Arial" w:hAnsi="Arial"/>
                <w:kern w:val="2"/>
                <w:sz w:val="22"/>
                <w:szCs w:val="22"/>
              </w:rPr>
              <w:t>1</w:t>
            </w:r>
          </w:p>
        </w:tc>
        <w:tc>
          <w:tcPr>
            <w:tcW w:w="1133"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sz w:val="22"/>
                <w:szCs w:val="22"/>
              </w:rPr>
            </w:pPr>
            <w:r>
              <w:rPr>
                <w:rFonts w:ascii="Arial" w:hAnsi="Arial"/>
                <w:kern w:val="2"/>
                <w:sz w:val="22"/>
                <w:szCs w:val="22"/>
              </w:rPr>
              <w:t>UN</w:t>
            </w:r>
          </w:p>
        </w:tc>
        <w:tc>
          <w:tcPr>
            <w:tcW w:w="3686"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276"/>
              <w:jc w:val="both"/>
              <w:rPr>
                <w:rFonts w:ascii="Arial" w:hAnsi="Arial" w:eastAsia="MS Mincho" w:cs="Arial"/>
                <w:kern w:val="0"/>
                <w:sz w:val="22"/>
                <w:szCs w:val="22"/>
                <w:lang w:val="en-US" w:eastAsia="en-US" w:bidi="ar-SA"/>
              </w:rPr>
            </w:pPr>
            <w:r>
              <w:rPr>
                <w:rFonts w:eastAsia="MS Mincho" w:cs="Arial" w:ascii="Arial" w:hAnsi="Arial"/>
                <w:kern w:val="0"/>
                <w:sz w:val="22"/>
                <w:szCs w:val="22"/>
                <w:lang w:val="en-US" w:eastAsia="en-US" w:bidi="ar-SA"/>
              </w:rPr>
              <w:t>Corretivo líquido branco de base água. Caixa com 12 unidades.</w:t>
            </w:r>
          </w:p>
        </w:tc>
        <w:tc>
          <w:tcPr>
            <w:tcW w:w="1604"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spacing w:lineRule="auto" w:line="276"/>
              <w:jc w:val="center"/>
              <w:rPr>
                <w:rFonts w:ascii="Arial" w:hAnsi="Arial" w:eastAsia="MS Mincho" w:cs="Arial"/>
                <w:kern w:val="0"/>
                <w:sz w:val="22"/>
                <w:szCs w:val="22"/>
                <w:lang w:val="en-US" w:eastAsia="en-US" w:bidi="ar-SA"/>
              </w:rPr>
            </w:pPr>
            <w:r>
              <w:rPr>
                <w:rFonts w:eastAsia="MS Mincho" w:cs="Arial" w:ascii="Arial" w:hAnsi="Arial"/>
                <w:kern w:val="0"/>
                <w:sz w:val="22"/>
                <w:szCs w:val="22"/>
                <w:lang w:val="en-US" w:eastAsia="en-US" w:bidi="ar-SA"/>
              </w:rPr>
              <w:t>R$ 40,83</w:t>
            </w:r>
          </w:p>
        </w:tc>
        <w:tc>
          <w:tcPr>
            <w:tcW w:w="1602"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spacing w:lineRule="auto" w:line="276"/>
              <w:jc w:val="center"/>
              <w:rPr>
                <w:rFonts w:ascii="Arial" w:hAnsi="Arial" w:eastAsia="MS Mincho" w:cs="Arial"/>
                <w:kern w:val="0"/>
                <w:sz w:val="22"/>
                <w:szCs w:val="22"/>
                <w:lang w:val="en-US" w:eastAsia="en-US" w:bidi="ar-SA"/>
              </w:rPr>
            </w:pPr>
            <w:r>
              <w:rPr>
                <w:rFonts w:eastAsia="MS Mincho" w:cs="Arial" w:ascii="Arial" w:hAnsi="Arial"/>
                <w:kern w:val="0"/>
                <w:sz w:val="22"/>
                <w:szCs w:val="22"/>
                <w:lang w:val="en-US" w:eastAsia="en-US" w:bidi="ar-SA"/>
              </w:rPr>
              <w:t>R$ 40,83</w:t>
            </w:r>
          </w:p>
        </w:tc>
      </w:tr>
      <w:tr>
        <w:trPr>
          <w:trHeight w:val="867" w:hRule="atLeast"/>
        </w:trPr>
        <w:tc>
          <w:tcPr>
            <w:tcW w:w="77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ind w:left="-113" w:hanging="0"/>
              <w:jc w:val="center"/>
              <w:rPr>
                <w:rFonts w:ascii="Arial" w:hAnsi="Arial" w:cs="Arial"/>
                <w:sz w:val="22"/>
                <w:szCs w:val="22"/>
              </w:rPr>
            </w:pPr>
            <w:r>
              <w:rPr>
                <w:rFonts w:cs="Arial" w:ascii="Arial" w:hAnsi="Arial"/>
                <w:kern w:val="2"/>
                <w:sz w:val="22"/>
                <w:szCs w:val="22"/>
              </w:rPr>
              <w:t>11</w:t>
            </w:r>
          </w:p>
        </w:tc>
        <w:tc>
          <w:tcPr>
            <w:tcW w:w="72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cs="Arial"/>
                <w:sz w:val="22"/>
                <w:szCs w:val="22"/>
              </w:rPr>
            </w:pPr>
            <w:r>
              <w:rPr>
                <w:rFonts w:cs="Arial" w:ascii="Arial" w:hAnsi="Arial"/>
                <w:kern w:val="2"/>
                <w:sz w:val="22"/>
                <w:szCs w:val="22"/>
              </w:rPr>
              <w:t>3</w:t>
            </w:r>
          </w:p>
        </w:tc>
        <w:tc>
          <w:tcPr>
            <w:tcW w:w="1133"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eastAsia="Times New Roman" w:cs="Arial"/>
                <w:sz w:val="22"/>
                <w:szCs w:val="22"/>
              </w:rPr>
            </w:pPr>
            <w:r>
              <w:rPr>
                <w:rFonts w:eastAsia="Times New Roman" w:cs="Arial" w:ascii="Arial" w:hAnsi="Arial"/>
                <w:kern w:val="2"/>
                <w:sz w:val="22"/>
                <w:szCs w:val="22"/>
              </w:rPr>
              <w:t>UN</w:t>
            </w:r>
          </w:p>
        </w:tc>
        <w:tc>
          <w:tcPr>
            <w:tcW w:w="3686"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276"/>
              <w:jc w:val="both"/>
              <w:rPr>
                <w:rFonts w:ascii="Cambria" w:hAnsi="Cambria" w:eastAsia="MS Mincho"/>
                <w:kern w:val="0"/>
                <w:sz w:val="22"/>
                <w:szCs w:val="22"/>
                <w:lang w:val="en-US" w:eastAsia="en-US" w:bidi="ar-SA"/>
              </w:rPr>
            </w:pPr>
            <w:r>
              <w:rPr>
                <w:rFonts w:eastAsia="Times New Roman" w:cs="Arial" w:ascii="Arial" w:hAnsi="Arial"/>
                <w:kern w:val="2"/>
                <w:sz w:val="22"/>
                <w:szCs w:val="22"/>
                <w:lang w:eastAsia="en-US" w:bidi="ar-SA"/>
              </w:rPr>
              <w:t>Fita adesiva transparente larga, com medidas aproximadas de 48 mm x 50 m.</w:t>
            </w:r>
          </w:p>
        </w:tc>
        <w:tc>
          <w:tcPr>
            <w:tcW w:w="1604"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spacing w:lineRule="auto" w:line="276"/>
              <w:jc w:val="center"/>
              <w:rPr>
                <w:rFonts w:ascii="Arial" w:hAnsi="Arial" w:eastAsia="Times New Roman" w:cs="Arial"/>
                <w:kern w:val="2"/>
                <w:sz w:val="22"/>
                <w:szCs w:val="22"/>
                <w:lang w:eastAsia="en-US" w:bidi="ar-SA"/>
              </w:rPr>
            </w:pPr>
            <w:r>
              <w:rPr>
                <w:rFonts w:eastAsia="Times New Roman" w:cs="Arial" w:ascii="Arial" w:hAnsi="Arial"/>
                <w:kern w:val="2"/>
                <w:sz w:val="22"/>
                <w:szCs w:val="22"/>
                <w:lang w:eastAsia="en-US" w:bidi="ar-SA"/>
              </w:rPr>
              <w:t>R$ 5,66</w:t>
            </w:r>
          </w:p>
        </w:tc>
        <w:tc>
          <w:tcPr>
            <w:tcW w:w="1602"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spacing w:lineRule="auto" w:line="276"/>
              <w:jc w:val="center"/>
              <w:rPr>
                <w:rFonts w:ascii="Arial" w:hAnsi="Arial" w:eastAsia="Times New Roman" w:cs="Arial"/>
                <w:kern w:val="2"/>
                <w:sz w:val="22"/>
                <w:szCs w:val="22"/>
                <w:lang w:eastAsia="en-US" w:bidi="ar-SA"/>
              </w:rPr>
            </w:pPr>
            <w:r>
              <w:rPr>
                <w:rFonts w:eastAsia="Times New Roman" w:cs="Arial" w:ascii="Arial" w:hAnsi="Arial"/>
                <w:kern w:val="2"/>
                <w:sz w:val="22"/>
                <w:szCs w:val="22"/>
                <w:lang w:eastAsia="en-US" w:bidi="ar-SA"/>
              </w:rPr>
              <w:t>R$ 16,98</w:t>
            </w:r>
          </w:p>
        </w:tc>
      </w:tr>
      <w:tr>
        <w:trPr>
          <w:trHeight w:val="867" w:hRule="atLeast"/>
        </w:trPr>
        <w:tc>
          <w:tcPr>
            <w:tcW w:w="77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ind w:left="-113" w:hanging="0"/>
              <w:jc w:val="center"/>
              <w:rPr>
                <w:rFonts w:ascii="Arial" w:hAnsi="Arial" w:cs="Arial"/>
                <w:sz w:val="22"/>
                <w:szCs w:val="22"/>
              </w:rPr>
            </w:pPr>
            <w:r>
              <w:rPr>
                <w:rFonts w:cs="Arial" w:ascii="Arial" w:hAnsi="Arial"/>
                <w:kern w:val="2"/>
                <w:sz w:val="22"/>
                <w:szCs w:val="22"/>
              </w:rPr>
              <w:t>12</w:t>
            </w:r>
          </w:p>
        </w:tc>
        <w:tc>
          <w:tcPr>
            <w:tcW w:w="72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cs="Arial"/>
                <w:sz w:val="22"/>
                <w:szCs w:val="22"/>
              </w:rPr>
            </w:pPr>
            <w:r>
              <w:rPr>
                <w:rFonts w:cs="Arial" w:ascii="Arial" w:hAnsi="Arial"/>
                <w:kern w:val="2"/>
                <w:sz w:val="22"/>
                <w:szCs w:val="22"/>
              </w:rPr>
              <w:t>5</w:t>
            </w:r>
          </w:p>
        </w:tc>
        <w:tc>
          <w:tcPr>
            <w:tcW w:w="1133"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eastAsia="Times New Roman" w:cs="Arial"/>
                <w:sz w:val="22"/>
                <w:szCs w:val="22"/>
              </w:rPr>
            </w:pPr>
            <w:r>
              <w:rPr>
                <w:rFonts w:eastAsia="Times New Roman" w:cs="Arial" w:ascii="Arial" w:hAnsi="Arial"/>
                <w:kern w:val="2"/>
                <w:sz w:val="22"/>
                <w:szCs w:val="22"/>
              </w:rPr>
              <w:t>UN</w:t>
            </w:r>
          </w:p>
        </w:tc>
        <w:tc>
          <w:tcPr>
            <w:tcW w:w="3686"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276"/>
              <w:jc w:val="both"/>
              <w:rPr>
                <w:rFonts w:ascii="Calibri" w:hAnsi="Calibri" w:eastAsia="Calibri"/>
                <w:kern w:val="0"/>
                <w:sz w:val="22"/>
                <w:szCs w:val="22"/>
                <w:lang w:eastAsia="en-US" w:bidi="ar-SA"/>
              </w:rPr>
            </w:pPr>
            <w:r>
              <w:rPr>
                <w:rFonts w:eastAsia="Calibri" w:cs="Arial" w:ascii="Arial" w:hAnsi="Arial"/>
                <w:kern w:val="0"/>
                <w:sz w:val="22"/>
                <w:szCs w:val="22"/>
                <w:lang w:eastAsia="en-US" w:bidi="ar-SA"/>
              </w:rPr>
              <w:t>Fita dupla face silicone, medidas aproximadas 20 mm x 3 M x 1 mm.</w:t>
            </w:r>
          </w:p>
        </w:tc>
        <w:tc>
          <w:tcPr>
            <w:tcW w:w="1604"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spacing w:lineRule="auto" w:line="276"/>
              <w:jc w:val="center"/>
              <w:rPr>
                <w:rFonts w:ascii="Arial" w:hAnsi="Arial" w:eastAsia="Calibri" w:cs="Arial"/>
                <w:kern w:val="0"/>
                <w:sz w:val="22"/>
                <w:szCs w:val="22"/>
                <w:lang w:eastAsia="en-US" w:bidi="ar-SA"/>
              </w:rPr>
            </w:pPr>
            <w:r>
              <w:rPr>
                <w:rFonts w:eastAsia="Calibri" w:cs="Arial" w:ascii="Arial" w:hAnsi="Arial"/>
                <w:kern w:val="0"/>
                <w:sz w:val="22"/>
                <w:szCs w:val="22"/>
                <w:lang w:eastAsia="en-US" w:bidi="ar-SA"/>
              </w:rPr>
              <w:t>R$ 25,80</w:t>
            </w:r>
          </w:p>
        </w:tc>
        <w:tc>
          <w:tcPr>
            <w:tcW w:w="1602"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spacing w:lineRule="auto" w:line="276"/>
              <w:jc w:val="center"/>
              <w:rPr>
                <w:rFonts w:ascii="Arial" w:hAnsi="Arial" w:eastAsia="Calibri" w:cs="Arial"/>
                <w:kern w:val="0"/>
                <w:sz w:val="22"/>
                <w:szCs w:val="22"/>
                <w:lang w:eastAsia="en-US" w:bidi="ar-SA"/>
              </w:rPr>
            </w:pPr>
            <w:r>
              <w:rPr>
                <w:rFonts w:eastAsia="Calibri" w:cs="Arial" w:ascii="Arial" w:hAnsi="Arial"/>
                <w:kern w:val="0"/>
                <w:sz w:val="22"/>
                <w:szCs w:val="22"/>
                <w:lang w:eastAsia="en-US" w:bidi="ar-SA"/>
              </w:rPr>
              <w:t>R$ 516,00</w:t>
            </w:r>
          </w:p>
        </w:tc>
      </w:tr>
      <w:tr>
        <w:trPr/>
        <w:tc>
          <w:tcPr>
            <w:tcW w:w="77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ind w:left="-113" w:hanging="0"/>
              <w:jc w:val="center"/>
              <w:rPr>
                <w:rFonts w:ascii="Arial" w:hAnsi="Arial"/>
                <w:sz w:val="22"/>
                <w:szCs w:val="22"/>
              </w:rPr>
            </w:pPr>
            <w:r>
              <w:rPr>
                <w:rFonts w:ascii="Arial" w:hAnsi="Arial"/>
                <w:kern w:val="2"/>
                <w:sz w:val="22"/>
                <w:szCs w:val="22"/>
              </w:rPr>
              <w:t>13</w:t>
            </w:r>
          </w:p>
        </w:tc>
        <w:tc>
          <w:tcPr>
            <w:tcW w:w="72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sz w:val="22"/>
                <w:szCs w:val="22"/>
              </w:rPr>
            </w:pPr>
            <w:r>
              <w:rPr>
                <w:rFonts w:ascii="Arial" w:hAnsi="Arial"/>
                <w:kern w:val="2"/>
                <w:sz w:val="22"/>
                <w:szCs w:val="22"/>
              </w:rPr>
              <w:t>12</w:t>
            </w:r>
          </w:p>
        </w:tc>
        <w:tc>
          <w:tcPr>
            <w:tcW w:w="1133"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sz w:val="22"/>
                <w:szCs w:val="22"/>
              </w:rPr>
            </w:pPr>
            <w:r>
              <w:rPr>
                <w:rFonts w:ascii="Arial" w:hAnsi="Arial"/>
                <w:kern w:val="2"/>
                <w:sz w:val="22"/>
                <w:szCs w:val="22"/>
              </w:rPr>
              <w:t>UN</w:t>
            </w:r>
          </w:p>
        </w:tc>
        <w:tc>
          <w:tcPr>
            <w:tcW w:w="3686"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276"/>
              <w:jc w:val="both"/>
              <w:rPr>
                <w:rFonts w:ascii="Cambria" w:hAnsi="Cambria" w:eastAsia="MS Mincho"/>
                <w:kern w:val="0"/>
                <w:sz w:val="22"/>
                <w:szCs w:val="22"/>
                <w:lang w:val="en-US" w:eastAsia="en-US" w:bidi="ar-SA"/>
              </w:rPr>
            </w:pPr>
            <w:r>
              <w:rPr>
                <w:rFonts w:cs="Arial" w:ascii="Arial" w:hAnsi="Arial"/>
                <w:sz w:val="22"/>
                <w:szCs w:val="22"/>
                <w:lang w:val="en-US" w:eastAsia="en-US" w:bidi="ar-SA"/>
              </w:rPr>
              <w:t>Grampeador médio de mesa metálico, pintura epóxi, apoio da base em polietileno e coberto em resina termoplástica, dimensões: 130x38x53 mm, capacidade para grampear até 25 folhas de papel 75g/m2, em chapa de aço, base de fechamento do grampo com duas posições (grampo fechado e aberto), em aço, com acabamento niquelado, estojo de alojamento dos grampos em chapa de aço, mola resistente com retração automática, capacidade de carga de meio pente de grampos 26/6.</w:t>
            </w:r>
          </w:p>
        </w:tc>
        <w:tc>
          <w:tcPr>
            <w:tcW w:w="1604"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spacing w:lineRule="auto" w:line="276"/>
              <w:jc w:val="center"/>
              <w:rPr>
                <w:rFonts w:ascii="Arial" w:hAnsi="Arial" w:cs="Arial"/>
                <w:sz w:val="22"/>
                <w:szCs w:val="22"/>
                <w:lang w:val="en-US" w:eastAsia="en-US" w:bidi="ar-SA"/>
              </w:rPr>
            </w:pPr>
            <w:r>
              <w:rPr>
                <w:rFonts w:cs="Arial" w:ascii="Arial" w:hAnsi="Arial"/>
                <w:sz w:val="22"/>
                <w:szCs w:val="22"/>
                <w:lang w:val="en-US" w:eastAsia="en-US" w:bidi="ar-SA"/>
              </w:rPr>
              <w:t>R$ 49,28</w:t>
            </w:r>
          </w:p>
        </w:tc>
        <w:tc>
          <w:tcPr>
            <w:tcW w:w="1602"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spacing w:lineRule="auto" w:line="276"/>
              <w:jc w:val="center"/>
              <w:rPr>
                <w:rFonts w:ascii="Arial" w:hAnsi="Arial" w:cs="Arial"/>
                <w:sz w:val="22"/>
                <w:szCs w:val="22"/>
                <w:lang w:val="en-US" w:eastAsia="en-US" w:bidi="ar-SA"/>
              </w:rPr>
            </w:pPr>
            <w:r>
              <w:rPr>
                <w:rFonts w:cs="Arial" w:ascii="Arial" w:hAnsi="Arial"/>
                <w:sz w:val="22"/>
                <w:szCs w:val="22"/>
                <w:lang w:val="en-US" w:eastAsia="en-US" w:bidi="ar-SA"/>
              </w:rPr>
              <w:t>R$ 591,36</w:t>
            </w:r>
          </w:p>
        </w:tc>
      </w:tr>
      <w:tr>
        <w:trPr/>
        <w:tc>
          <w:tcPr>
            <w:tcW w:w="77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ind w:left="-113" w:hanging="0"/>
              <w:jc w:val="center"/>
              <w:rPr>
                <w:rFonts w:ascii="Arial" w:hAnsi="Arial" w:cs="Arial"/>
                <w:sz w:val="22"/>
                <w:szCs w:val="22"/>
              </w:rPr>
            </w:pPr>
            <w:r>
              <w:rPr>
                <w:rFonts w:cs="Arial" w:ascii="Arial" w:hAnsi="Arial"/>
                <w:kern w:val="2"/>
                <w:sz w:val="22"/>
                <w:szCs w:val="22"/>
              </w:rPr>
              <w:t>14</w:t>
            </w:r>
          </w:p>
        </w:tc>
        <w:tc>
          <w:tcPr>
            <w:tcW w:w="72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cs="Arial"/>
                <w:sz w:val="22"/>
                <w:szCs w:val="22"/>
              </w:rPr>
            </w:pPr>
            <w:r>
              <w:rPr>
                <w:rFonts w:cs="Arial" w:ascii="Arial" w:hAnsi="Arial"/>
                <w:kern w:val="2"/>
                <w:sz w:val="22"/>
                <w:szCs w:val="22"/>
              </w:rPr>
              <w:t>10</w:t>
            </w:r>
          </w:p>
        </w:tc>
        <w:tc>
          <w:tcPr>
            <w:tcW w:w="1133"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eastAsia="Times New Roman" w:cs="Arial"/>
                <w:sz w:val="22"/>
                <w:szCs w:val="22"/>
              </w:rPr>
            </w:pPr>
            <w:r>
              <w:rPr>
                <w:rFonts w:eastAsia="Times New Roman" w:cs="Arial" w:ascii="Arial" w:hAnsi="Arial"/>
                <w:kern w:val="2"/>
                <w:sz w:val="22"/>
                <w:szCs w:val="22"/>
              </w:rPr>
              <w:t>UN</w:t>
            </w:r>
          </w:p>
        </w:tc>
        <w:tc>
          <w:tcPr>
            <w:tcW w:w="3686"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276"/>
              <w:jc w:val="both"/>
              <w:rPr>
                <w:rFonts w:ascii="Cambria" w:hAnsi="Cambria" w:eastAsia="MS Mincho"/>
                <w:kern w:val="0"/>
                <w:sz w:val="22"/>
                <w:szCs w:val="22"/>
                <w:lang w:val="en-US" w:eastAsia="en-US" w:bidi="ar-SA"/>
              </w:rPr>
            </w:pPr>
            <w:r>
              <w:rPr>
                <w:rFonts w:eastAsia="Times New Roman" w:cs="Arial" w:ascii="Arial" w:hAnsi="Arial"/>
                <w:kern w:val="2"/>
                <w:sz w:val="22"/>
                <w:szCs w:val="22"/>
                <w:lang w:eastAsia="en-US" w:bidi="ar-SA"/>
              </w:rPr>
              <w:t xml:space="preserve">Grampo para grampeador </w:t>
            </w:r>
            <w:r>
              <w:rPr>
                <w:rFonts w:eastAsia="Times New Roman" w:cs="Arial" w:ascii="Arial" w:hAnsi="Arial"/>
                <w:b/>
                <w:bCs/>
                <w:kern w:val="2"/>
                <w:sz w:val="22"/>
                <w:szCs w:val="22"/>
                <w:lang w:eastAsia="en-US" w:bidi="ar-SA"/>
              </w:rPr>
              <w:t xml:space="preserve">26/6 mm </w:t>
            </w:r>
            <w:r>
              <w:rPr>
                <w:rFonts w:eastAsia="Times New Roman" w:cs="Arial" w:ascii="Arial" w:hAnsi="Arial"/>
                <w:kern w:val="2"/>
                <w:sz w:val="22"/>
                <w:szCs w:val="22"/>
                <w:lang w:eastAsia="en-US" w:bidi="ar-SA"/>
              </w:rPr>
              <w:t>cobreado. Caixa com 5.000 unidades.</w:t>
            </w:r>
          </w:p>
        </w:tc>
        <w:tc>
          <w:tcPr>
            <w:tcW w:w="1604"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spacing w:lineRule="auto" w:line="276"/>
              <w:jc w:val="center"/>
              <w:rPr>
                <w:rFonts w:ascii="Arial" w:hAnsi="Arial" w:eastAsia="Times New Roman" w:cs="Arial"/>
                <w:kern w:val="2"/>
                <w:sz w:val="22"/>
                <w:szCs w:val="22"/>
                <w:lang w:eastAsia="en-US" w:bidi="ar-SA"/>
              </w:rPr>
            </w:pPr>
            <w:r>
              <w:rPr>
                <w:rFonts w:eastAsia="Times New Roman" w:cs="Arial" w:ascii="Arial" w:hAnsi="Arial"/>
                <w:kern w:val="2"/>
                <w:sz w:val="22"/>
                <w:szCs w:val="22"/>
                <w:lang w:eastAsia="en-US" w:bidi="ar-SA"/>
              </w:rPr>
              <w:t>R$ 9,58</w:t>
            </w:r>
          </w:p>
        </w:tc>
        <w:tc>
          <w:tcPr>
            <w:tcW w:w="1602"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spacing w:lineRule="auto" w:line="276"/>
              <w:jc w:val="center"/>
              <w:rPr>
                <w:rFonts w:ascii="Arial" w:hAnsi="Arial" w:eastAsia="Times New Roman" w:cs="Arial"/>
                <w:kern w:val="2"/>
                <w:sz w:val="22"/>
                <w:szCs w:val="22"/>
                <w:lang w:eastAsia="en-US" w:bidi="ar-SA"/>
              </w:rPr>
            </w:pPr>
            <w:r>
              <w:rPr>
                <w:rFonts w:eastAsia="Times New Roman" w:cs="Arial" w:ascii="Arial" w:hAnsi="Arial"/>
                <w:kern w:val="2"/>
                <w:sz w:val="22"/>
                <w:szCs w:val="22"/>
                <w:lang w:eastAsia="en-US" w:bidi="ar-SA"/>
              </w:rPr>
              <w:t>R$ 95,80</w:t>
            </w:r>
          </w:p>
        </w:tc>
      </w:tr>
      <w:tr>
        <w:trPr/>
        <w:tc>
          <w:tcPr>
            <w:tcW w:w="77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ind w:left="-113" w:hanging="0"/>
              <w:jc w:val="center"/>
              <w:rPr>
                <w:rFonts w:ascii="Arial" w:hAnsi="Arial" w:cs="Arial"/>
                <w:color w:val="000000"/>
                <w:sz w:val="22"/>
                <w:szCs w:val="22"/>
              </w:rPr>
            </w:pPr>
            <w:r>
              <w:rPr>
                <w:rFonts w:cs="Arial" w:ascii="Arial" w:hAnsi="Arial"/>
                <w:color w:val="000000"/>
                <w:kern w:val="2"/>
                <w:sz w:val="22"/>
                <w:szCs w:val="22"/>
              </w:rPr>
              <w:t>15</w:t>
            </w:r>
          </w:p>
        </w:tc>
        <w:tc>
          <w:tcPr>
            <w:tcW w:w="72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cs="Arial"/>
                <w:color w:val="000000"/>
                <w:sz w:val="22"/>
                <w:szCs w:val="22"/>
              </w:rPr>
            </w:pPr>
            <w:r>
              <w:rPr>
                <w:rFonts w:cs="Arial" w:ascii="Arial" w:hAnsi="Arial"/>
                <w:color w:val="000000"/>
                <w:kern w:val="2"/>
                <w:sz w:val="22"/>
                <w:szCs w:val="22"/>
              </w:rPr>
              <w:t>10</w:t>
            </w:r>
          </w:p>
        </w:tc>
        <w:tc>
          <w:tcPr>
            <w:tcW w:w="1133"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eastAsia="Times New Roman" w:cs="Arial"/>
                <w:color w:val="000000"/>
                <w:sz w:val="22"/>
                <w:szCs w:val="22"/>
              </w:rPr>
            </w:pPr>
            <w:r>
              <w:rPr>
                <w:rFonts w:eastAsia="Times New Roman" w:cs="Arial" w:ascii="Arial" w:hAnsi="Arial"/>
                <w:color w:val="000000"/>
                <w:kern w:val="2"/>
                <w:sz w:val="22"/>
                <w:szCs w:val="22"/>
              </w:rPr>
              <w:t>UN</w:t>
            </w:r>
          </w:p>
        </w:tc>
        <w:tc>
          <w:tcPr>
            <w:tcW w:w="3686" w:type="dxa"/>
            <w:tcBorders>
              <w:top w:val="single" w:sz="4" w:space="0" w:color="000000"/>
              <w:left w:val="single" w:sz="4" w:space="0" w:color="000000"/>
              <w:bottom w:val="single" w:sz="4" w:space="0" w:color="000000"/>
              <w:right w:val="single" w:sz="4" w:space="0" w:color="000000"/>
            </w:tcBorders>
            <w:vAlign w:val="center"/>
          </w:tcPr>
          <w:p>
            <w:pPr>
              <w:pStyle w:val="Padro"/>
              <w:widowControl w:val="false"/>
              <w:spacing w:before="0" w:after="200"/>
              <w:jc w:val="both"/>
              <w:rPr>
                <w:rFonts w:ascii="Arial" w:hAnsi="Arial" w:eastAsia="Times New Roman" w:cs="Arial"/>
                <w:color w:val="000000"/>
              </w:rPr>
            </w:pPr>
            <w:r>
              <w:rPr>
                <w:rFonts w:eastAsia="Times New Roman" w:cs="Arial" w:ascii="Arial" w:hAnsi="Arial"/>
                <w:color w:val="000000"/>
              </w:rPr>
              <w:t>Papel A4 210 mm x 297 mm, 75 g/m². Caixa com 10 resmas de 500 folhas cada.</w:t>
            </w:r>
          </w:p>
        </w:tc>
        <w:tc>
          <w:tcPr>
            <w:tcW w:w="1604"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Padro"/>
              <w:widowControl w:val="false"/>
              <w:spacing w:before="0" w:after="200"/>
              <w:jc w:val="center"/>
              <w:rPr>
                <w:rFonts w:ascii="Arial" w:hAnsi="Arial" w:eastAsia="Times New Roman" w:cs="Arial"/>
                <w:color w:val="000000"/>
              </w:rPr>
            </w:pPr>
            <w:r>
              <w:rPr>
                <w:rFonts w:eastAsia="Times New Roman" w:cs="Arial" w:ascii="Arial" w:hAnsi="Arial"/>
                <w:color w:val="000000"/>
              </w:rPr>
              <w:t>R$ 280,48</w:t>
            </w:r>
          </w:p>
        </w:tc>
        <w:tc>
          <w:tcPr>
            <w:tcW w:w="1602"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Padro"/>
              <w:widowControl w:val="false"/>
              <w:spacing w:before="0" w:after="200"/>
              <w:jc w:val="center"/>
              <w:rPr>
                <w:rFonts w:ascii="Arial" w:hAnsi="Arial" w:eastAsia="Times New Roman" w:cs="Arial"/>
                <w:color w:val="000000"/>
              </w:rPr>
            </w:pPr>
            <w:r>
              <w:rPr>
                <w:rFonts w:eastAsia="Times New Roman" w:cs="Arial" w:ascii="Arial" w:hAnsi="Arial"/>
                <w:color w:val="000000"/>
              </w:rPr>
              <w:t>R$ 5.609,60</w:t>
            </w:r>
          </w:p>
        </w:tc>
      </w:tr>
      <w:tr>
        <w:trPr/>
        <w:tc>
          <w:tcPr>
            <w:tcW w:w="77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ind w:left="-113" w:hanging="0"/>
              <w:jc w:val="center"/>
              <w:rPr>
                <w:rFonts w:ascii="Arial" w:hAnsi="Arial"/>
                <w:color w:val="000000"/>
                <w:sz w:val="22"/>
                <w:szCs w:val="22"/>
              </w:rPr>
            </w:pPr>
            <w:r>
              <w:rPr>
                <w:rFonts w:cs="Arial" w:ascii="Arial" w:hAnsi="Arial"/>
                <w:color w:val="000000"/>
                <w:kern w:val="2"/>
                <w:sz w:val="22"/>
                <w:szCs w:val="22"/>
              </w:rPr>
              <w:t>16</w:t>
            </w:r>
          </w:p>
        </w:tc>
        <w:tc>
          <w:tcPr>
            <w:tcW w:w="72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cs="Arial"/>
                <w:color w:val="000000"/>
                <w:sz w:val="22"/>
                <w:szCs w:val="22"/>
              </w:rPr>
            </w:pPr>
            <w:r>
              <w:rPr>
                <w:rFonts w:cs="Arial" w:ascii="Arial" w:hAnsi="Arial"/>
                <w:color w:val="000000"/>
                <w:kern w:val="2"/>
                <w:sz w:val="22"/>
                <w:szCs w:val="22"/>
              </w:rPr>
              <w:t>30</w:t>
            </w:r>
          </w:p>
        </w:tc>
        <w:tc>
          <w:tcPr>
            <w:tcW w:w="1133"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eastAsia="Times New Roman" w:cs="Arial"/>
                <w:color w:val="000000"/>
                <w:sz w:val="22"/>
                <w:szCs w:val="22"/>
              </w:rPr>
            </w:pPr>
            <w:r>
              <w:rPr>
                <w:rFonts w:eastAsia="Times New Roman" w:cs="Arial" w:ascii="Arial" w:hAnsi="Arial"/>
                <w:color w:val="000000"/>
                <w:kern w:val="2"/>
                <w:sz w:val="22"/>
                <w:szCs w:val="22"/>
              </w:rPr>
              <w:t>UN</w:t>
            </w:r>
          </w:p>
        </w:tc>
        <w:tc>
          <w:tcPr>
            <w:tcW w:w="3686"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jc w:val="both"/>
              <w:rPr>
                <w:rFonts w:ascii="Arial" w:hAnsi="Arial" w:eastAsia="Times New Roman" w:cs="Arial"/>
                <w:color w:val="000000"/>
                <w:sz w:val="22"/>
                <w:szCs w:val="22"/>
              </w:rPr>
            </w:pPr>
            <w:r>
              <w:rPr>
                <w:rFonts w:eastAsia="Times New Roman" w:cs="Arial" w:ascii="Arial" w:hAnsi="Arial"/>
                <w:color w:val="000000"/>
                <w:kern w:val="2"/>
                <w:sz w:val="22"/>
                <w:szCs w:val="22"/>
              </w:rPr>
              <w:t>Pasta de plástico transparente com elástico.</w:t>
            </w:r>
          </w:p>
        </w:tc>
        <w:tc>
          <w:tcPr>
            <w:tcW w:w="1604"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jc w:val="center"/>
              <w:rPr>
                <w:rFonts w:ascii="Arial" w:hAnsi="Arial" w:eastAsia="Times New Roman" w:cs="Arial"/>
                <w:color w:val="000000"/>
                <w:kern w:val="2"/>
                <w:sz w:val="22"/>
                <w:szCs w:val="22"/>
              </w:rPr>
            </w:pPr>
            <w:r>
              <w:rPr>
                <w:rFonts w:eastAsia="Times New Roman" w:cs="Arial" w:ascii="Arial" w:hAnsi="Arial"/>
                <w:color w:val="000000"/>
                <w:kern w:val="2"/>
                <w:sz w:val="22"/>
                <w:szCs w:val="22"/>
              </w:rPr>
              <w:t>R$ 2,67</w:t>
            </w:r>
          </w:p>
        </w:tc>
        <w:tc>
          <w:tcPr>
            <w:tcW w:w="1602"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jc w:val="center"/>
              <w:rPr>
                <w:rFonts w:ascii="Arial" w:hAnsi="Arial" w:eastAsia="Times New Roman" w:cs="Arial"/>
                <w:color w:val="000000"/>
                <w:kern w:val="2"/>
                <w:sz w:val="22"/>
                <w:szCs w:val="22"/>
              </w:rPr>
            </w:pPr>
            <w:r>
              <w:rPr>
                <w:rFonts w:eastAsia="Times New Roman" w:cs="Arial" w:ascii="Arial" w:hAnsi="Arial"/>
                <w:color w:val="000000"/>
                <w:kern w:val="2"/>
                <w:sz w:val="22"/>
                <w:szCs w:val="22"/>
              </w:rPr>
              <w:t>R$ 80,10</w:t>
            </w:r>
          </w:p>
        </w:tc>
      </w:tr>
      <w:tr>
        <w:trPr/>
        <w:tc>
          <w:tcPr>
            <w:tcW w:w="77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ind w:left="-113" w:hanging="0"/>
              <w:jc w:val="center"/>
              <w:rPr>
                <w:rFonts w:ascii="Arial" w:hAnsi="Arial"/>
                <w:color w:val="000000"/>
                <w:sz w:val="22"/>
                <w:szCs w:val="22"/>
              </w:rPr>
            </w:pPr>
            <w:r>
              <w:rPr>
                <w:rFonts w:ascii="Arial" w:hAnsi="Arial"/>
                <w:color w:val="000000"/>
                <w:sz w:val="22"/>
                <w:szCs w:val="22"/>
              </w:rPr>
              <w:t>17</w:t>
            </w:r>
          </w:p>
        </w:tc>
        <w:tc>
          <w:tcPr>
            <w:tcW w:w="72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cs="Arial"/>
                <w:color w:val="000000"/>
                <w:sz w:val="22"/>
                <w:szCs w:val="22"/>
              </w:rPr>
            </w:pPr>
            <w:r>
              <w:rPr>
                <w:rFonts w:cs="Arial" w:ascii="Arial" w:hAnsi="Arial"/>
                <w:color w:val="000000"/>
                <w:kern w:val="2"/>
                <w:sz w:val="22"/>
                <w:szCs w:val="22"/>
              </w:rPr>
              <w:t>5</w:t>
            </w:r>
          </w:p>
        </w:tc>
        <w:tc>
          <w:tcPr>
            <w:tcW w:w="1133"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eastAsia="Times New Roman" w:cs="Arial"/>
                <w:color w:val="000000"/>
                <w:sz w:val="22"/>
                <w:szCs w:val="22"/>
              </w:rPr>
            </w:pPr>
            <w:r>
              <w:rPr>
                <w:rFonts w:eastAsia="Times New Roman" w:cs="Arial" w:ascii="Arial" w:hAnsi="Arial"/>
                <w:color w:val="000000"/>
                <w:kern w:val="2"/>
                <w:sz w:val="22"/>
                <w:szCs w:val="22"/>
              </w:rPr>
              <w:t>UN</w:t>
            </w:r>
          </w:p>
        </w:tc>
        <w:tc>
          <w:tcPr>
            <w:tcW w:w="3686"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jc w:val="both"/>
              <w:rPr>
                <w:rFonts w:ascii="Arial" w:hAnsi="Arial" w:eastAsia="Times New Roman" w:cs="Arial"/>
                <w:color w:val="000000"/>
                <w:sz w:val="22"/>
                <w:szCs w:val="22"/>
              </w:rPr>
            </w:pPr>
            <w:r>
              <w:rPr>
                <w:rFonts w:eastAsia="Times New Roman" w:cs="Arial" w:ascii="Arial" w:hAnsi="Arial"/>
                <w:color w:val="000000"/>
                <w:kern w:val="2"/>
                <w:sz w:val="22"/>
                <w:szCs w:val="22"/>
              </w:rPr>
              <w:t>Pasta sanfonada tamanho A4 com 12 divisórias em material plástico e translúcido, com etiquetas de identificação e fechamento em elástico</w:t>
            </w:r>
          </w:p>
        </w:tc>
        <w:tc>
          <w:tcPr>
            <w:tcW w:w="1604"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jc w:val="center"/>
              <w:rPr>
                <w:rFonts w:ascii="Arial" w:hAnsi="Arial" w:eastAsia="Times New Roman" w:cs="Arial"/>
                <w:color w:val="000000"/>
                <w:kern w:val="2"/>
                <w:sz w:val="22"/>
                <w:szCs w:val="22"/>
              </w:rPr>
            </w:pPr>
            <w:r>
              <w:rPr>
                <w:rFonts w:eastAsia="Times New Roman" w:cs="Arial" w:ascii="Arial" w:hAnsi="Arial"/>
                <w:color w:val="000000"/>
                <w:kern w:val="2"/>
                <w:sz w:val="22"/>
                <w:szCs w:val="22"/>
              </w:rPr>
              <w:t>R$ 21,64</w:t>
            </w:r>
          </w:p>
        </w:tc>
        <w:tc>
          <w:tcPr>
            <w:tcW w:w="1602"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Standard"/>
              <w:widowControl w:val="false"/>
              <w:jc w:val="center"/>
              <w:rPr>
                <w:rFonts w:ascii="Arial" w:hAnsi="Arial" w:eastAsia="Times New Roman" w:cs="Arial"/>
                <w:color w:val="000000"/>
                <w:kern w:val="2"/>
                <w:sz w:val="22"/>
                <w:szCs w:val="22"/>
              </w:rPr>
            </w:pPr>
            <w:r>
              <w:rPr>
                <w:rFonts w:eastAsia="Times New Roman" w:cs="Arial" w:ascii="Arial" w:hAnsi="Arial"/>
                <w:color w:val="000000"/>
                <w:kern w:val="2"/>
                <w:sz w:val="22"/>
                <w:szCs w:val="22"/>
              </w:rPr>
              <w:t>R$ 108,20</w:t>
            </w:r>
          </w:p>
        </w:tc>
      </w:tr>
      <w:tr>
        <w:trPr/>
        <w:tc>
          <w:tcPr>
            <w:tcW w:w="77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ind w:left="-113" w:hanging="0"/>
              <w:jc w:val="center"/>
              <w:rPr>
                <w:rFonts w:ascii="Arial" w:hAnsi="Arial"/>
                <w:color w:val="000000"/>
                <w:sz w:val="22"/>
                <w:szCs w:val="22"/>
              </w:rPr>
            </w:pPr>
            <w:r>
              <w:rPr>
                <w:rFonts w:ascii="Arial" w:hAnsi="Arial"/>
                <w:color w:val="000000"/>
                <w:sz w:val="22"/>
                <w:szCs w:val="22"/>
              </w:rPr>
              <w:t>18</w:t>
            </w:r>
          </w:p>
        </w:tc>
        <w:tc>
          <w:tcPr>
            <w:tcW w:w="729"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cs="Arial"/>
                <w:color w:val="000000"/>
                <w:sz w:val="22"/>
                <w:szCs w:val="22"/>
              </w:rPr>
            </w:pPr>
            <w:r>
              <w:rPr>
                <w:rFonts w:cs="Arial" w:ascii="Arial" w:hAnsi="Arial"/>
                <w:color w:val="000000"/>
                <w:kern w:val="2"/>
                <w:sz w:val="22"/>
                <w:szCs w:val="22"/>
              </w:rPr>
              <w:t>2</w:t>
            </w:r>
          </w:p>
        </w:tc>
        <w:tc>
          <w:tcPr>
            <w:tcW w:w="1133"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360"/>
              <w:jc w:val="center"/>
              <w:rPr>
                <w:rFonts w:ascii="Arial" w:hAnsi="Arial" w:eastAsia="Times New Roman" w:cs="Arial"/>
                <w:color w:val="000000"/>
                <w:sz w:val="22"/>
                <w:szCs w:val="22"/>
              </w:rPr>
            </w:pPr>
            <w:r>
              <w:rPr>
                <w:rFonts w:eastAsia="Times New Roman" w:cs="Arial" w:ascii="Arial" w:hAnsi="Arial"/>
                <w:color w:val="000000"/>
                <w:kern w:val="2"/>
                <w:sz w:val="22"/>
                <w:szCs w:val="22"/>
              </w:rPr>
              <w:t>UN</w:t>
            </w:r>
          </w:p>
        </w:tc>
        <w:tc>
          <w:tcPr>
            <w:tcW w:w="3686" w:type="dxa"/>
            <w:tcBorders>
              <w:top w:val="single" w:sz="4" w:space="0" w:color="000000"/>
              <w:left w:val="single" w:sz="4" w:space="0" w:color="000000"/>
              <w:bottom w:val="single" w:sz="4" w:space="0" w:color="000000"/>
              <w:right w:val="single" w:sz="4" w:space="0" w:color="000000"/>
            </w:tcBorders>
            <w:vAlign w:val="center"/>
          </w:tcPr>
          <w:p>
            <w:pPr>
              <w:pStyle w:val="Padro"/>
              <w:widowControl w:val="false"/>
              <w:spacing w:before="0" w:after="200"/>
              <w:jc w:val="both"/>
              <w:rPr>
                <w:rFonts w:ascii="Arial" w:hAnsi="Arial"/>
              </w:rPr>
            </w:pPr>
            <w:r>
              <w:rPr>
                <w:rFonts w:ascii="Arial" w:hAnsi="Arial"/>
              </w:rPr>
              <w:t>Tubo de cola quente 11 mm transparente. Pacote de 1kg.</w:t>
            </w:r>
          </w:p>
        </w:tc>
        <w:tc>
          <w:tcPr>
            <w:tcW w:w="1604"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Padro"/>
              <w:widowControl w:val="false"/>
              <w:spacing w:before="0" w:after="200"/>
              <w:jc w:val="center"/>
              <w:rPr>
                <w:rFonts w:ascii="Arial" w:hAnsi="Arial"/>
              </w:rPr>
            </w:pPr>
            <w:r>
              <w:rPr>
                <w:rFonts w:ascii="Arial" w:hAnsi="Arial"/>
              </w:rPr>
              <w:t>R$ 56,14</w:t>
            </w:r>
          </w:p>
        </w:tc>
        <w:tc>
          <w:tcPr>
            <w:tcW w:w="1602"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pPr>
              <w:pStyle w:val="Padro"/>
              <w:widowControl w:val="false"/>
              <w:spacing w:before="0" w:after="200"/>
              <w:jc w:val="center"/>
              <w:rPr>
                <w:rFonts w:ascii="Arial" w:hAnsi="Arial"/>
              </w:rPr>
            </w:pPr>
            <w:r>
              <w:rPr>
                <w:rFonts w:ascii="Arial" w:hAnsi="Arial"/>
              </w:rPr>
              <w:t>R$ 56,14</w:t>
            </w:r>
          </w:p>
        </w:tc>
      </w:tr>
      <w:tr>
        <w:trPr/>
        <w:tc>
          <w:tcPr>
            <w:tcW w:w="7931" w:type="dxa"/>
            <w:gridSpan w:val="5"/>
            <w:tcBorders>
              <w:top w:val="single" w:sz="4" w:space="0" w:color="000000"/>
              <w:left w:val="single" w:sz="4" w:space="0" w:color="000000"/>
              <w:bottom w:val="single" w:sz="4" w:space="0" w:color="000000"/>
              <w:right w:val="single" w:sz="4" w:space="0" w:color="000000"/>
            </w:tcBorders>
            <w:shd w:color="auto" w:fill="D6E3BC" w:themeFill="accent3" w:themeFillTint="66" w:val="clear"/>
            <w:vAlign w:val="center"/>
          </w:tcPr>
          <w:p>
            <w:pPr>
              <w:pStyle w:val="Padro"/>
              <w:widowControl w:val="false"/>
              <w:spacing w:before="0" w:after="200"/>
              <w:jc w:val="right"/>
              <w:rPr>
                <w:rFonts w:ascii="Arial" w:hAnsi="Arial"/>
                <w:b/>
                <w:bCs/>
              </w:rPr>
            </w:pPr>
            <w:r>
              <w:rPr>
                <w:rFonts w:ascii="Arial" w:hAnsi="Arial"/>
                <w:b/>
                <w:bCs/>
              </w:rPr>
              <w:t>VALOR TOTAL:</w:t>
            </w:r>
          </w:p>
        </w:tc>
        <w:tc>
          <w:tcPr>
            <w:tcW w:w="1602" w:type="dxa"/>
            <w:tcBorders>
              <w:top w:val="single" w:sz="4" w:space="0" w:color="000000"/>
              <w:left w:val="single" w:sz="4" w:space="0" w:color="000000"/>
              <w:bottom w:val="single" w:sz="4" w:space="0" w:color="000000"/>
              <w:right w:val="single" w:sz="4" w:space="0" w:color="000000"/>
            </w:tcBorders>
            <w:shd w:color="auto" w:fill="D6E3BC" w:themeFill="accent3" w:themeFillTint="66" w:val="clear"/>
            <w:tcMar>
              <w:left w:w="10" w:type="dxa"/>
              <w:right w:w="10" w:type="dxa"/>
            </w:tcMar>
            <w:vAlign w:val="center"/>
          </w:tcPr>
          <w:p>
            <w:pPr>
              <w:pStyle w:val="Padro"/>
              <w:widowControl w:val="false"/>
              <w:spacing w:before="0" w:after="200"/>
              <w:jc w:val="center"/>
              <w:rPr>
                <w:rFonts w:ascii="Arial" w:hAnsi="Arial"/>
                <w:b/>
                <w:bCs/>
              </w:rPr>
            </w:pPr>
            <w:r>
              <w:rPr>
                <w:rFonts w:ascii="Arial" w:hAnsi="Arial"/>
                <w:b/>
                <w:bCs/>
              </w:rPr>
              <w:t>R$ 7.871,26</w:t>
            </w:r>
          </w:p>
        </w:tc>
      </w:tr>
    </w:tbl>
    <w:p>
      <w:pPr>
        <w:sectPr>
          <w:headerReference w:type="default" r:id="rId2"/>
          <w:footerReference w:type="default" r:id="rId3"/>
          <w:type w:val="nextPage"/>
          <w:pgSz w:w="11906" w:h="16838"/>
          <w:pgMar w:left="1080" w:right="1080" w:gutter="0" w:header="0" w:top="1440" w:footer="0" w:bottom="1440"/>
          <w:pgNumType w:fmt="decimal"/>
          <w:formProt w:val="false"/>
          <w:textDirection w:val="lrTb"/>
          <w:docGrid w:type="default" w:linePitch="299" w:charSpace="16384"/>
        </w:sectPr>
      </w:pPr>
    </w:p>
    <w:p>
      <w:pPr>
        <w:pStyle w:val="Normal"/>
        <w:rPr>
          <w:b/>
          <w:bCs/>
        </w:rPr>
      </w:pPr>
      <w:r>
        <w:rPr>
          <w:b/>
          <w:bCs/>
        </w:rPr>
      </w:r>
    </w:p>
    <w:p>
      <w:pPr>
        <w:sectPr>
          <w:type w:val="continuous"/>
          <w:pgSz w:w="11906" w:h="16838"/>
          <w:pgMar w:left="1080" w:right="1080" w:gutter="0" w:header="0" w:top="1440" w:footer="0" w:bottom="1440"/>
          <w:cols w:num="2" w:space="720" w:equalWidth="true" w:sep="false"/>
          <w:formProt w:val="false"/>
          <w:textDirection w:val="lrTb"/>
          <w:docGrid w:type="default" w:linePitch="299" w:charSpace="16384"/>
        </w:sectPr>
      </w:pPr>
    </w:p>
    <w:p>
      <w:pPr>
        <w:pStyle w:val="Corpodotexto"/>
        <w:numPr>
          <w:ilvl w:val="1"/>
          <w:numId w:val="1"/>
        </w:numPr>
        <w:spacing w:lineRule="auto" w:line="360" w:before="120" w:after="120"/>
        <w:ind w:left="1077" w:hanging="720"/>
        <w:jc w:val="both"/>
        <w:rPr>
          <w:b/>
          <w:bCs/>
          <w:sz w:val="22"/>
          <w:szCs w:val="22"/>
        </w:rPr>
      </w:pPr>
      <w:r>
        <w:rPr>
          <w:b/>
          <w:bCs/>
          <w:sz w:val="22"/>
          <w:szCs w:val="22"/>
        </w:rPr>
        <w:t>DAS OBRIGAÇÕES ENTRE AS PARTES:</w:t>
      </w:r>
    </w:p>
    <w:p>
      <w:pPr>
        <w:pStyle w:val="Corpodotexto"/>
        <w:spacing w:lineRule="auto" w:line="360"/>
        <w:jc w:val="both"/>
        <w:rPr>
          <w:sz w:val="22"/>
          <w:szCs w:val="22"/>
        </w:rPr>
      </w:pPr>
      <w:r>
        <w:rPr>
          <w:sz w:val="22"/>
          <w:szCs w:val="22"/>
        </w:rPr>
        <w:tab/>
        <w:t xml:space="preserve">O contrato deverá ser executado fielmente pelas partes, de acordo com as cláusulas avençadas e as normas da Lei nº 14.133, de 2021, e cada parte responderá pelas consequências de sua inexecução total ou parcial. </w:t>
      </w:r>
    </w:p>
    <w:p>
      <w:pPr>
        <w:pStyle w:val="Corpodotexto"/>
        <w:spacing w:lineRule="auto" w:line="360"/>
        <w:ind w:firstLine="720"/>
        <w:jc w:val="both"/>
        <w:rPr>
          <w:sz w:val="22"/>
          <w:szCs w:val="22"/>
        </w:rPr>
      </w:pPr>
      <w:r>
        <w:rPr>
          <w:sz w:val="22"/>
          <w:szCs w:val="22"/>
        </w:rPr>
        <w:t xml:space="preserve">As comunicações entre o órgão ou entidade e a contratada devem ser realizadas por escrito sempre que o ato exigir tal formalidade, admitindo-se o uso de mensagem eletrônica para esse fim. </w:t>
      </w:r>
    </w:p>
    <w:p>
      <w:pPr>
        <w:pStyle w:val="Corpodotexto"/>
        <w:spacing w:lineRule="auto" w:line="360"/>
        <w:ind w:firstLine="720"/>
        <w:jc w:val="both"/>
        <w:rPr>
          <w:sz w:val="22"/>
          <w:szCs w:val="22"/>
        </w:rPr>
      </w:pPr>
      <w:r>
        <w:rPr>
          <w:sz w:val="22"/>
          <w:szCs w:val="22"/>
        </w:rPr>
        <w:t xml:space="preserve">O órgão ou entidade poderá convocar representante da empresa para adoção de providências que devam ser cumpridas de imediato. </w:t>
      </w:r>
    </w:p>
    <w:p>
      <w:pPr>
        <w:pStyle w:val="Corpodotexto"/>
        <w:spacing w:lineRule="auto" w:line="360"/>
        <w:ind w:firstLine="720"/>
        <w:jc w:val="both"/>
        <w:rPr>
          <w:sz w:val="22"/>
          <w:szCs w:val="22"/>
        </w:rPr>
      </w:pPr>
      <w:r>
        <w:rPr>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Corpodotexto"/>
        <w:spacing w:lineRule="auto" w:line="360"/>
        <w:ind w:firstLine="720"/>
        <w:jc w:val="both"/>
        <w:rPr>
          <w:sz w:val="22"/>
          <w:szCs w:val="22"/>
          <w:u w:val="single"/>
        </w:rPr>
      </w:pPr>
      <w:r>
        <w:rPr>
          <w:sz w:val="22"/>
          <w:szCs w:val="22"/>
          <w:u w:val="single"/>
        </w:rPr>
        <w:t>Compete a CONTRATADA:</w:t>
      </w:r>
    </w:p>
    <w:p>
      <w:pPr>
        <w:pStyle w:val="Corpodotexto"/>
        <w:spacing w:lineRule="auto" w:line="360"/>
        <w:ind w:firstLine="720"/>
        <w:jc w:val="both"/>
        <w:rPr>
          <w:sz w:val="22"/>
          <w:szCs w:val="22"/>
        </w:rPr>
      </w:pPr>
      <w:r>
        <w:rPr>
          <w:sz w:val="22"/>
          <w:szCs w:val="22"/>
        </w:rPr>
        <w:t>A CONTRATADA cumprirá todas as obrigações constantes no Termo de Referência, seus Anexos e sua proposta, assumindo como exclusivamente seus riscos e as despesas decorrentes da boa e perfeita execução do objeto e, ainda:</w:t>
      </w:r>
    </w:p>
    <w:p>
      <w:pPr>
        <w:pStyle w:val="Corpodotexto"/>
        <w:spacing w:lineRule="auto" w:line="360"/>
        <w:ind w:firstLine="720"/>
        <w:jc w:val="both"/>
        <w:rPr>
          <w:sz w:val="22"/>
          <w:szCs w:val="22"/>
        </w:rPr>
      </w:pPr>
      <w:r>
        <w:rPr>
          <w:sz w:val="22"/>
          <w:szCs w:val="22"/>
        </w:rPr>
        <w:t xml:space="preserve">Arcar com os encargos previdenciários, fiscais (ICMS e outros), comerciais, trabalhistas, tributários, itens, embalagens, tarifas, fretes, seguros, descarga, transporte, material, responsabilidade civil e outros resultantes do contrato, bem como os riscos atinentes à atividade, inclusive quaisquer despesas que venham a incidir sobre os itens, objeto desta contratação; </w:t>
      </w:r>
    </w:p>
    <w:p>
      <w:pPr>
        <w:pStyle w:val="Corpodotexto"/>
        <w:spacing w:lineRule="auto" w:line="360"/>
        <w:ind w:firstLine="720"/>
        <w:jc w:val="both"/>
        <w:rPr>
          <w:sz w:val="22"/>
          <w:szCs w:val="22"/>
        </w:rPr>
      </w:pPr>
      <w:r>
        <w:rPr>
          <w:sz w:val="22"/>
          <w:szCs w:val="22"/>
        </w:rPr>
        <w:t xml:space="preserve">Entende-se por encargos os tributos (impostos, taxas), contribuições fiscais e parafiscais, os instituídos por leis sociais, emolumentos, administração, lucros, equipamentos e ferramental, transporte de material e de pessoal, estada, hospedagem, alimentação e qualquer despesa, acessória e/ou necessária. </w:t>
      </w:r>
    </w:p>
    <w:p>
      <w:pPr>
        <w:pStyle w:val="Corpodotexto"/>
        <w:spacing w:lineRule="auto" w:line="360"/>
        <w:ind w:firstLine="720"/>
        <w:jc w:val="both"/>
        <w:rPr>
          <w:sz w:val="22"/>
          <w:szCs w:val="22"/>
        </w:rPr>
      </w:pPr>
      <w:r>
        <w:rPr>
          <w:sz w:val="22"/>
          <w:szCs w:val="22"/>
        </w:rPr>
        <w:t xml:space="preserve">Executar fielmente o contrato, de acordo com as cláusulas avençadas, respondendo pelas consequências de sua inexecução total ou parcial; </w:t>
      </w:r>
    </w:p>
    <w:p>
      <w:pPr>
        <w:pStyle w:val="Corpodotexto"/>
        <w:spacing w:lineRule="auto" w:line="360"/>
        <w:ind w:firstLine="720"/>
        <w:jc w:val="both"/>
        <w:rPr>
          <w:sz w:val="22"/>
          <w:szCs w:val="22"/>
        </w:rPr>
      </w:pPr>
      <w:r>
        <w:rPr>
          <w:sz w:val="22"/>
          <w:szCs w:val="22"/>
        </w:rPr>
        <w:t xml:space="preserve">Manter, durante a execução do contrato, as mesmas condições de habilitação; </w:t>
      </w:r>
    </w:p>
    <w:p>
      <w:pPr>
        <w:pStyle w:val="Corpodotexto"/>
        <w:spacing w:lineRule="auto" w:line="360"/>
        <w:ind w:firstLine="720"/>
        <w:jc w:val="both"/>
        <w:rPr>
          <w:sz w:val="22"/>
          <w:szCs w:val="22"/>
        </w:rPr>
      </w:pPr>
      <w:r>
        <w:rPr>
          <w:sz w:val="22"/>
          <w:szCs w:val="22"/>
        </w:rPr>
        <w:t xml:space="preserve">Manter atualizados, junto ao Município, os dados cadastrais, com endereço completo, telefone e endereço de correio eletrônico (e-mail), dentre outras informações indispensáveis à comunicação entre a CONTRATADA e o CONTRATANTE, de modo a viabilizar as convocações, intimações e notificações quando se fizerem necessárias; </w:t>
      </w:r>
    </w:p>
    <w:p>
      <w:pPr>
        <w:pStyle w:val="Corpodotexto"/>
        <w:spacing w:lineRule="auto" w:line="360"/>
        <w:ind w:firstLine="720"/>
        <w:jc w:val="both"/>
        <w:rPr>
          <w:sz w:val="22"/>
          <w:szCs w:val="22"/>
        </w:rPr>
      </w:pPr>
      <w:r>
        <w:rPr>
          <w:sz w:val="22"/>
          <w:szCs w:val="22"/>
        </w:rPr>
        <w:t xml:space="preserve">Aceitar, nas mesmas condições contratuais, os acréscimos ou supressões que se fizerem necessários no quantitativo do objeto deste contrato, até o limite legal; </w:t>
      </w:r>
    </w:p>
    <w:p>
      <w:pPr>
        <w:pStyle w:val="Corpodotexto"/>
        <w:spacing w:lineRule="auto" w:line="360"/>
        <w:ind w:firstLine="720"/>
        <w:jc w:val="both"/>
        <w:rPr>
          <w:b/>
          <w:bCs/>
          <w:sz w:val="22"/>
          <w:szCs w:val="22"/>
        </w:rPr>
      </w:pPr>
      <w:r>
        <w:rPr>
          <w:b/>
          <w:bCs/>
          <w:sz w:val="22"/>
          <w:szCs w:val="22"/>
        </w:rPr>
        <w:t xml:space="preserve">Oferecer o objeto com boa qualidade, no preço, prazo e forma estipulados na proposta, no edital e seus anexos, com validade mínima de 12 meses nos itens que couber; </w:t>
      </w:r>
    </w:p>
    <w:p>
      <w:pPr>
        <w:pStyle w:val="Corpodotexto"/>
        <w:spacing w:lineRule="auto" w:line="360"/>
        <w:ind w:firstLine="720"/>
        <w:jc w:val="both"/>
        <w:rPr>
          <w:sz w:val="22"/>
          <w:szCs w:val="22"/>
        </w:rPr>
      </w:pPr>
      <w:r>
        <w:rPr>
          <w:sz w:val="22"/>
          <w:szCs w:val="22"/>
        </w:rPr>
        <w:t xml:space="preserve">Não subcontratar, ceder ou transferir a terceiros a execução do objeto, ainda que parcial, sendo nulo de pleno direito qualquer ato nesse sentido, além de constituir infração passível de penalidade; </w:t>
      </w:r>
    </w:p>
    <w:p>
      <w:pPr>
        <w:pStyle w:val="Corpodotexto"/>
        <w:spacing w:lineRule="auto" w:line="360"/>
        <w:ind w:firstLine="720"/>
        <w:jc w:val="both"/>
        <w:rPr>
          <w:sz w:val="22"/>
          <w:szCs w:val="22"/>
        </w:rPr>
      </w:pPr>
      <w:r>
        <w:rPr>
          <w:sz w:val="22"/>
          <w:szCs w:val="22"/>
        </w:rPr>
        <w:t>Responder pela qualidade, quantidade, validade, segurança e demais características do objeto, bem como a observação às normas técnicas;</w:t>
      </w:r>
    </w:p>
    <w:p>
      <w:pPr>
        <w:pStyle w:val="Corpodotexto"/>
        <w:spacing w:lineRule="auto" w:line="360"/>
        <w:ind w:firstLine="720"/>
        <w:jc w:val="both"/>
        <w:rPr>
          <w:sz w:val="22"/>
          <w:szCs w:val="22"/>
        </w:rPr>
      </w:pPr>
      <w:r>
        <w:rPr>
          <w:sz w:val="22"/>
          <w:szCs w:val="22"/>
        </w:rPr>
        <w:t>Substituir o objeto avariado no prazo estabelecido neste Termo de Referência, ou não sendo possível, indenizar o valor correspondente acrescido de perdas e danos, mediante toda e qualquer impugnação feita pelo CONTRATANTE;</w:t>
      </w:r>
    </w:p>
    <w:p>
      <w:pPr>
        <w:pStyle w:val="Corpodotexto"/>
        <w:spacing w:lineRule="auto" w:line="360"/>
        <w:ind w:firstLine="720"/>
        <w:jc w:val="both"/>
        <w:rPr>
          <w:sz w:val="22"/>
          <w:szCs w:val="22"/>
        </w:rPr>
      </w:pPr>
      <w:r>
        <w:rPr>
          <w:sz w:val="22"/>
          <w:szCs w:val="22"/>
        </w:rPr>
        <w:t xml:space="preserve">Não contratar, durante a vigência do contrato, cônjuge, companheiro ou parente em linha reta, colateral ou por afinidade, até o terceiro grau, de dirigente do CONTRATANTE ou do fiscal ou gestor do contrato, nos termos do parágrafo único do artigo 48 da Lei nº 14.133/ de 2021; </w:t>
      </w:r>
    </w:p>
    <w:p>
      <w:pPr>
        <w:pStyle w:val="Corpodotexto"/>
        <w:spacing w:lineRule="auto" w:line="360"/>
        <w:ind w:firstLine="720"/>
        <w:jc w:val="both"/>
        <w:rPr>
          <w:sz w:val="22"/>
          <w:szCs w:val="22"/>
        </w:rPr>
      </w:pPr>
      <w:r>
        <w:rPr>
          <w:sz w:val="22"/>
          <w:szCs w:val="22"/>
        </w:rPr>
        <w:t xml:space="preserve">Cumprir, durante todo o período de execução do contrato, a reserva de cargos prevista em lei, </w:t>
      </w:r>
    </w:p>
    <w:p>
      <w:pPr>
        <w:pStyle w:val="Corpodotexto"/>
        <w:spacing w:lineRule="auto" w:line="360"/>
        <w:ind w:firstLine="720"/>
        <w:jc w:val="both"/>
        <w:rPr>
          <w:sz w:val="22"/>
          <w:szCs w:val="22"/>
        </w:rPr>
      </w:pPr>
      <w:r>
        <w:rPr>
          <w:sz w:val="22"/>
          <w:szCs w:val="22"/>
        </w:rPr>
        <w:t xml:space="preserve">Atender às determinações regulares emitidas pelo fiscal do contrato ou autoridade superior; </w:t>
      </w:r>
    </w:p>
    <w:p>
      <w:pPr>
        <w:pStyle w:val="Corpodotexto"/>
        <w:spacing w:lineRule="auto" w:line="360"/>
        <w:ind w:firstLine="720"/>
        <w:jc w:val="both"/>
        <w:rPr>
          <w:sz w:val="22"/>
          <w:szCs w:val="22"/>
        </w:rPr>
      </w:pPr>
      <w:r>
        <w:rPr>
          <w:sz w:val="22"/>
          <w:szCs w:val="22"/>
        </w:rPr>
        <w:t xml:space="preserve">Comunicar ao fiscal do contrato, no prazo de até 24 (vinte e quatro) horas, qualquer ocorrência anormal que se verifique na execução do objeto; </w:t>
      </w:r>
    </w:p>
    <w:p>
      <w:pPr>
        <w:pStyle w:val="Corpodotexto"/>
        <w:spacing w:lineRule="auto" w:line="360"/>
        <w:ind w:firstLine="720"/>
        <w:jc w:val="both"/>
        <w:rPr>
          <w:sz w:val="22"/>
          <w:szCs w:val="22"/>
        </w:rPr>
      </w:pPr>
      <w:r>
        <w:rPr>
          <w:sz w:val="22"/>
          <w:szCs w:val="22"/>
        </w:rPr>
        <w:t xml:space="preserve">Atuar no presente contrato em conformidade com a Lei 13.709/2018 (Lei Geral de Proteção de Dados Pessoais); </w:t>
      </w:r>
    </w:p>
    <w:p>
      <w:pPr>
        <w:pStyle w:val="Corpodotexto"/>
        <w:spacing w:lineRule="auto" w:line="360"/>
        <w:ind w:firstLine="720"/>
        <w:jc w:val="both"/>
        <w:rPr>
          <w:sz w:val="22"/>
          <w:szCs w:val="22"/>
          <w:u w:val="single"/>
        </w:rPr>
      </w:pPr>
      <w:r>
        <w:rPr>
          <w:sz w:val="22"/>
          <w:szCs w:val="22"/>
          <w:u w:val="single"/>
        </w:rPr>
        <w:t>Compete ao CONTRATANTE:</w:t>
      </w:r>
    </w:p>
    <w:p>
      <w:pPr>
        <w:pStyle w:val="Corpodotexto"/>
        <w:spacing w:lineRule="auto" w:line="360"/>
        <w:ind w:firstLine="720"/>
        <w:jc w:val="both"/>
        <w:rPr>
          <w:sz w:val="22"/>
          <w:szCs w:val="22"/>
        </w:rPr>
      </w:pPr>
      <w:r>
        <w:rPr>
          <w:sz w:val="22"/>
          <w:szCs w:val="22"/>
        </w:rPr>
        <w:t xml:space="preserve">Receber, fiscalizar, orientar, contestar, dirimir dúvidas emergentes da execução do objeto contratado. </w:t>
      </w:r>
    </w:p>
    <w:p>
      <w:pPr>
        <w:pStyle w:val="Corpodotexto"/>
        <w:spacing w:lineRule="auto" w:line="360"/>
        <w:ind w:firstLine="720"/>
        <w:jc w:val="both"/>
        <w:rPr>
          <w:sz w:val="22"/>
          <w:szCs w:val="22"/>
        </w:rPr>
      </w:pPr>
      <w:r>
        <w:rPr>
          <w:sz w:val="22"/>
          <w:szCs w:val="22"/>
        </w:rPr>
        <w:t xml:space="preserve">Do contrário, após a análise de compatibilidade entre o contratado e o efetivamente entregue, será lavrado o termo de recebimento definitivo. </w:t>
      </w:r>
    </w:p>
    <w:p>
      <w:pPr>
        <w:pStyle w:val="Corpodotexto"/>
        <w:spacing w:lineRule="auto" w:line="360"/>
        <w:ind w:firstLine="720"/>
        <w:jc w:val="both"/>
        <w:rPr>
          <w:sz w:val="22"/>
          <w:szCs w:val="22"/>
        </w:rPr>
      </w:pPr>
      <w:r>
        <w:rPr>
          <w:sz w:val="22"/>
          <w:szCs w:val="22"/>
        </w:rPr>
        <w:t xml:space="preserve">Comunicar à CONTRATADA, por escrito, sobre imperfeições, falhas ou irregularidades verificadas no objeto fornecido, para que seja substituído, reparado ou corrigido. </w:t>
      </w:r>
    </w:p>
    <w:p>
      <w:pPr>
        <w:pStyle w:val="Corpodotexto"/>
        <w:spacing w:lineRule="auto" w:line="360"/>
        <w:ind w:firstLine="720"/>
        <w:jc w:val="both"/>
        <w:rPr>
          <w:sz w:val="22"/>
          <w:szCs w:val="22"/>
        </w:rPr>
      </w:pPr>
      <w:r>
        <w:rPr>
          <w:sz w:val="22"/>
          <w:szCs w:val="22"/>
        </w:rPr>
        <w:t xml:space="preserve">Efetuar o pagamento à CONTRATADA no valor correspondente ao fornecimento do objeto, no prazo e forma estabelecidos neste Termo de Referência. </w:t>
      </w:r>
    </w:p>
    <w:p>
      <w:pPr>
        <w:pStyle w:val="Corpodotexto"/>
        <w:spacing w:lineRule="auto" w:line="360"/>
        <w:ind w:firstLine="720"/>
        <w:jc w:val="both"/>
        <w:rPr>
          <w:sz w:val="22"/>
          <w:szCs w:val="22"/>
        </w:rPr>
      </w:pPr>
      <w:r>
        <w:rPr>
          <w:sz w:val="22"/>
          <w:szCs w:val="22"/>
        </w:rPr>
        <w:t xml:space="preserve">O CONTRATANTE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 </w:t>
      </w:r>
    </w:p>
    <w:p>
      <w:pPr>
        <w:pStyle w:val="Corpodotexto"/>
        <w:spacing w:lineRule="auto" w:line="360"/>
        <w:ind w:firstLine="720"/>
        <w:jc w:val="both"/>
        <w:rPr>
          <w:sz w:val="22"/>
          <w:szCs w:val="22"/>
        </w:rPr>
      </w:pPr>
      <w:r>
        <w:rPr>
          <w:sz w:val="22"/>
          <w:szCs w:val="22"/>
        </w:rPr>
        <w:t xml:space="preserve">Exigir o exato cumprimento do objeto; </w:t>
      </w:r>
    </w:p>
    <w:p>
      <w:pPr>
        <w:pStyle w:val="Corpodotexto"/>
        <w:spacing w:lineRule="auto" w:line="360"/>
        <w:ind w:firstLine="720"/>
        <w:jc w:val="both"/>
        <w:rPr>
          <w:sz w:val="22"/>
          <w:szCs w:val="22"/>
        </w:rPr>
      </w:pPr>
      <w:r>
        <w:rPr>
          <w:sz w:val="22"/>
          <w:szCs w:val="22"/>
        </w:rPr>
        <w:t xml:space="preserve">Atestar nas notas fiscais/faturas o efetivo término da prestação de serviço do objeto deste contrato; </w:t>
      </w:r>
    </w:p>
    <w:p>
      <w:pPr>
        <w:pStyle w:val="Corpodotexto"/>
        <w:spacing w:lineRule="auto" w:line="360"/>
        <w:ind w:firstLine="720"/>
        <w:jc w:val="both"/>
        <w:rPr>
          <w:sz w:val="22"/>
          <w:szCs w:val="22"/>
        </w:rPr>
      </w:pPr>
      <w:r>
        <w:rPr>
          <w:sz w:val="22"/>
          <w:szCs w:val="22"/>
        </w:rPr>
        <w:t xml:space="preserve">Aplicar à CONTRATADAS penalidades, quando for o caso; </w:t>
      </w:r>
    </w:p>
    <w:p>
      <w:pPr>
        <w:pStyle w:val="Corpodotexto"/>
        <w:spacing w:lineRule="auto" w:line="360"/>
        <w:ind w:firstLine="720"/>
        <w:jc w:val="both"/>
        <w:rPr>
          <w:sz w:val="22"/>
          <w:szCs w:val="22"/>
        </w:rPr>
      </w:pPr>
      <w:r>
        <w:rPr>
          <w:sz w:val="22"/>
          <w:szCs w:val="22"/>
        </w:rPr>
        <w:t xml:space="preserve">Prestar à CONTRATADA toda e qualquer informação, por esta solicitada, necessária à perfeita execução do contrato; </w:t>
      </w:r>
    </w:p>
    <w:p>
      <w:pPr>
        <w:pStyle w:val="Corpodotexto"/>
        <w:spacing w:lineRule="auto" w:line="360"/>
        <w:ind w:firstLine="720"/>
        <w:jc w:val="both"/>
        <w:rPr>
          <w:sz w:val="22"/>
          <w:szCs w:val="22"/>
        </w:rPr>
      </w:pPr>
      <w:r>
        <w:rPr>
          <w:sz w:val="22"/>
          <w:szCs w:val="22"/>
        </w:rPr>
        <w:t>Fiscalizar a execução do contrato por intermédio de servidor ou de equipe de servidores, designado(s) mediante portaria específica.</w:t>
      </w:r>
    </w:p>
    <w:p>
      <w:pPr>
        <w:pStyle w:val="Corpodotexto"/>
        <w:numPr>
          <w:ilvl w:val="1"/>
          <w:numId w:val="1"/>
        </w:numPr>
        <w:spacing w:lineRule="auto" w:line="360" w:before="120" w:after="120"/>
        <w:ind w:left="1077" w:hanging="720"/>
        <w:jc w:val="both"/>
        <w:rPr>
          <w:b/>
          <w:bCs/>
          <w:sz w:val="22"/>
          <w:szCs w:val="22"/>
        </w:rPr>
      </w:pPr>
      <w:r>
        <w:rPr>
          <w:b/>
          <w:bCs/>
          <w:sz w:val="22"/>
          <w:szCs w:val="22"/>
        </w:rPr>
        <w:t>DAS HIPÓTESES DE SANÇÕES:</w:t>
      </w:r>
    </w:p>
    <w:p>
      <w:pPr>
        <w:pStyle w:val="Corpodotexto"/>
        <w:spacing w:lineRule="auto" w:line="360"/>
        <w:ind w:firstLine="720"/>
        <w:jc w:val="both"/>
        <w:rPr>
          <w:sz w:val="22"/>
          <w:szCs w:val="22"/>
        </w:rPr>
      </w:pPr>
      <w:r>
        <w:rPr>
          <w:sz w:val="22"/>
          <w:szCs w:val="22"/>
        </w:rPr>
        <w:t xml:space="preserve">O descumprimento do Contrato ensejará aplicação das penalidades estabelecidas no edital e no Termo de Referência. </w:t>
      </w:r>
    </w:p>
    <w:p>
      <w:pPr>
        <w:pStyle w:val="Corpodotexto"/>
        <w:spacing w:lineRule="auto" w:line="360"/>
        <w:ind w:firstLine="720"/>
        <w:jc w:val="both"/>
        <w:rPr>
          <w:sz w:val="22"/>
          <w:szCs w:val="22"/>
        </w:rPr>
      </w:pPr>
      <w:r>
        <w:rPr>
          <w:sz w:val="22"/>
          <w:szCs w:val="22"/>
        </w:rPr>
        <w:t xml:space="preserve">Observados o contraditório e a ampla defesa, todas as sanções previstas no art. 156 da Lei nº 14.133, de 1º de abril de 2021, serão aplicadas pelo responsável, ou pela autoridade máxima da respectiva entidade, tal qual: advertência, multa, impedimento de licitar e contratar, declaração de inidoneidade para licitar ou contratar. </w:t>
      </w:r>
    </w:p>
    <w:p>
      <w:pPr>
        <w:pStyle w:val="Corpodotexto"/>
        <w:spacing w:lineRule="auto" w:line="360"/>
        <w:ind w:firstLine="720"/>
        <w:jc w:val="both"/>
        <w:rPr>
          <w:sz w:val="22"/>
          <w:szCs w:val="22"/>
        </w:rPr>
      </w:pPr>
      <w:r>
        <w:rPr>
          <w:sz w:val="22"/>
          <w:szCs w:val="22"/>
        </w:rPr>
        <w:t>Na aplicação das sanções acima mencionadas, serão considerados os seguintes requisitos conforme art. 156 da Lei nº 14.133, de 1º de abril de 2021, as quais são: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pPr>
        <w:pStyle w:val="Corpodotexto"/>
        <w:spacing w:lineRule="auto" w:line="360"/>
        <w:ind w:firstLine="360"/>
        <w:jc w:val="both"/>
        <w:rPr>
          <w:sz w:val="22"/>
          <w:szCs w:val="22"/>
        </w:rPr>
      </w:pPr>
      <w:r>
        <w:rPr>
          <w:sz w:val="22"/>
          <w:szCs w:val="22"/>
        </w:rPr>
      </w:r>
    </w:p>
    <w:p>
      <w:pPr>
        <w:pStyle w:val="Ttulo1"/>
        <w:numPr>
          <w:ilvl w:val="0"/>
          <w:numId w:val="1"/>
        </w:numPr>
        <w:tabs>
          <w:tab w:val="clear" w:pos="720"/>
          <w:tab w:val="left" w:pos="368" w:leader="none"/>
        </w:tabs>
        <w:spacing w:lineRule="auto" w:line="360"/>
        <w:ind w:left="283" w:hanging="283"/>
        <w:rPr>
          <w:sz w:val="22"/>
          <w:szCs w:val="22"/>
        </w:rPr>
      </w:pPr>
      <w:r>
        <w:rPr>
          <w:sz w:val="22"/>
          <w:szCs w:val="22"/>
        </w:rPr>
        <w:t>MODELO</w:t>
      </w:r>
      <w:r>
        <w:rPr>
          <w:spacing w:val="-4"/>
          <w:sz w:val="22"/>
          <w:szCs w:val="22"/>
        </w:rPr>
        <w:t xml:space="preserve"> </w:t>
      </w:r>
      <w:r>
        <w:rPr>
          <w:sz w:val="22"/>
          <w:szCs w:val="22"/>
        </w:rPr>
        <w:t>DE</w:t>
      </w:r>
      <w:r>
        <w:rPr>
          <w:spacing w:val="-5"/>
          <w:sz w:val="22"/>
          <w:szCs w:val="22"/>
        </w:rPr>
        <w:t xml:space="preserve"> </w:t>
      </w:r>
      <w:r>
        <w:rPr>
          <w:sz w:val="22"/>
          <w:szCs w:val="22"/>
        </w:rPr>
        <w:t>EXECUÇÃO</w:t>
      </w:r>
      <w:r>
        <w:rPr>
          <w:spacing w:val="-4"/>
          <w:sz w:val="22"/>
          <w:szCs w:val="22"/>
        </w:rPr>
        <w:t xml:space="preserve"> </w:t>
      </w:r>
      <w:r>
        <w:rPr>
          <w:sz w:val="22"/>
          <w:szCs w:val="22"/>
        </w:rPr>
        <w:t>DO</w:t>
      </w:r>
      <w:r>
        <w:rPr>
          <w:spacing w:val="-3"/>
          <w:sz w:val="22"/>
          <w:szCs w:val="22"/>
        </w:rPr>
        <w:t xml:space="preserve"> </w:t>
      </w:r>
      <w:r>
        <w:rPr>
          <w:spacing w:val="-2"/>
          <w:sz w:val="22"/>
          <w:szCs w:val="22"/>
        </w:rPr>
        <w:t>OBJETO</w:t>
      </w:r>
    </w:p>
    <w:p>
      <w:pPr>
        <w:pStyle w:val="Corpodotexto"/>
        <w:numPr>
          <w:ilvl w:val="1"/>
          <w:numId w:val="1"/>
        </w:numPr>
        <w:spacing w:lineRule="auto" w:line="360" w:before="120" w:after="120"/>
        <w:ind w:left="1077" w:hanging="720"/>
        <w:jc w:val="both"/>
        <w:rPr>
          <w:rFonts w:ascii="Arial" w:hAnsi="Arial"/>
          <w:b/>
          <w:sz w:val="22"/>
          <w:szCs w:val="22"/>
        </w:rPr>
      </w:pPr>
      <w:r>
        <w:rPr>
          <w:rFonts w:ascii="Arial" w:hAnsi="Arial"/>
          <w:b/>
          <w:sz w:val="22"/>
          <w:szCs w:val="22"/>
        </w:rPr>
        <w:t xml:space="preserve">PRAZO DE ENTREGA: </w:t>
      </w:r>
    </w:p>
    <w:p>
      <w:pPr>
        <w:pStyle w:val="Corpodotexto"/>
        <w:numPr>
          <w:ilvl w:val="2"/>
          <w:numId w:val="1"/>
        </w:numPr>
        <w:spacing w:lineRule="auto" w:line="360" w:before="120" w:after="120"/>
        <w:jc w:val="both"/>
        <w:rPr>
          <w:rFonts w:ascii="Arial" w:hAnsi="Arial"/>
          <w:b/>
          <w:sz w:val="22"/>
          <w:szCs w:val="22"/>
        </w:rPr>
      </w:pPr>
      <w:r>
        <w:rPr>
          <w:rFonts w:ascii="Arial" w:hAnsi="Arial"/>
          <w:bCs/>
          <w:sz w:val="22"/>
          <w:szCs w:val="22"/>
          <w:lang w:val="pt-BR"/>
        </w:rPr>
        <w:t>A CONTRATADA deverá entregar os itens em no máximo 5 (cinco) dias úteis, após a emissão do empenho.</w:t>
      </w:r>
    </w:p>
    <w:p>
      <w:pPr>
        <w:pStyle w:val="Corpodotexto"/>
        <w:numPr>
          <w:ilvl w:val="2"/>
          <w:numId w:val="1"/>
        </w:numPr>
        <w:spacing w:lineRule="auto" w:line="360" w:before="120" w:after="120"/>
        <w:jc w:val="both"/>
        <w:rPr>
          <w:rFonts w:ascii="Arial" w:hAnsi="Arial"/>
          <w:b/>
          <w:sz w:val="22"/>
          <w:szCs w:val="22"/>
        </w:rPr>
      </w:pPr>
      <w:r>
        <w:rPr>
          <w:rFonts w:cs="Times New Roman"/>
          <w:sz w:val="22"/>
          <w:szCs w:val="22"/>
        </w:rPr>
        <w:t>Caso não seja possível a entrega dos produtos na data assinalada, a empresa deverá comunicar à Câmara Municipal, através de e-mail, as razões respectivas com, pelo menos, dois dias úteis de antecedência para que qualquer pleito de prorrogação de prazo seja analisado, ressalvadas situações de caso fortuito e força maior.</w:t>
      </w:r>
    </w:p>
    <w:p>
      <w:pPr>
        <w:pStyle w:val="Corpodotexto"/>
        <w:numPr>
          <w:ilvl w:val="1"/>
          <w:numId w:val="1"/>
        </w:numPr>
        <w:spacing w:lineRule="auto" w:line="360" w:before="120" w:after="120"/>
        <w:ind w:left="1077" w:hanging="720"/>
        <w:jc w:val="both"/>
        <w:rPr>
          <w:rFonts w:ascii="Arial" w:hAnsi="Arial"/>
          <w:b/>
          <w:bCs/>
          <w:sz w:val="22"/>
          <w:szCs w:val="22"/>
          <w:lang w:val="pt-BR"/>
        </w:rPr>
      </w:pPr>
      <w:r>
        <w:rPr>
          <w:rFonts w:ascii="Arial" w:hAnsi="Arial"/>
          <w:b/>
          <w:bCs/>
          <w:sz w:val="22"/>
          <w:szCs w:val="22"/>
          <w:lang w:val="pt-BR"/>
        </w:rPr>
        <w:t>LOCAL E HORÁRIO DE ENTREGA</w:t>
      </w:r>
    </w:p>
    <w:p>
      <w:pPr>
        <w:pStyle w:val="Corpodotexto"/>
        <w:numPr>
          <w:ilvl w:val="2"/>
          <w:numId w:val="1"/>
        </w:numPr>
        <w:spacing w:lineRule="auto" w:line="360" w:before="120" w:after="120"/>
        <w:jc w:val="both"/>
        <w:rPr>
          <w:rFonts w:ascii="Arial" w:hAnsi="Arial"/>
          <w:b/>
          <w:bCs/>
          <w:sz w:val="22"/>
          <w:szCs w:val="22"/>
          <w:lang w:val="pt-BR"/>
        </w:rPr>
      </w:pPr>
      <w:r>
        <w:rPr>
          <w:rFonts w:cs="Times New Roman"/>
          <w:sz w:val="22"/>
          <w:szCs w:val="22"/>
        </w:rPr>
        <w:t>Os produtos deverão ser entregues na Câmara Municipal de Sarandi, que está localizada na Avenida Sete de Setembro, 1790, Centro, em Sarandi – RS.</w:t>
      </w:r>
    </w:p>
    <w:p>
      <w:pPr>
        <w:pStyle w:val="Corpodotexto"/>
        <w:numPr>
          <w:ilvl w:val="2"/>
          <w:numId w:val="1"/>
        </w:numPr>
        <w:spacing w:lineRule="auto" w:line="360" w:before="120" w:after="120"/>
        <w:jc w:val="both"/>
        <w:rPr>
          <w:rFonts w:ascii="Arial" w:hAnsi="Arial"/>
          <w:b/>
          <w:bCs/>
          <w:sz w:val="22"/>
          <w:szCs w:val="22"/>
          <w:lang w:val="pt-BR"/>
        </w:rPr>
      </w:pPr>
      <w:r>
        <w:rPr>
          <w:rFonts w:cs="Times New Roman"/>
          <w:sz w:val="22"/>
          <w:szCs w:val="22"/>
        </w:rPr>
        <w:t>A CONTRATADA deverá realizar a entrega durante o horário de expediente da Câmara, das 08h00min às 11h30min e das 13h30min às 17h00min.</w:t>
      </w:r>
    </w:p>
    <w:p>
      <w:pPr>
        <w:pStyle w:val="Corpodotexto"/>
        <w:numPr>
          <w:ilvl w:val="1"/>
          <w:numId w:val="1"/>
        </w:numPr>
        <w:spacing w:lineRule="auto" w:line="360" w:before="120" w:after="120"/>
        <w:ind w:left="1077" w:hanging="720"/>
        <w:jc w:val="both"/>
        <w:rPr>
          <w:rFonts w:ascii="Arial" w:hAnsi="Arial"/>
          <w:b/>
          <w:bCs/>
          <w:sz w:val="22"/>
          <w:szCs w:val="22"/>
          <w:lang w:val="pt-BR"/>
        </w:rPr>
      </w:pPr>
      <w:r>
        <w:rPr>
          <w:rFonts w:ascii="Arial" w:hAnsi="Arial"/>
          <w:b/>
          <w:bCs/>
          <w:sz w:val="22"/>
          <w:szCs w:val="22"/>
          <w:lang w:val="pt-BR"/>
        </w:rPr>
        <w:t>GARANTIAS E RESPONSABILIDADES PÓS-ENTREGA</w:t>
      </w:r>
    </w:p>
    <w:p>
      <w:pPr>
        <w:pStyle w:val="Corpodotexto"/>
        <w:tabs>
          <w:tab w:val="clear" w:pos="720"/>
          <w:tab w:val="left" w:pos="567" w:leader="none"/>
        </w:tabs>
        <w:spacing w:lineRule="auto" w:line="360"/>
        <w:ind w:firstLine="709"/>
        <w:jc w:val="both"/>
        <w:rPr>
          <w:rFonts w:ascii="Arial" w:hAnsi="Arial" w:cs="Arial"/>
          <w:sz w:val="22"/>
          <w:szCs w:val="22"/>
        </w:rPr>
      </w:pPr>
      <w:r>
        <w:rPr>
          <w:rFonts w:cs="Arial" w:ascii="Arial" w:hAnsi="Arial"/>
          <w:sz w:val="22"/>
          <w:szCs w:val="22"/>
        </w:rPr>
        <w:tab/>
        <w:t>O prazo de garantia dos produtos, contra defeitos de fabricação é aquele estabelecido na Lei nº 8.078, de 11 de setembro de 1990, art. 26 (Código de Defesa do Consumidor).</w:t>
      </w:r>
    </w:p>
    <w:p>
      <w:pPr>
        <w:pStyle w:val="Corpodotexto"/>
        <w:tabs>
          <w:tab w:val="clear" w:pos="720"/>
          <w:tab w:val="left" w:pos="567" w:leader="none"/>
        </w:tabs>
        <w:spacing w:lineRule="auto" w:line="360"/>
        <w:ind w:firstLine="709"/>
        <w:jc w:val="both"/>
        <w:rPr>
          <w:rFonts w:ascii="Arial" w:hAnsi="Arial" w:cs="Arial"/>
          <w:sz w:val="22"/>
          <w:szCs w:val="22"/>
        </w:rPr>
      </w:pPr>
      <w:r>
        <w:rPr>
          <w:rFonts w:cs="Arial" w:ascii="Arial" w:hAnsi="Arial"/>
          <w:sz w:val="22"/>
          <w:szCs w:val="22"/>
        </w:rPr>
        <w:t>I - trinta dias, tratando-se de fornecimento de serviço e de produtos não duráveis;</w:t>
      </w:r>
    </w:p>
    <w:p>
      <w:pPr>
        <w:pStyle w:val="Corpodotexto"/>
        <w:tabs>
          <w:tab w:val="clear" w:pos="720"/>
          <w:tab w:val="left" w:pos="567" w:leader="none"/>
        </w:tabs>
        <w:spacing w:lineRule="auto" w:line="360"/>
        <w:ind w:firstLine="709"/>
        <w:jc w:val="both"/>
        <w:rPr>
          <w:rFonts w:ascii="Arial" w:hAnsi="Arial" w:cs="Arial"/>
          <w:sz w:val="22"/>
          <w:szCs w:val="22"/>
        </w:rPr>
      </w:pPr>
      <w:r>
        <w:rPr>
          <w:rFonts w:cs="Arial" w:ascii="Arial" w:hAnsi="Arial"/>
          <w:sz w:val="22"/>
          <w:szCs w:val="22"/>
        </w:rPr>
        <w:t>II - noventa dias, tratando-se de fornecimento de serviço e de produtos duráveis.</w:t>
        <w:tab/>
        <w:tab/>
      </w:r>
    </w:p>
    <w:p>
      <w:pPr>
        <w:pStyle w:val="Corpodotexto"/>
        <w:tabs>
          <w:tab w:val="clear" w:pos="720"/>
          <w:tab w:val="left" w:pos="567" w:leader="none"/>
        </w:tabs>
        <w:spacing w:lineRule="auto" w:line="360"/>
        <w:ind w:firstLine="709"/>
        <w:jc w:val="both"/>
        <w:rPr>
          <w:rFonts w:ascii="Arial" w:hAnsi="Arial" w:cs="Arial"/>
          <w:sz w:val="22"/>
          <w:szCs w:val="22"/>
        </w:rPr>
      </w:pPr>
      <w:r>
        <w:rPr>
          <w:rFonts w:cs="Arial" w:ascii="Arial" w:hAnsi="Arial"/>
          <w:sz w:val="22"/>
          <w:szCs w:val="22"/>
        </w:rPr>
        <w:t xml:space="preserve">A garantia legal ou contratual do objeto tem prazo de vigência próprio e desvinculado daquele fixado no contrato, permitindo eventual aplicação de penalidades em caso de descumprimento de alguma de suas condições, mesmo depois de expirada a vigência contratual. </w:t>
      </w:r>
    </w:p>
    <w:p>
      <w:pPr>
        <w:pStyle w:val="Corpodotexto"/>
        <w:tabs>
          <w:tab w:val="clear" w:pos="720"/>
          <w:tab w:val="left" w:pos="567" w:leader="none"/>
        </w:tabs>
        <w:spacing w:lineRule="auto" w:line="360"/>
        <w:jc w:val="both"/>
        <w:rPr>
          <w:rFonts w:ascii="Arial" w:hAnsi="Arial" w:cs="Arial"/>
          <w:sz w:val="22"/>
          <w:szCs w:val="22"/>
        </w:rPr>
      </w:pPr>
      <w:r>
        <w:rPr>
          <w:rFonts w:cs="Arial" w:ascii="Arial" w:hAnsi="Arial"/>
          <w:sz w:val="22"/>
          <w:szCs w:val="22"/>
        </w:rPr>
        <w:tab/>
        <w:tab/>
        <w:t xml:space="preserve">Durante o período de garantia, a ADJUDICATÓRIA obriga-se a efetuar, sem ônus para a Câmara de Vereadores, a substituição ou reparo do objeto que apresentar defeitos de fabricação, no prazo de até 07 (sete) dias corridos, a contar do 1° dia útil posterior à data de confirmação do recebimento da comunicação. </w:t>
      </w:r>
    </w:p>
    <w:p>
      <w:pPr>
        <w:pStyle w:val="Corpodotexto"/>
        <w:tabs>
          <w:tab w:val="clear" w:pos="720"/>
          <w:tab w:val="left" w:pos="567" w:leader="none"/>
        </w:tabs>
        <w:spacing w:lineRule="auto" w:line="360"/>
        <w:jc w:val="both"/>
        <w:rPr>
          <w:rFonts w:ascii="Arial" w:hAnsi="Arial" w:cs="Arial"/>
          <w:sz w:val="22"/>
          <w:szCs w:val="22"/>
        </w:rPr>
      </w:pPr>
      <w:r>
        <w:rPr>
          <w:rFonts w:cs="Arial" w:ascii="Arial" w:hAnsi="Arial"/>
          <w:sz w:val="22"/>
          <w:szCs w:val="22"/>
        </w:rPr>
        <w:tab/>
        <w:tab/>
        <w:t>Os itens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pStyle w:val="Corpodotexto"/>
        <w:tabs>
          <w:tab w:val="clear" w:pos="720"/>
          <w:tab w:val="left" w:pos="567" w:leader="none"/>
        </w:tabs>
        <w:spacing w:lineRule="auto" w:line="360"/>
        <w:jc w:val="both"/>
        <w:rPr>
          <w:rFonts w:ascii="Arial" w:hAnsi="Arial" w:cs="Arial"/>
          <w:sz w:val="22"/>
          <w:szCs w:val="22"/>
          <w:highlight w:val="yellow"/>
        </w:rPr>
      </w:pPr>
      <w:r>
        <w:rPr>
          <w:rFonts w:cs="Arial" w:ascii="Arial" w:hAnsi="Arial"/>
          <w:sz w:val="22"/>
          <w:szCs w:val="22"/>
        </w:rPr>
        <w:tab/>
        <w:tab/>
        <w:t>O custo referente ao transporte dos itens cobertos pela garantia será de responsabilidade do Contratado.</w:t>
      </w:r>
    </w:p>
    <w:p>
      <w:pPr>
        <w:pStyle w:val="Corpodotexto"/>
        <w:spacing w:lineRule="auto" w:line="360"/>
        <w:ind w:firstLine="720"/>
        <w:jc w:val="both"/>
        <w:rPr>
          <w:rFonts w:ascii="Arial" w:hAnsi="Arial"/>
          <w:bCs/>
          <w:sz w:val="22"/>
          <w:szCs w:val="22"/>
          <w:lang w:val="pt-BR"/>
        </w:rPr>
      </w:pPr>
      <w:r>
        <w:rPr>
          <w:rFonts w:ascii="Arial" w:hAnsi="Arial"/>
          <w:bCs/>
          <w:sz w:val="22"/>
          <w:szCs w:val="22"/>
          <w:lang w:val="pt-BR"/>
        </w:rPr>
      </w:r>
    </w:p>
    <w:p>
      <w:pPr>
        <w:pStyle w:val="Ttulo1"/>
        <w:numPr>
          <w:ilvl w:val="0"/>
          <w:numId w:val="1"/>
        </w:numPr>
        <w:tabs>
          <w:tab w:val="clear" w:pos="720"/>
          <w:tab w:val="left" w:pos="368" w:leader="none"/>
          <w:tab w:val="left" w:pos="630" w:leader="none"/>
        </w:tabs>
        <w:spacing w:lineRule="auto" w:line="360" w:before="0" w:after="120"/>
        <w:ind w:left="284" w:hanging="284"/>
        <w:rPr>
          <w:sz w:val="22"/>
          <w:szCs w:val="22"/>
        </w:rPr>
      </w:pPr>
      <w:r>
        <w:rPr>
          <w:sz w:val="22"/>
          <w:szCs w:val="22"/>
        </w:rPr>
        <w:t>MODELO</w:t>
      </w:r>
      <w:r>
        <w:rPr>
          <w:spacing w:val="-2"/>
          <w:sz w:val="22"/>
          <w:szCs w:val="22"/>
        </w:rPr>
        <w:t xml:space="preserve"> </w:t>
      </w:r>
      <w:r>
        <w:rPr>
          <w:sz w:val="22"/>
          <w:szCs w:val="22"/>
        </w:rPr>
        <w:t>DE</w:t>
      </w:r>
      <w:r>
        <w:rPr>
          <w:spacing w:val="-4"/>
          <w:sz w:val="22"/>
          <w:szCs w:val="22"/>
        </w:rPr>
        <w:t xml:space="preserve"> </w:t>
      </w:r>
      <w:r>
        <w:rPr>
          <w:sz w:val="22"/>
          <w:szCs w:val="22"/>
        </w:rPr>
        <w:t>GESTÃO</w:t>
      </w:r>
      <w:r>
        <w:rPr>
          <w:spacing w:val="-2"/>
          <w:sz w:val="22"/>
          <w:szCs w:val="22"/>
        </w:rPr>
        <w:t xml:space="preserve"> </w:t>
      </w:r>
      <w:r>
        <w:rPr>
          <w:sz w:val="22"/>
          <w:szCs w:val="22"/>
        </w:rPr>
        <w:t>E DA NÃO NECESSIDADE DE FORMALIZAÇÃO DE CONTRATO</w:t>
      </w:r>
    </w:p>
    <w:p>
      <w:pPr>
        <w:pStyle w:val="Corpodotexto"/>
        <w:spacing w:lineRule="auto" w:line="360"/>
        <w:ind w:right="113" w:firstLine="720"/>
        <w:jc w:val="both"/>
        <w:rPr>
          <w:rFonts w:ascii="Arial" w:hAnsi="Arial"/>
          <w:bCs/>
          <w:sz w:val="22"/>
          <w:szCs w:val="22"/>
        </w:rPr>
      </w:pPr>
      <w:r>
        <w:rPr>
          <w:rFonts w:ascii="Arial" w:hAnsi="Arial"/>
          <w:bCs/>
          <w:sz w:val="22"/>
          <w:szCs w:val="22"/>
        </w:rPr>
        <w:t>Considerando que a presente contratação será realizada por meio de dispensa de licitação para a aquisição de materiais de expediente, com fornecimento integral em parcela única, verifica-se a desnecessidade de formalização de contrato administrativo.</w:t>
      </w:r>
    </w:p>
    <w:p>
      <w:pPr>
        <w:pStyle w:val="Corpodotexto"/>
        <w:spacing w:lineRule="auto" w:line="360"/>
        <w:ind w:right="113" w:firstLine="720"/>
        <w:jc w:val="both"/>
        <w:rPr>
          <w:rFonts w:ascii="Arial" w:hAnsi="Arial"/>
          <w:bCs/>
          <w:sz w:val="22"/>
          <w:szCs w:val="22"/>
        </w:rPr>
      </w:pPr>
      <w:r>
        <w:rPr>
          <w:rFonts w:ascii="Arial" w:hAnsi="Arial"/>
          <w:bCs/>
          <w:sz w:val="22"/>
          <w:szCs w:val="22"/>
        </w:rPr>
        <w:t>A execução do objeto se exaure com a entrega total dos materiais, não havendo obrigações continuadas, fornecimentos parcelados ou necessidade de acompanhamento contratual prolongado que justifiquem a celebração de instrumento contratual formal.</w:t>
      </w:r>
    </w:p>
    <w:p>
      <w:pPr>
        <w:pStyle w:val="Corpodotexto"/>
        <w:spacing w:lineRule="auto" w:line="360"/>
        <w:ind w:right="113" w:firstLine="720"/>
        <w:jc w:val="both"/>
        <w:rPr>
          <w:rFonts w:ascii="Arial" w:hAnsi="Arial"/>
          <w:bCs/>
          <w:sz w:val="22"/>
          <w:szCs w:val="22"/>
        </w:rPr>
      </w:pPr>
      <w:r>
        <w:rPr>
          <w:rFonts w:ascii="Arial" w:hAnsi="Arial"/>
          <w:bCs/>
          <w:sz w:val="22"/>
          <w:szCs w:val="22"/>
        </w:rPr>
        <w:t>Nesses casos, a formalização da contratação poderá ser realizada por meio de nota de empenho, autorização de fornecimento ou instrumento equivalente, nos termos da Lei nº 14.133/2021, que admite a substituição do contrato em hipóteses de fornecimento imediato e integral.</w:t>
      </w:r>
    </w:p>
    <w:p>
      <w:pPr>
        <w:pStyle w:val="Corpodotexto"/>
        <w:spacing w:lineRule="auto" w:line="360"/>
        <w:ind w:right="113" w:firstLine="720"/>
        <w:jc w:val="both"/>
        <w:rPr>
          <w:rFonts w:ascii="Arial" w:hAnsi="Arial"/>
          <w:bCs/>
          <w:sz w:val="22"/>
          <w:szCs w:val="22"/>
        </w:rPr>
      </w:pPr>
      <w:r>
        <w:rPr>
          <w:rFonts w:ascii="Arial" w:hAnsi="Arial"/>
          <w:bCs/>
          <w:sz w:val="22"/>
          <w:szCs w:val="22"/>
        </w:rPr>
        <w:t>A gestão da contratação consistirá na conferência dos materiais entregues, quanto às especificações, quantidades e qualidade, sendo o recebimento atestado por servidor designado, para fins de liquidação da despesa e posterior pagamento.</w:t>
      </w:r>
    </w:p>
    <w:p>
      <w:pPr>
        <w:pStyle w:val="Corpodotexto"/>
        <w:spacing w:lineRule="auto" w:line="360"/>
        <w:ind w:right="113" w:firstLine="720"/>
        <w:jc w:val="both"/>
        <w:rPr>
          <w:rFonts w:ascii="Arial" w:hAnsi="Arial"/>
          <w:bCs/>
          <w:sz w:val="22"/>
          <w:szCs w:val="22"/>
        </w:rPr>
      </w:pPr>
      <w:r>
        <w:rPr>
          <w:rFonts w:ascii="Arial" w:hAnsi="Arial"/>
          <w:bCs/>
          <w:sz w:val="22"/>
          <w:szCs w:val="22"/>
        </w:rPr>
        <w:t>Ademais, a adoção de instrumento simplificado atende aos princípios da eficiência e da economicidade, evitando a formalização de atos desnecessários, sem prejuízo da segurança jurídica da contratação.</w:t>
      </w:r>
    </w:p>
    <w:p>
      <w:pPr>
        <w:pStyle w:val="Corpodotexto"/>
        <w:spacing w:lineRule="auto" w:line="360"/>
        <w:ind w:right="113" w:firstLine="720"/>
        <w:jc w:val="both"/>
        <w:rPr>
          <w:rFonts w:ascii="Arial" w:hAnsi="Arial"/>
          <w:bCs/>
          <w:sz w:val="22"/>
          <w:szCs w:val="22"/>
        </w:rPr>
      </w:pPr>
      <w:r>
        <w:rPr>
          <w:rFonts w:ascii="Arial" w:hAnsi="Arial"/>
          <w:bCs/>
          <w:sz w:val="22"/>
          <w:szCs w:val="22"/>
        </w:rPr>
        <w:t>O fiscal anotará no histórico de gerenciamento, todas as ocorrências relacionadas à execução do contrato, com a descrição do que for necessário para a regularização das faltas ou dos defeitos observados (Lei nº 14.133, de 2021, art. 117, §1º).</w:t>
      </w:r>
    </w:p>
    <w:p>
      <w:pPr>
        <w:pStyle w:val="Corpodotexto"/>
        <w:spacing w:lineRule="auto" w:line="360"/>
        <w:ind w:right="113" w:firstLine="720"/>
        <w:jc w:val="both"/>
        <w:rPr>
          <w:rFonts w:ascii="Arial" w:hAnsi="Arial"/>
          <w:bCs/>
          <w:sz w:val="22"/>
          <w:szCs w:val="22"/>
        </w:rPr>
      </w:pPr>
      <w:r>
        <w:rPr>
          <w:rFonts w:ascii="Arial" w:hAnsi="Arial"/>
          <w:bCs/>
          <w:sz w:val="22"/>
          <w:szCs w:val="22"/>
        </w:rPr>
        <w:t>O Fiscal contará com o apoio dos órgãos técnicos, órgãos de assessoramento jurídico e de controle interno para o desempenho das funções essenciais a execução do disposto na Lei nº 14.133, sempre que entender necessário (Lei nº 14.133, de 2021, art. 115, §3º).</w:t>
      </w:r>
    </w:p>
    <w:p>
      <w:pPr>
        <w:pStyle w:val="Corpodotexto"/>
        <w:spacing w:lineRule="auto" w:line="360"/>
        <w:ind w:right="113" w:firstLine="720"/>
        <w:jc w:val="both"/>
        <w:rPr>
          <w:rFonts w:ascii="Arial" w:hAnsi="Arial"/>
          <w:bCs/>
          <w:sz w:val="22"/>
          <w:szCs w:val="22"/>
        </w:rPr>
      </w:pPr>
      <w:r>
        <w:rPr>
          <w:rFonts w:ascii="Arial" w:hAnsi="Arial"/>
          <w:bCs/>
          <w:sz w:val="22"/>
          <w:szCs w:val="22"/>
        </w:rPr>
        <w:t>Ao Gestor incumbe gerenciar as relações firmadas com a contratada analisando dados, informações e pareceres técnicos dos fiscais quanto a execução do objeto, a avaliação da qualidade dos resultados obtidos, bem como informações atualizadas que viabilizem a tomada de decisão relacionada a manutenção, ou não, das condições contratuais, zelando para que a execução ocorra de forma mais econômica e que atenda às necessidades de planejamento do órgão.</w:t>
      </w:r>
    </w:p>
    <w:p>
      <w:pPr>
        <w:pStyle w:val="Corpodotexto"/>
        <w:spacing w:lineRule="auto" w:line="360"/>
        <w:ind w:right="113" w:firstLine="284"/>
        <w:jc w:val="both"/>
        <w:rPr>
          <w:bCs/>
          <w:sz w:val="22"/>
          <w:szCs w:val="22"/>
        </w:rPr>
      </w:pPr>
      <w:r>
        <w:rPr>
          <w:bCs/>
          <w:sz w:val="22"/>
          <w:szCs w:val="22"/>
        </w:rPr>
      </w:r>
    </w:p>
    <w:p>
      <w:pPr>
        <w:pStyle w:val="Corpodotexto"/>
        <w:spacing w:lineRule="auto" w:line="360"/>
        <w:ind w:right="113" w:firstLine="284"/>
        <w:jc w:val="both"/>
        <w:rPr>
          <w:bCs/>
          <w:sz w:val="22"/>
          <w:szCs w:val="22"/>
        </w:rPr>
      </w:pPr>
      <w:r>
        <w:rPr>
          <w:bCs/>
          <w:sz w:val="22"/>
          <w:szCs w:val="22"/>
        </w:rPr>
        <w:t xml:space="preserve"> </w:t>
      </w:r>
    </w:p>
    <w:p>
      <w:pPr>
        <w:pStyle w:val="Corpodotexto"/>
        <w:numPr>
          <w:ilvl w:val="0"/>
          <w:numId w:val="1"/>
        </w:numPr>
        <w:spacing w:lineRule="auto" w:line="360" w:before="0" w:after="120"/>
        <w:ind w:left="426" w:hanging="357"/>
        <w:rPr>
          <w:b/>
          <w:bCs/>
          <w:sz w:val="22"/>
          <w:szCs w:val="22"/>
          <w:lang w:val="pt-BR"/>
        </w:rPr>
      </w:pPr>
      <w:r>
        <w:rPr>
          <w:b/>
          <w:bCs/>
          <w:sz w:val="22"/>
          <w:szCs w:val="22"/>
          <w:lang w:val="pt-BR"/>
        </w:rPr>
        <w:t>CRITÉRIOS DE PAGAMENTO</w:t>
      </w:r>
    </w:p>
    <w:p>
      <w:pPr>
        <w:pStyle w:val="Corpodotexto"/>
        <w:spacing w:lineRule="auto" w:line="360"/>
        <w:ind w:firstLine="720"/>
        <w:jc w:val="both"/>
        <w:rPr>
          <w:sz w:val="22"/>
          <w:szCs w:val="22"/>
          <w:lang w:val="pt-BR"/>
        </w:rPr>
      </w:pPr>
      <w:r>
        <w:rPr>
          <w:sz w:val="22"/>
          <w:szCs w:val="22"/>
          <w:lang w:val="pt-BR"/>
        </w:rPr>
        <w:t>O objeto da aquisição será recebido pelo CONTRATANTE, o qual designará servidores nomeados através de Portaria vigente, que farão o recebimento nos termos do artigo 140, II, "a" e "b", da Lei n.º 14.133/21, da seguinte forma:</w:t>
      </w:r>
    </w:p>
    <w:p>
      <w:pPr>
        <w:pStyle w:val="Corpodotexto"/>
        <w:spacing w:lineRule="auto" w:line="360"/>
        <w:ind w:firstLine="720"/>
        <w:jc w:val="both"/>
        <w:rPr>
          <w:sz w:val="22"/>
          <w:szCs w:val="22"/>
          <w:lang w:val="pt-BR"/>
        </w:rPr>
      </w:pPr>
      <w:r>
        <w:rPr>
          <w:sz w:val="22"/>
          <w:szCs w:val="22"/>
          <w:lang w:val="pt-BR"/>
        </w:rPr>
        <w:t>Recebimento Definitivo: após a verificação da qualidade, características e quantidades do objeto e consequente aceitação, no prazo máximo de 03 (três) dias consecutivos contados após o recebimento.</w:t>
      </w:r>
    </w:p>
    <w:p>
      <w:pPr>
        <w:pStyle w:val="Corpodotexto"/>
        <w:spacing w:lineRule="auto" w:line="360"/>
        <w:ind w:firstLine="720"/>
        <w:jc w:val="both"/>
        <w:rPr>
          <w:sz w:val="22"/>
          <w:szCs w:val="22"/>
          <w:lang w:val="pt-BR"/>
        </w:rPr>
      </w:pPr>
      <w:r>
        <w:rPr>
          <w:sz w:val="22"/>
          <w:szCs w:val="22"/>
          <w:lang w:val="pt-BR"/>
        </w:rPr>
        <w:t>O recebimento provisório ou definitivo do objeto não exclui a responsabilidade da CONTRATADA pelos prejuízos resultantes da incorreta execução do contrato.</w:t>
      </w:r>
    </w:p>
    <w:p>
      <w:pPr>
        <w:pStyle w:val="Corpodotexto"/>
        <w:spacing w:lineRule="auto" w:line="360"/>
        <w:ind w:firstLine="720"/>
        <w:jc w:val="both"/>
        <w:rPr>
          <w:sz w:val="22"/>
          <w:szCs w:val="22"/>
          <w:lang w:val="pt-BR"/>
        </w:rPr>
      </w:pPr>
      <w:r>
        <w:rPr>
          <w:sz w:val="22"/>
          <w:szCs w:val="22"/>
          <w:lang w:val="pt-BR"/>
        </w:rPr>
        <w:t>O pagamento será efetuado no prazo de até 10 (dez) dias corridos após a apresentação da respectiva Nota Fiscal detalhando o serviço prestado com o devido recebimento e a aprovação do fiscal do contrato, de acordo com o empenho.</w:t>
      </w:r>
    </w:p>
    <w:p>
      <w:pPr>
        <w:pStyle w:val="Corpodotexto"/>
        <w:spacing w:lineRule="auto" w:line="360"/>
        <w:ind w:firstLine="720"/>
        <w:jc w:val="both"/>
        <w:rPr>
          <w:sz w:val="22"/>
          <w:szCs w:val="22"/>
          <w:lang w:val="pt-BR"/>
        </w:rPr>
      </w:pPr>
      <w:r>
        <w:rPr>
          <w:sz w:val="22"/>
          <w:szCs w:val="22"/>
          <w:lang w:val="pt-BR"/>
        </w:rPr>
        <w:t>A Nota Fiscal ou Recibo de Pagamento autônomo emitido pela CONTRATADA deverá conter, em local de fácil visualização, a indicação do nº do empenho, a fim de se acelerar o tramite do recebimento do material e posterior liberação do documento fiscal do pagamento.</w:t>
      </w:r>
    </w:p>
    <w:p>
      <w:pPr>
        <w:pStyle w:val="Corpodotexto"/>
        <w:spacing w:lineRule="auto" w:line="360"/>
        <w:ind w:firstLine="720"/>
        <w:jc w:val="both"/>
        <w:rPr>
          <w:sz w:val="22"/>
          <w:szCs w:val="22"/>
          <w:lang w:val="pt-BR"/>
        </w:rPr>
      </w:pPr>
      <w:r>
        <w:rPr>
          <w:sz w:val="22"/>
          <w:szCs w:val="22"/>
          <w:lang w:val="pt-BR"/>
        </w:rPr>
        <w:t>Havendo erro na Nota Fiscal ou Recibo de Pagamento Autônomo que impeça a liquidação da despesa, esse documento será devolvido à CONTRATADA e o pagamento ficará pendente até que sejam tomadas as medidas saneadoras.</w:t>
      </w:r>
    </w:p>
    <w:p>
      <w:pPr>
        <w:pStyle w:val="Corpodotexto"/>
        <w:spacing w:lineRule="auto" w:line="360"/>
        <w:ind w:firstLine="720"/>
        <w:jc w:val="both"/>
        <w:rPr>
          <w:sz w:val="22"/>
          <w:szCs w:val="22"/>
          <w:lang w:val="pt-BR"/>
        </w:rPr>
      </w:pPr>
      <w:r>
        <w:rPr>
          <w:sz w:val="22"/>
          <w:szCs w:val="22"/>
          <w:lang w:val="pt-BR"/>
        </w:rPr>
        <w:t>Na hipótese acima, o prazo de pagamento iniciará após a regularização da situação e/ou reapresentação da Nota Fiscal de serviço/fatura, não acarretando qualquer ônus para a Câmara de Vereadores.</w:t>
      </w:r>
    </w:p>
    <w:p>
      <w:pPr>
        <w:pStyle w:val="Corpodotexto"/>
        <w:spacing w:lineRule="auto" w:line="360"/>
        <w:ind w:firstLine="720"/>
        <w:jc w:val="both"/>
        <w:rPr>
          <w:sz w:val="22"/>
          <w:szCs w:val="22"/>
          <w:lang w:val="pt-BR"/>
        </w:rPr>
      </w:pPr>
      <w:r>
        <w:rPr>
          <w:sz w:val="22"/>
          <w:szCs w:val="22"/>
          <w:lang w:val="pt-BR"/>
        </w:rPr>
      </w:r>
    </w:p>
    <w:p>
      <w:pPr>
        <w:pStyle w:val="Ttulo1"/>
        <w:numPr>
          <w:ilvl w:val="0"/>
          <w:numId w:val="1"/>
        </w:numPr>
        <w:tabs>
          <w:tab w:val="clear" w:pos="720"/>
          <w:tab w:val="left" w:pos="433" w:leader="none"/>
        </w:tabs>
        <w:spacing w:lineRule="auto" w:line="360" w:before="0" w:after="120"/>
        <w:ind w:left="426" w:hanging="357"/>
        <w:jc w:val="both"/>
        <w:rPr>
          <w:sz w:val="22"/>
          <w:szCs w:val="22"/>
        </w:rPr>
      </w:pPr>
      <w:r>
        <w:rPr>
          <w:sz w:val="22"/>
          <w:szCs w:val="22"/>
        </w:rPr>
        <w:t>FORMA</w:t>
      </w:r>
      <w:r>
        <w:rPr>
          <w:spacing w:val="40"/>
          <w:sz w:val="22"/>
          <w:szCs w:val="22"/>
        </w:rPr>
        <w:t xml:space="preserve"> </w:t>
      </w:r>
      <w:r>
        <w:rPr>
          <w:sz w:val="22"/>
          <w:szCs w:val="22"/>
        </w:rPr>
        <w:t>E</w:t>
      </w:r>
      <w:r>
        <w:rPr>
          <w:spacing w:val="40"/>
          <w:sz w:val="22"/>
          <w:szCs w:val="22"/>
        </w:rPr>
        <w:t xml:space="preserve"> </w:t>
      </w:r>
      <w:r>
        <w:rPr>
          <w:sz w:val="22"/>
          <w:szCs w:val="22"/>
        </w:rPr>
        <w:t>CRITÉRIOS</w:t>
      </w:r>
      <w:r>
        <w:rPr>
          <w:spacing w:val="40"/>
          <w:sz w:val="22"/>
          <w:szCs w:val="22"/>
        </w:rPr>
        <w:t xml:space="preserve"> </w:t>
      </w:r>
      <w:r>
        <w:rPr>
          <w:sz w:val="22"/>
          <w:szCs w:val="22"/>
        </w:rPr>
        <w:t>DE</w:t>
      </w:r>
      <w:r>
        <w:rPr>
          <w:spacing w:val="40"/>
          <w:sz w:val="22"/>
          <w:szCs w:val="22"/>
        </w:rPr>
        <w:t xml:space="preserve"> </w:t>
      </w:r>
      <w:r>
        <w:rPr>
          <w:sz w:val="22"/>
          <w:szCs w:val="22"/>
        </w:rPr>
        <w:t>SELEÇÃO</w:t>
      </w:r>
      <w:r>
        <w:rPr>
          <w:spacing w:val="40"/>
          <w:sz w:val="22"/>
          <w:szCs w:val="22"/>
        </w:rPr>
        <w:t xml:space="preserve"> </w:t>
      </w:r>
      <w:r>
        <w:rPr>
          <w:sz w:val="22"/>
          <w:szCs w:val="22"/>
        </w:rPr>
        <w:t>DO</w:t>
      </w:r>
      <w:r>
        <w:rPr>
          <w:spacing w:val="40"/>
          <w:sz w:val="22"/>
          <w:szCs w:val="22"/>
        </w:rPr>
        <w:t xml:space="preserve"> </w:t>
      </w:r>
      <w:r>
        <w:rPr>
          <w:sz w:val="22"/>
          <w:szCs w:val="22"/>
        </w:rPr>
        <w:t>PRESTADOR</w:t>
      </w:r>
      <w:r>
        <w:rPr>
          <w:spacing w:val="40"/>
          <w:sz w:val="22"/>
          <w:szCs w:val="22"/>
        </w:rPr>
        <w:t xml:space="preserve"> </w:t>
      </w:r>
      <w:r>
        <w:rPr>
          <w:sz w:val="22"/>
          <w:szCs w:val="22"/>
        </w:rPr>
        <w:t xml:space="preserve">DE </w:t>
      </w:r>
      <w:r>
        <w:rPr>
          <w:spacing w:val="-2"/>
          <w:sz w:val="22"/>
          <w:szCs w:val="22"/>
        </w:rPr>
        <w:t>SERVIÇO</w:t>
      </w:r>
    </w:p>
    <w:p>
      <w:pPr>
        <w:pStyle w:val="Corpodotexto"/>
        <w:spacing w:lineRule="auto" w:line="360"/>
        <w:ind w:firstLine="720"/>
        <w:jc w:val="both"/>
        <w:rPr>
          <w:sz w:val="22"/>
          <w:szCs w:val="22"/>
        </w:rPr>
      </w:pPr>
      <w:r>
        <w:rPr>
          <w:sz w:val="22"/>
          <w:szCs w:val="22"/>
        </w:rPr>
        <w:t>Conforme</w:t>
      </w:r>
      <w:r>
        <w:rPr>
          <w:spacing w:val="-15"/>
          <w:sz w:val="22"/>
          <w:szCs w:val="22"/>
        </w:rPr>
        <w:t xml:space="preserve"> </w:t>
      </w:r>
      <w:r>
        <w:rPr>
          <w:sz w:val="22"/>
          <w:szCs w:val="22"/>
        </w:rPr>
        <w:t>disposto</w:t>
      </w:r>
      <w:r>
        <w:rPr>
          <w:spacing w:val="-15"/>
          <w:sz w:val="22"/>
          <w:szCs w:val="22"/>
        </w:rPr>
        <w:t xml:space="preserve"> </w:t>
      </w:r>
      <w:r>
        <w:rPr>
          <w:sz w:val="22"/>
          <w:szCs w:val="22"/>
        </w:rPr>
        <w:t>no</w:t>
      </w:r>
      <w:r>
        <w:rPr>
          <w:spacing w:val="-15"/>
          <w:sz w:val="22"/>
          <w:szCs w:val="22"/>
        </w:rPr>
        <w:t xml:space="preserve"> </w:t>
      </w:r>
      <w:r>
        <w:rPr>
          <w:sz w:val="22"/>
          <w:szCs w:val="22"/>
        </w:rPr>
        <w:t>item</w:t>
      </w:r>
      <w:r>
        <w:rPr>
          <w:spacing w:val="-15"/>
          <w:sz w:val="22"/>
          <w:szCs w:val="22"/>
        </w:rPr>
        <w:t xml:space="preserve"> </w:t>
      </w:r>
      <w:r>
        <w:rPr>
          <w:sz w:val="22"/>
          <w:szCs w:val="22"/>
        </w:rPr>
        <w:t>4,</w:t>
      </w:r>
      <w:r>
        <w:rPr>
          <w:spacing w:val="-14"/>
          <w:sz w:val="22"/>
          <w:szCs w:val="22"/>
        </w:rPr>
        <w:t xml:space="preserve"> </w:t>
      </w:r>
      <w:r>
        <w:rPr>
          <w:sz w:val="22"/>
          <w:szCs w:val="22"/>
        </w:rPr>
        <w:t>o</w:t>
      </w:r>
      <w:r>
        <w:rPr>
          <w:spacing w:val="-14"/>
          <w:sz w:val="22"/>
          <w:szCs w:val="22"/>
        </w:rPr>
        <w:t xml:space="preserve"> </w:t>
      </w:r>
      <w:r>
        <w:rPr>
          <w:sz w:val="22"/>
          <w:szCs w:val="22"/>
        </w:rPr>
        <w:t>futuro</w:t>
      </w:r>
      <w:r>
        <w:rPr>
          <w:spacing w:val="-15"/>
          <w:sz w:val="22"/>
          <w:szCs w:val="22"/>
        </w:rPr>
        <w:t xml:space="preserve"> </w:t>
      </w:r>
      <w:r>
        <w:rPr>
          <w:sz w:val="22"/>
          <w:szCs w:val="22"/>
        </w:rPr>
        <w:t>contratado</w:t>
      </w:r>
      <w:r>
        <w:rPr>
          <w:spacing w:val="-14"/>
          <w:sz w:val="22"/>
          <w:szCs w:val="22"/>
        </w:rPr>
        <w:t xml:space="preserve"> </w:t>
      </w:r>
      <w:r>
        <w:rPr>
          <w:sz w:val="22"/>
          <w:szCs w:val="22"/>
        </w:rPr>
        <w:t>será</w:t>
      </w:r>
      <w:r>
        <w:rPr>
          <w:spacing w:val="-15"/>
          <w:sz w:val="22"/>
          <w:szCs w:val="22"/>
        </w:rPr>
        <w:t xml:space="preserve"> </w:t>
      </w:r>
      <w:r>
        <w:rPr>
          <w:sz w:val="22"/>
          <w:szCs w:val="22"/>
        </w:rPr>
        <w:t>selecionado</w:t>
      </w:r>
      <w:r>
        <w:rPr>
          <w:spacing w:val="-17"/>
          <w:sz w:val="22"/>
          <w:szCs w:val="22"/>
        </w:rPr>
        <w:t xml:space="preserve"> </w:t>
      </w:r>
      <w:r>
        <w:rPr>
          <w:sz w:val="22"/>
          <w:szCs w:val="22"/>
        </w:rPr>
        <w:t>mediante</w:t>
      </w:r>
      <w:r>
        <w:rPr>
          <w:spacing w:val="-14"/>
          <w:sz w:val="22"/>
          <w:szCs w:val="22"/>
        </w:rPr>
        <w:t xml:space="preserve"> </w:t>
      </w:r>
      <w:r>
        <w:rPr>
          <w:sz w:val="22"/>
          <w:szCs w:val="22"/>
        </w:rPr>
        <w:t>processo licitatório na modalidade de dispensa de licitação, na sua forma</w:t>
      </w:r>
      <w:r>
        <w:rPr>
          <w:spacing w:val="-3"/>
          <w:sz w:val="22"/>
          <w:szCs w:val="22"/>
        </w:rPr>
        <w:t xml:space="preserve"> </w:t>
      </w:r>
      <w:r>
        <w:rPr>
          <w:sz w:val="22"/>
          <w:szCs w:val="22"/>
        </w:rPr>
        <w:t>eletrônica,</w:t>
      </w:r>
      <w:r>
        <w:rPr>
          <w:spacing w:val="-3"/>
          <w:sz w:val="22"/>
          <w:szCs w:val="22"/>
        </w:rPr>
        <w:t xml:space="preserve"> </w:t>
      </w:r>
      <w:r>
        <w:rPr>
          <w:sz w:val="22"/>
          <w:szCs w:val="22"/>
        </w:rPr>
        <w:t>com</w:t>
      </w:r>
      <w:r>
        <w:rPr>
          <w:spacing w:val="-2"/>
          <w:sz w:val="22"/>
          <w:szCs w:val="22"/>
        </w:rPr>
        <w:t xml:space="preserve"> </w:t>
      </w:r>
      <w:r>
        <w:rPr>
          <w:sz w:val="22"/>
          <w:szCs w:val="22"/>
        </w:rPr>
        <w:t>critério</w:t>
      </w:r>
      <w:r>
        <w:rPr>
          <w:spacing w:val="-3"/>
          <w:sz w:val="22"/>
          <w:szCs w:val="22"/>
        </w:rPr>
        <w:t xml:space="preserve"> </w:t>
      </w:r>
      <w:r>
        <w:rPr>
          <w:sz w:val="22"/>
          <w:szCs w:val="22"/>
        </w:rPr>
        <w:t>de</w:t>
      </w:r>
      <w:r>
        <w:rPr>
          <w:spacing w:val="-3"/>
          <w:sz w:val="22"/>
          <w:szCs w:val="22"/>
        </w:rPr>
        <w:t xml:space="preserve"> </w:t>
      </w:r>
      <w:r>
        <w:rPr>
          <w:sz w:val="22"/>
          <w:szCs w:val="22"/>
        </w:rPr>
        <w:t>julgamento</w:t>
      </w:r>
      <w:r>
        <w:rPr>
          <w:spacing w:val="-4"/>
          <w:sz w:val="22"/>
          <w:szCs w:val="22"/>
        </w:rPr>
        <w:t xml:space="preserve"> </w:t>
      </w:r>
      <w:r>
        <w:rPr>
          <w:sz w:val="22"/>
          <w:szCs w:val="22"/>
        </w:rPr>
        <w:t>por</w:t>
      </w:r>
      <w:r>
        <w:rPr>
          <w:spacing w:val="-3"/>
          <w:sz w:val="22"/>
          <w:szCs w:val="22"/>
        </w:rPr>
        <w:t xml:space="preserve"> </w:t>
      </w:r>
      <w:r>
        <w:rPr>
          <w:sz w:val="22"/>
          <w:szCs w:val="22"/>
        </w:rPr>
        <w:t>menor</w:t>
      </w:r>
      <w:r>
        <w:rPr>
          <w:spacing w:val="-3"/>
          <w:sz w:val="22"/>
          <w:szCs w:val="22"/>
        </w:rPr>
        <w:t xml:space="preserve"> </w:t>
      </w:r>
      <w:r>
        <w:rPr>
          <w:sz w:val="22"/>
          <w:szCs w:val="22"/>
        </w:rPr>
        <w:t>preço,</w:t>
      </w:r>
      <w:r>
        <w:rPr>
          <w:spacing w:val="-3"/>
          <w:sz w:val="22"/>
          <w:szCs w:val="22"/>
        </w:rPr>
        <w:t xml:space="preserve"> </w:t>
      </w:r>
      <w:r>
        <w:rPr>
          <w:sz w:val="22"/>
          <w:szCs w:val="22"/>
        </w:rPr>
        <w:t>nos</w:t>
      </w:r>
      <w:r>
        <w:rPr>
          <w:spacing w:val="-3"/>
          <w:sz w:val="22"/>
          <w:szCs w:val="22"/>
        </w:rPr>
        <w:t xml:space="preserve"> </w:t>
      </w:r>
      <w:r>
        <w:rPr>
          <w:sz w:val="22"/>
          <w:szCs w:val="22"/>
        </w:rPr>
        <w:t>termos</w:t>
      </w:r>
      <w:r>
        <w:rPr>
          <w:spacing w:val="-3"/>
          <w:sz w:val="22"/>
          <w:szCs w:val="22"/>
        </w:rPr>
        <w:t xml:space="preserve"> </w:t>
      </w:r>
      <w:r>
        <w:rPr>
          <w:sz w:val="22"/>
          <w:szCs w:val="22"/>
        </w:rPr>
        <w:t>do</w:t>
      </w:r>
      <w:r>
        <w:rPr>
          <w:spacing w:val="-3"/>
          <w:sz w:val="22"/>
          <w:szCs w:val="22"/>
        </w:rPr>
        <w:t xml:space="preserve"> A</w:t>
      </w:r>
      <w:r>
        <w:rPr>
          <w:sz w:val="22"/>
          <w:szCs w:val="22"/>
        </w:rPr>
        <w:t>rtigo 34 da Lei Federal n.º 14.133/2021.</w:t>
      </w:r>
    </w:p>
    <w:p>
      <w:pPr>
        <w:pStyle w:val="Corpodotexto"/>
        <w:spacing w:lineRule="auto" w:line="360"/>
        <w:ind w:firstLine="720"/>
        <w:jc w:val="both"/>
        <w:rPr>
          <w:sz w:val="22"/>
          <w:szCs w:val="22"/>
        </w:rPr>
      </w:pPr>
      <w:r>
        <w:rPr>
          <w:sz w:val="22"/>
          <w:szCs w:val="22"/>
        </w:rPr>
        <w:t>Para a prestação do serviço pretendido, o eventual contratado deverá comprovar que atua em ramo de atividade compativel com o objeto da licitação, bem como apresentar os seguintes documentos a titulo de habilitação, nos termos do art. 62 da Lei Federal nº 14.133/2021:</w:t>
      </w:r>
    </w:p>
    <w:p>
      <w:pPr>
        <w:pStyle w:val="Corpodotexto"/>
        <w:numPr>
          <w:ilvl w:val="0"/>
          <w:numId w:val="2"/>
        </w:numPr>
        <w:spacing w:lineRule="auto" w:line="360"/>
        <w:jc w:val="both"/>
        <w:rPr>
          <w:sz w:val="22"/>
          <w:szCs w:val="22"/>
        </w:rPr>
      </w:pPr>
      <w:r>
        <w:rPr>
          <w:sz w:val="22"/>
          <w:szCs w:val="22"/>
        </w:rPr>
        <w:t>Cadastro Nacional de Empresas Inidôneas e Suspensas - CEIS, mantido pela Controladoria-Geral da União (www.portaldatransparencia.gov.br/ceis) ou Consulta Consolidada de Pessoa Jurídica do TCU (</w:t>
      </w:r>
      <w:hyperlink r:id="rId4">
        <w:r>
          <w:rPr>
            <w:rStyle w:val="LinkdaInternet"/>
            <w:sz w:val="22"/>
            <w:szCs w:val="22"/>
          </w:rPr>
          <w:t>https://certidoesapf.apps.tcu.gov.br/</w:t>
        </w:r>
      </w:hyperlink>
      <w:r>
        <w:rPr>
          <w:sz w:val="22"/>
          <w:szCs w:val="22"/>
        </w:rPr>
        <w:t>)</w:t>
      </w:r>
    </w:p>
    <w:p>
      <w:pPr>
        <w:pStyle w:val="Corpodotexto"/>
        <w:spacing w:lineRule="auto" w:line="360" w:before="120" w:after="120"/>
        <w:jc w:val="both"/>
        <w:rPr>
          <w:b/>
          <w:bCs/>
          <w:sz w:val="22"/>
          <w:szCs w:val="22"/>
        </w:rPr>
      </w:pPr>
      <w:r>
        <w:rPr>
          <w:b/>
          <w:bCs/>
          <w:sz w:val="22"/>
          <w:szCs w:val="22"/>
        </w:rPr>
        <w:t>HABILITAÇÃO JURÍDICA:</w:t>
      </w:r>
    </w:p>
    <w:p>
      <w:pPr>
        <w:pStyle w:val="Corpodotexto"/>
        <w:numPr>
          <w:ilvl w:val="0"/>
          <w:numId w:val="2"/>
        </w:numPr>
        <w:spacing w:lineRule="auto" w:line="360"/>
        <w:jc w:val="both"/>
        <w:rPr>
          <w:sz w:val="22"/>
          <w:szCs w:val="22"/>
        </w:rPr>
      </w:pPr>
      <w:r>
        <w:rPr>
          <w:sz w:val="22"/>
          <w:szCs w:val="22"/>
        </w:rPr>
        <w:t>Ato constitutivo, estatuto ou contrato social em vigor, devidamente registrado na Junta Comercial da respectiva sede, acompanhado de documento comprobatório de seus administradores, quando se tratar de sociedade empresária ou empresa individual de responsabilidade limitada – EIRELI.</w:t>
      </w:r>
    </w:p>
    <w:p>
      <w:pPr>
        <w:pStyle w:val="Corpodotexto"/>
        <w:numPr>
          <w:ilvl w:val="0"/>
          <w:numId w:val="2"/>
        </w:numPr>
        <w:spacing w:lineRule="auto" w:line="360"/>
        <w:jc w:val="both"/>
        <w:rPr>
          <w:sz w:val="22"/>
          <w:szCs w:val="22"/>
        </w:rPr>
      </w:pPr>
      <w:r>
        <w:rPr>
          <w:sz w:val="22"/>
          <w:szCs w:val="22"/>
        </w:rPr>
        <w:t>Inscrição no Registro Público de Empresas Mercantis onde opera, com averbação no Registro onde tem sede a matriz, no caso de ser o participante sucursal, filial ou agência;</w:t>
      </w:r>
    </w:p>
    <w:p>
      <w:pPr>
        <w:pStyle w:val="Corpodotexto"/>
        <w:numPr>
          <w:ilvl w:val="0"/>
          <w:numId w:val="2"/>
        </w:numPr>
        <w:spacing w:lineRule="auto" w:line="360"/>
        <w:jc w:val="both"/>
        <w:rPr>
          <w:sz w:val="22"/>
          <w:szCs w:val="22"/>
        </w:rPr>
      </w:pPr>
      <w:r>
        <w:rPr>
          <w:sz w:val="22"/>
          <w:szCs w:val="22"/>
        </w:rPr>
        <w:t>No caso de sociedade simples: inscrição do ato constitutivo no Registro Civil das Pessoas Jurídicas do local de sua sede, acompanhada de prova da indicação dos seus administradores;</w:t>
      </w:r>
    </w:p>
    <w:p>
      <w:pPr>
        <w:pStyle w:val="Corpodotexto"/>
        <w:spacing w:lineRule="auto" w:line="360" w:before="120" w:after="120"/>
        <w:jc w:val="both"/>
        <w:rPr>
          <w:b/>
          <w:bCs/>
          <w:sz w:val="22"/>
          <w:szCs w:val="22"/>
        </w:rPr>
      </w:pPr>
      <w:r>
        <w:rPr>
          <w:b/>
          <w:bCs/>
          <w:sz w:val="22"/>
          <w:szCs w:val="22"/>
        </w:rPr>
        <w:t xml:space="preserve">REGULARIDADE FISCAL, SOCIAL E TRABALHISTA: </w:t>
      </w:r>
    </w:p>
    <w:p>
      <w:pPr>
        <w:pStyle w:val="Corpodotexto"/>
        <w:numPr>
          <w:ilvl w:val="0"/>
          <w:numId w:val="2"/>
        </w:numPr>
        <w:spacing w:lineRule="auto" w:line="360"/>
        <w:jc w:val="both"/>
        <w:rPr>
          <w:sz w:val="22"/>
          <w:szCs w:val="22"/>
        </w:rPr>
      </w:pPr>
      <w:r>
        <w:rPr>
          <w:sz w:val="22"/>
          <w:szCs w:val="22"/>
        </w:rPr>
        <w:t xml:space="preserve">Prova de inscrição no Cadastro Nacional de Pessoas Jurídicas (CNPJ) ou no Cadastro de Pessoas Físicas (CPF), conforme o caso; </w:t>
      </w:r>
    </w:p>
    <w:p>
      <w:pPr>
        <w:pStyle w:val="Corpodotexto"/>
        <w:numPr>
          <w:ilvl w:val="0"/>
          <w:numId w:val="2"/>
        </w:numPr>
        <w:spacing w:lineRule="auto" w:line="360"/>
        <w:jc w:val="both"/>
        <w:rPr>
          <w:sz w:val="22"/>
          <w:szCs w:val="22"/>
        </w:rPr>
      </w:pPr>
      <w:r>
        <w:rPr>
          <w:sz w:val="22"/>
          <w:szCs w:val="22"/>
        </w:rPr>
        <w:t xml:space="preserve">Certidão de Regularidade, da Secretaria da Receita Federal, e Certidão Quanto à Dívida Ativa da União, da Procuradoria da Fazenda Nacional ou a Certidão Conjunta Negativa de Débitos Relativos a Tributos Federais e à Dívida Ativa da União; emitida pela Receita federal do Brasil; </w:t>
      </w:r>
    </w:p>
    <w:p>
      <w:pPr>
        <w:pStyle w:val="Corpodotexto"/>
        <w:numPr>
          <w:ilvl w:val="0"/>
          <w:numId w:val="2"/>
        </w:numPr>
        <w:spacing w:lineRule="auto" w:line="360"/>
        <w:jc w:val="both"/>
        <w:rPr>
          <w:sz w:val="22"/>
          <w:szCs w:val="22"/>
        </w:rPr>
      </w:pPr>
      <w:r>
        <w:rPr>
          <w:sz w:val="22"/>
          <w:szCs w:val="22"/>
        </w:rPr>
        <w:t xml:space="preserve">Certidão Negativa de débitos para com a Fazenda Estadual do domicílio da sede da licitante; </w:t>
      </w:r>
    </w:p>
    <w:p>
      <w:pPr>
        <w:pStyle w:val="Corpodotexto"/>
        <w:numPr>
          <w:ilvl w:val="0"/>
          <w:numId w:val="2"/>
        </w:numPr>
        <w:spacing w:lineRule="auto" w:line="360"/>
        <w:jc w:val="both"/>
        <w:rPr>
          <w:sz w:val="22"/>
          <w:szCs w:val="22"/>
        </w:rPr>
      </w:pPr>
      <w:r>
        <w:rPr>
          <w:sz w:val="22"/>
          <w:szCs w:val="22"/>
        </w:rPr>
        <w:t xml:space="preserve">Certidão Negativa de débitos para com a Fazenda Municipal do domicílio da sede da licitante; </w:t>
      </w:r>
    </w:p>
    <w:p>
      <w:pPr>
        <w:pStyle w:val="Corpodotexto"/>
        <w:numPr>
          <w:ilvl w:val="0"/>
          <w:numId w:val="2"/>
        </w:numPr>
        <w:spacing w:lineRule="auto" w:line="360"/>
        <w:jc w:val="both"/>
        <w:rPr>
          <w:sz w:val="22"/>
          <w:szCs w:val="22"/>
        </w:rPr>
      </w:pPr>
      <w:r>
        <w:rPr>
          <w:sz w:val="22"/>
          <w:szCs w:val="22"/>
        </w:rPr>
        <w:t xml:space="preserve">Certificado de Regularidade do FGTS (CRF) perante o Fundo de Garantia do Tempo de Serviço; </w:t>
      </w:r>
    </w:p>
    <w:p>
      <w:pPr>
        <w:pStyle w:val="Corpodotexto"/>
        <w:numPr>
          <w:ilvl w:val="0"/>
          <w:numId w:val="2"/>
        </w:numPr>
        <w:spacing w:lineRule="auto" w:line="360"/>
        <w:jc w:val="both"/>
        <w:rPr>
          <w:sz w:val="22"/>
          <w:szCs w:val="22"/>
        </w:rPr>
      </w:pPr>
      <w:r>
        <w:rPr>
          <w:sz w:val="22"/>
          <w:szCs w:val="22"/>
        </w:rPr>
        <w:t xml:space="preserve"> </w:t>
      </w:r>
      <w:r>
        <w:rPr>
          <w:sz w:val="22"/>
          <w:szCs w:val="22"/>
        </w:rPr>
        <w:t xml:space="preserve">Prova de Inscrição no cadastro de contribuinte, ICMS/ISS: Inscrição Estadual ou Municipal, caso tenha, relativo ao domicílio ou sede do licitante, pertinente ao seu ramo de atividade e compatível com o objeto da licitação. A Inscrição Estadual é emitida pela Secretaria de Estado da Fazenda e Planejamento. A inscrição do cadastro Estadual ou municipal deverá ser comprovado com o documento escrito e NÃO com o Código QR, sendo passível de DESCLASSIFICAÇÃO. </w:t>
      </w:r>
    </w:p>
    <w:p>
      <w:pPr>
        <w:pStyle w:val="Corpodotexto"/>
        <w:numPr>
          <w:ilvl w:val="0"/>
          <w:numId w:val="2"/>
        </w:numPr>
        <w:spacing w:lineRule="auto" w:line="360"/>
        <w:jc w:val="both"/>
        <w:rPr>
          <w:sz w:val="22"/>
          <w:szCs w:val="22"/>
        </w:rPr>
      </w:pPr>
      <w:r>
        <w:rPr>
          <w:sz w:val="22"/>
          <w:szCs w:val="22"/>
        </w:rPr>
        <w:t>Certidão Negativa de Debito Trabalhista em cumprimento a Lei nº 12.440/2011, emitida pelo Tribunal Superior do Trabalho (</w:t>
      </w:r>
      <w:hyperlink r:id="rId5">
        <w:r>
          <w:rPr>
            <w:rStyle w:val="LinkdaInternet"/>
            <w:sz w:val="22"/>
            <w:szCs w:val="22"/>
          </w:rPr>
          <w:t>http://www.tst.jus.br/certidao</w:t>
        </w:r>
      </w:hyperlink>
      <w:r>
        <w:rPr>
          <w:sz w:val="22"/>
          <w:szCs w:val="22"/>
        </w:rPr>
        <w:t>).</w:t>
      </w:r>
    </w:p>
    <w:p>
      <w:pPr>
        <w:pStyle w:val="Corpodotexto"/>
        <w:numPr>
          <w:ilvl w:val="0"/>
          <w:numId w:val="2"/>
        </w:numPr>
        <w:spacing w:lineRule="auto" w:line="360"/>
        <w:jc w:val="both"/>
        <w:rPr>
          <w:sz w:val="22"/>
          <w:szCs w:val="22"/>
        </w:rPr>
      </w:pPr>
      <w:r>
        <w:rPr>
          <w:sz w:val="22"/>
          <w:szCs w:val="22"/>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Corpodotexto"/>
        <w:numPr>
          <w:ilvl w:val="0"/>
          <w:numId w:val="2"/>
        </w:numPr>
        <w:spacing w:lineRule="auto" w:line="360"/>
        <w:jc w:val="both"/>
        <w:rPr>
          <w:sz w:val="22"/>
          <w:szCs w:val="22"/>
        </w:rPr>
      </w:pPr>
      <w:r>
        <w:rPr>
          <w:sz w:val="22"/>
          <w:szCs w:val="22"/>
        </w:rPr>
        <w:t>Certidão Negativa de falência, de concordata, de recuperação judicial ou extrajudicial (Lei nº 11.101/2005), expedida pelo distribuidor da sede da empresa, datado dos últimos 30 (trinta) dias, ou que esteja dentro do prazo de validade expresso na própria Certidão</w:t>
      </w:r>
    </w:p>
    <w:p>
      <w:pPr>
        <w:pStyle w:val="Corpodotexto"/>
        <w:spacing w:lineRule="auto" w:line="360"/>
        <w:ind w:firstLine="283"/>
        <w:jc w:val="both"/>
        <w:rPr>
          <w:sz w:val="22"/>
          <w:szCs w:val="22"/>
        </w:rPr>
      </w:pPr>
      <w:r>
        <w:rPr>
          <w:sz w:val="22"/>
          <w:szCs w:val="22"/>
        </w:rPr>
      </w:r>
    </w:p>
    <w:p>
      <w:pPr>
        <w:pStyle w:val="Ttulo1"/>
        <w:numPr>
          <w:ilvl w:val="0"/>
          <w:numId w:val="1"/>
        </w:numPr>
        <w:tabs>
          <w:tab w:val="clear" w:pos="720"/>
          <w:tab w:val="left" w:pos="368" w:leader="none"/>
        </w:tabs>
        <w:spacing w:lineRule="auto" w:line="360" w:before="0" w:after="120"/>
        <w:ind w:left="284" w:hanging="284"/>
        <w:rPr>
          <w:sz w:val="22"/>
          <w:szCs w:val="22"/>
        </w:rPr>
      </w:pPr>
      <w:r>
        <w:rPr>
          <w:sz w:val="22"/>
          <w:szCs w:val="22"/>
        </w:rPr>
        <w:t>ESTIMATIVA</w:t>
      </w:r>
      <w:r>
        <w:rPr>
          <w:spacing w:val="-3"/>
          <w:sz w:val="22"/>
          <w:szCs w:val="22"/>
        </w:rPr>
        <w:t xml:space="preserve"> </w:t>
      </w:r>
      <w:r>
        <w:rPr>
          <w:sz w:val="22"/>
          <w:szCs w:val="22"/>
        </w:rPr>
        <w:t>DO</w:t>
      </w:r>
      <w:r>
        <w:rPr>
          <w:spacing w:val="-6"/>
          <w:sz w:val="22"/>
          <w:szCs w:val="22"/>
        </w:rPr>
        <w:t xml:space="preserve"> </w:t>
      </w:r>
      <w:r>
        <w:rPr>
          <w:sz w:val="22"/>
          <w:szCs w:val="22"/>
        </w:rPr>
        <w:t>VALOR</w:t>
      </w:r>
      <w:r>
        <w:rPr>
          <w:spacing w:val="-2"/>
          <w:sz w:val="22"/>
          <w:szCs w:val="22"/>
        </w:rPr>
        <w:t xml:space="preserve"> </w:t>
      </w:r>
      <w:r>
        <w:rPr>
          <w:sz w:val="22"/>
          <w:szCs w:val="22"/>
        </w:rPr>
        <w:t>DA</w:t>
      </w:r>
      <w:r>
        <w:rPr>
          <w:spacing w:val="-3"/>
          <w:sz w:val="22"/>
          <w:szCs w:val="22"/>
        </w:rPr>
        <w:t xml:space="preserve"> </w:t>
      </w:r>
      <w:r>
        <w:rPr>
          <w:spacing w:val="-2"/>
          <w:sz w:val="22"/>
          <w:szCs w:val="22"/>
        </w:rPr>
        <w:t>CONTRATAÇÃO</w:t>
      </w:r>
    </w:p>
    <w:p>
      <w:pPr>
        <w:pStyle w:val="Corpodotexto"/>
        <w:spacing w:lineRule="auto" w:line="360"/>
        <w:ind w:firstLine="720"/>
        <w:jc w:val="both"/>
        <w:rPr>
          <w:color w:val="EE0000"/>
          <w:sz w:val="22"/>
          <w:szCs w:val="22"/>
          <w:lang w:val="pt-BR"/>
        </w:rPr>
      </w:pPr>
      <w:r>
        <w:rPr>
          <w:sz w:val="22"/>
          <w:szCs w:val="22"/>
          <w:lang w:val="pt-BR"/>
        </w:rPr>
        <w:t xml:space="preserve">Estima-se para a contratação almejada o valor total de </w:t>
      </w:r>
      <w:r>
        <w:rPr>
          <w:b/>
          <w:bCs/>
          <w:sz w:val="22"/>
          <w:szCs w:val="22"/>
          <w:lang w:val="pt-BR"/>
        </w:rPr>
        <w:t>R$7.871,26 (sete mil, oitocentos e setenta e um reais e vinte e seis centavos)</w:t>
      </w:r>
      <w:r>
        <w:rPr>
          <w:sz w:val="22"/>
          <w:szCs w:val="22"/>
          <w:lang w:val="pt-BR"/>
        </w:rPr>
        <w:t>.</w:t>
      </w:r>
    </w:p>
    <w:p>
      <w:pPr>
        <w:pStyle w:val="Corpodotexto"/>
        <w:spacing w:lineRule="auto" w:line="360"/>
        <w:ind w:firstLine="720"/>
        <w:jc w:val="both"/>
        <w:rPr>
          <w:sz w:val="22"/>
          <w:szCs w:val="22"/>
          <w:lang w:val="pt-BR"/>
        </w:rPr>
      </w:pPr>
      <w:r>
        <w:rPr>
          <w:sz w:val="22"/>
          <w:szCs w:val="22"/>
          <w:lang w:val="pt-BR"/>
        </w:rPr>
        <w:t xml:space="preserve">A estimativa foi calculada por </w:t>
      </w:r>
      <w:r>
        <w:rPr>
          <w:b/>
          <w:bCs/>
          <w:sz w:val="22"/>
          <w:szCs w:val="22"/>
          <w:lang w:val="pt-BR"/>
        </w:rPr>
        <w:t>média simples</w:t>
      </w:r>
      <w:r>
        <w:rPr>
          <w:sz w:val="22"/>
          <w:szCs w:val="22"/>
          <w:lang w:val="pt-BR"/>
        </w:rPr>
        <w:t xml:space="preserve">, com base em </w:t>
      </w:r>
      <w:r>
        <w:rPr>
          <w:b/>
          <w:bCs/>
          <w:sz w:val="22"/>
          <w:szCs w:val="22"/>
          <w:lang w:val="pt-BR"/>
        </w:rPr>
        <w:t>pesquisa de mercado</w:t>
      </w:r>
      <w:r>
        <w:rPr>
          <w:sz w:val="22"/>
          <w:szCs w:val="22"/>
          <w:lang w:val="pt-BR"/>
        </w:rPr>
        <w:t>.</w:t>
      </w:r>
    </w:p>
    <w:p>
      <w:pPr>
        <w:pStyle w:val="Corpodotexto"/>
        <w:spacing w:lineRule="auto" w:line="360"/>
        <w:ind w:firstLine="720"/>
        <w:jc w:val="both"/>
        <w:rPr>
          <w:sz w:val="22"/>
          <w:szCs w:val="22"/>
          <w:lang w:val="pt-BR"/>
        </w:rPr>
      </w:pPr>
      <w:r>
        <w:rPr>
          <w:sz w:val="22"/>
          <w:szCs w:val="22"/>
          <w:lang w:val="pt-BR"/>
        </w:rPr>
        <w:t xml:space="preserve">A estimativa apresentada será utilizada para fins de </w:t>
      </w:r>
      <w:r>
        <w:rPr>
          <w:b/>
          <w:bCs/>
          <w:sz w:val="22"/>
          <w:szCs w:val="22"/>
          <w:lang w:val="pt-BR"/>
        </w:rPr>
        <w:t>planejamento orçamentário</w:t>
      </w:r>
      <w:r>
        <w:rPr>
          <w:sz w:val="22"/>
          <w:szCs w:val="22"/>
          <w:lang w:val="pt-BR"/>
        </w:rPr>
        <w:t xml:space="preserve"> e definição de </w:t>
      </w:r>
      <w:r>
        <w:rPr>
          <w:b/>
          <w:bCs/>
          <w:sz w:val="22"/>
          <w:szCs w:val="22"/>
          <w:lang w:val="pt-BR"/>
        </w:rPr>
        <w:t>limite de gasto</w:t>
      </w:r>
      <w:r>
        <w:rPr>
          <w:sz w:val="22"/>
          <w:szCs w:val="22"/>
          <w:lang w:val="pt-BR"/>
        </w:rPr>
        <w:t xml:space="preserve">, servindo como base para o </w:t>
      </w:r>
      <w:r>
        <w:rPr>
          <w:b/>
          <w:bCs/>
          <w:sz w:val="22"/>
          <w:szCs w:val="22"/>
          <w:lang w:val="pt-BR"/>
        </w:rPr>
        <w:t>processo licitatório</w:t>
      </w:r>
      <w:r>
        <w:rPr>
          <w:sz w:val="22"/>
          <w:szCs w:val="22"/>
          <w:lang w:val="pt-BR"/>
        </w:rPr>
        <w:t xml:space="preserve"> e garantindo que a contratação seja compatível com as necessidades do projeto.</w:t>
        <w:tab/>
      </w:r>
    </w:p>
    <w:p>
      <w:pPr>
        <w:pStyle w:val="Corpodotexto"/>
        <w:spacing w:lineRule="auto" w:line="360"/>
        <w:ind w:firstLine="720"/>
        <w:jc w:val="both"/>
        <w:rPr>
          <w:sz w:val="22"/>
          <w:szCs w:val="22"/>
        </w:rPr>
      </w:pPr>
      <w:r>
        <w:rPr>
          <w:sz w:val="22"/>
          <w:szCs w:val="22"/>
        </w:rPr>
        <w:t>Vislumbra-se que tal valor é compatível com o praticado pelo mercado correspondente, observando-se o disposto no do art. 23, § 1º, da Lei Federal nº 14.133/2021, que “Estabelece o procedimento administrativo para a realização de pesquisa de preços para</w:t>
      </w:r>
      <w:r>
        <w:rPr>
          <w:spacing w:val="-14"/>
          <w:sz w:val="22"/>
          <w:szCs w:val="22"/>
        </w:rPr>
        <w:t xml:space="preserve"> </w:t>
      </w:r>
      <w:r>
        <w:rPr>
          <w:sz w:val="22"/>
          <w:szCs w:val="22"/>
        </w:rPr>
        <w:t>aquisição</w:t>
      </w:r>
      <w:r>
        <w:rPr>
          <w:spacing w:val="-16"/>
          <w:sz w:val="22"/>
          <w:szCs w:val="22"/>
        </w:rPr>
        <w:t xml:space="preserve"> </w:t>
      </w:r>
      <w:r>
        <w:rPr>
          <w:sz w:val="22"/>
          <w:szCs w:val="22"/>
        </w:rPr>
        <w:t>de</w:t>
      </w:r>
      <w:r>
        <w:rPr>
          <w:spacing w:val="-13"/>
          <w:sz w:val="22"/>
          <w:szCs w:val="22"/>
        </w:rPr>
        <w:t xml:space="preserve"> </w:t>
      </w:r>
      <w:r>
        <w:rPr>
          <w:sz w:val="22"/>
          <w:szCs w:val="22"/>
        </w:rPr>
        <w:t>bens,</w:t>
      </w:r>
      <w:r>
        <w:rPr>
          <w:spacing w:val="-13"/>
          <w:sz w:val="22"/>
          <w:szCs w:val="22"/>
        </w:rPr>
        <w:t xml:space="preserve"> </w:t>
      </w:r>
      <w:r>
        <w:rPr>
          <w:sz w:val="22"/>
          <w:szCs w:val="22"/>
        </w:rPr>
        <w:t>contratação</w:t>
      </w:r>
      <w:r>
        <w:rPr>
          <w:spacing w:val="-13"/>
          <w:sz w:val="22"/>
          <w:szCs w:val="22"/>
        </w:rPr>
        <w:t xml:space="preserve"> </w:t>
      </w:r>
      <w:r>
        <w:rPr>
          <w:sz w:val="22"/>
          <w:szCs w:val="22"/>
        </w:rPr>
        <w:t>de</w:t>
      </w:r>
      <w:r>
        <w:rPr>
          <w:spacing w:val="-13"/>
          <w:sz w:val="22"/>
          <w:szCs w:val="22"/>
        </w:rPr>
        <w:t xml:space="preserve"> </w:t>
      </w:r>
      <w:r>
        <w:rPr>
          <w:sz w:val="22"/>
          <w:szCs w:val="22"/>
        </w:rPr>
        <w:t>serviços</w:t>
      </w:r>
      <w:r>
        <w:rPr>
          <w:spacing w:val="-14"/>
          <w:sz w:val="22"/>
          <w:szCs w:val="22"/>
        </w:rPr>
        <w:t xml:space="preserve"> </w:t>
      </w:r>
      <w:r>
        <w:rPr>
          <w:sz w:val="22"/>
          <w:szCs w:val="22"/>
        </w:rPr>
        <w:t>em</w:t>
      </w:r>
      <w:r>
        <w:rPr>
          <w:spacing w:val="-15"/>
          <w:sz w:val="22"/>
          <w:szCs w:val="22"/>
        </w:rPr>
        <w:t xml:space="preserve"> </w:t>
      </w:r>
      <w:r>
        <w:rPr>
          <w:sz w:val="22"/>
          <w:szCs w:val="22"/>
        </w:rPr>
        <w:t>geral</w:t>
      </w:r>
      <w:r>
        <w:rPr>
          <w:spacing w:val="-14"/>
          <w:sz w:val="22"/>
          <w:szCs w:val="22"/>
        </w:rPr>
        <w:t xml:space="preserve"> </w:t>
      </w:r>
      <w:r>
        <w:rPr>
          <w:sz w:val="22"/>
          <w:szCs w:val="22"/>
        </w:rPr>
        <w:t>e</w:t>
      </w:r>
      <w:r>
        <w:rPr>
          <w:spacing w:val="-16"/>
          <w:sz w:val="22"/>
          <w:szCs w:val="22"/>
        </w:rPr>
        <w:t xml:space="preserve"> </w:t>
      </w:r>
      <w:r>
        <w:rPr>
          <w:sz w:val="22"/>
          <w:szCs w:val="22"/>
        </w:rPr>
        <w:t>para</w:t>
      </w:r>
      <w:r>
        <w:rPr>
          <w:spacing w:val="-14"/>
          <w:sz w:val="22"/>
          <w:szCs w:val="22"/>
        </w:rPr>
        <w:t xml:space="preserve"> </w:t>
      </w:r>
      <w:r>
        <w:rPr>
          <w:sz w:val="22"/>
          <w:szCs w:val="22"/>
        </w:rPr>
        <w:t>contratação</w:t>
      </w:r>
      <w:r>
        <w:rPr>
          <w:spacing w:val="-13"/>
          <w:sz w:val="22"/>
          <w:szCs w:val="22"/>
        </w:rPr>
        <w:t xml:space="preserve"> </w:t>
      </w:r>
      <w:r>
        <w:rPr>
          <w:sz w:val="22"/>
          <w:szCs w:val="22"/>
        </w:rPr>
        <w:t>de</w:t>
      </w:r>
      <w:r>
        <w:rPr>
          <w:spacing w:val="-16"/>
          <w:sz w:val="22"/>
          <w:szCs w:val="22"/>
        </w:rPr>
        <w:t xml:space="preserve"> </w:t>
      </w:r>
      <w:r>
        <w:rPr>
          <w:sz w:val="22"/>
          <w:szCs w:val="22"/>
        </w:rPr>
        <w:t>obras e serviços de engenharia no âmbito do Município de Sarandi/RS.</w:t>
      </w:r>
    </w:p>
    <w:p>
      <w:pPr>
        <w:pStyle w:val="Corpodotexto"/>
        <w:spacing w:lineRule="auto" w:line="360"/>
        <w:rPr>
          <w:sz w:val="22"/>
          <w:szCs w:val="22"/>
        </w:rPr>
      </w:pPr>
      <w:r>
        <w:rPr>
          <w:sz w:val="22"/>
          <w:szCs w:val="22"/>
        </w:rPr>
      </w:r>
    </w:p>
    <w:p>
      <w:pPr>
        <w:pStyle w:val="Ttulo1"/>
        <w:numPr>
          <w:ilvl w:val="0"/>
          <w:numId w:val="1"/>
        </w:numPr>
        <w:tabs>
          <w:tab w:val="clear" w:pos="720"/>
          <w:tab w:val="left" w:pos="502" w:leader="none"/>
        </w:tabs>
        <w:spacing w:lineRule="auto" w:line="360" w:before="0" w:after="120"/>
        <w:ind w:left="284" w:hanging="284"/>
        <w:rPr>
          <w:sz w:val="22"/>
          <w:szCs w:val="22"/>
        </w:rPr>
      </w:pPr>
      <w:r>
        <w:rPr>
          <w:sz w:val="22"/>
          <w:szCs w:val="22"/>
        </w:rPr>
        <w:t>ADEQUAÇÃO</w:t>
      </w:r>
      <w:r>
        <w:rPr>
          <w:spacing w:val="-13"/>
          <w:sz w:val="22"/>
          <w:szCs w:val="22"/>
        </w:rPr>
        <w:t xml:space="preserve"> </w:t>
      </w:r>
      <w:r>
        <w:rPr>
          <w:spacing w:val="-2"/>
          <w:sz w:val="22"/>
          <w:szCs w:val="22"/>
        </w:rPr>
        <w:t>ORÇAMENTÁRIA</w:t>
      </w:r>
    </w:p>
    <w:p>
      <w:pPr>
        <w:pStyle w:val="Normal"/>
        <w:spacing w:lineRule="auto" w:line="360"/>
        <w:ind w:firstLine="720"/>
        <w:jc w:val="both"/>
        <w:rPr>
          <w:rFonts w:ascii="Arial" w:hAnsi="Arial" w:eastAsia="Calibri" w:cs="Times New Roman"/>
        </w:rPr>
      </w:pPr>
      <w:r>
        <w:rPr>
          <w:rFonts w:eastAsia="Calibri" w:cs="Times New Roman" w:ascii="Arial" w:hAnsi="Arial"/>
        </w:rPr>
        <w:t xml:space="preserve">O dispêndio financeiro decorrente da contratação ora pretendida decorrerá da dotação orçamentária </w:t>
      </w:r>
    </w:p>
    <w:p>
      <w:pPr>
        <w:pStyle w:val="Normal"/>
        <w:spacing w:lineRule="auto" w:line="360"/>
        <w:jc w:val="both"/>
        <w:rPr>
          <w:rFonts w:ascii="Arial" w:hAnsi="Arial" w:eastAsia="SimSun" w:cs="Tahoma"/>
          <w:u w:val="single"/>
          <w:lang w:val="pt-BR"/>
        </w:rPr>
      </w:pPr>
      <w:r>
        <w:rPr>
          <w:rFonts w:eastAsia="Calibri" w:cs="Times New Roman" w:ascii="Arial" w:hAnsi="Arial"/>
          <w:u w:val="single"/>
        </w:rPr>
        <w:t>Câmara Municipal de Vereadores</w:t>
      </w:r>
    </w:p>
    <w:p>
      <w:pPr>
        <w:pStyle w:val="Normal"/>
        <w:spacing w:lineRule="auto" w:line="360"/>
        <w:jc w:val="both"/>
        <w:rPr>
          <w:rFonts w:ascii="Arial" w:hAnsi="Arial" w:eastAsia="Calibri" w:cs="Times New Roman"/>
        </w:rPr>
      </w:pPr>
      <w:r>
        <w:rPr>
          <w:rFonts w:eastAsia="Calibri" w:cs="Times New Roman" w:ascii="Arial" w:hAnsi="Arial"/>
        </w:rPr>
        <w:t>0101.01.031.0100.2001.3.3.90.30 – Material de Consumo.</w:t>
      </w:r>
    </w:p>
    <w:p>
      <w:pPr>
        <w:pStyle w:val="Normal"/>
        <w:spacing w:lineRule="auto" w:line="360"/>
        <w:jc w:val="both"/>
        <w:rPr>
          <w:rFonts w:ascii="Arial" w:hAnsi="Arial" w:eastAsia="Calibri" w:cs="Times New Roman"/>
        </w:rPr>
      </w:pPr>
      <w:r>
        <w:rPr>
          <w:rFonts w:eastAsia="Calibri" w:cs="Times New Roman" w:ascii="Arial" w:hAnsi="Arial"/>
        </w:rPr>
      </w:r>
    </w:p>
    <w:p>
      <w:pPr>
        <w:pStyle w:val="Corpodotexto"/>
        <w:spacing w:lineRule="auto" w:line="360"/>
        <w:ind w:left="102" w:hanging="0"/>
        <w:jc w:val="right"/>
        <w:rPr>
          <w:spacing w:val="-2"/>
          <w:sz w:val="22"/>
          <w:szCs w:val="22"/>
        </w:rPr>
      </w:pPr>
      <w:r>
        <w:rPr>
          <w:sz w:val="22"/>
          <w:szCs w:val="22"/>
        </w:rPr>
        <w:t>Sarandi/RS, 30 de abril de 2026</w:t>
      </w:r>
      <w:r>
        <w:rPr>
          <w:spacing w:val="-2"/>
          <w:sz w:val="22"/>
          <w:szCs w:val="22"/>
        </w:rPr>
        <w:t>.</w:t>
      </w:r>
    </w:p>
    <w:p>
      <w:pPr>
        <w:pStyle w:val="Corpodotexto"/>
        <w:spacing w:lineRule="auto" w:line="360"/>
        <w:ind w:left="102" w:hanging="0"/>
        <w:jc w:val="center"/>
        <w:rPr>
          <w:spacing w:val="-2"/>
          <w:sz w:val="22"/>
          <w:szCs w:val="22"/>
        </w:rPr>
      </w:pPr>
      <w:r>
        <w:rPr>
          <w:spacing w:val="-2"/>
          <w:sz w:val="22"/>
          <w:szCs w:val="22"/>
        </w:rPr>
      </w:r>
    </w:p>
    <w:p>
      <w:pPr>
        <w:pStyle w:val="Corpodotexto"/>
        <w:spacing w:lineRule="auto" w:line="360"/>
        <w:ind w:left="102" w:hanging="0"/>
        <w:jc w:val="center"/>
        <w:rPr>
          <w:spacing w:val="-2"/>
          <w:sz w:val="22"/>
          <w:szCs w:val="22"/>
        </w:rPr>
      </w:pPr>
      <w:r>
        <w:rPr>
          <w:spacing w:val="-2"/>
          <w:sz w:val="22"/>
          <w:szCs w:val="22"/>
        </w:rPr>
      </w:r>
    </w:p>
    <w:p>
      <w:pPr>
        <w:pStyle w:val="Corpodotexto"/>
        <w:spacing w:lineRule="auto" w:line="360"/>
        <w:ind w:left="102" w:hanging="0"/>
        <w:jc w:val="center"/>
        <w:rPr>
          <w:spacing w:val="-2"/>
          <w:sz w:val="22"/>
          <w:szCs w:val="22"/>
        </w:rPr>
      </w:pPr>
      <w:r>
        <w:rPr>
          <w:spacing w:val="-2"/>
          <w:sz w:val="22"/>
          <w:szCs w:val="22"/>
        </w:rPr>
        <w:t>__________________________</w:t>
      </w:r>
    </w:p>
    <w:p>
      <w:pPr>
        <w:pStyle w:val="Corpodotexto"/>
        <w:spacing w:lineRule="auto" w:line="360"/>
        <w:ind w:left="102" w:hanging="0"/>
        <w:jc w:val="center"/>
        <w:rPr>
          <w:b/>
          <w:bCs/>
          <w:spacing w:val="-2"/>
          <w:sz w:val="22"/>
          <w:szCs w:val="22"/>
        </w:rPr>
      </w:pPr>
      <w:r>
        <w:rPr>
          <w:b/>
          <w:bCs/>
          <w:spacing w:val="-2"/>
          <w:sz w:val="22"/>
          <w:szCs w:val="22"/>
        </w:rPr>
        <w:t>ISABELA SANVIDO PAPINI</w:t>
      </w:r>
    </w:p>
    <w:p>
      <w:pPr>
        <w:pStyle w:val="Corpodotexto"/>
        <w:spacing w:lineRule="auto" w:line="360"/>
        <w:ind w:left="102" w:hanging="0"/>
        <w:jc w:val="center"/>
        <w:rPr>
          <w:b/>
          <w:bCs/>
          <w:spacing w:val="-2"/>
          <w:sz w:val="22"/>
          <w:szCs w:val="22"/>
        </w:rPr>
      </w:pPr>
      <w:r>
        <w:rPr>
          <w:b/>
          <w:bCs/>
          <w:spacing w:val="-2"/>
          <w:sz w:val="22"/>
          <w:szCs w:val="22"/>
        </w:rPr>
        <w:t>Assessora Parlamentar</w:t>
      </w:r>
    </w:p>
    <w:sectPr>
      <w:type w:val="continuous"/>
      <w:pgSz w:w="11906" w:h="16838"/>
      <w:pgMar w:left="1080" w:right="1080" w:gutter="0" w:header="0" w:top="1440" w:footer="0" w:bottom="1440"/>
      <w:formProt w:val="false"/>
      <w:textDirection w:val="lrTb"/>
      <w:docGrid w:type="default" w:linePitch="299" w:charSpace="1638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MT">
    <w:charset w:val="00"/>
    <w:family w:val="roman"/>
    <w:pitch w:val="variable"/>
  </w:font>
  <w:font w:name="Arial">
    <w:charset w:val="00"/>
    <w:family w:val="roman"/>
    <w:pitch w:val="variable"/>
  </w:font>
  <w:font w:name="Cambria">
    <w:charset w:val="00"/>
    <w:family w:val="roman"/>
    <w:pitch w:val="variable"/>
  </w:font>
  <w:font w:name="Liberation Sans">
    <w:altName w:val="Arial"/>
    <w:charset w:val="00"/>
    <w:family w:val="swiss"/>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r>
  </w:p>
  <w:p>
    <w:pPr>
      <w:pStyle w:val="Rodap"/>
      <w:rPr/>
    </w:pPr>
    <w:r>
      <w:rPr/>
    </w:r>
  </w:p>
  <w:p>
    <w:pPr>
      <w:pStyle w:val="Rodap"/>
      <w:rPr/>
    </w:pPr>
    <w:r>
      <w:rPr/>
    </w:r>
  </w:p>
  <w:p>
    <w:pPr>
      <w:pStyle w:val="Rodap"/>
      <w:rPr/>
    </w:pPr>
    <w:r>
      <w:rPr/>
    </w:r>
  </w:p>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mc:AlternateContent>
        <mc:Choice Requires="wps">
          <w:drawing>
            <wp:anchor behindDoc="1" distT="635" distB="0" distL="635" distR="0" simplePos="0" locked="0" layoutInCell="0" allowOverlap="1" relativeHeight="24" wp14:anchorId="3EE3D341">
              <wp:simplePos x="0" y="0"/>
              <wp:positionH relativeFrom="rightMargin">
                <wp:posOffset>193040</wp:posOffset>
              </wp:positionH>
              <wp:positionV relativeFrom="page">
                <wp:posOffset>2686050</wp:posOffset>
              </wp:positionV>
              <wp:extent cx="372745" cy="352425"/>
              <wp:effectExtent l="635" t="635" r="0" b="0"/>
              <wp:wrapNone/>
              <wp:docPr id="1" name="Elipse 1"/>
              <a:graphic xmlns:a="http://schemas.openxmlformats.org/drawingml/2006/main">
                <a:graphicData uri="http://schemas.microsoft.com/office/word/2010/wordprocessingShape">
                  <wps:wsp>
                    <wps:cNvSpPr/>
                    <wps:spPr>
                      <a:xfrm>
                        <a:off x="0" y="0"/>
                        <a:ext cx="372600" cy="352440"/>
                      </a:xfrm>
                      <a:prstGeom prst="ellipse">
                        <a:avLst/>
                      </a:prstGeom>
                      <a:solidFill>
                        <a:srgbClr val="9dbb61"/>
                      </a:solidFill>
                      <a:ln w="0">
                        <a:noFill/>
                      </a:ln>
                    </wps:spPr>
                    <wps:style>
                      <a:lnRef idx="0"/>
                      <a:fillRef idx="0"/>
                      <a:effectRef idx="0"/>
                      <a:fontRef idx="minor"/>
                    </wps:style>
                    <wps:txbx>
                      <w:txbxContent>
                        <w:sdt>
                          <w:sdtPr>
                            <w:docPartObj>
                              <w:docPartGallery w:val="Page Numbers (Margins)"/>
                              <w:docPartUnique w:val="true"/>
                            </w:docPartObj>
                            <w:id w:val="2133716557"/>
                          </w:sdtPr>
                          <w:sdtContent>
                            <w:p>
                              <w:pPr>
                                <w:pStyle w:val="Contedodoquadro"/>
                                <w:rPr>
                                  <w:rStyle w:val="Pagenumber"/>
                                  <w:color w:val="FFFFFF" w:themeColor="background1"/>
                                  <w:szCs w:val="24"/>
                                </w:rPr>
                              </w:pPr>
                              <w:r>
                                <w:rPr>
                                  <w:rStyle w:val="Pagenumber"/>
                                  <w:b/>
                                  <w:bCs/>
                                  <w:color w:val="FFFFFF"/>
                                  <w:sz w:val="24"/>
                                  <w:szCs w:val="24"/>
                                </w:rPr>
                                <w:fldChar w:fldCharType="begin"/>
                              </w:r>
                              <w:r>
                                <w:rPr>
                                  <w:rStyle w:val="Pagenumber"/>
                                  <w:sz w:val="24"/>
                                  <w:b/>
                                  <w:szCs w:val="24"/>
                                  <w:bCs/>
                                  <w:color w:val="FFFFFF"/>
                                </w:rPr>
                                <w:instrText xml:space="preserve"> PAGE </w:instrText>
                              </w:r>
                              <w:r>
                                <w:rPr>
                                  <w:rStyle w:val="Pagenumber"/>
                                  <w:sz w:val="24"/>
                                  <w:b/>
                                  <w:szCs w:val="24"/>
                                  <w:bCs/>
                                  <w:color w:val="FFFFFF"/>
                                </w:rPr>
                                <w:fldChar w:fldCharType="separate"/>
                              </w:r>
                              <w:r>
                                <w:rPr>
                                  <w:rStyle w:val="Pagenumber"/>
                                  <w:sz w:val="24"/>
                                  <w:b/>
                                  <w:szCs w:val="24"/>
                                  <w:bCs/>
                                  <w:color w:val="FFFFFF"/>
                                </w:rPr>
                                <w:t>12</w:t>
                              </w:r>
                              <w:r>
                                <w:rPr>
                                  <w:rStyle w:val="Pagenumber"/>
                                  <w:sz w:val="24"/>
                                  <w:b/>
                                  <w:szCs w:val="24"/>
                                  <w:bCs/>
                                  <w:color w:val="FFFFFF"/>
                                </w:rPr>
                                <w:fldChar w:fldCharType="end"/>
                              </w:r>
                            </w:p>
                          </w:sdtContent>
                        </w:sdt>
                      </w:txbxContent>
                    </wps:txbx>
                    <wps:bodyPr lIns="0" rIns="0" anchor="t" upright="1">
                      <a:noAutofit/>
                    </wps:bodyPr>
                  </wps:wsp>
                </a:graphicData>
              </a:graphic>
            </wp:anchor>
          </w:drawing>
        </mc:Choice>
        <mc:Fallback>
          <w:pict>
            <v:oval id="shape_0" ID="Elipse 1" path="l-2147483648,-2147483643l-2147483628,-2147483627l-2147483648,-2147483643l-2147483626,-2147483625xe" fillcolor="#9dbb61" stroked="f" o:allowincell="f" style="position:absolute;margin-left:15.2pt;margin-top:211.5pt;width:29.3pt;height:27.7pt;mso-wrap-style:square;v-text-anchor:top;mso-position-horizontal-relative:page;mso-position-vertical-relative:page" wp14:anchorId="3EE3D341">
              <v:fill o:detectmouseclick="t" type="solid" color2="#62449e"/>
              <v:stroke color="#3465a4" joinstyle="round" endcap="flat"/>
              <v:textbox>
                <w:txbxContent>
                  <w:sdt>
                    <w:sdtPr>
                      <w:docPartObj>
                        <w:docPartGallery w:val="Page Numbers (Margins)"/>
                        <w:docPartUnique w:val="true"/>
                      </w:docPartObj>
                      <w:id w:val="750056487"/>
                    </w:sdtPr>
                    <w:sdtContent>
                      <w:p>
                        <w:pPr>
                          <w:pStyle w:val="Contedodoquadro"/>
                          <w:rPr>
                            <w:rStyle w:val="Pagenumber"/>
                            <w:color w:val="FFFFFF" w:themeColor="background1"/>
                            <w:szCs w:val="24"/>
                          </w:rPr>
                        </w:pPr>
                        <w:r>
                          <w:rPr>
                            <w:rStyle w:val="Pagenumber"/>
                            <w:b/>
                            <w:bCs/>
                            <w:color w:val="FFFFFF"/>
                            <w:sz w:val="24"/>
                            <w:szCs w:val="24"/>
                          </w:rPr>
                          <w:fldChar w:fldCharType="begin"/>
                        </w:r>
                        <w:r>
                          <w:rPr>
                            <w:rStyle w:val="Pagenumber"/>
                            <w:sz w:val="24"/>
                            <w:b/>
                            <w:szCs w:val="24"/>
                            <w:bCs/>
                            <w:color w:val="FFFFFF"/>
                          </w:rPr>
                          <w:instrText xml:space="preserve"> PAGE </w:instrText>
                        </w:r>
                        <w:r>
                          <w:rPr>
                            <w:rStyle w:val="Pagenumber"/>
                            <w:sz w:val="24"/>
                            <w:b/>
                            <w:szCs w:val="24"/>
                            <w:bCs/>
                            <w:color w:val="FFFFFF"/>
                          </w:rPr>
                          <w:fldChar w:fldCharType="separate"/>
                        </w:r>
                        <w:r>
                          <w:rPr>
                            <w:rStyle w:val="Pagenumber"/>
                            <w:sz w:val="24"/>
                            <w:b/>
                            <w:szCs w:val="24"/>
                            <w:bCs/>
                            <w:color w:val="FFFFFF"/>
                          </w:rPr>
                          <w:t>12</w:t>
                        </w:r>
                        <w:r>
                          <w:rPr>
                            <w:rStyle w:val="Pagenumber"/>
                            <w:sz w:val="24"/>
                            <w:b/>
                            <w:szCs w:val="24"/>
                            <w:bCs/>
                            <w:color w:val="FFFFFF"/>
                          </w:rPr>
                          <w:fldChar w:fldCharType="end"/>
                        </w:r>
                      </w:p>
                    </w:sdtContent>
                  </w:sdt>
                </w:txbxContent>
              </v:textbox>
              <w10:wrap type="none"/>
            </v:oval>
          </w:pict>
        </mc:Fallback>
      </mc:AlternateContent>
    </w:r>
  </w:p>
  <w:p>
    <w:pPr>
      <w:pStyle w:val="Cabealho"/>
      <w:rPr/>
    </w:pPr>
    <w:r>
      <w:rPr/>
      <w:drawing>
        <wp:anchor behindDoc="0" distT="0" distB="0" distL="114300" distR="114300" simplePos="0" locked="0" layoutInCell="0" allowOverlap="1" relativeHeight="37">
          <wp:simplePos x="0" y="0"/>
          <wp:positionH relativeFrom="margin">
            <wp:posOffset>57150</wp:posOffset>
          </wp:positionH>
          <wp:positionV relativeFrom="paragraph">
            <wp:posOffset>12065</wp:posOffset>
          </wp:positionV>
          <wp:extent cx="5400040" cy="937895"/>
          <wp:effectExtent l="0" t="0" r="0" b="0"/>
          <wp:wrapTight wrapText="bothSides">
            <wp:wrapPolygon edited="0">
              <wp:start x="-6" y="0"/>
              <wp:lineTo x="-6" y="21053"/>
              <wp:lineTo x="21482" y="21053"/>
              <wp:lineTo x="21482" y="0"/>
              <wp:lineTo x="-6" y="0"/>
            </wp:wrapPolygon>
          </wp:wrapTight>
          <wp:docPr id="2"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descr=""/>
                  <pic:cNvPicPr>
                    <a:picLocks noChangeAspect="1" noChangeArrowheads="1"/>
                  </pic:cNvPicPr>
                </pic:nvPicPr>
                <pic:blipFill>
                  <a:blip r:embed="rId1"/>
                  <a:stretch>
                    <a:fillRect/>
                  </a:stretch>
                </pic:blipFill>
                <pic:spPr bwMode="auto">
                  <a:xfrm>
                    <a:off x="0" y="0"/>
                    <a:ext cx="5400040" cy="937895"/>
                  </a:xfrm>
                  <a:prstGeom prst="rect">
                    <a:avLst/>
                  </a:prstGeom>
                </pic:spPr>
              </pic:pic>
            </a:graphicData>
          </a:graphic>
        </wp:anchor>
      </w:drawing>
    </w:r>
  </w:p>
  <w:p>
    <w:pPr>
      <w:pStyle w:val="Cabealho"/>
      <w:rPr/>
    </w:pPr>
    <w:r>
      <w:rPr/>
    </w:r>
  </w:p>
  <w:p>
    <w:pPr>
      <w:pStyle w:val="Cabealho"/>
      <w:rPr/>
    </w:pPr>
    <w:r>
      <w:rPr/>
    </w:r>
  </w:p>
  <w:p>
    <w:pPr>
      <w:pStyle w:val="Cabealho"/>
      <w:rPr/>
    </w:pPr>
    <w:r>
      <w:rPr/>
    </w:r>
  </w:p>
  <w:p>
    <w:pPr>
      <w:pStyle w:val="Cabealho"/>
      <w:rPr/>
    </w:pPr>
    <w:r>
      <w:rPr/>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lvl>
    <w:lvl w:ilvl="1">
      <w:start w:val="1"/>
      <w:numFmt w:val="decimal"/>
      <w:lvlText w:val="%1.%2."/>
      <w:lvlJc w:val="left"/>
      <w:pPr>
        <w:tabs>
          <w:tab w:val="num" w:pos="0"/>
        </w:tabs>
        <w:ind w:left="1080" w:hanging="720"/>
      </w:pPr>
      <w:rPr/>
    </w:lvl>
    <w:lvl w:ilvl="2">
      <w:start w:val="1"/>
      <w:numFmt w:val="decimal"/>
      <w:lvlText w:val="%1.%2.%3."/>
      <w:lvlJc w:val="left"/>
      <w:pPr>
        <w:tabs>
          <w:tab w:val="num" w:pos="0"/>
        </w:tabs>
        <w:ind w:left="1080" w:hanging="720"/>
      </w:pPr>
      <w:rPr/>
    </w:lvl>
    <w:lvl w:ilvl="3">
      <w:start w:val="1"/>
      <w:numFmt w:val="decimal"/>
      <w:lvlText w:val="%1.%2.%3.%4."/>
      <w:lvlJc w:val="left"/>
      <w:pPr>
        <w:tabs>
          <w:tab w:val="num" w:pos="0"/>
        </w:tabs>
        <w:ind w:left="1440" w:hanging="1080"/>
      </w:pPr>
      <w:rPr/>
    </w:lvl>
    <w:lvl w:ilvl="4">
      <w:start w:val="1"/>
      <w:numFmt w:val="decimal"/>
      <w:lvlText w:val="%1.%2.%3.%4.%5."/>
      <w:lvlJc w:val="left"/>
      <w:pPr>
        <w:tabs>
          <w:tab w:val="num" w:pos="0"/>
        </w:tabs>
        <w:ind w:left="1440" w:hanging="1080"/>
      </w:pPr>
      <w:rPr/>
    </w:lvl>
    <w:lvl w:ilvl="5">
      <w:start w:val="1"/>
      <w:numFmt w:val="decimal"/>
      <w:lvlText w:val="%1.%2.%3.%4.%5.%6."/>
      <w:lvlJc w:val="left"/>
      <w:pPr>
        <w:tabs>
          <w:tab w:val="num" w:pos="0"/>
        </w:tabs>
        <w:ind w:left="1800" w:hanging="1440"/>
      </w:pPr>
      <w:rPr/>
    </w:lvl>
    <w:lvl w:ilvl="6">
      <w:start w:val="1"/>
      <w:numFmt w:val="decimal"/>
      <w:lvlText w:val="%1.%2.%3.%4.%5.%6.%7."/>
      <w:lvlJc w:val="left"/>
      <w:pPr>
        <w:tabs>
          <w:tab w:val="num" w:pos="0"/>
        </w:tabs>
        <w:ind w:left="1800" w:hanging="1440"/>
      </w:pPr>
      <w:rPr/>
    </w:lvl>
    <w:lvl w:ilvl="7">
      <w:start w:val="1"/>
      <w:numFmt w:val="decimal"/>
      <w:lvlText w:val="%1.%2.%3.%4.%5.%6.%7.%8."/>
      <w:lvlJc w:val="left"/>
      <w:pPr>
        <w:tabs>
          <w:tab w:val="num" w:pos="0"/>
        </w:tabs>
        <w:ind w:left="2160" w:hanging="1800"/>
      </w:pPr>
      <w:rPr/>
    </w:lvl>
    <w:lvl w:ilvl="8">
      <w:start w:val="1"/>
      <w:numFmt w:val="decimal"/>
      <w:lvlText w:val="%1.%2.%3.%4.%5.%6.%7.%8.%9."/>
      <w:lvlJc w:val="left"/>
      <w:pPr>
        <w:tabs>
          <w:tab w:val="num" w:pos="0"/>
        </w:tabs>
        <w:ind w:left="2520" w:hanging="2160"/>
      </w:pPr>
      <w:rPr/>
    </w:lvl>
  </w:abstractNum>
  <w:abstractNum w:abstractNumId="2">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ascii="Arial MT" w:hAnsi="Arial MT" w:eastAsia="Arial MT" w:cs="Arial MT"/>
      <w:color w:val="auto"/>
      <w:kern w:val="0"/>
      <w:sz w:val="22"/>
      <w:szCs w:val="22"/>
      <w:lang w:val="pt-PT" w:eastAsia="en-US" w:bidi="ar-SA"/>
    </w:rPr>
  </w:style>
  <w:style w:type="paragraph" w:styleId="Ttulo1">
    <w:name w:val="Heading 1"/>
    <w:basedOn w:val="Normal"/>
    <w:uiPriority w:val="9"/>
    <w:qFormat/>
    <w:pPr>
      <w:ind w:left="368" w:hanging="266"/>
      <w:outlineLvl w:val="0"/>
    </w:pPr>
    <w:rPr>
      <w:rFonts w:ascii="Arial" w:hAnsi="Arial" w:eastAsia="Arial" w:cs="Arial"/>
      <w:b/>
      <w:bCs/>
      <w:sz w:val="24"/>
      <w:szCs w:val="24"/>
    </w:rPr>
  </w:style>
  <w:style w:type="paragraph" w:styleId="Ttulo3">
    <w:name w:val="Heading 3"/>
    <w:basedOn w:val="Normal"/>
    <w:next w:val="Normal"/>
    <w:link w:val="Ttulo3Char"/>
    <w:uiPriority w:val="9"/>
    <w:semiHidden/>
    <w:unhideWhenUsed/>
    <w:qFormat/>
    <w:rsid w:val="00a4526a"/>
    <w:pPr>
      <w:keepNext w:val="true"/>
      <w:keepLines/>
      <w:spacing w:before="40" w:after="0"/>
      <w:outlineLvl w:val="2"/>
    </w:pPr>
    <w:rPr>
      <w:rFonts w:ascii="Cambria" w:hAnsi="Cambria" w:eastAsia="" w:cs="" w:asciiTheme="majorHAnsi" w:cstheme="majorBidi" w:eastAsiaTheme="majorEastAsia" w:hAnsiTheme="majorHAnsi"/>
      <w:color w:val="243F60" w:themeColor="accent1" w:themeShade="7f"/>
      <w:sz w:val="24"/>
      <w:szCs w:val="24"/>
    </w:rPr>
  </w:style>
  <w:style w:type="paragraph" w:styleId="Ttulo4">
    <w:name w:val="Heading 4"/>
    <w:basedOn w:val="Normal"/>
    <w:next w:val="Normal"/>
    <w:link w:val="Ttulo4Char"/>
    <w:uiPriority w:val="9"/>
    <w:semiHidden/>
    <w:unhideWhenUsed/>
    <w:qFormat/>
    <w:rsid w:val="00a4526a"/>
    <w:pPr>
      <w:keepNext w:val="true"/>
      <w:keepLines/>
      <w:spacing w:before="40" w:after="0"/>
      <w:outlineLvl w:val="3"/>
    </w:pPr>
    <w:rPr>
      <w:rFonts w:ascii="Cambria" w:hAnsi="Cambria" w:eastAsia="" w:cs="" w:asciiTheme="majorHAnsi" w:cstheme="majorBidi" w:eastAsiaTheme="majorEastAsia" w:hAnsiTheme="majorHAnsi"/>
      <w:i/>
      <w:iCs/>
      <w:color w:val="365F91" w:themeColor="accent1" w:themeShade="bf"/>
    </w:rPr>
  </w:style>
  <w:style w:type="character" w:styleId="DefaultParagraphFont" w:default="1">
    <w:name w:val="Default Paragraph Font"/>
    <w:uiPriority w:val="1"/>
    <w:semiHidden/>
    <w:unhideWhenUsed/>
    <w:qFormat/>
    <w:rPr/>
  </w:style>
  <w:style w:type="character" w:styleId="Ttulo3Char" w:customStyle="1">
    <w:name w:val="Título 3 Char"/>
    <w:basedOn w:val="DefaultParagraphFont"/>
    <w:uiPriority w:val="9"/>
    <w:semiHidden/>
    <w:qFormat/>
    <w:rsid w:val="00a4526a"/>
    <w:rPr>
      <w:rFonts w:ascii="Cambria" w:hAnsi="Cambria" w:eastAsia="" w:cs="" w:asciiTheme="majorHAnsi" w:cstheme="majorBidi" w:eastAsiaTheme="majorEastAsia" w:hAnsiTheme="majorHAnsi"/>
      <w:color w:val="243F60" w:themeColor="accent1" w:themeShade="7f"/>
      <w:sz w:val="24"/>
      <w:szCs w:val="24"/>
      <w:lang w:val="pt-PT"/>
    </w:rPr>
  </w:style>
  <w:style w:type="character" w:styleId="Ttulo4Char" w:customStyle="1">
    <w:name w:val="Título 4 Char"/>
    <w:basedOn w:val="DefaultParagraphFont"/>
    <w:uiPriority w:val="9"/>
    <w:semiHidden/>
    <w:qFormat/>
    <w:rsid w:val="00a4526a"/>
    <w:rPr>
      <w:rFonts w:ascii="Cambria" w:hAnsi="Cambria" w:eastAsia="" w:cs="" w:asciiTheme="majorHAnsi" w:cstheme="majorBidi" w:eastAsiaTheme="majorEastAsia" w:hAnsiTheme="majorHAnsi"/>
      <w:i/>
      <w:iCs/>
      <w:color w:val="365F91" w:themeColor="accent1" w:themeShade="bf"/>
      <w:lang w:val="pt-PT"/>
    </w:rPr>
  </w:style>
  <w:style w:type="character" w:styleId="LinkdaInternet">
    <w:name w:val="Hyperlink"/>
    <w:basedOn w:val="DefaultParagraphFont"/>
    <w:uiPriority w:val="99"/>
    <w:unhideWhenUsed/>
    <w:rsid w:val="00077d39"/>
    <w:rPr>
      <w:color w:val="0000FF" w:themeColor="hyperlink"/>
      <w:u w:val="single"/>
    </w:rPr>
  </w:style>
  <w:style w:type="character" w:styleId="Pagenumber">
    <w:name w:val="page number"/>
    <w:basedOn w:val="DefaultParagraphFont"/>
    <w:uiPriority w:val="99"/>
    <w:unhideWhenUsed/>
    <w:qFormat/>
    <w:rsid w:val="008f5027"/>
    <w:rPr/>
  </w:style>
  <w:style w:type="character" w:styleId="PargrafodaListaChar" w:customStyle="1">
    <w:name w:val="Parágrafo da Lista Char"/>
    <w:basedOn w:val="DefaultParagraphFont"/>
    <w:link w:val="ListParagraph"/>
    <w:qFormat/>
    <w:rsid w:val="00826ec1"/>
    <w:rPr>
      <w:rFonts w:ascii="Arial" w:hAnsi="Arial" w:eastAsia="Arial" w:cs="Arial"/>
      <w:lang w:val="pt-PT"/>
    </w:rPr>
  </w:style>
  <w:style w:type="character" w:styleId="Nivel2Char" w:customStyle="1">
    <w:name w:val="Nivel 2 Char"/>
    <w:basedOn w:val="DefaultParagraphFont"/>
    <w:link w:val="Nivel2"/>
    <w:qFormat/>
    <w:locked/>
    <w:rsid w:val="00c97d41"/>
    <w:rPr>
      <w:rFonts w:ascii="Arial" w:hAnsi="Arial" w:eastAsia="" w:cs="Arial" w:eastAsiaTheme="minorEastAsia"/>
      <w:color w:val="000000"/>
      <w:sz w:val="20"/>
      <w:szCs w:val="20"/>
      <w:lang w:eastAsia="pt-BR"/>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uiPriority w:val="1"/>
    <w:qFormat/>
    <w:pPr/>
    <w:rPr>
      <w:sz w:val="24"/>
      <w:szCs w:val="24"/>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tulododocumento">
    <w:name w:val="Title"/>
    <w:basedOn w:val="Normal"/>
    <w:next w:val="Corpodo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ListParagraph">
    <w:name w:val="List Paragraph"/>
    <w:basedOn w:val="Normal"/>
    <w:link w:val="PargrafodaListaChar"/>
    <w:qFormat/>
    <w:pPr>
      <w:ind w:left="368" w:hanging="266"/>
    </w:pPr>
    <w:rPr>
      <w:rFonts w:ascii="Arial" w:hAnsi="Arial" w:eastAsia="Arial" w:cs="Arial"/>
    </w:rPr>
  </w:style>
  <w:style w:type="paragraph" w:styleId="TableParagraph" w:customStyle="1">
    <w:name w:val="Table Paragraph"/>
    <w:basedOn w:val="Normal"/>
    <w:uiPriority w:val="1"/>
    <w:qFormat/>
    <w:pPr/>
    <w:rPr/>
  </w:style>
  <w:style w:type="paragraph" w:styleId="CabealhoeRodap" w:customStyle="1">
    <w:name w:val="Cabeçalho e Rodapé"/>
    <w:basedOn w:val="Normal"/>
    <w:qFormat/>
    <w:pPr/>
    <w:rPr/>
  </w:style>
  <w:style w:type="paragraph" w:styleId="Rodap">
    <w:name w:val="Footer"/>
    <w:basedOn w:val="CabealhoeRodap"/>
    <w:pPr/>
    <w:rPr/>
  </w:style>
  <w:style w:type="paragraph" w:styleId="Contedodoquadro" w:customStyle="1">
    <w:name w:val="Conteúdo do quadro"/>
    <w:basedOn w:val="Normal"/>
    <w:qFormat/>
    <w:pPr/>
    <w:rPr/>
  </w:style>
  <w:style w:type="paragraph" w:styleId="Cabealho">
    <w:name w:val="Header"/>
    <w:basedOn w:val="CabealhoeRodap"/>
    <w:pPr>
      <w:suppressLineNumbers/>
      <w:tabs>
        <w:tab w:val="clear" w:pos="720"/>
        <w:tab w:val="center" w:pos="4535" w:leader="none"/>
        <w:tab w:val="right" w:pos="9071" w:leader="none"/>
      </w:tabs>
    </w:pPr>
    <w:rPr/>
  </w:style>
  <w:style w:type="paragraph" w:styleId="NormalWeb">
    <w:name w:val="Normal (Web)"/>
    <w:basedOn w:val="Normal"/>
    <w:uiPriority w:val="99"/>
    <w:semiHidden/>
    <w:unhideWhenUsed/>
    <w:qFormat/>
    <w:rsid w:val="00a4526a"/>
    <w:pPr/>
    <w:rPr>
      <w:rFonts w:ascii="Times New Roman" w:hAnsi="Times New Roman" w:cs="Times New Roman"/>
      <w:sz w:val="24"/>
      <w:szCs w:val="24"/>
    </w:rPr>
  </w:style>
  <w:style w:type="paragraph" w:styleId="Nivel2" w:customStyle="1">
    <w:name w:val="Nivel 2"/>
    <w:basedOn w:val="Normal"/>
    <w:link w:val="Nivel2Char"/>
    <w:qFormat/>
    <w:rsid w:val="00c97d41"/>
    <w:pPr>
      <w:widowControl/>
      <w:suppressAutoHyphens w:val="false"/>
      <w:spacing w:lineRule="auto" w:line="276" w:before="120" w:after="120"/>
      <w:jc w:val="both"/>
      <w:outlineLvl w:val="1"/>
    </w:pPr>
    <w:rPr>
      <w:rFonts w:ascii="Arial" w:hAnsi="Arial" w:eastAsia="" w:cs="Arial" w:eastAsiaTheme="minorEastAsia"/>
      <w:color w:val="000000"/>
      <w:sz w:val="20"/>
      <w:szCs w:val="20"/>
      <w:lang w:val="en-US" w:eastAsia="pt-BR"/>
    </w:rPr>
  </w:style>
  <w:style w:type="paragraph" w:styleId="Standard" w:customStyle="1">
    <w:name w:val="Standard"/>
    <w:qFormat/>
    <w:rsid w:val="00833e04"/>
    <w:pPr>
      <w:widowControl w:val="false"/>
      <w:suppressAutoHyphens w:val="true"/>
      <w:bidi w:val="0"/>
      <w:spacing w:before="0" w:after="0"/>
      <w:jc w:val="left"/>
      <w:textAlignment w:val="baseline"/>
    </w:pPr>
    <w:rPr>
      <w:rFonts w:ascii="Times New Roman" w:hAnsi="Times New Roman" w:eastAsia="SimSun" w:cs="Tahoma"/>
      <w:color w:val="auto"/>
      <w:kern w:val="2"/>
      <w:sz w:val="24"/>
      <w:szCs w:val="24"/>
      <w:lang w:val="pt-BR" w:eastAsia="zh-CN" w:bidi="hi-IN"/>
    </w:rPr>
  </w:style>
  <w:style w:type="paragraph" w:styleId="Padro" w:customStyle="1">
    <w:name w:val="Padrão"/>
    <w:qFormat/>
    <w:rsid w:val="00360635"/>
    <w:pPr>
      <w:widowControl/>
      <w:tabs>
        <w:tab w:val="clear" w:pos="720"/>
        <w:tab w:val="left" w:pos="708" w:leader="none"/>
      </w:tabs>
      <w:suppressAutoHyphens w:val="true"/>
      <w:bidi w:val="0"/>
      <w:spacing w:lineRule="auto" w:line="276" w:before="0" w:after="200"/>
      <w:jc w:val="left"/>
      <w:textAlignment w:val="baseline"/>
    </w:pPr>
    <w:rPr>
      <w:rFonts w:ascii="Calibri" w:hAnsi="Calibri" w:eastAsia="Calibri" w:cs="F"/>
      <w:color w:val="00000A"/>
      <w:kern w:val="2"/>
      <w:sz w:val="22"/>
      <w:szCs w:val="22"/>
      <w:lang w:val="pt-BR" w:eastAsia="en-US"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table" w:styleId="Tabelacomgrade">
    <w:name w:val="Table Grid"/>
    <w:basedOn w:val="Tabelanormal"/>
    <w:uiPriority w:val="39"/>
    <w:rsid w:val="00c97d4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yperlink" Target="https://certidoesapf.apps.tcu.gov.br/" TargetMode="External"/><Relationship Id="rId5" Type="http://schemas.openxmlformats.org/officeDocument/2006/relationships/hyperlink" Target="http://www.tst.jus.br/certidao" TargetMode="Externa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Relationship Id="rId11" Type="http://schemas.openxmlformats.org/officeDocument/2006/relationships/customXml" Target="../customXml/item2.xml"/><Relationship Id="rId12" Type="http://schemas.openxmlformats.org/officeDocument/2006/relationships/customXml" Target="../customXml/item3.xml"/><Relationship Id="rId13" Type="http://schemas.openxmlformats.org/officeDocument/2006/relationships/customXml" Target="../customXml/item4.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97442E6F8E99D547932347400F8A4643" ma:contentTypeVersion="8" ma:contentTypeDescription="Crie um novo documento." ma:contentTypeScope="" ma:versionID="188b0c6e6625962d24a345f1acd34b66">
  <xsd:schema xmlns:xsd="http://www.w3.org/2001/XMLSchema" xmlns:xs="http://www.w3.org/2001/XMLSchema" xmlns:p="http://schemas.microsoft.com/office/2006/metadata/properties" xmlns:ns2="6895757c-a34f-4682-aba1-6b8a1e936109" targetNamespace="http://schemas.microsoft.com/office/2006/metadata/properties" ma:root="true" ma:fieldsID="ee5f851ac0631c0e245407938f300e0d" ns2:_="">
    <xsd:import namespace="6895757c-a34f-4682-aba1-6b8a1e9361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95757c-a34f-4682-aba1-6b8a1e9361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0CAC0A-5C3B-4952-993F-65E518CF8089}">
  <ds:schemaRefs>
    <ds:schemaRef ds:uri="http://schemas.microsoft.com/sharepoint/v3/contenttype/forms"/>
  </ds:schemaRefs>
</ds:datastoreItem>
</file>

<file path=customXml/itemProps2.xml><?xml version="1.0" encoding="utf-8"?>
<ds:datastoreItem xmlns:ds="http://schemas.openxmlformats.org/officeDocument/2006/customXml" ds:itemID="{94D44002-6FB7-4DBE-A82D-36AE248B27D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EBA8C9C-CBCA-49B9-BF6F-8EA6D661F65C}">
  <ds:schemaRefs>
    <ds:schemaRef ds:uri="http://schemas.openxmlformats.org/officeDocument/2006/bibliography"/>
  </ds:schemaRefs>
</ds:datastoreItem>
</file>

<file path=customXml/itemProps4.xml><?xml version="1.0" encoding="utf-8"?>
<ds:datastoreItem xmlns:ds="http://schemas.openxmlformats.org/officeDocument/2006/customXml" ds:itemID="{0C3B69FE-900A-47E9-ACEE-31D9D7D61A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95757c-a34f-4682-aba1-6b8a1e9361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Application>LibreOffice/7.5.9.2$Windows_X86_64 LibreOffice_project/cdeefe45c17511d326101eed8008ac4092f278a9</Application>
  <AppVersion>15.0000</AppVersion>
  <DocSecurity>4</DocSecurity>
  <Pages>12</Pages>
  <Words>3692</Words>
  <Characters>20744</Characters>
  <CharactersWithSpaces>24207</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2026-04-30T19:32:00Z</dcterms:created>
  <dc:creator>Marcia Bello</dc:creator>
  <dc:description/>
  <dc:language>pt-BR</dc:language>
  <cp:lastModifiedBy/>
  <cp:lastPrinted>2026-04-30T14:03:00Z</cp:lastPrinted>
  <dcterms:modified xsi:type="dcterms:W3CDTF">2026-05-11T10:01:05Z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0x01010097442E6F8E99D547932347400F8A4643</vt:lpwstr>
  </property>
  <property fmtid="{D5CDD505-2E9C-101B-9397-08002B2CF9AE}" pid="3" name="Created">
    <vt:filetime>2022-10-19T00:00:00Z</vt:filetime>
  </property>
  <property fmtid="{D5CDD505-2E9C-101B-9397-08002B2CF9AE}" pid="4" name="Creator">
    <vt:lpwstr>Microsoft® Word para Microsoft 365</vt:lpwstr>
  </property>
  <property fmtid="{D5CDD505-2E9C-101B-9397-08002B2CF9AE}" pid="5" name="LastSaved">
    <vt:filetime>2024-01-03T00:00:00Z</vt:filetime>
  </property>
  <property fmtid="{D5CDD505-2E9C-101B-9397-08002B2CF9AE}" pid="6" name="Order">
    <vt:r8>35962600</vt:r8>
  </property>
  <property fmtid="{D5CDD505-2E9C-101B-9397-08002B2CF9AE}" pid="7" name="Producer">
    <vt:lpwstr>Microsoft® Word para Microsoft 365</vt:lpwstr>
  </property>
</Properties>
</file>