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193" w:left="567"/>
        <w:jc w:val="both"/>
        <w:rPr>
          <w:rFonts w:asciiTheme="minorHAnsi" w:hAnsiTheme="minorHAnsi" w:cstheme="minorHAnsi"/>
          <w:color w:val="000080"/>
          <w:u w:val="single"/>
          <w:lang w:eastAsia="ar-SA"/>
        </w:rPr>
      </w:pPr>
      <w:r>
        <w:rPr>
          <w:rFonts w:asciiTheme="minorHAnsi" w:hAnsiTheme="minorHAnsi" w:cstheme="minorHAnsi"/>
          <w:color w:val="000080"/>
          <w:u w:val="single"/>
          <w:lang w:eastAsia="ar-SA"/>
        </w:rPr>
      </w:r>
      <w:r>
        <w:rPr>
          <w:rFonts w:asciiTheme="minorHAnsi" w:hAnsiTheme="minorHAnsi" w:cstheme="minorHAnsi"/>
          <w:color w:val="000080"/>
          <w:u w:val="single"/>
          <w:lang w:eastAsia="ar-SA"/>
        </w:rPr>
      </w:r>
    </w:p>
    <w:p>
      <w:pPr>
        <w:pStyle w:val="817"/>
        <w:pBdr/>
        <w:spacing/>
        <w:ind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221f1f"/>
          <w:sz w:val="24"/>
          <w:szCs w:val="24"/>
        </w:rPr>
        <w:t xml:space="preserve">AVISO</w:t>
      </w:r>
      <w:r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color w:val="221f1f"/>
          <w:sz w:val="24"/>
          <w:szCs w:val="24"/>
        </w:rPr>
        <w:t xml:space="preserve">DE</w:t>
      </w:r>
      <w:r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color w:val="221f1f"/>
          <w:spacing w:val="-2"/>
          <w:sz w:val="24"/>
          <w:szCs w:val="24"/>
        </w:rPr>
        <w:t xml:space="preserve">SUSPENSÃO</w:t>
      </w:r>
      <w:r>
        <w:rPr>
          <w:rFonts w:asciiTheme="minorHAnsi" w:hAnsiTheme="minorHAnsi" w:cstheme="minorHAnsi"/>
          <w:b/>
          <w:bCs/>
          <w:sz w:val="24"/>
          <w:szCs w:val="24"/>
        </w:rPr>
      </w:r>
    </w:p>
    <w:p>
      <w:pPr>
        <w:pStyle w:val="818"/>
        <w:pBdr/>
        <w:spacing w:before="240"/>
        <w:ind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</w:r>
      <w:r>
        <w:rPr>
          <w:rFonts w:asciiTheme="minorHAnsi" w:hAnsiTheme="minorHAnsi" w:cstheme="minorHAnsi"/>
          <w:b/>
        </w:rPr>
      </w:r>
    </w:p>
    <w:p>
      <w:pPr>
        <w:pBdr/>
        <w:spacing/>
        <w:ind w:right="329" w:left="3642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color w:val="221f1f"/>
        </w:rPr>
        <w:t xml:space="preserve">Licitação</w:t>
      </w:r>
      <w:r>
        <w:rPr>
          <w:rFonts w:asciiTheme="minorHAnsi" w:hAnsiTheme="minorHAnsi" w:cstheme="minorHAnsi"/>
          <w:b/>
          <w:color w:val="221f1f"/>
        </w:rPr>
        <w:t xml:space="preserve">,</w:t>
      </w:r>
      <w:r>
        <w:rPr>
          <w:rFonts w:asciiTheme="minorHAnsi" w:hAnsiTheme="minorHAnsi" w:cstheme="minorHAnsi"/>
          <w:color w:val="221f1f"/>
        </w:rPr>
        <w:t xml:space="preserve"> na modalidade de </w:t>
      </w:r>
      <w:r>
        <w:rPr>
          <w:rFonts w:asciiTheme="minorHAnsi" w:hAnsiTheme="minorHAnsi" w:cstheme="minorHAnsi"/>
          <w:b/>
          <w:color w:val="221f1f"/>
        </w:rPr>
        <w:t xml:space="preserve">Concorrência</w:t>
      </w:r>
      <w:r>
        <w:rPr>
          <w:rFonts w:asciiTheme="minorHAnsi" w:hAnsiTheme="minorHAnsi" w:cstheme="minorHAnsi"/>
          <w:color w:val="221f1f"/>
        </w:rPr>
        <w:t xml:space="preserve">, </w:t>
      </w:r>
      <w:r>
        <w:rPr>
          <w:rFonts w:asciiTheme="minorHAnsi" w:hAnsiTheme="minorHAnsi" w:cstheme="minorHAnsi"/>
          <w:color w:val="221f1f"/>
        </w:rPr>
        <w:t xml:space="preserve">número </w:t>
      </w:r>
      <w:r>
        <w:rPr>
          <w:rFonts w:asciiTheme="minorHAnsi" w:hAnsiTheme="minorHAnsi" w:cstheme="minorHAnsi"/>
          <w:b/>
          <w:bCs/>
          <w:color w:val="221f1f"/>
        </w:rPr>
        <w:t xml:space="preserve">0</w:t>
      </w:r>
      <w:r>
        <w:rPr>
          <w:rFonts w:asciiTheme="minorHAnsi" w:hAnsiTheme="minorHAnsi" w:cstheme="minorHAnsi"/>
          <w:b/>
          <w:bCs/>
          <w:color w:val="221f1f"/>
        </w:rPr>
        <w:t xml:space="preserve">9/</w:t>
      </w:r>
      <w:r>
        <w:rPr>
          <w:rFonts w:asciiTheme="minorHAnsi" w:hAnsiTheme="minorHAnsi" w:cstheme="minorHAnsi"/>
          <w:b/>
          <w:bCs/>
          <w:color w:val="221f1f"/>
        </w:rPr>
        <w:t xml:space="preserve">202</w:t>
      </w:r>
      <w:r>
        <w:rPr>
          <w:rFonts w:asciiTheme="minorHAnsi" w:hAnsiTheme="minorHAnsi" w:cstheme="minorHAnsi"/>
          <w:color w:val="221f1f"/>
        </w:rPr>
        <w:t xml:space="preserve">6, </w:t>
      </w:r>
      <w:r>
        <w:rPr>
          <w:rFonts w:asciiTheme="minorHAnsi" w:hAnsiTheme="minorHAnsi" w:cstheme="minorHAnsi"/>
          <w:color w:val="221f1f"/>
        </w:rPr>
        <w:t xml:space="preserve">processo </w:t>
      </w:r>
      <w:r>
        <w:rPr>
          <w:rFonts w:asciiTheme="minorHAnsi" w:hAnsiTheme="minorHAnsi" w:cstheme="minorHAnsi"/>
          <w:b/>
          <w:color w:val="221f1f"/>
        </w:rPr>
        <w:t xml:space="preserve">Nº</w:t>
      </w:r>
      <w:r>
        <w:rPr>
          <w:rFonts w:asciiTheme="minorHAnsi" w:hAnsiTheme="minorHAnsi" w:cstheme="minorHAnsi"/>
          <w:color w:val="221f1f"/>
        </w:rPr>
        <w:t xml:space="preserve"> </w:t>
      </w:r>
      <w:r>
        <w:rPr>
          <w:rFonts w:asciiTheme="minorHAnsi" w:hAnsiTheme="minorHAnsi" w:cstheme="minorHAnsi"/>
          <w:b/>
          <w:bCs/>
          <w:color w:val="221f1f"/>
        </w:rPr>
        <w:t xml:space="preserve">1480</w:t>
      </w:r>
      <w:r>
        <w:rPr>
          <w:rFonts w:asciiTheme="minorHAnsi" w:hAnsiTheme="minorHAnsi" w:cstheme="minorHAnsi"/>
          <w:b/>
          <w:bCs/>
          <w:color w:val="221f1f"/>
        </w:rPr>
        <w:t xml:space="preserve">/</w:t>
      </w:r>
      <w:r>
        <w:rPr>
          <w:rFonts w:asciiTheme="minorHAnsi" w:hAnsiTheme="minorHAnsi" w:cstheme="minorHAnsi"/>
          <w:b/>
          <w:bCs/>
          <w:color w:val="221f1f"/>
        </w:rPr>
        <w:t xml:space="preserve">202</w:t>
      </w:r>
      <w:r>
        <w:rPr>
          <w:rFonts w:asciiTheme="minorHAnsi" w:hAnsiTheme="minorHAnsi" w:cstheme="minorHAnsi"/>
          <w:color w:val="221f1f"/>
        </w:rPr>
        <w:t xml:space="preserve">6, tipo </w:t>
      </w:r>
      <w:r>
        <w:rPr>
          <w:rFonts w:asciiTheme="minorHAnsi" w:hAnsiTheme="minorHAnsi" w:cstheme="minorHAnsi"/>
          <w:b/>
          <w:color w:val="221f1f"/>
        </w:rPr>
        <w:t xml:space="preserve">Menor</w:t>
      </w:r>
      <w:r>
        <w:rPr>
          <w:rFonts w:asciiTheme="minorHAnsi" w:hAnsiTheme="minorHAnsi" w:cstheme="minorHAnsi"/>
          <w:color w:val="221f1f"/>
        </w:rPr>
        <w:t xml:space="preserve"> </w:t>
      </w:r>
      <w:r>
        <w:rPr>
          <w:rFonts w:asciiTheme="minorHAnsi" w:hAnsiTheme="minorHAnsi" w:cstheme="minorHAnsi"/>
          <w:b/>
          <w:color w:val="221f1f"/>
        </w:rPr>
        <w:t xml:space="preserve">Preço</w:t>
      </w:r>
      <w:r>
        <w:rPr>
          <w:rFonts w:asciiTheme="minorHAnsi" w:hAnsiTheme="minorHAnsi" w:cstheme="minorHAnsi"/>
          <w:b/>
          <w:color w:val="221f1f"/>
        </w:rPr>
        <w:t xml:space="preserve">.</w:t>
      </w:r>
      <w:r>
        <w:rPr>
          <w:rFonts w:asciiTheme="minorHAnsi" w:hAnsiTheme="minorHAnsi" w:cstheme="minorHAnsi"/>
          <w:b/>
        </w:rPr>
      </w:r>
    </w:p>
    <w:p>
      <w:pPr>
        <w:pStyle w:val="818"/>
        <w:pBdr/>
        <w:spacing w:before="80"/>
        <w:ind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</w:r>
      <w:r>
        <w:rPr>
          <w:rFonts w:asciiTheme="minorHAnsi" w:hAnsiTheme="minorHAnsi" w:cstheme="minorHAnsi"/>
          <w:b/>
        </w:rPr>
      </w:r>
    </w:p>
    <w:p>
      <w:pPr>
        <w:pStyle w:val="818"/>
        <w:pBdr/>
        <w:spacing/>
        <w:ind w:right="334" w:firstLine="899" w:left="24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1f1f"/>
        </w:rPr>
        <w:t xml:space="preserve">A Pregoeira do Município de Montenegro, nomeada pela portaria número </w:t>
      </w:r>
      <w:r>
        <w:rPr>
          <w:rFonts w:asciiTheme="minorHAnsi" w:hAnsiTheme="minorHAnsi" w:cstheme="minorHAnsi"/>
          <w:color w:val="221f1f"/>
        </w:rPr>
        <w:t xml:space="preserve">9.</w:t>
      </w:r>
      <w:r>
        <w:rPr>
          <w:rFonts w:asciiTheme="minorHAnsi" w:hAnsiTheme="minorHAnsi" w:cstheme="minorHAnsi"/>
          <w:color w:val="221f1f"/>
        </w:rPr>
        <w:t xml:space="preserve">698</w:t>
      </w:r>
      <w:r>
        <w:rPr>
          <w:rFonts w:asciiTheme="minorHAnsi" w:hAnsiTheme="minorHAnsi" w:cstheme="minorHAnsi"/>
          <w:color w:val="221f1f"/>
        </w:rPr>
        <w:t xml:space="preserve">/</w:t>
      </w:r>
      <w:r>
        <w:rPr>
          <w:rFonts w:asciiTheme="minorHAnsi" w:hAnsiTheme="minorHAnsi" w:cstheme="minorHAnsi"/>
          <w:color w:val="221f1f"/>
        </w:rPr>
        <w:t xml:space="preserve">202</w:t>
      </w:r>
      <w:r>
        <w:rPr>
          <w:rFonts w:asciiTheme="minorHAnsi" w:hAnsiTheme="minorHAnsi" w:cstheme="minorHAnsi"/>
          <w:color w:val="221f1f"/>
        </w:rPr>
        <w:t xml:space="preserve">5</w:t>
      </w:r>
      <w:r>
        <w:rPr>
          <w:rFonts w:asciiTheme="minorHAnsi" w:hAnsiTheme="minorHAnsi" w:cstheme="minorHAnsi"/>
          <w:color w:val="221f1f"/>
        </w:rPr>
        <w:t xml:space="preserve">, vigente a partir de </w:t>
      </w:r>
      <w:r>
        <w:rPr>
          <w:rFonts w:asciiTheme="minorHAnsi" w:hAnsiTheme="minorHAnsi" w:cstheme="minorHAnsi"/>
          <w:color w:val="221f1f"/>
        </w:rPr>
        <w:t xml:space="preserve">8</w:t>
      </w:r>
      <w:r>
        <w:rPr>
          <w:rFonts w:asciiTheme="minorHAnsi" w:hAnsiTheme="minorHAnsi" w:cstheme="minorHAnsi"/>
          <w:color w:val="221f1f"/>
        </w:rPr>
        <w:t xml:space="preserve"> de</w:t>
      </w:r>
      <w:r>
        <w:rPr>
          <w:rFonts w:asciiTheme="minorHAnsi" w:hAnsiTheme="minorHAnsi" w:cstheme="minorHAnsi"/>
          <w:color w:val="221f1f"/>
        </w:rPr>
        <w:t xml:space="preserve"> </w:t>
      </w:r>
      <w:r>
        <w:rPr>
          <w:rFonts w:asciiTheme="minorHAnsi" w:hAnsiTheme="minorHAnsi" w:cstheme="minorHAnsi"/>
          <w:color w:val="221f1f"/>
        </w:rPr>
        <w:t xml:space="preserve">janeiro</w:t>
      </w:r>
      <w:r>
        <w:rPr>
          <w:rFonts w:asciiTheme="minorHAnsi" w:hAnsiTheme="minorHAnsi" w:cstheme="minorHAnsi"/>
          <w:color w:val="221f1f"/>
        </w:rPr>
        <w:t xml:space="preserve"> de 20</w:t>
      </w:r>
      <w:r>
        <w:rPr>
          <w:rFonts w:asciiTheme="minorHAnsi" w:hAnsiTheme="minorHAnsi" w:cstheme="minorHAnsi"/>
          <w:color w:val="221f1f"/>
        </w:rPr>
        <w:t xml:space="preserve">2</w:t>
      </w:r>
      <w:r>
        <w:rPr>
          <w:rFonts w:asciiTheme="minorHAnsi" w:hAnsiTheme="minorHAnsi" w:cstheme="minorHAnsi"/>
          <w:color w:val="221f1f"/>
        </w:rPr>
        <w:t xml:space="preserve">5</w:t>
      </w:r>
      <w:r>
        <w:rPr>
          <w:rFonts w:asciiTheme="minorHAnsi" w:hAnsiTheme="minorHAnsi" w:cstheme="minorHAnsi"/>
          <w:color w:val="221f1f"/>
        </w:rPr>
        <w:t xml:space="preserve">, no uso de suas atribuições legais, torna público:</w:t>
      </w:r>
      <w:r>
        <w:rPr>
          <w:rFonts w:asciiTheme="minorHAnsi" w:hAnsiTheme="minorHAnsi" w:cstheme="minorHAnsi"/>
        </w:rPr>
      </w:r>
    </w:p>
    <w:p>
      <w:pPr>
        <w:pStyle w:val="818"/>
        <w:pBdr/>
        <w:spacing w:before="240"/>
        <w:ind w:right="334" w:firstLine="899" w:left="241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color w:val="221f1f"/>
        </w:rPr>
        <w:t xml:space="preserve">SUSPENDE-SE</w:t>
      </w:r>
      <w:r>
        <w:rPr>
          <w:rFonts w:asciiTheme="minorHAnsi" w:hAnsiTheme="minorHAnsi" w:cstheme="minorHAnsi"/>
          <w:i/>
          <w:color w:val="221f1f"/>
        </w:rPr>
        <w:t xml:space="preserve">,</w:t>
      </w:r>
      <w:r>
        <w:rPr>
          <w:rFonts w:asciiTheme="minorHAnsi" w:hAnsiTheme="minorHAnsi" w:cstheme="minorHAnsi"/>
          <w:color w:val="221f1f"/>
        </w:rPr>
        <w:t xml:space="preserve"> a licitação em epígrafe, para </w:t>
      </w:r>
      <w:r>
        <w:rPr>
          <w:rFonts w:asciiTheme="minorHAnsi" w:hAnsiTheme="minorHAnsi" w:cstheme="minorHAnsi"/>
          <w:color w:val="221f1f"/>
        </w:rPr>
        <w:t xml:space="preserve">retificação do edital.</w:t>
      </w:r>
      <w:r>
        <w:rPr>
          <w:rFonts w:asciiTheme="minorHAnsi" w:hAnsiTheme="minorHAnsi" w:cstheme="minorHAnsi"/>
          <w:b/>
        </w:rPr>
      </w:r>
    </w:p>
    <w:p>
      <w:pPr>
        <w:pStyle w:val="818"/>
        <w:pBdr/>
        <w:spacing w:before="46"/>
        <w:ind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</w:r>
      <w:r>
        <w:rPr>
          <w:rFonts w:asciiTheme="minorHAnsi" w:hAnsiTheme="minorHAnsi" w:cstheme="minorHAnsi"/>
          <w:b/>
        </w:rPr>
      </w:r>
    </w:p>
    <w:p>
      <w:pPr>
        <w:pStyle w:val="818"/>
        <w:pBdr/>
        <w:spacing/>
        <w:ind w:right="95" w:firstLine="708" w:left="35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1f1f"/>
        </w:rPr>
        <w:t xml:space="preserve">Montenegro,</w:t>
      </w:r>
      <w:r>
        <w:rPr>
          <w:rFonts w:asciiTheme="minorHAnsi" w:hAnsiTheme="minorHAnsi" w:cstheme="minorHAnsi"/>
          <w:color w:val="221f1f"/>
          <w:spacing w:val="-1"/>
        </w:rPr>
        <w:t xml:space="preserve"> 14</w:t>
      </w:r>
      <w:r>
        <w:rPr>
          <w:rFonts w:asciiTheme="minorHAnsi" w:hAnsiTheme="minorHAnsi" w:cstheme="minorHAnsi"/>
          <w:color w:val="221f1f"/>
          <w:spacing w:val="-1"/>
        </w:rPr>
        <w:t xml:space="preserve"> </w:t>
      </w:r>
      <w:r>
        <w:rPr>
          <w:rFonts w:asciiTheme="minorHAnsi" w:hAnsiTheme="minorHAnsi" w:cstheme="minorHAnsi"/>
          <w:color w:val="221f1f"/>
          <w:spacing w:val="-1"/>
        </w:rPr>
        <w:t xml:space="preserve">de </w:t>
      </w:r>
      <w:r>
        <w:rPr>
          <w:rFonts w:asciiTheme="minorHAnsi" w:hAnsiTheme="minorHAnsi" w:cstheme="minorHAnsi"/>
          <w:color w:val="221f1f"/>
          <w:spacing w:val="-1"/>
        </w:rPr>
        <w:t xml:space="preserve">abril </w:t>
      </w:r>
      <w:r>
        <w:rPr>
          <w:rFonts w:asciiTheme="minorHAnsi" w:hAnsiTheme="minorHAnsi" w:cstheme="minorHAnsi"/>
          <w:color w:val="221f1f"/>
        </w:rPr>
        <w:t xml:space="preserve">de</w:t>
      </w:r>
      <w:r>
        <w:rPr>
          <w:rFonts w:asciiTheme="minorHAnsi" w:hAnsiTheme="minorHAnsi" w:cstheme="minorHAnsi"/>
          <w:color w:val="221f1f"/>
          <w:spacing w:val="-2"/>
        </w:rPr>
        <w:t xml:space="preserve"> 202</w:t>
      </w:r>
      <w:r>
        <w:rPr>
          <w:rFonts w:asciiTheme="minorHAnsi" w:hAnsiTheme="minorHAnsi" w:cstheme="minorHAnsi"/>
          <w:color w:val="221f1f"/>
          <w:spacing w:val="-2"/>
        </w:rPr>
        <w:t xml:space="preserve">6.</w:t>
      </w:r>
      <w:r>
        <w:rPr>
          <w:rFonts w:asciiTheme="minorHAnsi" w:hAnsiTheme="minorHAnsi" w:cstheme="minorHAnsi"/>
        </w:rPr>
      </w:r>
    </w:p>
    <w:p>
      <w:pPr>
        <w:pStyle w:val="818"/>
        <w:pBdr/>
        <w:spacing w:before="275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</w:r>
    </w:p>
    <w:p>
      <w:pPr>
        <w:pStyle w:val="818"/>
        <w:pBdr/>
        <w:spacing/>
        <w:ind w:right="2975" w:left="3300"/>
        <w:jc w:val="center"/>
        <w:rPr>
          <w:rFonts w:asciiTheme="minorHAnsi" w:hAnsiTheme="minorHAnsi" w:cstheme="minorHAnsi"/>
          <w:color w:val="221f1f"/>
        </w:rPr>
      </w:pPr>
      <w:r>
        <w:rPr>
          <w:rFonts w:asciiTheme="minorHAnsi" w:hAnsiTheme="minorHAnsi" w:cstheme="minorHAnsi"/>
          <w:color w:val="221f1f"/>
        </w:rPr>
        <w:t xml:space="preserve">Kate Joseane de Souza</w:t>
      </w:r>
      <w:r>
        <w:rPr>
          <w:rFonts w:asciiTheme="minorHAnsi" w:hAnsiTheme="minorHAnsi" w:cstheme="minorHAnsi"/>
          <w:color w:val="221f1f"/>
        </w:rPr>
      </w:r>
    </w:p>
    <w:p>
      <w:pPr>
        <w:pStyle w:val="818"/>
        <w:pBdr/>
        <w:spacing/>
        <w:ind w:right="3392" w:left="330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221f1f"/>
          <w:spacing w:val="-2"/>
        </w:rPr>
        <w:t xml:space="preserve">   </w:t>
      </w:r>
      <w:r>
        <w:rPr>
          <w:rFonts w:asciiTheme="minorHAnsi" w:hAnsiTheme="minorHAnsi" w:cstheme="minorHAnsi"/>
          <w:color w:val="221f1f"/>
          <w:spacing w:val="-2"/>
        </w:rPr>
        <w:t xml:space="preserve">     </w:t>
      </w:r>
      <w:r>
        <w:rPr>
          <w:rFonts w:asciiTheme="minorHAnsi" w:hAnsiTheme="minorHAnsi" w:cstheme="minorHAnsi"/>
          <w:color w:val="221f1f"/>
          <w:spacing w:val="-2"/>
        </w:rPr>
        <w:t xml:space="preserve">Pregoeira</w:t>
      </w:r>
      <w:r>
        <w:rPr>
          <w:rFonts w:asciiTheme="minorHAnsi" w:hAnsiTheme="minorHAnsi" w:cstheme="minorHAnsi"/>
        </w:rPr>
      </w:r>
    </w:p>
    <w:p>
      <w:pPr>
        <w:pBdr/>
        <w:spacing w:line="360" w:lineRule="auto"/>
        <w:ind/>
        <w:jc w:val="both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</w:r>
      <w:r>
        <w:rPr>
          <w:rFonts w:asciiTheme="minorHAnsi" w:hAnsiTheme="minorHAnsi" w:cstheme="minorHAnsi"/>
          <w:i/>
          <w:iCs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2125" w:right="1134" w:bottom="1417" w:left="1134" w:header="708" w:footer="70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">
    <w:panose1 w:val="020B0602030504020204"/>
  </w:font>
  <w:font w:name="Open Sans">
    <w:panose1 w:val="020B0606030504020204"/>
  </w:font>
  <w:font w:name="OpenSymbol">
    <w:panose1 w:val="05010000000000000000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jc w:val="center"/>
      <w:rPr>
        <w:rFonts w:ascii="Arial" w:hAnsi="Arial" w:cs="Arial"/>
        <w:i/>
        <w:iCs/>
        <w:sz w:val="18"/>
        <w:szCs w:val="18"/>
      </w:rPr>
    </w:pPr>
    <w:r>
      <w:rPr>
        <w:rFonts w:ascii="Arial" w:hAnsi="Arial" w:cs="Arial"/>
        <w:i/>
        <w:iCs/>
        <w:sz w:val="18"/>
        <w:szCs w:val="18"/>
      </w:rPr>
    </w:r>
    <w:r>
      <w:rPr>
        <w:rFonts w:ascii="Arial" w:hAnsi="Arial" w:cs="Arial"/>
        <w:i/>
        <w:iCs/>
        <w:sz w:val="18"/>
        <w:szCs w:val="18"/>
      </w:rPr>
    </w:r>
  </w:p>
  <w:p>
    <w:pPr>
      <w:pBdr/>
      <w:spacing/>
      <w:ind/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 xml:space="preserve">Doe órgãos, Doe Sangue: Salve Vidas</w:t>
    </w:r>
    <w:r>
      <w:rPr>
        <w:i/>
        <w:iCs/>
      </w:rPr>
    </w:r>
  </w:p>
  <w:p>
    <w:pPr>
      <w:pBdr/>
      <w:spacing/>
      <w:ind/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 xml:space="preserve">Montenegro Cidade das Artes, Capital do Tanino e Berço da Bergamota Montenegrina</w:t>
    </w:r>
    <w:r>
      <w:rPr>
        <w:i/>
        <w:iCs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jc w:val="right"/>
      <w:rPr>
        <w:rFonts w:ascii="Arial" w:hAnsi="Arial" w:cs="Arial"/>
        <w:b/>
        <w:sz w:val="18"/>
        <w:szCs w:val="18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73088" behindDoc="1" locked="0" layoutInCell="0" allowOverlap="1">
              <wp:simplePos x="0" y="0"/>
              <wp:positionH relativeFrom="column">
                <wp:posOffset>-40005</wp:posOffset>
              </wp:positionH>
              <wp:positionV relativeFrom="paragraph">
                <wp:posOffset>-345440</wp:posOffset>
              </wp:positionV>
              <wp:extent cx="1245235" cy="1245235"/>
              <wp:effectExtent l="0" t="0" r="0" b="0"/>
              <wp:wrapTopAndBottom/>
              <wp:docPr id="1" name="Figura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Figura1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245235" cy="12452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73088;o:allowoverlap:true;o:allowincell:false;mso-position-horizontal-relative:text;margin-left:-3.15pt;mso-position-horizontal:absolute;mso-position-vertical-relative:text;margin-top:-27.20pt;mso-position-vertical:absolute;width:98.05pt;height:98.05pt;mso-wrap-distance-left:0.00pt;mso-wrap-distance-top:0.00pt;mso-wrap-distance-right:0.00pt;mso-wrap-distance-bottom:0.00pt;z-index:1;" stroked="false">
              <w10:wrap type="topAndBottom"/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cs="Arial"/>
        <w:sz w:val="18"/>
        <w:szCs w:val="18"/>
      </w:rPr>
      <w:t xml:space="preserve">Página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PAGE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 xml:space="preserve">2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NUMPAGES </w:instrText>
    </w:r>
    <w:r>
      <w:rPr>
        <w:rFonts w:ascii="Arial" w:hAnsi="Arial" w:cs="Arial"/>
        <w:b/>
        <w:sz w:val="18"/>
        <w:szCs w:val="18"/>
      </w:rPr>
      <w:fldChar w:fldCharType="separate"/>
    </w:r>
    <w:r>
      <w:rPr>
        <w:rFonts w:ascii="Arial" w:hAnsi="Arial" w:cs="Arial"/>
        <w:b/>
        <w:sz w:val="18"/>
        <w:szCs w:val="18"/>
      </w:rPr>
      <w:t xml:space="preserve">2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b/>
        <w:sz w:val="18"/>
        <w:szCs w:val="18"/>
      </w:rPr>
    </w:r>
  </w:p>
  <w:p>
    <w:pPr>
      <w:pStyle w:val="823"/>
      <w:pBdr/>
      <w:spacing/>
      <w:ind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</w:r>
    <w:r>
      <w:rPr>
        <w:rFonts w:ascii="Arial" w:hAnsi="Arial" w:cs="Arial"/>
        <w:b/>
        <w:sz w:val="18"/>
        <w:szCs w:val="18"/>
      </w:rPr>
    </w:r>
  </w:p>
  <w:p>
    <w:pPr>
      <w:pStyle w:val="823"/>
      <w:pBdr/>
      <w:spacing w:line="360" w:lineRule="auto"/>
      <w:ind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PREFEITURA MUNICIPAL DE MONTENEGRO</w:t>
    </w:r>
    <w:r>
      <w:rPr>
        <w:rFonts w:ascii="Arial" w:hAnsi="Arial" w:cs="Arial"/>
        <w:b/>
      </w:rPr>
    </w:r>
  </w:p>
  <w:p>
    <w:pPr>
      <w:pStyle w:val="8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8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8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8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8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8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8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8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803"/>
    <w:next w:val="803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803"/>
    <w:next w:val="80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803"/>
    <w:next w:val="803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803"/>
    <w:next w:val="80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803"/>
    <w:next w:val="803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803"/>
    <w:next w:val="80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803"/>
    <w:next w:val="803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803"/>
    <w:next w:val="803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803"/>
    <w:next w:val="803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804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80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804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804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804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804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804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80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804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804"/>
    <w:link w:val="8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803"/>
    <w:next w:val="803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804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803"/>
    <w:next w:val="803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804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803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80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803"/>
    <w:next w:val="803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804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0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803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80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04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04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0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0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804"/>
    <w:link w:val="823"/>
    <w:uiPriority w:val="99"/>
    <w:pPr>
      <w:pBdr/>
      <w:spacing/>
      <w:ind/>
    </w:pPr>
  </w:style>
  <w:style w:type="character" w:styleId="179">
    <w:name w:val="Footer Char"/>
    <w:basedOn w:val="804"/>
    <w:link w:val="824"/>
    <w:uiPriority w:val="99"/>
    <w:pPr>
      <w:pBdr/>
      <w:spacing/>
      <w:ind/>
    </w:pPr>
  </w:style>
  <w:style w:type="character" w:styleId="182">
    <w:name w:val="Footnote Text Char"/>
    <w:basedOn w:val="804"/>
    <w:link w:val="828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803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804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804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80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80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803"/>
    <w:next w:val="803"/>
    <w:uiPriority w:val="39"/>
    <w:unhideWhenUsed/>
    <w:pPr>
      <w:pBdr/>
      <w:spacing w:after="100"/>
      <w:ind/>
    </w:pPr>
  </w:style>
  <w:style w:type="paragraph" w:styleId="190">
    <w:name w:val="toc 2"/>
    <w:basedOn w:val="803"/>
    <w:next w:val="803"/>
    <w:uiPriority w:val="39"/>
    <w:unhideWhenUsed/>
    <w:pPr>
      <w:pBdr/>
      <w:spacing w:after="100"/>
      <w:ind w:left="220"/>
    </w:pPr>
  </w:style>
  <w:style w:type="paragraph" w:styleId="191">
    <w:name w:val="toc 3"/>
    <w:basedOn w:val="803"/>
    <w:next w:val="803"/>
    <w:uiPriority w:val="39"/>
    <w:unhideWhenUsed/>
    <w:pPr>
      <w:pBdr/>
      <w:spacing w:after="100"/>
      <w:ind w:left="440"/>
    </w:pPr>
  </w:style>
  <w:style w:type="paragraph" w:styleId="192">
    <w:name w:val="toc 4"/>
    <w:basedOn w:val="803"/>
    <w:next w:val="803"/>
    <w:uiPriority w:val="39"/>
    <w:unhideWhenUsed/>
    <w:pPr>
      <w:pBdr/>
      <w:spacing w:after="100"/>
      <w:ind w:left="660"/>
    </w:pPr>
  </w:style>
  <w:style w:type="paragraph" w:styleId="193">
    <w:name w:val="toc 5"/>
    <w:basedOn w:val="803"/>
    <w:next w:val="803"/>
    <w:uiPriority w:val="39"/>
    <w:unhideWhenUsed/>
    <w:pPr>
      <w:pBdr/>
      <w:spacing w:after="100"/>
      <w:ind w:left="880"/>
    </w:pPr>
  </w:style>
  <w:style w:type="paragraph" w:styleId="194">
    <w:name w:val="toc 6"/>
    <w:basedOn w:val="803"/>
    <w:next w:val="803"/>
    <w:uiPriority w:val="39"/>
    <w:unhideWhenUsed/>
    <w:pPr>
      <w:pBdr/>
      <w:spacing w:after="100"/>
      <w:ind w:left="1100"/>
    </w:pPr>
  </w:style>
  <w:style w:type="paragraph" w:styleId="195">
    <w:name w:val="toc 7"/>
    <w:basedOn w:val="803"/>
    <w:next w:val="803"/>
    <w:uiPriority w:val="39"/>
    <w:unhideWhenUsed/>
    <w:pPr>
      <w:pBdr/>
      <w:spacing w:after="100"/>
      <w:ind w:left="1320"/>
    </w:pPr>
  </w:style>
  <w:style w:type="paragraph" w:styleId="196">
    <w:name w:val="toc 8"/>
    <w:basedOn w:val="803"/>
    <w:next w:val="803"/>
    <w:uiPriority w:val="39"/>
    <w:unhideWhenUsed/>
    <w:pPr>
      <w:pBdr/>
      <w:spacing w:after="100"/>
      <w:ind w:left="1540"/>
    </w:pPr>
  </w:style>
  <w:style w:type="paragraph" w:styleId="197">
    <w:name w:val="toc 9"/>
    <w:basedOn w:val="803"/>
    <w:next w:val="803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804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803"/>
    <w:next w:val="803"/>
    <w:uiPriority w:val="99"/>
    <w:unhideWhenUsed/>
    <w:pPr>
      <w:pBdr/>
      <w:spacing w:after="0" w:afterAutospacing="0"/>
      <w:ind/>
    </w:pPr>
  </w:style>
  <w:style w:type="paragraph" w:styleId="803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04" w:default="1">
    <w:name w:val="Default Paragraph Font"/>
    <w:uiPriority w:val="1"/>
    <w:semiHidden/>
    <w:unhideWhenUsed/>
    <w:pPr>
      <w:pBdr/>
      <w:spacing/>
      <w:ind/>
    </w:pPr>
  </w:style>
  <w:style w:type="table" w:styleId="80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 w:default="1">
    <w:name w:val="No List"/>
    <w:uiPriority w:val="99"/>
    <w:semiHidden/>
    <w:unhideWhenUsed/>
    <w:pPr>
      <w:pBdr/>
      <w:spacing/>
      <w:ind/>
    </w:pPr>
  </w:style>
  <w:style w:type="character" w:styleId="807" w:customStyle="1">
    <w:name w:val="Cabeçalho Char"/>
    <w:basedOn w:val="804"/>
    <w:link w:val="823"/>
    <w:uiPriority w:val="99"/>
    <w:qFormat/>
    <w:pPr>
      <w:pBdr/>
      <w:spacing/>
      <w:ind/>
    </w:pPr>
  </w:style>
  <w:style w:type="character" w:styleId="808" w:customStyle="1">
    <w:name w:val="Rodapé Char"/>
    <w:basedOn w:val="804"/>
    <w:link w:val="824"/>
    <w:uiPriority w:val="99"/>
    <w:qFormat/>
    <w:pPr>
      <w:pBdr/>
      <w:spacing/>
      <w:ind/>
    </w:pPr>
  </w:style>
  <w:style w:type="character" w:styleId="809" w:customStyle="1">
    <w:name w:val="Símbolos de numeração"/>
    <w:qFormat/>
    <w:pPr>
      <w:pBdr/>
      <w:spacing/>
      <w:ind/>
    </w:pPr>
  </w:style>
  <w:style w:type="character" w:styleId="810" w:customStyle="1">
    <w:name w:val="Link da Internet"/>
    <w:pPr>
      <w:pBdr/>
      <w:spacing/>
      <w:ind/>
    </w:pPr>
    <w:rPr>
      <w:color w:val="000080"/>
      <w:u w:val="single"/>
    </w:rPr>
  </w:style>
  <w:style w:type="character" w:styleId="811" w:customStyle="1">
    <w:name w:val="Caracteres de nota de rodapé"/>
    <w:qFormat/>
    <w:pPr>
      <w:pBdr/>
      <w:spacing/>
      <w:ind/>
    </w:pPr>
  </w:style>
  <w:style w:type="character" w:styleId="812" w:customStyle="1">
    <w:name w:val="Âncora da nota de rodapé"/>
    <w:pPr>
      <w:pBdr/>
      <w:spacing/>
      <w:ind/>
    </w:pPr>
    <w:rPr>
      <w:vertAlign w:val="superscript"/>
    </w:rPr>
  </w:style>
  <w:style w:type="character" w:styleId="813" w:customStyle="1">
    <w:name w:val="Âncora da nota de fim"/>
    <w:pPr>
      <w:pBdr/>
      <w:spacing/>
      <w:ind/>
    </w:pPr>
    <w:rPr>
      <w:vertAlign w:val="superscript"/>
    </w:rPr>
  </w:style>
  <w:style w:type="character" w:styleId="814" w:customStyle="1">
    <w:name w:val="Caracteres de nota de fim"/>
    <w:qFormat/>
    <w:pPr>
      <w:pBdr/>
      <w:spacing/>
      <w:ind/>
    </w:pPr>
  </w:style>
  <w:style w:type="character" w:styleId="815" w:customStyle="1">
    <w:name w:val="Marcadores"/>
    <w:qFormat/>
    <w:pPr>
      <w:pBdr/>
      <w:spacing/>
      <w:ind/>
    </w:pPr>
    <w:rPr>
      <w:rFonts w:ascii="OpenSymbol" w:hAnsi="OpenSymbol" w:eastAsia="OpenSymbol" w:cs="OpenSymbol"/>
    </w:rPr>
  </w:style>
  <w:style w:type="character" w:styleId="816" w:customStyle="1">
    <w:name w:val="Link da internet visitado"/>
    <w:pPr>
      <w:pBdr/>
      <w:spacing/>
      <w:ind/>
    </w:pPr>
    <w:rPr>
      <w:color w:val="800000"/>
      <w:u w:val="single"/>
    </w:rPr>
  </w:style>
  <w:style w:type="paragraph" w:styleId="817">
    <w:name w:val="Title"/>
    <w:basedOn w:val="803"/>
    <w:next w:val="818"/>
    <w:uiPriority w:val="10"/>
    <w:qFormat/>
    <w:pPr>
      <w:keepNext w:val="true"/>
      <w:pBdr/>
      <w:spacing w:after="120" w:before="240"/>
      <w:ind/>
    </w:pPr>
    <w:rPr>
      <w:rFonts w:ascii="Open Sans" w:hAnsi="Open Sans" w:eastAsia="Microsoft YaHei" w:cs="Lucida Sans"/>
      <w:sz w:val="28"/>
      <w:szCs w:val="28"/>
    </w:rPr>
  </w:style>
  <w:style w:type="paragraph" w:styleId="818">
    <w:name w:val="Body Text"/>
    <w:basedOn w:val="803"/>
    <w:pPr>
      <w:pBdr/>
      <w:spacing w:after="140" w:line="276" w:lineRule="auto"/>
      <w:ind/>
    </w:pPr>
  </w:style>
  <w:style w:type="paragraph" w:styleId="819">
    <w:name w:val="List"/>
    <w:basedOn w:val="818"/>
    <w:pPr>
      <w:pBdr/>
      <w:spacing/>
      <w:ind/>
    </w:pPr>
    <w:rPr>
      <w:rFonts w:ascii="Open Sans" w:hAnsi="Open Sans" w:cs="Lucida Sans"/>
    </w:rPr>
  </w:style>
  <w:style w:type="paragraph" w:styleId="820">
    <w:name w:val="Caption"/>
    <w:basedOn w:val="803"/>
    <w:qFormat/>
    <w:pPr>
      <w:suppressLineNumbers w:val="true"/>
      <w:pBdr/>
      <w:spacing w:after="120" w:before="120"/>
      <w:ind/>
    </w:pPr>
    <w:rPr>
      <w:rFonts w:ascii="Open Sans" w:hAnsi="Open Sans" w:cs="Lucida Sans"/>
      <w:i/>
      <w:iCs/>
    </w:rPr>
  </w:style>
  <w:style w:type="paragraph" w:styleId="821" w:customStyle="1">
    <w:name w:val="Índice"/>
    <w:basedOn w:val="803"/>
    <w:qFormat/>
    <w:pPr>
      <w:suppressLineNumbers w:val="true"/>
      <w:pBdr/>
      <w:spacing/>
      <w:ind/>
    </w:pPr>
    <w:rPr>
      <w:rFonts w:ascii="Open Sans" w:hAnsi="Open Sans" w:cs="Lucida Sans"/>
    </w:rPr>
  </w:style>
  <w:style w:type="paragraph" w:styleId="822" w:customStyle="1">
    <w:name w:val="Cabeçalho e Rodapé"/>
    <w:basedOn w:val="803"/>
    <w:qFormat/>
    <w:pPr>
      <w:pBdr/>
      <w:spacing/>
      <w:ind/>
    </w:pPr>
  </w:style>
  <w:style w:type="paragraph" w:styleId="823">
    <w:name w:val="Header"/>
    <w:basedOn w:val="803"/>
    <w:link w:val="807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24">
    <w:name w:val="Footer"/>
    <w:basedOn w:val="803"/>
    <w:link w:val="808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25" w:customStyle="1">
    <w:name w:val="Conteúdo do quadro"/>
    <w:basedOn w:val="803"/>
    <w:qFormat/>
    <w:pPr>
      <w:pBdr/>
      <w:spacing/>
      <w:ind/>
    </w:pPr>
  </w:style>
  <w:style w:type="paragraph" w:styleId="826" w:customStyle="1">
    <w:name w:val="Conteúdo da tabela"/>
    <w:basedOn w:val="803"/>
    <w:qFormat/>
    <w:pPr>
      <w:widowControl w:val="false"/>
      <w:suppressLineNumbers w:val="true"/>
      <w:pBdr/>
      <w:spacing/>
      <w:ind/>
    </w:pPr>
  </w:style>
  <w:style w:type="paragraph" w:styleId="827" w:customStyle="1">
    <w:name w:val="Título de tabela"/>
    <w:basedOn w:val="826"/>
    <w:qFormat/>
    <w:pPr>
      <w:pBdr/>
      <w:spacing/>
      <w:ind/>
      <w:jc w:val="center"/>
    </w:pPr>
    <w:rPr>
      <w:b/>
      <w:bCs/>
    </w:rPr>
  </w:style>
  <w:style w:type="paragraph" w:styleId="828">
    <w:name w:val="footnote text"/>
    <w:basedOn w:val="803"/>
    <w:pPr>
      <w:suppressLineNumbers w:val="true"/>
      <w:pBdr/>
      <w:spacing/>
      <w:ind w:hanging="340" w:left="340"/>
    </w:pPr>
    <w:rPr>
      <w:rFonts w:ascii="Arial" w:hAnsi="Arial"/>
      <w:sz w:val="20"/>
      <w:szCs w:val="20"/>
    </w:rPr>
  </w:style>
  <w:style w:type="paragraph" w:styleId="829" w:customStyle="1">
    <w:name w:val="Título da lista"/>
    <w:basedOn w:val="803"/>
    <w:next w:val="830"/>
    <w:qFormat/>
    <w:pPr>
      <w:pBdr/>
      <w:spacing/>
      <w:ind/>
    </w:pPr>
  </w:style>
  <w:style w:type="paragraph" w:styleId="830" w:customStyle="1">
    <w:name w:val="Conteúdo da lista"/>
    <w:basedOn w:val="803"/>
    <w:qFormat/>
    <w:pPr>
      <w:pBdr/>
      <w:spacing/>
      <w:ind w:left="567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B9085-E52C-4C71-8BAB-6ED91D51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Joseane de Souza</dc:creator>
  <dc:description/>
  <dc:language>pt-BR</dc:language>
  <cp:revision>3</cp:revision>
  <dcterms:created xsi:type="dcterms:W3CDTF">2025-02-26T14:40:00Z</dcterms:created>
  <dcterms:modified xsi:type="dcterms:W3CDTF">2026-04-14T11:36:07Z</dcterms:modified>
</cp:coreProperties>
</file>