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FF2" w:rsidRDefault="00C719D1">
      <w:pPr>
        <w:jc w:val="center"/>
        <w:rPr>
          <w:rFonts w:ascii="Calibri" w:hAnsi="Calibri" w:cs="Calibri"/>
          <w:b/>
          <w:bCs/>
          <w:sz w:val="24"/>
          <w:szCs w:val="24"/>
          <w:lang w:val="pt-BR"/>
        </w:rPr>
      </w:pPr>
      <w:r>
        <w:rPr>
          <w:rFonts w:ascii="Calibri" w:hAnsi="Calibri" w:cs="Calibri"/>
          <w:b/>
          <w:bCs/>
          <w:sz w:val="24"/>
          <w:szCs w:val="24"/>
          <w:lang w:val="pt-BR"/>
        </w:rPr>
        <w:t>ESTUDO TÉCNICO PRELIMINAR</w:t>
      </w:r>
    </w:p>
    <w:p w:rsidR="00BC2FF2" w:rsidRDefault="00BC2FF2">
      <w:pPr>
        <w:jc w:val="center"/>
        <w:rPr>
          <w:rFonts w:ascii="Calibri" w:hAnsi="Calibri" w:cs="Calibri"/>
          <w:b/>
          <w:bCs/>
          <w:sz w:val="24"/>
          <w:szCs w:val="24"/>
          <w:lang w:val="pt-BR"/>
        </w:rPr>
      </w:pPr>
    </w:p>
    <w:p w:rsidR="00BC2FF2" w:rsidRDefault="00C719D1" w:rsidP="00EA6EC4">
      <w:pPr>
        <w:jc w:val="center"/>
        <w:rPr>
          <w:rFonts w:ascii="Calibri" w:hAnsi="Calibri" w:cs="Calibri"/>
          <w:sz w:val="24"/>
          <w:szCs w:val="24"/>
          <w:lang w:val="pt-BR"/>
        </w:rPr>
      </w:pPr>
      <w:r>
        <w:rPr>
          <w:rFonts w:ascii="Calibri" w:eastAsia="Arial-BoldMT" w:hAnsi="Calibri" w:cs="Calibri"/>
          <w:b/>
          <w:bCs/>
          <w:color w:val="000000"/>
          <w:sz w:val="24"/>
          <w:szCs w:val="24"/>
          <w:lang w:val="pt-BR" w:bidi="ar"/>
        </w:rPr>
        <w:t xml:space="preserve">Processo Administrativo nº </w:t>
      </w:r>
      <w:r w:rsidR="00EA6EC4">
        <w:rPr>
          <w:rFonts w:ascii="Calibri" w:eastAsia="Arial-BoldMT" w:hAnsi="Calibri" w:cs="Calibri"/>
          <w:b/>
          <w:bCs/>
          <w:color w:val="FF0000"/>
          <w:sz w:val="24"/>
          <w:szCs w:val="24"/>
          <w:lang w:val="pt-BR" w:bidi="ar"/>
        </w:rPr>
        <w:t>...........</w:t>
      </w:r>
      <w:r>
        <w:rPr>
          <w:rFonts w:ascii="Calibri" w:eastAsia="Arial-BoldMT" w:hAnsi="Calibri" w:cs="Calibri"/>
          <w:b/>
          <w:bCs/>
          <w:color w:val="000000"/>
          <w:sz w:val="24"/>
          <w:szCs w:val="24"/>
          <w:lang w:val="pt-BR" w:bidi="ar"/>
        </w:rPr>
        <w:t>/2025</w:t>
      </w:r>
    </w:p>
    <w:p w:rsidR="00BC2FF2" w:rsidRDefault="00C719D1" w:rsidP="00EA6EC4">
      <w:pPr>
        <w:jc w:val="center"/>
        <w:rPr>
          <w:rFonts w:ascii="Calibri" w:hAnsi="Calibri" w:cs="Calibri"/>
          <w:b/>
          <w:bCs/>
          <w:sz w:val="24"/>
          <w:szCs w:val="24"/>
          <w:u w:val="single"/>
        </w:rPr>
      </w:pPr>
      <w:r>
        <w:rPr>
          <w:rFonts w:ascii="Calibri" w:eastAsia="Arial-BoldMT" w:hAnsi="Calibri" w:cs="Calibri"/>
          <w:b/>
          <w:bCs/>
          <w:color w:val="000000"/>
          <w:sz w:val="24"/>
          <w:szCs w:val="24"/>
          <w:lang w:val="pt-BR" w:bidi="ar"/>
        </w:rPr>
        <w:t>Órgão requisitante: Secretaria de Administração</w:t>
      </w:r>
    </w:p>
    <w:p w:rsidR="00BC2FF2" w:rsidRDefault="00C719D1">
      <w:pPr>
        <w:pStyle w:val="NormalWeb"/>
        <w:spacing w:before="225" w:beforeAutospacing="0" w:after="225" w:afterAutospacing="0"/>
        <w:jc w:val="both"/>
        <w:rPr>
          <w:rFonts w:ascii="Calibri" w:hAnsi="Calibri" w:cs="Calibri"/>
          <w:b/>
          <w:bCs/>
          <w:sz w:val="24"/>
          <w:u w:val="single"/>
        </w:rPr>
      </w:pPr>
      <w:r>
        <w:rPr>
          <w:rFonts w:ascii="Calibri" w:hAnsi="Calibri" w:cs="Calibri"/>
          <w:b/>
          <w:bCs/>
          <w:sz w:val="24"/>
          <w:u w:val="single"/>
        </w:rPr>
        <w:t>I - DESCRIÇÃO DA NECESSIDADE DA CONTRATAÇÃO</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 xml:space="preserve">A Administração Municipal necessita de </w:t>
      </w:r>
      <w:r>
        <w:rPr>
          <w:rFonts w:ascii="Calibri" w:hAnsi="Calibri" w:cs="Calibri"/>
          <w:sz w:val="24"/>
          <w:lang w:val="pt-BR"/>
        </w:rPr>
        <w:t xml:space="preserve">um sistema </w:t>
      </w:r>
      <w:r>
        <w:rPr>
          <w:rFonts w:ascii="Calibri" w:hAnsi="Calibri" w:cs="Calibri"/>
          <w:sz w:val="24"/>
        </w:rPr>
        <w:t>integrad</w:t>
      </w:r>
      <w:r>
        <w:rPr>
          <w:rFonts w:ascii="Calibri" w:hAnsi="Calibri" w:cs="Calibri"/>
          <w:sz w:val="24"/>
          <w:lang w:val="pt-BR"/>
        </w:rPr>
        <w:t>o</w:t>
      </w:r>
      <w:r>
        <w:rPr>
          <w:rFonts w:ascii="Calibri" w:hAnsi="Calibri" w:cs="Calibri"/>
          <w:sz w:val="24"/>
        </w:rPr>
        <w:t xml:space="preserve"> que viabilize a gestão eficiente, segura e transparente dos processos administrativos, financeiros, orçamentários, contábeis e operacionais, considerando a complexidade das rotinas públicas e a interdependência entre os setores. Sistemas integrados permit</w:t>
      </w:r>
      <w:r>
        <w:rPr>
          <w:rFonts w:ascii="Calibri" w:hAnsi="Calibri" w:cs="Calibri"/>
          <w:sz w:val="24"/>
        </w:rPr>
        <w:t>em a consolidação de informações, a uniformização de procedimentos e a melhoria do controle interno, contribuindo para a boa governança e o uso racional dos recursos públicos.</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As constantes inovações tecnológicas e as recorrentes alterações no arcabouço no</w:t>
      </w:r>
      <w:r>
        <w:rPr>
          <w:rFonts w:ascii="Calibri" w:hAnsi="Calibri" w:cs="Calibri"/>
          <w:sz w:val="24"/>
        </w:rPr>
        <w:t>rmativo, aliadas às exigências dos órgãos de controle e fiscalização, demandam ferramentas capazes de assegurar confiabilidade dos dados, rastreabilidade dos atos administrativos, segurança da informação e aderência às normas vigentes, especialmente aquela</w:t>
      </w:r>
      <w:r>
        <w:rPr>
          <w:rFonts w:ascii="Calibri" w:hAnsi="Calibri" w:cs="Calibri"/>
          <w:sz w:val="24"/>
        </w:rPr>
        <w:t>s emanadas dos Tribunais de Contas e dos órgãos federais de controle.</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Nesse contexto, destaca-se a obrigatoriedade imposta pelo Decreto Federal nº 10.540/2020, que instituiu o SIAFIC, exigindo dos entes federativos a adoção de sistemas plenamente integrados e padronizados, sob pena de restrições administrativas e prejuízos a</w:t>
      </w:r>
      <w:r>
        <w:rPr>
          <w:rFonts w:ascii="Calibri" w:hAnsi="Calibri" w:cs="Calibri"/>
          <w:sz w:val="24"/>
        </w:rPr>
        <w:t xml:space="preserve">o recebimento de transferências voluntárias. </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A contratação pretendida visa, portanto, garantir a conformidade legal da gestão municipal, a continuidade dos serviços públicos, a integração entre os setores e o suporte adequado à tomada de decisões, por mei</w:t>
      </w:r>
      <w:r>
        <w:rPr>
          <w:rFonts w:ascii="Calibri" w:hAnsi="Calibri" w:cs="Calibri"/>
          <w:sz w:val="24"/>
        </w:rPr>
        <w:t>o de informações gerenciais confiáveis e tempestivas, além de reduzir custos operacionais decorrentes de processos manuais</w:t>
      </w:r>
      <w:r>
        <w:rPr>
          <w:rFonts w:ascii="Calibri" w:hAnsi="Calibri" w:cs="Calibri"/>
          <w:sz w:val="24"/>
          <w:lang w:val="pt-BR"/>
        </w:rPr>
        <w:t xml:space="preserve"> ou</w:t>
      </w:r>
      <w:r>
        <w:rPr>
          <w:rFonts w:ascii="Calibri" w:hAnsi="Calibri" w:cs="Calibri"/>
          <w:sz w:val="24"/>
        </w:rPr>
        <w:t xml:space="preserve"> retrabalho.</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Ressalta-se que o Município não dispõe de estrutura técnica própria suficiente para o desenvolvimento, manutenção e su</w:t>
      </w:r>
      <w:r>
        <w:rPr>
          <w:rFonts w:ascii="Calibri" w:hAnsi="Calibri" w:cs="Calibri"/>
          <w:sz w:val="24"/>
        </w:rPr>
        <w:t>porte de sistema dessa natureza, tornando imprescindível a contratação de empresa especializada que forneça, além do software, os serviços contínuos de atualização, manutenção, suporte técnico e capacitação dos usuários.</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Por fim, considerando o encerrament</w:t>
      </w:r>
      <w:r>
        <w:rPr>
          <w:rFonts w:ascii="Calibri" w:hAnsi="Calibri" w:cs="Calibri"/>
          <w:sz w:val="24"/>
        </w:rPr>
        <w:t>o da vigência do contrato atualmente em execução</w:t>
      </w:r>
      <w:r>
        <w:rPr>
          <w:rFonts w:ascii="Calibri" w:hAnsi="Calibri" w:cs="Calibri"/>
          <w:sz w:val="24"/>
          <w:lang w:val="pt-BR"/>
        </w:rPr>
        <w:t>, que inclusive está vigente de forma emergencial</w:t>
      </w:r>
      <w:r>
        <w:rPr>
          <w:rFonts w:ascii="Calibri" w:hAnsi="Calibri" w:cs="Calibri"/>
          <w:sz w:val="24"/>
        </w:rPr>
        <w:t xml:space="preserve">, sem possibilidade de prorrogação, impõe-se a realização de novo procedimento licitatório, aproveitando-se a oportunidade para preservar e ampliar o nível de </w:t>
      </w:r>
      <w:r>
        <w:rPr>
          <w:rFonts w:ascii="Calibri" w:hAnsi="Calibri" w:cs="Calibri"/>
          <w:sz w:val="24"/>
        </w:rPr>
        <w:t>modernização já alcançado, assegurando a continuidade dos serviços digitais oferecidos à população.</w:t>
      </w:r>
    </w:p>
    <w:p w:rsidR="00BC2FF2" w:rsidRDefault="00C719D1">
      <w:pPr>
        <w:pStyle w:val="NormalWeb"/>
        <w:spacing w:before="225" w:beforeAutospacing="0" w:after="225" w:afterAutospacing="0"/>
        <w:jc w:val="both"/>
        <w:rPr>
          <w:rFonts w:ascii="Calibri" w:hAnsi="Calibri" w:cs="Calibri"/>
          <w:b/>
          <w:bCs/>
          <w:sz w:val="24"/>
          <w:u w:val="single"/>
        </w:rPr>
      </w:pPr>
      <w:bookmarkStart w:id="0" w:name="art18§1ii"/>
      <w:bookmarkEnd w:id="0"/>
      <w:r>
        <w:rPr>
          <w:rFonts w:ascii="Calibri" w:hAnsi="Calibri" w:cs="Calibri"/>
          <w:b/>
          <w:bCs/>
          <w:sz w:val="24"/>
          <w:u w:val="single"/>
        </w:rPr>
        <w:t>II - DEMONSTRAÇÃO DA PREVISÃO DA CONTRATAÇÃO NO PLANO DE CONTRATAÇÕES ANUAL</w:t>
      </w:r>
    </w:p>
    <w:p w:rsidR="00BC2FF2" w:rsidRDefault="00C719D1">
      <w:pPr>
        <w:pStyle w:val="NormalWeb"/>
        <w:spacing w:beforeLines="70" w:before="168" w:beforeAutospacing="0" w:afterLines="70" w:after="168" w:afterAutospacing="0"/>
        <w:jc w:val="both"/>
        <w:rPr>
          <w:rFonts w:ascii="Calibri" w:hAnsi="Calibri" w:cs="Calibri"/>
          <w:sz w:val="24"/>
          <w:lang w:val="pt-BR"/>
        </w:rPr>
      </w:pPr>
      <w:r>
        <w:rPr>
          <w:rFonts w:ascii="Calibri" w:hAnsi="Calibri" w:cs="Calibri"/>
          <w:sz w:val="24"/>
          <w:lang w:val="pt-BR"/>
        </w:rPr>
        <w:t xml:space="preserve">A </w:t>
      </w:r>
      <w:r>
        <w:rPr>
          <w:rFonts w:ascii="Calibri" w:hAnsi="Calibri" w:cs="Calibri"/>
          <w:sz w:val="24"/>
          <w:lang w:val="pt-BR"/>
        </w:rPr>
        <w:t xml:space="preserve">contratação </w:t>
      </w:r>
      <w:r>
        <w:rPr>
          <w:rFonts w:ascii="Calibri" w:hAnsi="Calibri" w:cs="Calibri"/>
          <w:sz w:val="24"/>
          <w:lang w:val="pt-BR"/>
        </w:rPr>
        <w:t>pretendida está prevista no Plano de Contratações Anual do Municíp</w:t>
      </w:r>
      <w:r>
        <w:rPr>
          <w:rFonts w:ascii="Calibri" w:hAnsi="Calibri" w:cs="Calibri"/>
          <w:sz w:val="24"/>
          <w:lang w:val="pt-BR"/>
        </w:rPr>
        <w:t>io de 2026, no item 24 (</w:t>
      </w:r>
      <w:r>
        <w:rPr>
          <w:rFonts w:ascii="Calibri" w:hAnsi="Calibri" w:cs="Calibri"/>
          <w:sz w:val="24"/>
        </w:rPr>
        <w:t>Contratação de sistemas de informática para gestão pública</w:t>
      </w:r>
      <w:r>
        <w:rPr>
          <w:rFonts w:ascii="Calibri" w:hAnsi="Calibri" w:cs="Calibri"/>
          <w:sz w:val="24"/>
          <w:lang w:val="pt-BR"/>
        </w:rPr>
        <w:t xml:space="preserve">). </w:t>
      </w:r>
      <w:r>
        <w:rPr>
          <w:rFonts w:ascii="Calibri" w:hAnsi="Calibri" w:cs="Calibri"/>
          <w:sz w:val="24"/>
        </w:rPr>
        <w:t>Dessa forma, verifica-se que a presente contratação está alinhada ao planejamento do</w:t>
      </w:r>
      <w:r>
        <w:rPr>
          <w:rFonts w:ascii="Calibri" w:hAnsi="Calibri" w:cs="Calibri"/>
          <w:sz w:val="24"/>
          <w:lang w:val="pt-BR"/>
        </w:rPr>
        <w:t xml:space="preserve"> Município.</w:t>
      </w:r>
    </w:p>
    <w:p w:rsidR="00BC2FF2" w:rsidRDefault="00C719D1">
      <w:pPr>
        <w:pStyle w:val="NormalWeb"/>
        <w:spacing w:before="225" w:beforeAutospacing="0" w:after="225" w:afterAutospacing="0"/>
        <w:jc w:val="both"/>
        <w:rPr>
          <w:rFonts w:ascii="Calibri" w:hAnsi="Calibri" w:cs="Calibri"/>
          <w:b/>
          <w:bCs/>
          <w:sz w:val="24"/>
          <w:u w:val="single"/>
        </w:rPr>
      </w:pPr>
      <w:bookmarkStart w:id="1" w:name="art18§1iii"/>
      <w:bookmarkEnd w:id="1"/>
      <w:r>
        <w:rPr>
          <w:rFonts w:ascii="Calibri" w:hAnsi="Calibri" w:cs="Calibri"/>
          <w:b/>
          <w:bCs/>
          <w:sz w:val="24"/>
          <w:u w:val="single"/>
        </w:rPr>
        <w:t>III - REQUISITOS DA CONTRATAÇÃO;</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lastRenderedPageBreak/>
        <w:t>Considerando que o objeto da contratação e</w:t>
      </w:r>
      <w:r>
        <w:rPr>
          <w:rFonts w:ascii="Calibri" w:hAnsi="Calibri" w:cs="Calibri"/>
          <w:sz w:val="24"/>
        </w:rPr>
        <w:t>stá diretamente vinculado ao funcionamento dos serviços administrativos do Município e ao atendimento ao cidadão, bem como que se trata de serviços prestados de forma contínua e essencial, faz-se necessária a exigência dos requisitos abaixo, com o objetivo</w:t>
      </w:r>
      <w:r>
        <w:rPr>
          <w:rFonts w:ascii="Calibri" w:hAnsi="Calibri" w:cs="Calibri"/>
          <w:sz w:val="24"/>
        </w:rPr>
        <w:t xml:space="preserve"> de mitigar riscos de interrupção dos serviços públicos, prevenir contratações ineficientes e resguardar o erário.</w:t>
      </w:r>
    </w:p>
    <w:p w:rsidR="00BC2FF2" w:rsidRDefault="00C719D1">
      <w:pPr>
        <w:pStyle w:val="NormalWeb"/>
        <w:spacing w:beforeLines="70" w:before="168" w:beforeAutospacing="0" w:afterLines="70" w:after="168" w:afterAutospacing="0"/>
        <w:jc w:val="both"/>
        <w:rPr>
          <w:rFonts w:ascii="Calibri" w:hAnsi="Calibri" w:cs="Calibri"/>
          <w:sz w:val="24"/>
          <w:u w:val="single"/>
          <w:lang w:val="pt-BR"/>
        </w:rPr>
      </w:pPr>
      <w:r>
        <w:rPr>
          <w:rFonts w:ascii="Calibri" w:hAnsi="Calibri" w:cs="Calibri"/>
          <w:sz w:val="24"/>
          <w:u w:val="single"/>
          <w:lang w:val="pt-BR"/>
        </w:rPr>
        <w:t>III.1 Regularidade jurídica, fiscal e trabalhista:</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A licitante deverá comprovar situação regular quanto aos aspectos jurídicos, fiscais e tra</w:t>
      </w:r>
      <w:r>
        <w:rPr>
          <w:rFonts w:ascii="Calibri" w:hAnsi="Calibri" w:cs="Calibri"/>
          <w:sz w:val="24"/>
        </w:rPr>
        <w:t>balhistas, mediante apresentação da documentação exigida no art. 68 da Lei nº 14.133/2021.</w:t>
      </w:r>
    </w:p>
    <w:p w:rsidR="00BC2FF2" w:rsidRDefault="00C719D1">
      <w:pPr>
        <w:pStyle w:val="NormalWeb"/>
        <w:spacing w:beforeLines="70" w:before="168" w:beforeAutospacing="0" w:afterLines="70" w:after="168" w:afterAutospacing="0"/>
        <w:jc w:val="both"/>
        <w:rPr>
          <w:rFonts w:ascii="Calibri" w:hAnsi="Calibri" w:cs="Calibri"/>
          <w:sz w:val="24"/>
          <w:u w:val="single"/>
          <w:lang w:val="pt-BR"/>
        </w:rPr>
      </w:pPr>
      <w:r>
        <w:rPr>
          <w:rFonts w:ascii="Calibri" w:hAnsi="Calibri" w:cs="Calibri"/>
          <w:sz w:val="24"/>
          <w:u w:val="single"/>
          <w:lang w:val="pt-BR"/>
        </w:rPr>
        <w:t>III.2 Qualificação Técnica:</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Será exigida a demonstração de capacidade técnica compatível com o objeto, nos termos do art. 67, inciso II, da Lei nº 14.133/2021, compr</w:t>
      </w:r>
      <w:r>
        <w:rPr>
          <w:rFonts w:ascii="Calibri" w:hAnsi="Calibri" w:cs="Calibri"/>
          <w:sz w:val="24"/>
        </w:rPr>
        <w:t>ovando experiência anterior na prestação de serviços de natureza similar.</w:t>
      </w:r>
    </w:p>
    <w:p w:rsidR="00BC2FF2" w:rsidRDefault="00C719D1">
      <w:pPr>
        <w:pStyle w:val="NormalWeb"/>
        <w:spacing w:beforeLines="70" w:before="168" w:beforeAutospacing="0" w:afterLines="70" w:after="168" w:afterAutospacing="0"/>
        <w:jc w:val="both"/>
        <w:rPr>
          <w:rFonts w:ascii="Calibri" w:hAnsi="Calibri" w:cs="Calibri"/>
          <w:sz w:val="24"/>
          <w:u w:val="single"/>
          <w:lang w:val="pt-BR"/>
        </w:rPr>
      </w:pPr>
      <w:r>
        <w:rPr>
          <w:rFonts w:ascii="Calibri" w:hAnsi="Calibri" w:cs="Calibri"/>
          <w:sz w:val="24"/>
          <w:u w:val="single"/>
          <w:lang w:val="pt-BR"/>
        </w:rPr>
        <w:t>III.3 Qualificação Econômico-Financeira:</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A empresa deverá comprovar condições econômico-financeiras adequadas à execução contratual, conforme previsto no art. 69 da Lei nº 14.133/202</w:t>
      </w:r>
      <w:r>
        <w:rPr>
          <w:rFonts w:ascii="Calibri" w:hAnsi="Calibri" w:cs="Calibri"/>
          <w:sz w:val="24"/>
        </w:rPr>
        <w:t>1.</w:t>
      </w:r>
    </w:p>
    <w:p w:rsidR="00BC2FF2" w:rsidRDefault="00C719D1">
      <w:pPr>
        <w:pStyle w:val="NormalWeb"/>
        <w:spacing w:beforeLines="70" w:before="168" w:beforeAutospacing="0" w:afterLines="70" w:after="168" w:afterAutospacing="0"/>
        <w:jc w:val="both"/>
        <w:rPr>
          <w:rFonts w:ascii="Calibri" w:hAnsi="Calibri" w:cs="Calibri"/>
          <w:sz w:val="24"/>
          <w:u w:val="single"/>
          <w:lang w:val="pt-BR"/>
        </w:rPr>
      </w:pPr>
      <w:r>
        <w:rPr>
          <w:rFonts w:ascii="Calibri" w:hAnsi="Calibri" w:cs="Calibri"/>
          <w:sz w:val="24"/>
          <w:u w:val="single"/>
          <w:lang w:val="pt-BR"/>
        </w:rPr>
        <w:t>III.4 Prova de conceito:</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Em razão da relevância estratégica e da criticidade do sistema de gestão pública a ser contratado, recomenda-se a adoção de procedimento prévio de validação técnica da solução ofertada, com a finalidade de assegurar sua aderênci</w:t>
      </w:r>
      <w:r>
        <w:rPr>
          <w:rFonts w:ascii="Calibri" w:hAnsi="Calibri" w:cs="Calibri"/>
          <w:sz w:val="24"/>
        </w:rPr>
        <w:t>a aos requisitos funcionais, tecnológicos e legais definidos no Termo de Referência, bem como reduzir riscos à continuidade dos serviços públicos.</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 xml:space="preserve">A análise exclusivamente documental não se mostra suficiente para comprovar, de forma segura, a efetiva </w:t>
      </w:r>
      <w:r>
        <w:rPr>
          <w:rFonts w:ascii="Calibri" w:hAnsi="Calibri" w:cs="Calibri"/>
          <w:sz w:val="24"/>
        </w:rPr>
        <w:t>capacidade da solução em atender às necessidades operacionais do Município. Assim, a prova de conceito deverá ser realizada após a fase de habilitação e antes da adjudicação e homologação do certame, restrita à licitante provisoriamente classificada em pri</w:t>
      </w:r>
      <w:r>
        <w:rPr>
          <w:rFonts w:ascii="Calibri" w:hAnsi="Calibri" w:cs="Calibri"/>
          <w:sz w:val="24"/>
        </w:rPr>
        <w:t>meiro lugar.</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A avaliação será conduzida por comissão formalmente designada, composta por servidores das áreas impactadas, incluindo, obrigatoriamente, profissional da área de Tecnologia da Informação e agente de contratação, podendo contar ainda com servid</w:t>
      </w:r>
      <w:r>
        <w:rPr>
          <w:rFonts w:ascii="Calibri" w:hAnsi="Calibri" w:cs="Calibri"/>
          <w:sz w:val="24"/>
        </w:rPr>
        <w:t>ores das áreas finalísticas, responsáveis pela análise dos módulos específicos. A prova de conceito poderá ocorrer de forma presencial ou remota, conforme a conveniência administrativa.</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 xml:space="preserve">A prova de conceito possuirá caráter eliminatório, implicando a </w:t>
      </w:r>
      <w:r>
        <w:rPr>
          <w:rFonts w:ascii="Calibri" w:hAnsi="Calibri" w:cs="Calibri"/>
          <w:sz w:val="24"/>
        </w:rPr>
        <w:t>desclassificação da licitante caso não sejam atendidos os requisitos mínimos estabelecidos, com a consequente convocação da licitante subsequente, observada a ordem de classificação.</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Excepcionalmente, a realização da prova de conceito poderá ser dispensada</w:t>
      </w:r>
      <w:r>
        <w:rPr>
          <w:rFonts w:ascii="Calibri" w:hAnsi="Calibri" w:cs="Calibri"/>
          <w:sz w:val="24"/>
        </w:rPr>
        <w:t xml:space="preserve"> quando a contratação recair sobre a mesma empresa atualmente responsável pelo fornecimento do sistema em uso no Município, desde que comprovada a continuidade da solução, a manutenção das funcionalidades essenciais e a inexistência de prejuízo ao interess</w:t>
      </w:r>
      <w:r>
        <w:rPr>
          <w:rFonts w:ascii="Calibri" w:hAnsi="Calibri" w:cs="Calibri"/>
          <w:sz w:val="24"/>
        </w:rPr>
        <w:t>e público, ficando a dispensa devidamente motivada nos autos do processo administrativo.</w:t>
      </w:r>
    </w:p>
    <w:p w:rsidR="00BC2FF2" w:rsidRDefault="00C719D1">
      <w:pPr>
        <w:pStyle w:val="NormalWeb"/>
        <w:spacing w:beforeLines="70" w:before="168" w:beforeAutospacing="0" w:afterLines="70" w:after="168" w:afterAutospacing="0"/>
        <w:jc w:val="both"/>
        <w:rPr>
          <w:rFonts w:ascii="Calibri" w:hAnsi="Calibri" w:cs="Calibri"/>
          <w:sz w:val="24"/>
          <w:u w:val="single"/>
          <w:lang w:val="pt-BR"/>
        </w:rPr>
      </w:pPr>
      <w:r>
        <w:rPr>
          <w:rFonts w:ascii="Calibri" w:hAnsi="Calibri" w:cs="Calibri"/>
          <w:sz w:val="24"/>
          <w:u w:val="single"/>
          <w:lang w:val="pt-BR"/>
        </w:rPr>
        <w:t>III.5 Requisitos do sistema:</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A solução a ser contratada deverá consistir em sistema integrado de gestão pública municipal, capaz de assegurar a operacionalização contí</w:t>
      </w:r>
      <w:r>
        <w:rPr>
          <w:rFonts w:ascii="Calibri" w:hAnsi="Calibri" w:cs="Calibri"/>
          <w:sz w:val="24"/>
        </w:rPr>
        <w:t>nua e eficiente das atividades administrativas, financeiras, fiscais e finalísticas do Município, bem como a ampliação e modernização dos serviços públicos prestados ao cidadão.</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 xml:space="preserve">A empresa contratada deverá disponibilizar, no mínimo, os módulos necessários </w:t>
      </w:r>
      <w:r>
        <w:rPr>
          <w:rFonts w:ascii="Calibri" w:hAnsi="Calibri" w:cs="Calibri"/>
          <w:sz w:val="24"/>
        </w:rPr>
        <w:t>ao funcionamento regular da Administração Municipal, considerando tanto os sistemas atualmente utilizados quanto aqueles incorporados em razão das demandas de modernização administrativa, inovação tecnológica e ampliação do atendimento digital ao munícipe.</w:t>
      </w:r>
      <w:r>
        <w:rPr>
          <w:rFonts w:ascii="Calibri" w:hAnsi="Calibri" w:cs="Calibri"/>
          <w:sz w:val="24"/>
        </w:rPr>
        <w:t xml:space="preserve"> As funcionalidades detalhadas de cada módulo deverão estar expressamente descritas no Termo de Referência.</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 xml:space="preserve">O sistema deverá operar de forma integrada, interoperável e centralizada, garantindo a consistência das informações, a eliminação de retrabalhos, a </w:t>
      </w:r>
      <w:r>
        <w:rPr>
          <w:rFonts w:ascii="Calibri" w:hAnsi="Calibri" w:cs="Calibri"/>
          <w:sz w:val="24"/>
        </w:rPr>
        <w:t>rastreabilidade dos atos administrativos e a conformidade com a legislação vigente e com as exigências dos órgãos de controle.</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A solução deverá ser 100% web, acessível por meio de navegadores de internet amplamente utilizados, sem necessidade de instalação</w:t>
      </w:r>
      <w:r>
        <w:rPr>
          <w:rFonts w:ascii="Calibri" w:hAnsi="Calibri" w:cs="Calibri"/>
          <w:sz w:val="24"/>
        </w:rPr>
        <w:t xml:space="preserve"> local de aplicações nos equipamentos dos usuários, permitindo o acesso seguro e controlado a partir da rede interna do Município ou remotamente, conforme as políticas de segurança da informação adotadas.</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Deverão ser disponibilizados, no mínimo, os seguint</w:t>
      </w:r>
      <w:r>
        <w:rPr>
          <w:rFonts w:ascii="Calibri" w:hAnsi="Calibri" w:cs="Calibri"/>
          <w:sz w:val="24"/>
        </w:rPr>
        <w:t>es módulos:</w:t>
      </w:r>
    </w:p>
    <w:p w:rsidR="00BC2FF2" w:rsidRDefault="00C719D1">
      <w:pPr>
        <w:pStyle w:val="NormalWeb"/>
        <w:spacing w:beforeAutospacing="0" w:afterAutospacing="0"/>
        <w:jc w:val="both"/>
        <w:rPr>
          <w:rFonts w:ascii="Calibri" w:hAnsi="Calibri" w:cs="Calibri"/>
          <w:sz w:val="24"/>
        </w:rPr>
      </w:pPr>
      <w:r>
        <w:rPr>
          <w:rFonts w:ascii="Calibri" w:hAnsi="Calibri" w:cs="Calibri"/>
          <w:sz w:val="24"/>
        </w:rPr>
        <w:t>Gestão Administrativa, Institucional e Protocolo</w:t>
      </w:r>
    </w:p>
    <w:p w:rsidR="00BC2FF2" w:rsidRDefault="00C719D1">
      <w:pPr>
        <w:pStyle w:val="NormalWeb"/>
        <w:spacing w:beforeAutospacing="0" w:afterAutospacing="0"/>
        <w:jc w:val="both"/>
        <w:rPr>
          <w:rFonts w:ascii="Calibri" w:hAnsi="Calibri" w:cs="Calibri"/>
          <w:sz w:val="24"/>
        </w:rPr>
      </w:pPr>
      <w:r>
        <w:rPr>
          <w:rFonts w:ascii="Calibri" w:hAnsi="Calibri" w:cs="Calibri"/>
          <w:sz w:val="24"/>
        </w:rPr>
        <w:t>Gestão Tributária e Fiscal</w:t>
      </w:r>
    </w:p>
    <w:p w:rsidR="00BC2FF2" w:rsidRDefault="00C719D1">
      <w:pPr>
        <w:pStyle w:val="NormalWeb"/>
        <w:spacing w:beforeAutospacing="0" w:afterAutospacing="0"/>
        <w:jc w:val="both"/>
        <w:rPr>
          <w:rFonts w:ascii="Calibri" w:hAnsi="Calibri" w:cs="Calibri"/>
          <w:sz w:val="24"/>
        </w:rPr>
      </w:pPr>
      <w:r>
        <w:rPr>
          <w:rFonts w:ascii="Calibri" w:hAnsi="Calibri" w:cs="Calibri"/>
          <w:sz w:val="24"/>
        </w:rPr>
        <w:t>Gestão Financeira, Orçamentária e Contábil</w:t>
      </w:r>
    </w:p>
    <w:p w:rsidR="00BC2FF2" w:rsidRDefault="00C719D1">
      <w:pPr>
        <w:pStyle w:val="NormalWeb"/>
        <w:spacing w:beforeAutospacing="0" w:afterAutospacing="0"/>
        <w:jc w:val="both"/>
        <w:rPr>
          <w:rFonts w:ascii="Calibri" w:hAnsi="Calibri" w:cs="Calibri"/>
          <w:sz w:val="24"/>
        </w:rPr>
      </w:pPr>
      <w:r>
        <w:rPr>
          <w:rFonts w:ascii="Calibri" w:hAnsi="Calibri" w:cs="Calibri"/>
          <w:sz w:val="24"/>
        </w:rPr>
        <w:t>Gestão de Licitações, Compras e Contratos</w:t>
      </w:r>
    </w:p>
    <w:p w:rsidR="00BC2FF2" w:rsidRDefault="00C719D1">
      <w:pPr>
        <w:pStyle w:val="NormalWeb"/>
        <w:spacing w:beforeAutospacing="0" w:afterAutospacing="0"/>
        <w:jc w:val="both"/>
        <w:rPr>
          <w:rFonts w:ascii="Calibri" w:hAnsi="Calibri" w:cs="Calibri"/>
          <w:sz w:val="24"/>
        </w:rPr>
      </w:pPr>
      <w:r>
        <w:rPr>
          <w:rFonts w:ascii="Calibri" w:hAnsi="Calibri" w:cs="Calibri"/>
          <w:sz w:val="24"/>
        </w:rPr>
        <w:t>Gestão de Recursos Humanos e Folha de Pagamento</w:t>
      </w:r>
    </w:p>
    <w:p w:rsidR="00BC2FF2" w:rsidRDefault="00C719D1">
      <w:pPr>
        <w:pStyle w:val="NormalWeb"/>
        <w:spacing w:beforeAutospacing="0" w:afterAutospacing="0"/>
        <w:jc w:val="both"/>
        <w:rPr>
          <w:rFonts w:ascii="Calibri" w:hAnsi="Calibri" w:cs="Calibri"/>
          <w:sz w:val="24"/>
        </w:rPr>
      </w:pPr>
      <w:r>
        <w:rPr>
          <w:rFonts w:ascii="Calibri" w:hAnsi="Calibri" w:cs="Calibri"/>
          <w:sz w:val="24"/>
        </w:rPr>
        <w:t>Gestão da Saúde Municipal</w:t>
      </w:r>
    </w:p>
    <w:p w:rsidR="00BC2FF2" w:rsidRDefault="00C719D1">
      <w:pPr>
        <w:pStyle w:val="NormalWeb"/>
        <w:spacing w:beforeAutospacing="0" w:afterAutospacing="0"/>
        <w:jc w:val="both"/>
        <w:rPr>
          <w:rFonts w:ascii="Calibri" w:hAnsi="Calibri" w:cs="Calibri"/>
          <w:sz w:val="24"/>
        </w:rPr>
      </w:pPr>
      <w:r>
        <w:rPr>
          <w:rFonts w:ascii="Calibri" w:hAnsi="Calibri" w:cs="Calibri"/>
          <w:sz w:val="24"/>
        </w:rPr>
        <w:t>Gestão da</w:t>
      </w:r>
      <w:r>
        <w:rPr>
          <w:rFonts w:ascii="Calibri" w:hAnsi="Calibri" w:cs="Calibri"/>
          <w:sz w:val="24"/>
        </w:rPr>
        <w:t xml:space="preserve"> Assistência Social</w:t>
      </w:r>
    </w:p>
    <w:p w:rsidR="00BC2FF2" w:rsidRDefault="00C719D1">
      <w:pPr>
        <w:pStyle w:val="NormalWeb"/>
        <w:spacing w:beforeAutospacing="0" w:afterAutospacing="0"/>
        <w:jc w:val="both"/>
        <w:rPr>
          <w:rFonts w:ascii="Calibri" w:hAnsi="Calibri" w:cs="Calibri"/>
          <w:sz w:val="24"/>
        </w:rPr>
      </w:pPr>
      <w:r>
        <w:rPr>
          <w:rFonts w:ascii="Calibri" w:hAnsi="Calibri" w:cs="Calibri"/>
          <w:sz w:val="24"/>
        </w:rPr>
        <w:t>Gestão da Educação Municipal</w:t>
      </w:r>
    </w:p>
    <w:p w:rsidR="00BC2FF2" w:rsidRDefault="00C719D1">
      <w:pPr>
        <w:pStyle w:val="NormalWeb"/>
        <w:spacing w:beforeAutospacing="0" w:afterAutospacing="0"/>
        <w:jc w:val="both"/>
        <w:rPr>
          <w:rFonts w:ascii="Calibri" w:hAnsi="Calibri" w:cs="Calibri"/>
          <w:sz w:val="24"/>
        </w:rPr>
      </w:pPr>
      <w:r>
        <w:rPr>
          <w:rFonts w:ascii="Calibri" w:hAnsi="Calibri" w:cs="Calibri"/>
          <w:sz w:val="24"/>
        </w:rPr>
        <w:t>Gestão do Controle Interno</w:t>
      </w:r>
    </w:p>
    <w:p w:rsidR="00BC2FF2" w:rsidRDefault="00C719D1">
      <w:pPr>
        <w:pStyle w:val="NormalWeb"/>
        <w:spacing w:beforeAutospacing="0" w:afterAutospacing="0"/>
        <w:jc w:val="both"/>
        <w:rPr>
          <w:rFonts w:ascii="Calibri" w:hAnsi="Calibri" w:cs="Calibri"/>
          <w:sz w:val="24"/>
        </w:rPr>
      </w:pPr>
      <w:r>
        <w:rPr>
          <w:rFonts w:ascii="Calibri" w:hAnsi="Calibri" w:cs="Calibri"/>
          <w:sz w:val="24"/>
        </w:rPr>
        <w:t>Portal da Transparência e Atendimento à Lei de Acesso à Informação – LAI</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O sistema deverá permitir a evolução contínua de seus módulos, contemplando atualizações tecnológicas perió</w:t>
      </w:r>
      <w:r>
        <w:rPr>
          <w:rFonts w:ascii="Calibri" w:hAnsi="Calibri" w:cs="Calibri"/>
          <w:sz w:val="24"/>
        </w:rPr>
        <w:t>dicas e adequação tempestiva às alterações normativas supervenientes, sem comprometer a continuidade dos serviços públicos essenciais. Deverá, ainda, possibilitar a emissão de relatórios gerenciais, operacionais, contábeis, fiscais e legais, com dados cons</w:t>
      </w:r>
      <w:r>
        <w:rPr>
          <w:rFonts w:ascii="Calibri" w:hAnsi="Calibri" w:cs="Calibri"/>
          <w:sz w:val="24"/>
        </w:rPr>
        <w:t>istentes, íntegros, auditáveis e disponibilizados em tempo hábil, de modo a subsidiar a tomada de decisões pelos gestores públicos e o atendimento às exigências dos órgãos de controle e da sociedade.</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A arquitetura da solução deverá observar rigorosamente o</w:t>
      </w:r>
      <w:r>
        <w:rPr>
          <w:rFonts w:ascii="Calibri" w:hAnsi="Calibri" w:cs="Calibri"/>
          <w:sz w:val="24"/>
        </w:rPr>
        <w:t>s princípios de segurança da informação, confidencialidade, integridade e disponibilidade dos dados, contemplando mecanismos de controle de acessos por perfis de usuários, trilhas de auditoria completas, registros de logs, políticas de backup e recuperação</w:t>
      </w:r>
      <w:r>
        <w:rPr>
          <w:rFonts w:ascii="Calibri" w:hAnsi="Calibri" w:cs="Calibri"/>
          <w:sz w:val="24"/>
        </w:rPr>
        <w:t>, assegurando a proteção das informações públicas e pessoais, em conformidade com a legislação vigente, especialmente a Lei nº 13.709/2018 (Lei Geral de Proteção de Dados – LGPD).</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Como requisitos técnicos mínimos, a solução deverá, obrigatoriamente, ser di</w:t>
      </w:r>
      <w:r>
        <w:rPr>
          <w:rFonts w:ascii="Calibri" w:hAnsi="Calibri" w:cs="Calibri"/>
          <w:sz w:val="24"/>
        </w:rPr>
        <w:t>sponibilizada na modalidade de plataforma web (Software as a Service – SaaS), com interface responsiva e compatível com os principais navegadores de internet, dispensada qualquer instalação local de aplicações nos equipamentos dos usuários. O sistema dever</w:t>
      </w:r>
      <w:r>
        <w:rPr>
          <w:rFonts w:ascii="Calibri" w:hAnsi="Calibri" w:cs="Calibri"/>
          <w:sz w:val="24"/>
        </w:rPr>
        <w:t>á estar em plena conformidade com a Lei Geral de Proteção de Dados – LGPD, contemplando mecanismos adequados de segurança da informação, tais como criptografia de dados, gestão de perfis e permissões de acesso, registros de logs e trilhas de auditoria, rot</w:t>
      </w:r>
      <w:r>
        <w:rPr>
          <w:rFonts w:ascii="Calibri" w:hAnsi="Calibri" w:cs="Calibri"/>
          <w:sz w:val="24"/>
        </w:rPr>
        <w:t>inas automatizadas de backup, planos de contingência e monitoramento contínuo do ambiente. A solução deverá permitir a integração com outros sistemas, próprios ou de terceiros, por meio de APIs REST, webservices e padrões abertos de interoperabilidade, ass</w:t>
      </w:r>
      <w:r>
        <w:rPr>
          <w:rFonts w:ascii="Calibri" w:hAnsi="Calibri" w:cs="Calibri"/>
          <w:sz w:val="24"/>
        </w:rPr>
        <w:t>egurando a troca segura, estruturada e confiável de informações entre as bases de dados do Município. O sistema deverá, ainda, ser plenamente aderente às diretrizes e requisitos do SIAFIC, garantindo a integração, a padronização e a consistência das inform</w:t>
      </w:r>
      <w:r>
        <w:rPr>
          <w:rFonts w:ascii="Calibri" w:hAnsi="Calibri" w:cs="Calibri"/>
          <w:sz w:val="24"/>
        </w:rPr>
        <w:t xml:space="preserve">ações orçamentárias, financeiras, contábeis e de controle, nos termos do Decreto Federal nº 10.540/2020. Por fim, a contratação deverá abranger todas as etapas necessárias à efetiva implantação e utilização da solução, incluindo, no mínimo, o planejamento </w:t>
      </w:r>
      <w:r>
        <w:rPr>
          <w:rFonts w:ascii="Calibri" w:hAnsi="Calibri" w:cs="Calibri"/>
          <w:sz w:val="24"/>
        </w:rPr>
        <w:t xml:space="preserve">da implantação, a migração de dados, a parametrização, a realização de testes, a capacitação e o treinamento dos servidores municipais, </w:t>
      </w:r>
      <w:proofErr w:type="gramStart"/>
      <w:r>
        <w:rPr>
          <w:rFonts w:ascii="Calibri" w:hAnsi="Calibri" w:cs="Calibri"/>
          <w:sz w:val="24"/>
        </w:rPr>
        <w:t>a</w:t>
      </w:r>
      <w:proofErr w:type="gramEnd"/>
      <w:r>
        <w:rPr>
          <w:rFonts w:ascii="Calibri" w:hAnsi="Calibri" w:cs="Calibri"/>
          <w:sz w:val="24"/>
        </w:rPr>
        <w:t xml:space="preserve"> entrada em operação assistida e a prestação de suporte técnico contínuo, assegurando a plena operacionalização do sist</w:t>
      </w:r>
      <w:r>
        <w:rPr>
          <w:rFonts w:ascii="Calibri" w:hAnsi="Calibri" w:cs="Calibri"/>
          <w:sz w:val="24"/>
        </w:rPr>
        <w:t>ema pelos usuários do Município.</w:t>
      </w:r>
    </w:p>
    <w:p w:rsidR="00BC2FF2" w:rsidRDefault="00C719D1">
      <w:pPr>
        <w:pStyle w:val="NormalWeb"/>
        <w:spacing w:beforeLines="70" w:before="168" w:beforeAutospacing="0" w:afterLines="70" w:after="168" w:afterAutospacing="0"/>
        <w:jc w:val="both"/>
        <w:rPr>
          <w:rFonts w:ascii="Calibri" w:hAnsi="Calibri" w:cs="Calibri"/>
          <w:sz w:val="24"/>
          <w:lang w:val="pt-BR"/>
        </w:rPr>
      </w:pPr>
      <w:r>
        <w:rPr>
          <w:rFonts w:ascii="Calibri" w:hAnsi="Calibri" w:cs="Calibri"/>
          <w:sz w:val="24"/>
        </w:rPr>
        <w:t>A adoção de solução em ambiente web justifica-se, ainda, pela inexistência de equipe técnica própria de Tecnologia da Informação no âmbito municipal com capacidade para realizar a manutenção, atualização e suporte de sistem</w:t>
      </w:r>
      <w:r>
        <w:rPr>
          <w:rFonts w:ascii="Calibri" w:hAnsi="Calibri" w:cs="Calibri"/>
          <w:sz w:val="24"/>
        </w:rPr>
        <w:t>as complexos, bem como pela dispensa da necessidade de infraestrutura local de hardware, como servidores físicos e dispositivos de armazenamento, o que reduz custos com aquisição, manutenção, energia elétrica, segurança física e atualização tecnológica. Ad</w:t>
      </w:r>
      <w:r>
        <w:rPr>
          <w:rFonts w:ascii="Calibri" w:hAnsi="Calibri" w:cs="Calibri"/>
          <w:sz w:val="24"/>
        </w:rPr>
        <w:t>emais, soluções web em modelo SaaS oferecem maior disponibilidade, escalabilidade e resiliência, com ambientes monitorados continuamente, rotinas automatizadas de backup e contingência, garantindo a continuidade dos serviços públicos, a redução de riscos o</w:t>
      </w:r>
      <w:r>
        <w:rPr>
          <w:rFonts w:ascii="Calibri" w:hAnsi="Calibri" w:cs="Calibri"/>
          <w:sz w:val="24"/>
        </w:rPr>
        <w:t>peracionais e a maior confiabilidade no acesso às informações pelos servidores e pelos cidadãos.</w:t>
      </w:r>
    </w:p>
    <w:p w:rsidR="00BC2FF2" w:rsidRDefault="00C719D1">
      <w:pPr>
        <w:pStyle w:val="NormalWeb"/>
        <w:spacing w:before="225" w:beforeAutospacing="0" w:after="225" w:afterAutospacing="0"/>
        <w:jc w:val="both"/>
        <w:rPr>
          <w:rFonts w:ascii="Calibri" w:hAnsi="Calibri" w:cs="Calibri"/>
          <w:b/>
          <w:bCs/>
          <w:sz w:val="24"/>
          <w:u w:val="single"/>
        </w:rPr>
      </w:pPr>
      <w:bookmarkStart w:id="2" w:name="art18§1iv"/>
      <w:bookmarkEnd w:id="2"/>
      <w:r>
        <w:rPr>
          <w:rFonts w:ascii="Calibri" w:hAnsi="Calibri" w:cs="Calibri"/>
          <w:b/>
          <w:bCs/>
          <w:sz w:val="24"/>
          <w:u w:val="single"/>
        </w:rPr>
        <w:t>IV - ESTIMATIVAS DAS QUANTIDADES PARA A CONTRATAÇÃO</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As estimativas relativas à presente contratação foram definidas com base nos parâmetros históricos das últi</w:t>
      </w:r>
      <w:r>
        <w:rPr>
          <w:rFonts w:ascii="Calibri" w:hAnsi="Calibri" w:cs="Calibri"/>
          <w:sz w:val="24"/>
        </w:rPr>
        <w:t>mas contratações realizadas pelo Município para este objeto, em especial o Contrato Administrativo nº 114/2021, oriundo do Pregão Presencial nº 12/2021, bem como o Contrato Emergencial nº 065/2025, que asseguraram a continuidade dos sistemas de gestão públ</w:t>
      </w:r>
      <w:r>
        <w:rPr>
          <w:rFonts w:ascii="Calibri" w:hAnsi="Calibri" w:cs="Calibri"/>
          <w:sz w:val="24"/>
        </w:rPr>
        <w:t>ica municipal. Tais referências permitem aferir, de forma objetiva, a dimensão, a abrangência e a complexidade da solução necessária ao atendimento das demandas atuais da Administração.</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Adicionalmente, foram consideradas as práticas adotadas por municípios</w:t>
      </w:r>
      <w:r>
        <w:rPr>
          <w:rFonts w:ascii="Calibri" w:hAnsi="Calibri" w:cs="Calibri"/>
          <w:sz w:val="24"/>
        </w:rPr>
        <w:t xml:space="preserve"> da região, tais como Roque Gonzales, São Pedro do Butiá e Porto Xavier, os quais utilizam sistemas informatizados de gestão pública em moldes semelhantes ao que se pretende contratar. A análise comparativa dessas experiências contribui para a definição de</w:t>
      </w:r>
      <w:r>
        <w:rPr>
          <w:rFonts w:ascii="Calibri" w:hAnsi="Calibri" w:cs="Calibri"/>
          <w:sz w:val="24"/>
        </w:rPr>
        <w:t xml:space="preserve"> parâmetros compatíveis com a realidade regional, promovendo eficiência administrativa, padronização de procedimentos e alinhamento às boas práticas de gestão pública.</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 xml:space="preserve">A solução a ser contratada deverá abranger todas as áreas e setores da Prefeitura </w:t>
      </w:r>
      <w:r>
        <w:rPr>
          <w:rFonts w:ascii="Calibri" w:hAnsi="Calibri" w:cs="Calibri"/>
          <w:sz w:val="24"/>
        </w:rPr>
        <w:t>Municipal, razão pela qual a quantidade de licenças de usuários deverá ser ilimitada, considerando-se a possibilidade de ampliação futura da solução, em decorrência do aumento da demanda, da rotatividade de pessoal, da substituição de servidores ou de alte</w:t>
      </w:r>
      <w:r>
        <w:rPr>
          <w:rFonts w:ascii="Calibri" w:hAnsi="Calibri" w:cs="Calibri"/>
          <w:sz w:val="24"/>
        </w:rPr>
        <w:t>rações normativas supervenientes. Não deverá haver qualquer restrição quanto ao número de usuários simultâneos ou cadastrados no sistema.</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A relação de serviços e módulos descritos neste instrumento não possui caráter exaustivo, admitindo-se a disponibiliza</w:t>
      </w:r>
      <w:r>
        <w:rPr>
          <w:rFonts w:ascii="Calibri" w:hAnsi="Calibri" w:cs="Calibri"/>
          <w:sz w:val="24"/>
        </w:rPr>
        <w:t>ção de evoluções, melhorias e adequações sempre que houver exigência legal, normativa ou necessidade operacional do Município, sem prejuízo da continuidade dos serviços contratados.</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No que se refere à utilização de processos digitais, à anexação de documen</w:t>
      </w:r>
      <w:r>
        <w:rPr>
          <w:rFonts w:ascii="Calibri" w:hAnsi="Calibri" w:cs="Calibri"/>
          <w:sz w:val="24"/>
        </w:rPr>
        <w:t>tos nos módulos do sistema e à carga diária de dados pelos usuários, a contratada deverá assegurar suporte integral, contínuo e irrestrito, não sendo admitidas limitações técnicas ou contratuais que comprometam o uso pleno da solução. A plataforma deverá d</w:t>
      </w:r>
      <w:r>
        <w:rPr>
          <w:rFonts w:ascii="Calibri" w:hAnsi="Calibri" w:cs="Calibri"/>
          <w:sz w:val="24"/>
        </w:rPr>
        <w:t>isponibilizar capacidade de armazenamento ilimitada, contemplando todos os recursos ofertados, inclusive arquivos anexados, uploads realizados e registros operacionais gerados ao longo da utilização do sistema.</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Com base nessas premissas, estima-se a necess</w:t>
      </w:r>
      <w:r>
        <w:rPr>
          <w:rFonts w:ascii="Calibri" w:hAnsi="Calibri" w:cs="Calibri"/>
          <w:sz w:val="24"/>
        </w:rPr>
        <w:t>idade de contratação de um conjunto abrangente de módulos, apto a atender a totalidade dos setores da Administração Municipal, conforme detalhamento a ser apresentado na tabela a seguir.</w:t>
      </w:r>
    </w:p>
    <w:tbl>
      <w:tblPr>
        <w:tblStyle w:val="Tabelacomgrade"/>
        <w:tblpPr w:leftFromText="180" w:rightFromText="180" w:vertAnchor="text" w:horzAnchor="page" w:tblpX="1228" w:tblpY="289"/>
        <w:tblOverlap w:val="never"/>
        <w:tblW w:w="9732" w:type="dxa"/>
        <w:tblLayout w:type="fixed"/>
        <w:tblLook w:val="04A0" w:firstRow="1" w:lastRow="0" w:firstColumn="1" w:lastColumn="0" w:noHBand="0" w:noVBand="1"/>
      </w:tblPr>
      <w:tblGrid>
        <w:gridCol w:w="627"/>
        <w:gridCol w:w="4725"/>
        <w:gridCol w:w="720"/>
        <w:gridCol w:w="735"/>
        <w:gridCol w:w="1410"/>
        <w:gridCol w:w="1515"/>
      </w:tblGrid>
      <w:tr w:rsidR="00BC2FF2">
        <w:tc>
          <w:tcPr>
            <w:tcW w:w="9732" w:type="dxa"/>
            <w:gridSpan w:val="6"/>
            <w:shd w:val="clear" w:color="auto" w:fill="CFCDCD" w:themeFill="background2" w:themeFillShade="E5"/>
          </w:tcPr>
          <w:p w:rsidR="00BC2FF2" w:rsidRDefault="00C719D1">
            <w:pPr>
              <w:jc w:val="both"/>
              <w:rPr>
                <w:rFonts w:ascii="Calibri" w:hAnsi="Calibri" w:cs="Calibri"/>
                <w:b/>
                <w:bCs/>
                <w:sz w:val="21"/>
                <w:szCs w:val="21"/>
                <w:lang w:val="pt-BR"/>
              </w:rPr>
            </w:pPr>
            <w:r>
              <w:rPr>
                <w:rFonts w:ascii="Calibri" w:hAnsi="Calibri" w:cs="Calibri"/>
                <w:b/>
                <w:bCs/>
                <w:sz w:val="21"/>
                <w:szCs w:val="21"/>
                <w:lang w:val="pt-BR"/>
              </w:rPr>
              <w:t>SISTEMAS PARA A PREFEITURA MUNICIPAL</w:t>
            </w:r>
          </w:p>
        </w:tc>
      </w:tr>
      <w:tr w:rsidR="00BC2FF2">
        <w:tc>
          <w:tcPr>
            <w:tcW w:w="627" w:type="dxa"/>
            <w:shd w:val="clear" w:color="auto" w:fill="CFCDCD" w:themeFill="background2" w:themeFillShade="E5"/>
          </w:tcPr>
          <w:p w:rsidR="00BC2FF2" w:rsidRDefault="00C719D1">
            <w:pPr>
              <w:jc w:val="center"/>
              <w:rPr>
                <w:rFonts w:ascii="Calibri" w:eastAsia="SimSun" w:hAnsi="Calibri" w:cs="Calibri"/>
                <w:b/>
                <w:bCs/>
                <w:color w:val="000000"/>
                <w:sz w:val="21"/>
                <w:szCs w:val="21"/>
              </w:rPr>
            </w:pPr>
            <w:r>
              <w:rPr>
                <w:rFonts w:ascii="Calibri" w:eastAsia="SimSun" w:hAnsi="Calibri" w:cs="Calibri"/>
                <w:b/>
                <w:bCs/>
                <w:color w:val="000000"/>
                <w:sz w:val="21"/>
                <w:szCs w:val="21"/>
              </w:rPr>
              <w:t>Item</w:t>
            </w:r>
          </w:p>
        </w:tc>
        <w:tc>
          <w:tcPr>
            <w:tcW w:w="4725" w:type="dxa"/>
            <w:shd w:val="clear" w:color="auto" w:fill="CFCDCD" w:themeFill="background2" w:themeFillShade="E5"/>
          </w:tcPr>
          <w:p w:rsidR="00BC2FF2" w:rsidRDefault="00C719D1">
            <w:pPr>
              <w:jc w:val="center"/>
              <w:rPr>
                <w:rFonts w:ascii="Calibri" w:eastAsia="SimSun" w:hAnsi="Calibri" w:cs="Calibri"/>
                <w:b/>
                <w:bCs/>
                <w:color w:val="000000"/>
                <w:sz w:val="21"/>
                <w:szCs w:val="21"/>
                <w:lang w:val="pt-BR"/>
              </w:rPr>
            </w:pPr>
            <w:r>
              <w:rPr>
                <w:rFonts w:ascii="Calibri" w:eastAsia="SimSun" w:hAnsi="Calibri" w:cs="Calibri"/>
                <w:b/>
                <w:bCs/>
                <w:color w:val="000000"/>
                <w:sz w:val="21"/>
                <w:szCs w:val="21"/>
              </w:rPr>
              <w:t>Descrição do objeto</w:t>
            </w:r>
          </w:p>
        </w:tc>
        <w:tc>
          <w:tcPr>
            <w:tcW w:w="720" w:type="dxa"/>
            <w:shd w:val="clear" w:color="auto" w:fill="CFCDCD" w:themeFill="background2" w:themeFillShade="E5"/>
          </w:tcPr>
          <w:p w:rsidR="00BC2FF2" w:rsidRDefault="00C719D1">
            <w:pPr>
              <w:jc w:val="center"/>
              <w:rPr>
                <w:rFonts w:ascii="Calibri" w:eastAsia="SimSun" w:hAnsi="Calibri" w:cs="Calibri"/>
                <w:b/>
                <w:bCs/>
                <w:color w:val="000000"/>
                <w:sz w:val="21"/>
                <w:szCs w:val="21"/>
              </w:rPr>
            </w:pPr>
            <w:r>
              <w:rPr>
                <w:rFonts w:ascii="Calibri" w:eastAsia="SimSun" w:hAnsi="Calibri" w:cs="Calibri"/>
                <w:b/>
                <w:bCs/>
                <w:color w:val="000000"/>
                <w:sz w:val="21"/>
                <w:szCs w:val="21"/>
              </w:rPr>
              <w:t>Qtde.</w:t>
            </w:r>
          </w:p>
        </w:tc>
        <w:tc>
          <w:tcPr>
            <w:tcW w:w="735" w:type="dxa"/>
            <w:shd w:val="clear" w:color="auto" w:fill="CFCDCD" w:themeFill="background2" w:themeFillShade="E5"/>
          </w:tcPr>
          <w:p w:rsidR="00BC2FF2" w:rsidRDefault="00C719D1">
            <w:pPr>
              <w:jc w:val="center"/>
              <w:rPr>
                <w:rFonts w:ascii="Calibri" w:eastAsia="SimSun" w:hAnsi="Calibri" w:cs="Calibri"/>
                <w:b/>
                <w:bCs/>
                <w:color w:val="000000"/>
                <w:sz w:val="21"/>
                <w:szCs w:val="21"/>
              </w:rPr>
            </w:pPr>
            <w:r>
              <w:rPr>
                <w:rFonts w:ascii="Calibri" w:eastAsia="SimSun" w:hAnsi="Calibri" w:cs="Calibri"/>
                <w:b/>
                <w:bCs/>
                <w:color w:val="000000"/>
                <w:sz w:val="21"/>
                <w:szCs w:val="21"/>
              </w:rPr>
              <w:t>Unid.</w:t>
            </w:r>
          </w:p>
        </w:tc>
        <w:tc>
          <w:tcPr>
            <w:tcW w:w="1410" w:type="dxa"/>
            <w:shd w:val="clear" w:color="auto" w:fill="CFCDCD" w:themeFill="background2" w:themeFillShade="E5"/>
          </w:tcPr>
          <w:p w:rsidR="00BC2FF2" w:rsidRDefault="00C719D1">
            <w:pPr>
              <w:jc w:val="center"/>
              <w:rPr>
                <w:rFonts w:ascii="Calibri" w:eastAsia="SimSun" w:hAnsi="Calibri" w:cs="Calibri"/>
                <w:b/>
                <w:bCs/>
                <w:color w:val="000000"/>
                <w:sz w:val="21"/>
                <w:szCs w:val="21"/>
                <w:lang w:val="pt-BR"/>
              </w:rPr>
            </w:pPr>
            <w:r>
              <w:rPr>
                <w:rFonts w:ascii="Calibri" w:eastAsia="SimSun" w:hAnsi="Calibri" w:cs="Calibri"/>
                <w:b/>
                <w:bCs/>
                <w:color w:val="000000"/>
                <w:sz w:val="21"/>
                <w:szCs w:val="21"/>
              </w:rPr>
              <w:t>Valor unit</w:t>
            </w:r>
            <w:r>
              <w:rPr>
                <w:rFonts w:ascii="Calibri" w:eastAsia="SimSun" w:hAnsi="Calibri" w:cs="Calibri"/>
                <w:b/>
                <w:bCs/>
                <w:color w:val="000000"/>
                <w:sz w:val="21"/>
                <w:szCs w:val="21"/>
                <w:lang w:val="pt-BR"/>
              </w:rPr>
              <w:t>.</w:t>
            </w:r>
          </w:p>
        </w:tc>
        <w:tc>
          <w:tcPr>
            <w:tcW w:w="1515" w:type="dxa"/>
            <w:shd w:val="clear" w:color="auto" w:fill="CFCDCD" w:themeFill="background2" w:themeFillShade="E5"/>
          </w:tcPr>
          <w:p w:rsidR="00BC2FF2" w:rsidRDefault="00C719D1">
            <w:pPr>
              <w:jc w:val="center"/>
              <w:rPr>
                <w:rFonts w:ascii="Calibri" w:eastAsia="SimSun" w:hAnsi="Calibri" w:cs="Calibri"/>
                <w:b/>
                <w:bCs/>
                <w:color w:val="000000"/>
                <w:sz w:val="21"/>
                <w:szCs w:val="21"/>
                <w:lang w:val="pt-BR"/>
              </w:rPr>
            </w:pPr>
            <w:r>
              <w:rPr>
                <w:rFonts w:ascii="Calibri" w:eastAsia="SimSun" w:hAnsi="Calibri" w:cs="Calibri"/>
                <w:b/>
                <w:bCs/>
                <w:color w:val="000000"/>
                <w:sz w:val="21"/>
                <w:szCs w:val="21"/>
              </w:rPr>
              <w:t>Valor total</w:t>
            </w:r>
          </w:p>
        </w:tc>
      </w:tr>
      <w:tr w:rsidR="00BC2FF2">
        <w:tc>
          <w:tcPr>
            <w:tcW w:w="627"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01</w:t>
            </w:r>
          </w:p>
        </w:tc>
        <w:tc>
          <w:tcPr>
            <w:tcW w:w="4725" w:type="dxa"/>
            <w:shd w:val="clear" w:color="auto" w:fill="auto"/>
          </w:tcPr>
          <w:p w:rsidR="00BC2FF2" w:rsidRDefault="00C719D1">
            <w:pPr>
              <w:jc w:val="both"/>
              <w:rPr>
                <w:rFonts w:ascii="Calibri" w:eastAsia="Times New Roman" w:hAnsi="Calibri" w:cs="Calibri"/>
                <w:sz w:val="21"/>
                <w:szCs w:val="21"/>
                <w:lang w:val="pt-BR"/>
              </w:rPr>
            </w:pPr>
            <w:r>
              <w:rPr>
                <w:rFonts w:ascii="Calibri" w:hAnsi="Calibri" w:cs="Calibri"/>
                <w:sz w:val="21"/>
                <w:szCs w:val="21"/>
              </w:rPr>
              <w:t xml:space="preserve">Serviço de </w:t>
            </w:r>
            <w:r>
              <w:rPr>
                <w:rFonts w:ascii="Calibri" w:hAnsi="Calibri" w:cs="Calibri"/>
                <w:sz w:val="21"/>
                <w:szCs w:val="21"/>
                <w:lang w:val="pt-BR"/>
              </w:rPr>
              <w:t>implantação dos sistemas (análise, conversão, migração, configuração e treinamento)</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01</w:t>
            </w:r>
          </w:p>
        </w:tc>
        <w:tc>
          <w:tcPr>
            <w:tcW w:w="735"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lang w:val="pt-BR"/>
              </w:rPr>
              <w:t>Sv</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71.004,00</w:t>
            </w:r>
          </w:p>
        </w:tc>
        <w:tc>
          <w:tcPr>
            <w:tcW w:w="1515" w:type="dxa"/>
            <w:shd w:val="clear" w:color="auto" w:fill="auto"/>
            <w:vAlign w:val="center"/>
          </w:tcPr>
          <w:p w:rsidR="00BC2FF2" w:rsidRDefault="00C719D1">
            <w:pPr>
              <w:jc w:val="center"/>
              <w:rPr>
                <w:rFonts w:ascii="Calibri" w:eastAsia="SimSun" w:hAnsi="Calibri" w:cs="Calibri"/>
                <w:color w:val="000000"/>
                <w:sz w:val="21"/>
                <w:szCs w:val="21"/>
              </w:rPr>
            </w:pPr>
            <w:r>
              <w:rPr>
                <w:rFonts w:ascii="Calibri" w:hAnsi="Calibri" w:cs="Calibri"/>
                <w:sz w:val="21"/>
                <w:szCs w:val="21"/>
              </w:rPr>
              <w:t>R$</w:t>
            </w:r>
            <w:r>
              <w:rPr>
                <w:rFonts w:ascii="Calibri" w:hAnsi="Calibri" w:cs="Calibri"/>
                <w:sz w:val="21"/>
                <w:szCs w:val="21"/>
                <w:lang w:val="pt-BR"/>
              </w:rPr>
              <w:t xml:space="preserve"> 71.004,00</w:t>
            </w:r>
          </w:p>
        </w:tc>
      </w:tr>
      <w:tr w:rsidR="00BC2FF2">
        <w:tc>
          <w:tcPr>
            <w:tcW w:w="627"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lang w:val="pt-BR"/>
              </w:rPr>
              <w:t>02</w:t>
            </w:r>
          </w:p>
        </w:tc>
        <w:tc>
          <w:tcPr>
            <w:tcW w:w="4725" w:type="dxa"/>
            <w:shd w:val="clear" w:color="auto" w:fill="auto"/>
          </w:tcPr>
          <w:p w:rsidR="00BC2FF2" w:rsidRDefault="00C719D1">
            <w:pPr>
              <w:rPr>
                <w:rFonts w:ascii="Calibri" w:eastAsia="Times New Roman"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contabilidade pública</w:t>
            </w:r>
          </w:p>
        </w:tc>
        <w:tc>
          <w:tcPr>
            <w:tcW w:w="720"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1.898,63</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22.783,56</w:t>
            </w:r>
          </w:p>
        </w:tc>
      </w:tr>
      <w:tr w:rsidR="00BC2FF2">
        <w:trPr>
          <w:trHeight w:val="90"/>
        </w:trPr>
        <w:tc>
          <w:tcPr>
            <w:tcW w:w="627"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lang w:val="pt-BR"/>
              </w:rPr>
              <w:t>03</w:t>
            </w:r>
          </w:p>
        </w:tc>
        <w:tc>
          <w:tcPr>
            <w:tcW w:w="4725" w:type="dxa"/>
            <w:shd w:val="clear" w:color="auto" w:fill="auto"/>
          </w:tcPr>
          <w:p w:rsidR="00BC2FF2" w:rsidRDefault="00C719D1">
            <w:pPr>
              <w:rPr>
                <w:rFonts w:ascii="Calibri" w:eastAsia="Times New Roman"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planejamento </w:t>
            </w:r>
            <w:r>
              <w:rPr>
                <w:rFonts w:ascii="Calibri" w:hAnsi="Calibri" w:cs="Calibri"/>
                <w:sz w:val="21"/>
                <w:szCs w:val="21"/>
                <w:lang w:val="pt-BR"/>
              </w:rPr>
              <w:t>e orçamento</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825,00</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9.900,00</w:t>
            </w:r>
          </w:p>
        </w:tc>
      </w:tr>
      <w:tr w:rsidR="00BC2FF2">
        <w:tc>
          <w:tcPr>
            <w:tcW w:w="627"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04</w:t>
            </w:r>
          </w:p>
        </w:tc>
        <w:tc>
          <w:tcPr>
            <w:tcW w:w="4725" w:type="dxa"/>
            <w:shd w:val="clear" w:color="auto" w:fill="auto"/>
          </w:tcPr>
          <w:p w:rsidR="00BC2FF2" w:rsidRDefault="00C719D1">
            <w:pPr>
              <w:rPr>
                <w:rFonts w:ascii="Calibri" w:hAnsi="Calibri" w:cs="Calibri"/>
                <w:sz w:val="21"/>
                <w:szCs w:val="21"/>
              </w:rPr>
            </w:pPr>
            <w:r>
              <w:rPr>
                <w:rFonts w:ascii="Calibri" w:hAnsi="Calibri" w:cs="Calibri"/>
                <w:sz w:val="21"/>
                <w:szCs w:val="21"/>
                <w:lang w:val="pt-BR"/>
              </w:rPr>
              <w:t>Módulo de SIOPS/SIOPE</w:t>
            </w:r>
          </w:p>
        </w:tc>
        <w:tc>
          <w:tcPr>
            <w:tcW w:w="720"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679,00</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8.705,64</w:t>
            </w:r>
          </w:p>
        </w:tc>
      </w:tr>
      <w:tr w:rsidR="00BC2FF2">
        <w:tc>
          <w:tcPr>
            <w:tcW w:w="627"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05</w:t>
            </w:r>
          </w:p>
        </w:tc>
        <w:tc>
          <w:tcPr>
            <w:tcW w:w="4725" w:type="dxa"/>
            <w:shd w:val="clear" w:color="auto" w:fill="auto"/>
          </w:tcPr>
          <w:p w:rsidR="00BC2FF2" w:rsidRDefault="00C719D1">
            <w:pPr>
              <w:pStyle w:val="Sumrio1"/>
              <w:tabs>
                <w:tab w:val="right" w:pos="9638"/>
              </w:tabs>
              <w:rPr>
                <w:rFonts w:ascii="Calibri" w:eastAsia="Times New Roman" w:hAnsi="Calibri" w:cs="Calibri"/>
                <w:sz w:val="21"/>
                <w:szCs w:val="21"/>
                <w:lang w:val="pt-BR"/>
              </w:rPr>
            </w:pPr>
            <w:r>
              <w:rPr>
                <w:rFonts w:ascii="Calibri" w:hAnsi="Calibri" w:cs="Calibri"/>
                <w:sz w:val="21"/>
                <w:szCs w:val="21"/>
              </w:rPr>
              <w:t xml:space="preserve">Módulo </w:t>
            </w:r>
            <w:r>
              <w:rPr>
                <w:rFonts w:ascii="Calibri" w:hAnsi="Calibri" w:cs="Calibri"/>
                <w:sz w:val="21"/>
                <w:szCs w:val="21"/>
                <w:lang w:val="pt-BR"/>
              </w:rPr>
              <w:t>de controle interno</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470,08</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5.640,96</w:t>
            </w:r>
          </w:p>
        </w:tc>
      </w:tr>
      <w:tr w:rsidR="00BC2FF2">
        <w:tc>
          <w:tcPr>
            <w:tcW w:w="627"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06</w:t>
            </w:r>
          </w:p>
        </w:tc>
        <w:tc>
          <w:tcPr>
            <w:tcW w:w="4725" w:type="dxa"/>
            <w:shd w:val="clear" w:color="auto" w:fill="auto"/>
          </w:tcPr>
          <w:p w:rsidR="00BC2FF2" w:rsidRDefault="00C719D1">
            <w:pPr>
              <w:pStyle w:val="Sumrio1"/>
              <w:tabs>
                <w:tab w:val="right" w:pos="9638"/>
              </w:tabs>
              <w:rPr>
                <w:rFonts w:ascii="Calibri" w:eastAsia="Times New Roman"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contratos e </w:t>
            </w:r>
            <w:r>
              <w:rPr>
                <w:rFonts w:ascii="Calibri" w:hAnsi="Calibri" w:cs="Calibri"/>
                <w:sz w:val="21"/>
                <w:szCs w:val="21"/>
              </w:rPr>
              <w:t>convênios</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511,40</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8.148,00</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07</w:t>
            </w:r>
          </w:p>
        </w:tc>
        <w:tc>
          <w:tcPr>
            <w:tcW w:w="4725" w:type="dxa"/>
            <w:shd w:val="clear" w:color="auto" w:fill="auto"/>
          </w:tcPr>
          <w:p w:rsidR="00BC2FF2" w:rsidRDefault="00C719D1">
            <w:pPr>
              <w:pStyle w:val="Sumrio1"/>
              <w:tabs>
                <w:tab w:val="right" w:pos="9638"/>
              </w:tabs>
              <w:rPr>
                <w:rFonts w:ascii="Calibri" w:eastAsia="Times New Roman"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tesouraria</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725,47</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6.136,80</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08</w:t>
            </w:r>
          </w:p>
        </w:tc>
        <w:tc>
          <w:tcPr>
            <w:tcW w:w="4725" w:type="dxa"/>
            <w:shd w:val="clear" w:color="auto" w:fill="auto"/>
          </w:tcPr>
          <w:p w:rsidR="00BC2FF2" w:rsidRDefault="00C719D1">
            <w:pPr>
              <w:pStyle w:val="Sumrio1"/>
              <w:tabs>
                <w:tab w:val="right" w:pos="9638"/>
              </w:tabs>
              <w:rPr>
                <w:rFonts w:ascii="Calibri"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compras</w:t>
            </w:r>
            <w:r>
              <w:rPr>
                <w:rFonts w:ascii="Calibri" w:hAnsi="Calibri" w:cs="Calibri"/>
                <w:sz w:val="21"/>
                <w:szCs w:val="21"/>
                <w:lang w:val="pt-BR"/>
              </w:rPr>
              <w:t xml:space="preserve"> e</w:t>
            </w:r>
            <w:r>
              <w:rPr>
                <w:rFonts w:ascii="Calibri" w:hAnsi="Calibri" w:cs="Calibri"/>
                <w:sz w:val="21"/>
                <w:szCs w:val="21"/>
              </w:rPr>
              <w:t xml:space="preserve"> licitações</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1.149,62</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13.795,44</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09</w:t>
            </w:r>
          </w:p>
        </w:tc>
        <w:tc>
          <w:tcPr>
            <w:tcW w:w="4725" w:type="dxa"/>
            <w:shd w:val="clear" w:color="auto" w:fill="auto"/>
          </w:tcPr>
          <w:p w:rsidR="00BC2FF2" w:rsidRDefault="00C719D1">
            <w:pPr>
              <w:pStyle w:val="Sumrio1"/>
              <w:tabs>
                <w:tab w:val="right" w:pos="9638"/>
              </w:tabs>
              <w:rPr>
                <w:rFonts w:ascii="Calibri" w:hAnsi="Calibri" w:cs="Calibri"/>
                <w:sz w:val="21"/>
                <w:szCs w:val="21"/>
                <w:lang w:val="pt-BR"/>
              </w:rPr>
            </w:pPr>
            <w:r>
              <w:rPr>
                <w:rFonts w:ascii="Calibri" w:hAnsi="Calibri" w:cs="Calibri"/>
                <w:sz w:val="21"/>
                <w:szCs w:val="21"/>
                <w:lang w:val="pt-BR"/>
              </w:rPr>
              <w:t>Módulo Licitacon Obras</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lang w:val="pt-BR"/>
              </w:rPr>
              <w:t>R$ 631,02</w:t>
            </w:r>
          </w:p>
        </w:tc>
        <w:tc>
          <w:tcPr>
            <w:tcW w:w="1515" w:type="dxa"/>
            <w:shd w:val="clear" w:color="auto" w:fill="auto"/>
            <w:vAlign w:val="bottom"/>
          </w:tcPr>
          <w:p w:rsidR="00BC2FF2" w:rsidRDefault="00C719D1">
            <w:pPr>
              <w:jc w:val="center"/>
              <w:rPr>
                <w:rFonts w:ascii="Calibri" w:hAnsi="Calibri" w:cs="Calibri"/>
                <w:sz w:val="21"/>
                <w:szCs w:val="21"/>
                <w:lang w:val="pt-BR"/>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7.572,24</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10</w:t>
            </w:r>
          </w:p>
        </w:tc>
        <w:tc>
          <w:tcPr>
            <w:tcW w:w="4725" w:type="dxa"/>
            <w:shd w:val="clear" w:color="auto" w:fill="auto"/>
          </w:tcPr>
          <w:p w:rsidR="00BC2FF2" w:rsidRDefault="00C719D1">
            <w:pPr>
              <w:pStyle w:val="Sumrio1"/>
              <w:tabs>
                <w:tab w:val="right" w:pos="9638"/>
              </w:tabs>
              <w:rPr>
                <w:rFonts w:ascii="Calibri" w:eastAsia="Times New Roman" w:hAnsi="Calibri" w:cs="Calibri"/>
                <w:sz w:val="21"/>
                <w:szCs w:val="21"/>
              </w:rPr>
            </w:pPr>
            <w:r>
              <w:rPr>
                <w:rFonts w:ascii="Calibri" w:hAnsi="Calibri" w:cs="Calibri"/>
                <w:sz w:val="21"/>
                <w:szCs w:val="21"/>
              </w:rPr>
              <w:t>Módulo</w:t>
            </w:r>
            <w:r>
              <w:rPr>
                <w:rFonts w:ascii="Calibri" w:hAnsi="Calibri" w:cs="Calibri"/>
                <w:sz w:val="21"/>
                <w:szCs w:val="21"/>
                <w:lang w:val="pt-BR"/>
              </w:rPr>
              <w:t xml:space="preserve"> de</w:t>
            </w:r>
            <w:r>
              <w:rPr>
                <w:rFonts w:ascii="Calibri" w:hAnsi="Calibri" w:cs="Calibri"/>
                <w:sz w:val="21"/>
                <w:szCs w:val="21"/>
              </w:rPr>
              <w:t xml:space="preserve"> tributos municipais</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622,00</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9.138,84</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11</w:t>
            </w:r>
          </w:p>
        </w:tc>
        <w:tc>
          <w:tcPr>
            <w:tcW w:w="4725" w:type="dxa"/>
            <w:shd w:val="clear" w:color="auto" w:fill="auto"/>
          </w:tcPr>
          <w:p w:rsidR="00BC2FF2" w:rsidRDefault="00C719D1">
            <w:pPr>
              <w:pStyle w:val="Sumrio1"/>
              <w:tabs>
                <w:tab w:val="right" w:pos="9638"/>
              </w:tabs>
              <w:rPr>
                <w:rFonts w:ascii="Calibri" w:eastAsia="Times New Roman"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 xml:space="preserve">controle e arrecadação da dívida </w:t>
            </w:r>
            <w:r>
              <w:rPr>
                <w:rFonts w:ascii="Calibri" w:hAnsi="Calibri" w:cs="Calibri"/>
                <w:sz w:val="21"/>
                <w:szCs w:val="21"/>
              </w:rPr>
              <w:t>ativa</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484,35</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8.844,00</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12</w:t>
            </w:r>
          </w:p>
        </w:tc>
        <w:tc>
          <w:tcPr>
            <w:tcW w:w="4725" w:type="dxa"/>
            <w:shd w:val="clear" w:color="auto" w:fill="auto"/>
          </w:tcPr>
          <w:p w:rsidR="00BC2FF2" w:rsidRDefault="00C719D1">
            <w:pPr>
              <w:pStyle w:val="Sumrio1"/>
              <w:tabs>
                <w:tab w:val="right" w:pos="9638"/>
              </w:tabs>
              <w:rPr>
                <w:rFonts w:ascii="Calibri" w:eastAsia="Times New Roman"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ISSQN</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484,35</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8.128,56</w:t>
            </w:r>
          </w:p>
        </w:tc>
      </w:tr>
      <w:tr w:rsidR="00BC2FF2">
        <w:trPr>
          <w:trHeight w:val="171"/>
        </w:trPr>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13</w:t>
            </w:r>
          </w:p>
        </w:tc>
        <w:tc>
          <w:tcPr>
            <w:tcW w:w="4725" w:type="dxa"/>
            <w:shd w:val="clear" w:color="auto" w:fill="auto"/>
          </w:tcPr>
          <w:p w:rsidR="00BC2FF2" w:rsidRDefault="00C719D1">
            <w:pPr>
              <w:pStyle w:val="Sumrio1"/>
              <w:tabs>
                <w:tab w:val="right" w:pos="9638"/>
              </w:tabs>
              <w:rPr>
                <w:rFonts w:ascii="Calibri" w:eastAsia="Times New Roman"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CDA’s e protestos</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435,19</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7.464,00</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14</w:t>
            </w:r>
          </w:p>
        </w:tc>
        <w:tc>
          <w:tcPr>
            <w:tcW w:w="4725" w:type="dxa"/>
            <w:shd w:val="clear" w:color="auto" w:fill="auto"/>
          </w:tcPr>
          <w:p w:rsidR="00BC2FF2" w:rsidRDefault="00C719D1">
            <w:pPr>
              <w:pStyle w:val="Sumrio1"/>
              <w:tabs>
                <w:tab w:val="right" w:pos="9638"/>
              </w:tabs>
              <w:rPr>
                <w:rFonts w:ascii="Calibri" w:eastAsia="Times New Roman"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ISS eletrônico e controle fiscal</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484,35</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5.812,20</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15</w:t>
            </w:r>
          </w:p>
        </w:tc>
        <w:tc>
          <w:tcPr>
            <w:tcW w:w="4725" w:type="dxa"/>
            <w:shd w:val="clear" w:color="auto" w:fill="auto"/>
          </w:tcPr>
          <w:p w:rsidR="00BC2FF2" w:rsidRDefault="00C719D1">
            <w:pPr>
              <w:pStyle w:val="Sumrio1"/>
              <w:tabs>
                <w:tab w:val="right" w:pos="9638"/>
              </w:tabs>
              <w:rPr>
                <w:rFonts w:ascii="Calibri" w:eastAsia="Times New Roman"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controle do IPTU</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484,35</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5.812,20</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16</w:t>
            </w:r>
          </w:p>
        </w:tc>
        <w:tc>
          <w:tcPr>
            <w:tcW w:w="4725" w:type="dxa"/>
            <w:shd w:val="clear" w:color="auto" w:fill="auto"/>
          </w:tcPr>
          <w:p w:rsidR="00BC2FF2" w:rsidRDefault="00C719D1">
            <w:pPr>
              <w:pStyle w:val="Sumrio1"/>
              <w:tabs>
                <w:tab w:val="right" w:pos="9638"/>
              </w:tabs>
              <w:rPr>
                <w:rFonts w:ascii="Calibri" w:eastAsia="Times New Roman"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do </w:t>
            </w:r>
            <w:r>
              <w:rPr>
                <w:rFonts w:ascii="Calibri" w:hAnsi="Calibri" w:cs="Calibri"/>
                <w:sz w:val="21"/>
                <w:szCs w:val="21"/>
              </w:rPr>
              <w:t>ITBI eletrônico</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435,19</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5.222,28</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17</w:t>
            </w:r>
          </w:p>
        </w:tc>
        <w:tc>
          <w:tcPr>
            <w:tcW w:w="4725" w:type="dxa"/>
            <w:shd w:val="clear" w:color="auto" w:fill="auto"/>
          </w:tcPr>
          <w:p w:rsidR="00BC2FF2" w:rsidRDefault="00C719D1">
            <w:pPr>
              <w:pStyle w:val="Sumrio1"/>
              <w:tabs>
                <w:tab w:val="right" w:pos="9638"/>
              </w:tabs>
              <w:rPr>
                <w:rFonts w:ascii="Calibri" w:eastAsia="Times New Roman"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nota fiscal de serviços eletrônica</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959,70</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5.812,20</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18</w:t>
            </w:r>
          </w:p>
        </w:tc>
        <w:tc>
          <w:tcPr>
            <w:tcW w:w="4725" w:type="dxa"/>
            <w:shd w:val="clear" w:color="auto" w:fill="auto"/>
          </w:tcPr>
          <w:p w:rsidR="00BC2FF2" w:rsidRDefault="00C719D1">
            <w:pPr>
              <w:pStyle w:val="Sumrio1"/>
              <w:tabs>
                <w:tab w:val="right" w:pos="9638"/>
              </w:tabs>
              <w:rPr>
                <w:rFonts w:ascii="Calibri" w:hAnsi="Calibri" w:cs="Calibri"/>
                <w:sz w:val="21"/>
                <w:szCs w:val="21"/>
              </w:rPr>
            </w:pPr>
            <w:r>
              <w:rPr>
                <w:rFonts w:ascii="Calibri" w:hAnsi="Calibri" w:cs="Calibri"/>
                <w:sz w:val="21"/>
                <w:szCs w:val="21"/>
              </w:rPr>
              <w:t>Módulo de produção primária</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 xml:space="preserve">R$ 437,02 </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 xml:space="preserve">R$ 5.244,24 </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19</w:t>
            </w:r>
          </w:p>
        </w:tc>
        <w:tc>
          <w:tcPr>
            <w:tcW w:w="4725" w:type="dxa"/>
            <w:shd w:val="clear" w:color="auto" w:fill="auto"/>
          </w:tcPr>
          <w:p w:rsidR="00BC2FF2" w:rsidRDefault="00C719D1">
            <w:pPr>
              <w:pStyle w:val="Sumrio1"/>
              <w:tabs>
                <w:tab w:val="right" w:pos="9638"/>
              </w:tabs>
              <w:rPr>
                <w:rFonts w:ascii="Calibri" w:hAnsi="Calibri" w:cs="Calibri"/>
                <w:sz w:val="21"/>
                <w:szCs w:val="21"/>
              </w:rPr>
            </w:pPr>
            <w:r>
              <w:rPr>
                <w:rFonts w:ascii="Calibri" w:hAnsi="Calibri" w:cs="Calibri"/>
                <w:sz w:val="21"/>
                <w:szCs w:val="21"/>
              </w:rPr>
              <w:t xml:space="preserve">Módulo de financiamentos </w:t>
            </w:r>
            <w:r>
              <w:rPr>
                <w:rFonts w:ascii="Calibri" w:hAnsi="Calibri" w:cs="Calibri"/>
                <w:sz w:val="21"/>
                <w:szCs w:val="21"/>
              </w:rPr>
              <w:t>diversos</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 xml:space="preserve">R$ 546,27 </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 xml:space="preserve">R$ 6.555,24 </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20</w:t>
            </w:r>
          </w:p>
        </w:tc>
        <w:tc>
          <w:tcPr>
            <w:tcW w:w="4725" w:type="dxa"/>
            <w:shd w:val="clear" w:color="auto" w:fill="auto"/>
          </w:tcPr>
          <w:p w:rsidR="00BC2FF2" w:rsidRDefault="00C719D1">
            <w:pPr>
              <w:pStyle w:val="Sumrio1"/>
              <w:tabs>
                <w:tab w:val="right" w:pos="9638"/>
              </w:tabs>
              <w:rPr>
                <w:rFonts w:ascii="Calibri" w:hAnsi="Calibri" w:cs="Calibri"/>
                <w:sz w:val="21"/>
                <w:szCs w:val="21"/>
              </w:rPr>
            </w:pPr>
            <w:r>
              <w:rPr>
                <w:rFonts w:ascii="Calibri" w:hAnsi="Calibri" w:cs="Calibri"/>
                <w:sz w:val="21"/>
                <w:szCs w:val="21"/>
              </w:rPr>
              <w:t>Módulo de controle de cemitérios</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 xml:space="preserve">R$ 651,92 </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 xml:space="preserve">R$ 7.823,04 </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21</w:t>
            </w:r>
          </w:p>
        </w:tc>
        <w:tc>
          <w:tcPr>
            <w:tcW w:w="4725" w:type="dxa"/>
            <w:shd w:val="clear" w:color="auto" w:fill="auto"/>
          </w:tcPr>
          <w:p w:rsidR="00BC2FF2" w:rsidRDefault="00C719D1">
            <w:pPr>
              <w:pStyle w:val="Sumrio1"/>
              <w:tabs>
                <w:tab w:val="right" w:pos="9638"/>
              </w:tabs>
              <w:rPr>
                <w:rFonts w:ascii="Calibri" w:eastAsia="Times New Roman" w:hAnsi="Calibri" w:cs="Calibri"/>
                <w:sz w:val="21"/>
                <w:szCs w:val="21"/>
              </w:rPr>
            </w:pPr>
            <w:r>
              <w:rPr>
                <w:rFonts w:ascii="Calibri" w:hAnsi="Calibri" w:cs="Calibri"/>
                <w:sz w:val="21"/>
                <w:szCs w:val="21"/>
              </w:rPr>
              <w:t>Módulo de patrimônio</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761,57</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5.812,20</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22</w:t>
            </w:r>
          </w:p>
        </w:tc>
        <w:tc>
          <w:tcPr>
            <w:tcW w:w="4725" w:type="dxa"/>
            <w:shd w:val="clear" w:color="auto" w:fill="auto"/>
          </w:tcPr>
          <w:p w:rsidR="00BC2FF2" w:rsidRDefault="00C719D1">
            <w:pPr>
              <w:pStyle w:val="Sumrio1"/>
              <w:tabs>
                <w:tab w:val="right" w:pos="9638"/>
              </w:tabs>
              <w:rPr>
                <w:rFonts w:ascii="Calibri" w:eastAsia="Times New Roman" w:hAnsi="Calibri" w:cs="Calibri"/>
                <w:sz w:val="21"/>
                <w:szCs w:val="21"/>
              </w:rPr>
            </w:pPr>
            <w:r>
              <w:rPr>
                <w:rFonts w:ascii="Calibri" w:hAnsi="Calibri" w:cs="Calibri"/>
                <w:sz w:val="21"/>
                <w:szCs w:val="21"/>
              </w:rPr>
              <w:t>Módulo de almoxarifado</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737,00</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5.222,28</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23</w:t>
            </w:r>
          </w:p>
        </w:tc>
        <w:tc>
          <w:tcPr>
            <w:tcW w:w="4725" w:type="dxa"/>
            <w:shd w:val="clear" w:color="auto" w:fill="auto"/>
          </w:tcPr>
          <w:p w:rsidR="00BC2FF2" w:rsidRDefault="00C719D1">
            <w:pPr>
              <w:pStyle w:val="Sumrio1"/>
              <w:tabs>
                <w:tab w:val="right" w:pos="9638"/>
              </w:tabs>
              <w:rPr>
                <w:rFonts w:ascii="Calibri" w:eastAsia="Times New Roman"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 xml:space="preserve">recursos humanos </w:t>
            </w:r>
            <w:r>
              <w:rPr>
                <w:rFonts w:ascii="Calibri" w:hAnsi="Calibri" w:cs="Calibri"/>
                <w:sz w:val="21"/>
                <w:szCs w:val="21"/>
                <w:lang w:val="pt-BR"/>
              </w:rPr>
              <w:t>e</w:t>
            </w:r>
            <w:r>
              <w:rPr>
                <w:rFonts w:ascii="Calibri" w:hAnsi="Calibri" w:cs="Calibri"/>
                <w:sz w:val="21"/>
                <w:szCs w:val="21"/>
              </w:rPr>
              <w:t xml:space="preserve"> folha de pagamento</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2.440,94</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11.516,40</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24</w:t>
            </w:r>
          </w:p>
        </w:tc>
        <w:tc>
          <w:tcPr>
            <w:tcW w:w="4725" w:type="dxa"/>
            <w:shd w:val="clear" w:color="auto" w:fill="auto"/>
          </w:tcPr>
          <w:p w:rsidR="00BC2FF2" w:rsidRDefault="00C719D1">
            <w:pPr>
              <w:pStyle w:val="Sumrio1"/>
              <w:tabs>
                <w:tab w:val="right" w:pos="9638"/>
              </w:tabs>
              <w:rPr>
                <w:rFonts w:ascii="Calibri" w:eastAsia="Times New Roman" w:hAnsi="Calibri" w:cs="Calibri"/>
                <w:sz w:val="21"/>
                <w:szCs w:val="21"/>
                <w:lang w:val="pt-BR"/>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ponto eletrônico</w:t>
            </w:r>
          </w:p>
        </w:tc>
        <w:tc>
          <w:tcPr>
            <w:tcW w:w="720"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836,02</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29.291,28</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25</w:t>
            </w:r>
          </w:p>
        </w:tc>
        <w:tc>
          <w:tcPr>
            <w:tcW w:w="4725" w:type="dxa"/>
            <w:shd w:val="clear" w:color="auto" w:fill="auto"/>
          </w:tcPr>
          <w:p w:rsidR="00BC2FF2" w:rsidRDefault="00C719D1">
            <w:pPr>
              <w:pStyle w:val="Sumrio1"/>
              <w:tabs>
                <w:tab w:val="right" w:pos="9638"/>
              </w:tabs>
              <w:rPr>
                <w:rFonts w:ascii="Calibri" w:eastAsia="Times New Roman" w:hAnsi="Calibri" w:cs="Calibri"/>
                <w:sz w:val="21"/>
                <w:szCs w:val="21"/>
                <w:lang w:val="pt-BR"/>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e-social</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673,70</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10.032,24</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26</w:t>
            </w:r>
          </w:p>
        </w:tc>
        <w:tc>
          <w:tcPr>
            <w:tcW w:w="4725" w:type="dxa"/>
            <w:shd w:val="clear" w:color="auto" w:fill="auto"/>
          </w:tcPr>
          <w:p w:rsidR="00BC2FF2" w:rsidRDefault="00C719D1">
            <w:pPr>
              <w:pStyle w:val="Sumrio1"/>
              <w:tabs>
                <w:tab w:val="right" w:pos="9638"/>
              </w:tabs>
              <w:rPr>
                <w:rFonts w:ascii="Calibri" w:hAnsi="Calibri" w:cs="Calibri"/>
                <w:sz w:val="21"/>
                <w:szCs w:val="21"/>
              </w:rPr>
            </w:pPr>
            <w:r>
              <w:rPr>
                <w:rFonts w:ascii="Calibri" w:hAnsi="Calibri" w:cs="Calibri"/>
                <w:sz w:val="21"/>
                <w:szCs w:val="21"/>
                <w:lang w:val="pt-BR"/>
              </w:rPr>
              <w:t>P</w:t>
            </w:r>
            <w:r>
              <w:rPr>
                <w:rFonts w:ascii="Calibri" w:hAnsi="Calibri" w:cs="Calibri"/>
                <w:sz w:val="21"/>
                <w:szCs w:val="21"/>
              </w:rPr>
              <w:t>ortal do servidor municipal</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431,04</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8.084,40</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27</w:t>
            </w:r>
          </w:p>
        </w:tc>
        <w:tc>
          <w:tcPr>
            <w:tcW w:w="4725" w:type="dxa"/>
            <w:shd w:val="clear" w:color="auto" w:fill="auto"/>
          </w:tcPr>
          <w:p w:rsidR="00BC2FF2" w:rsidRDefault="00C719D1">
            <w:pPr>
              <w:pStyle w:val="Sumrio1"/>
              <w:tabs>
                <w:tab w:val="right" w:pos="9638"/>
              </w:tabs>
              <w:rPr>
                <w:rFonts w:ascii="Calibri" w:hAnsi="Calibri" w:cs="Calibri"/>
                <w:sz w:val="21"/>
                <w:szCs w:val="21"/>
              </w:rPr>
            </w:pPr>
            <w:r>
              <w:rPr>
                <w:rFonts w:ascii="Calibri" w:hAnsi="Calibri" w:cs="Calibri"/>
                <w:sz w:val="21"/>
                <w:szCs w:val="21"/>
                <w:lang w:val="pt-BR"/>
              </w:rPr>
              <w:t>P</w:t>
            </w:r>
            <w:r>
              <w:rPr>
                <w:rFonts w:ascii="Calibri" w:hAnsi="Calibri" w:cs="Calibri"/>
                <w:sz w:val="21"/>
                <w:szCs w:val="21"/>
              </w:rPr>
              <w:t>ortal da transparência</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595,90</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5.172,48</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28</w:t>
            </w:r>
          </w:p>
        </w:tc>
        <w:tc>
          <w:tcPr>
            <w:tcW w:w="4725" w:type="dxa"/>
            <w:shd w:val="clear" w:color="auto" w:fill="auto"/>
          </w:tcPr>
          <w:p w:rsidR="00BC2FF2" w:rsidRDefault="00C719D1">
            <w:pPr>
              <w:pStyle w:val="Sumrio1"/>
              <w:tabs>
                <w:tab w:val="right" w:pos="9638"/>
              </w:tabs>
              <w:rPr>
                <w:rFonts w:ascii="Calibri" w:hAnsi="Calibri" w:cs="Calibri"/>
                <w:sz w:val="21"/>
                <w:szCs w:val="21"/>
              </w:rPr>
            </w:pPr>
            <w:r>
              <w:rPr>
                <w:rFonts w:ascii="Calibri" w:hAnsi="Calibri" w:cs="Calibri"/>
                <w:sz w:val="21"/>
                <w:szCs w:val="21"/>
                <w:lang w:val="pt-BR"/>
              </w:rPr>
              <w:t>P</w:t>
            </w:r>
            <w:r>
              <w:rPr>
                <w:rFonts w:ascii="Calibri" w:hAnsi="Calibri" w:cs="Calibri"/>
                <w:sz w:val="21"/>
                <w:szCs w:val="21"/>
              </w:rPr>
              <w:t>ortal do cidadão</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587,90</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7.150,80</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29</w:t>
            </w:r>
          </w:p>
        </w:tc>
        <w:tc>
          <w:tcPr>
            <w:tcW w:w="4725" w:type="dxa"/>
            <w:shd w:val="clear" w:color="auto" w:fill="auto"/>
          </w:tcPr>
          <w:p w:rsidR="00BC2FF2" w:rsidRDefault="00C719D1">
            <w:pPr>
              <w:pStyle w:val="Sumrio1"/>
              <w:tabs>
                <w:tab w:val="right" w:pos="9638"/>
              </w:tabs>
              <w:rPr>
                <w:rFonts w:ascii="Calibri" w:hAnsi="Calibri" w:cs="Calibri"/>
                <w:sz w:val="21"/>
                <w:szCs w:val="21"/>
              </w:rPr>
            </w:pPr>
            <w:r>
              <w:rPr>
                <w:rFonts w:ascii="Calibri" w:hAnsi="Calibri" w:cs="Calibri"/>
                <w:sz w:val="21"/>
                <w:szCs w:val="21"/>
                <w:lang w:val="pt-BR"/>
              </w:rPr>
              <w:t>Portal oficial da Prefeitura</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504,45</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6.053,40</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30</w:t>
            </w:r>
          </w:p>
        </w:tc>
        <w:tc>
          <w:tcPr>
            <w:tcW w:w="4725" w:type="dxa"/>
            <w:shd w:val="clear" w:color="auto" w:fill="auto"/>
          </w:tcPr>
          <w:p w:rsidR="00BC2FF2" w:rsidRDefault="00C719D1">
            <w:pPr>
              <w:pStyle w:val="Sumrio1"/>
              <w:tabs>
                <w:tab w:val="right" w:pos="9638"/>
              </w:tabs>
              <w:rPr>
                <w:rFonts w:ascii="Calibri" w:hAnsi="Calibri" w:cs="Calibri"/>
                <w:sz w:val="21"/>
                <w:szCs w:val="21"/>
              </w:rPr>
            </w:pPr>
            <w:r>
              <w:rPr>
                <w:rFonts w:ascii="Calibri" w:hAnsi="Calibri" w:cs="Calibri"/>
                <w:sz w:val="21"/>
                <w:szCs w:val="21"/>
              </w:rPr>
              <w:t>Módul</w:t>
            </w:r>
            <w:r>
              <w:rPr>
                <w:rFonts w:ascii="Calibri" w:hAnsi="Calibri" w:cs="Calibri"/>
                <w:sz w:val="21"/>
                <w:szCs w:val="21"/>
                <w:lang w:val="pt-BR"/>
              </w:rPr>
              <w:t>o de protocolo e</w:t>
            </w:r>
            <w:r>
              <w:rPr>
                <w:rFonts w:ascii="Calibri" w:hAnsi="Calibri" w:cs="Calibri"/>
                <w:sz w:val="21"/>
                <w:szCs w:val="21"/>
              </w:rPr>
              <w:t xml:space="preserve"> processos digitais</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753,86</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7.054,80</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eastAsia="Times New Roman" w:hAnsi="Calibri" w:cs="Calibri"/>
                <w:sz w:val="21"/>
                <w:szCs w:val="21"/>
                <w:lang w:val="pt-BR"/>
              </w:rPr>
              <w:t>31</w:t>
            </w:r>
          </w:p>
        </w:tc>
        <w:tc>
          <w:tcPr>
            <w:tcW w:w="4725" w:type="dxa"/>
            <w:shd w:val="clear" w:color="auto" w:fill="auto"/>
          </w:tcPr>
          <w:p w:rsidR="00BC2FF2" w:rsidRDefault="00C719D1">
            <w:pPr>
              <w:pStyle w:val="Sumrio1"/>
              <w:tabs>
                <w:tab w:val="right" w:pos="9638"/>
              </w:tabs>
              <w:rPr>
                <w:rFonts w:ascii="Calibri" w:hAnsi="Calibri" w:cs="Calibri"/>
                <w:sz w:val="21"/>
                <w:szCs w:val="21"/>
              </w:rPr>
            </w:pPr>
            <w:r>
              <w:rPr>
                <w:rFonts w:ascii="Calibri" w:hAnsi="Calibri" w:cs="Calibri"/>
                <w:sz w:val="21"/>
                <w:szCs w:val="21"/>
              </w:rPr>
              <w:t xml:space="preserve">Módulo </w:t>
            </w:r>
            <w:r>
              <w:rPr>
                <w:rFonts w:ascii="Calibri" w:hAnsi="Calibri" w:cs="Calibri"/>
                <w:sz w:val="21"/>
                <w:szCs w:val="21"/>
                <w:lang w:val="pt-BR"/>
              </w:rPr>
              <w:t>de meio ambiente</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1.254,27</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9.046,32</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32</w:t>
            </w:r>
          </w:p>
        </w:tc>
        <w:tc>
          <w:tcPr>
            <w:tcW w:w="4725" w:type="dxa"/>
            <w:shd w:val="clear" w:color="auto" w:fill="auto"/>
          </w:tcPr>
          <w:p w:rsidR="00BC2FF2" w:rsidRDefault="00C719D1">
            <w:pPr>
              <w:pStyle w:val="Sumrio1"/>
              <w:tabs>
                <w:tab w:val="right" w:pos="9638"/>
              </w:tabs>
              <w:rPr>
                <w:rFonts w:ascii="Calibri"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veículos e frotas</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677,38</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15.051,24</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33</w:t>
            </w:r>
          </w:p>
        </w:tc>
        <w:tc>
          <w:tcPr>
            <w:tcW w:w="4725" w:type="dxa"/>
            <w:shd w:val="clear" w:color="auto" w:fill="auto"/>
          </w:tcPr>
          <w:p w:rsidR="00BC2FF2" w:rsidRDefault="00C719D1">
            <w:pPr>
              <w:pStyle w:val="Sumrio1"/>
              <w:tabs>
                <w:tab w:val="right" w:pos="9638"/>
              </w:tabs>
              <w:rPr>
                <w:rFonts w:ascii="Calibri"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business intelligence (BI)</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524,42</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6.293,04</w:t>
            </w:r>
          </w:p>
        </w:tc>
      </w:tr>
      <w:tr w:rsidR="00BC2FF2">
        <w:trPr>
          <w:trHeight w:val="90"/>
        </w:trPr>
        <w:tc>
          <w:tcPr>
            <w:tcW w:w="627" w:type="dxa"/>
            <w:shd w:val="clear" w:color="auto" w:fill="auto"/>
            <w:vAlign w:val="center"/>
          </w:tcPr>
          <w:p w:rsidR="00BC2FF2" w:rsidRDefault="00C719D1">
            <w:pPr>
              <w:jc w:val="center"/>
              <w:rPr>
                <w:rFonts w:ascii="Calibri" w:eastAsia="Times New Roman" w:hAnsi="Calibri" w:cs="Calibri"/>
                <w:sz w:val="21"/>
                <w:szCs w:val="21"/>
                <w:lang w:val="pt-BR"/>
              </w:rPr>
            </w:pPr>
            <w:r>
              <w:rPr>
                <w:rFonts w:ascii="Calibri" w:hAnsi="Calibri" w:cs="Calibri"/>
                <w:sz w:val="21"/>
                <w:szCs w:val="21"/>
              </w:rPr>
              <w:t>34</w:t>
            </w:r>
          </w:p>
        </w:tc>
        <w:tc>
          <w:tcPr>
            <w:tcW w:w="4725" w:type="dxa"/>
            <w:shd w:val="clear" w:color="auto" w:fill="auto"/>
          </w:tcPr>
          <w:p w:rsidR="00BC2FF2" w:rsidRDefault="00C719D1">
            <w:pPr>
              <w:pStyle w:val="Sumrio1"/>
              <w:tabs>
                <w:tab w:val="right" w:pos="9638"/>
              </w:tabs>
              <w:rPr>
                <w:rFonts w:ascii="Calibri"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 xml:space="preserve">controle </w:t>
            </w:r>
            <w:r>
              <w:rPr>
                <w:rFonts w:ascii="Calibri" w:hAnsi="Calibri" w:cs="Calibri"/>
                <w:sz w:val="21"/>
                <w:szCs w:val="21"/>
                <w:lang w:val="pt-BR"/>
              </w:rPr>
              <w:t xml:space="preserve">e cobrança </w:t>
            </w:r>
            <w:r>
              <w:rPr>
                <w:rFonts w:ascii="Calibri" w:hAnsi="Calibri" w:cs="Calibri"/>
                <w:sz w:val="21"/>
                <w:szCs w:val="21"/>
              </w:rPr>
              <w:t>de água</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1.019,89</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12.238,68</w:t>
            </w:r>
          </w:p>
        </w:tc>
      </w:tr>
      <w:tr w:rsidR="00BC2FF2">
        <w:tc>
          <w:tcPr>
            <w:tcW w:w="9732" w:type="dxa"/>
            <w:gridSpan w:val="6"/>
            <w:shd w:val="clear" w:color="auto" w:fill="auto"/>
            <w:vAlign w:val="center"/>
          </w:tcPr>
          <w:p w:rsidR="00BC2FF2" w:rsidRDefault="00C719D1">
            <w:pPr>
              <w:jc w:val="center"/>
              <w:rPr>
                <w:rFonts w:ascii="Calibri" w:eastAsia="SimSun" w:hAnsi="Calibri" w:cs="Calibri"/>
                <w:color w:val="000000"/>
                <w:sz w:val="21"/>
                <w:szCs w:val="21"/>
              </w:rPr>
            </w:pPr>
            <w:r>
              <w:rPr>
                <w:rFonts w:ascii="Calibri" w:hAnsi="Calibri" w:cs="Calibri"/>
                <w:b/>
                <w:bCs/>
                <w:sz w:val="21"/>
                <w:szCs w:val="21"/>
                <w:lang w:val="pt-BR"/>
              </w:rPr>
              <w:t>SISTEMAS PARA EDUCAÇÃO</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35</w:t>
            </w:r>
          </w:p>
        </w:tc>
        <w:tc>
          <w:tcPr>
            <w:tcW w:w="4725" w:type="dxa"/>
            <w:shd w:val="clear" w:color="auto" w:fill="auto"/>
          </w:tcPr>
          <w:p w:rsidR="00BC2FF2" w:rsidRDefault="00C719D1">
            <w:pPr>
              <w:pStyle w:val="Sumrio1"/>
              <w:tabs>
                <w:tab w:val="right" w:pos="9638"/>
              </w:tabs>
              <w:rPr>
                <w:rFonts w:ascii="Calibri"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secretaria escolar</w:t>
            </w:r>
          </w:p>
        </w:tc>
        <w:tc>
          <w:tcPr>
            <w:tcW w:w="720"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1.246,25</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 xml:space="preserve">R$ 14.955,00 </w:t>
            </w:r>
          </w:p>
        </w:tc>
      </w:tr>
      <w:tr w:rsidR="00BC2FF2">
        <w:tc>
          <w:tcPr>
            <w:tcW w:w="627"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lang w:val="pt-BR"/>
              </w:rPr>
              <w:t>36</w:t>
            </w:r>
          </w:p>
        </w:tc>
        <w:tc>
          <w:tcPr>
            <w:tcW w:w="4725" w:type="dxa"/>
            <w:shd w:val="clear" w:color="auto" w:fill="auto"/>
          </w:tcPr>
          <w:p w:rsidR="00BC2FF2" w:rsidRDefault="00C719D1">
            <w:pPr>
              <w:pStyle w:val="Sumrio1"/>
              <w:tabs>
                <w:tab w:val="right" w:pos="9638"/>
              </w:tabs>
              <w:rPr>
                <w:rFonts w:ascii="Calibri" w:hAnsi="Calibri" w:cs="Calibri"/>
                <w:sz w:val="21"/>
                <w:szCs w:val="21"/>
              </w:rPr>
            </w:pPr>
            <w:r>
              <w:rPr>
                <w:rFonts w:ascii="Calibri" w:hAnsi="Calibri" w:cs="Calibri"/>
                <w:sz w:val="21"/>
                <w:szCs w:val="21"/>
                <w:lang w:val="pt-BR"/>
              </w:rPr>
              <w:t>P</w:t>
            </w:r>
            <w:r>
              <w:rPr>
                <w:rFonts w:ascii="Calibri" w:hAnsi="Calibri" w:cs="Calibri"/>
                <w:sz w:val="21"/>
                <w:szCs w:val="21"/>
              </w:rPr>
              <w:t>ortal do professor</w:t>
            </w:r>
          </w:p>
        </w:tc>
        <w:tc>
          <w:tcPr>
            <w:tcW w:w="720"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rPr>
              <w:t>R$</w:t>
            </w:r>
            <w:r>
              <w:rPr>
                <w:rFonts w:ascii="Calibri" w:hAnsi="Calibri" w:cs="Calibri"/>
                <w:sz w:val="21"/>
                <w:szCs w:val="21"/>
                <w:lang w:val="pt-BR"/>
              </w:rPr>
              <w:t xml:space="preserve"> 600,90</w:t>
            </w:r>
          </w:p>
        </w:tc>
        <w:tc>
          <w:tcPr>
            <w:tcW w:w="1515" w:type="dxa"/>
            <w:shd w:val="clear" w:color="auto" w:fill="auto"/>
            <w:vAlign w:val="bottom"/>
          </w:tcPr>
          <w:p w:rsidR="00BC2FF2" w:rsidRDefault="00C719D1">
            <w:pPr>
              <w:jc w:val="center"/>
              <w:rPr>
                <w:rFonts w:ascii="Calibri" w:hAnsi="Calibri" w:cs="Calibri"/>
                <w:sz w:val="21"/>
                <w:szCs w:val="21"/>
                <w:lang w:val="pt-BR"/>
              </w:rPr>
            </w:pPr>
            <w:r>
              <w:rPr>
                <w:rFonts w:ascii="Calibri" w:hAnsi="Calibri" w:cs="Calibri"/>
                <w:sz w:val="21"/>
                <w:szCs w:val="21"/>
              </w:rPr>
              <w:t xml:space="preserve"> R$ 7.210,80 </w:t>
            </w:r>
          </w:p>
        </w:tc>
      </w:tr>
      <w:tr w:rsidR="00BC2FF2">
        <w:tc>
          <w:tcPr>
            <w:tcW w:w="627"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lang w:val="pt-BR"/>
              </w:rPr>
              <w:t>37</w:t>
            </w:r>
          </w:p>
        </w:tc>
        <w:tc>
          <w:tcPr>
            <w:tcW w:w="4725" w:type="dxa"/>
            <w:shd w:val="clear" w:color="auto" w:fill="auto"/>
            <w:vAlign w:val="center"/>
          </w:tcPr>
          <w:p w:rsidR="00BC2FF2" w:rsidRDefault="00C719D1">
            <w:pPr>
              <w:pStyle w:val="Sumrio1"/>
              <w:tabs>
                <w:tab w:val="right" w:pos="9638"/>
              </w:tabs>
              <w:rPr>
                <w:rFonts w:ascii="Calibri" w:eastAsia="Times New Roman" w:hAnsi="Calibri" w:cs="Calibri"/>
                <w:sz w:val="21"/>
                <w:szCs w:val="21"/>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censo escolar</w:t>
            </w:r>
          </w:p>
        </w:tc>
        <w:tc>
          <w:tcPr>
            <w:tcW w:w="720"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eastAsia="Times New Roman"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eastAsia="SimSun" w:hAnsi="Calibri" w:cs="Calibri"/>
                <w:color w:val="000000"/>
                <w:sz w:val="21"/>
                <w:szCs w:val="21"/>
                <w:lang w:val="pt-BR"/>
              </w:rPr>
              <w:t>R$ 384,50</w:t>
            </w:r>
          </w:p>
        </w:tc>
        <w:tc>
          <w:tcPr>
            <w:tcW w:w="1515"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eastAsia="SimSun" w:hAnsi="Calibri" w:cs="Calibri"/>
                <w:color w:val="000000"/>
                <w:sz w:val="21"/>
                <w:szCs w:val="21"/>
                <w:lang w:val="pt-BR"/>
              </w:rPr>
              <w:t xml:space="preserve">R$ </w:t>
            </w:r>
            <w:r>
              <w:rPr>
                <w:rFonts w:ascii="Calibri" w:eastAsia="SimSun" w:hAnsi="Calibri" w:cs="Calibri"/>
                <w:color w:val="000000"/>
                <w:sz w:val="21"/>
                <w:szCs w:val="21"/>
              </w:rPr>
              <w:t>4.614</w:t>
            </w:r>
            <w:r>
              <w:rPr>
                <w:rFonts w:ascii="Calibri" w:eastAsia="SimSun" w:hAnsi="Calibri" w:cs="Calibri"/>
                <w:color w:val="000000"/>
                <w:sz w:val="21"/>
                <w:szCs w:val="21"/>
                <w:lang w:val="pt-BR"/>
              </w:rPr>
              <w:t>,00</w:t>
            </w:r>
          </w:p>
        </w:tc>
      </w:tr>
      <w:tr w:rsidR="00BC2FF2">
        <w:tc>
          <w:tcPr>
            <w:tcW w:w="9732" w:type="dxa"/>
            <w:gridSpan w:val="6"/>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b/>
                <w:bCs/>
                <w:sz w:val="21"/>
                <w:szCs w:val="21"/>
                <w:lang w:val="pt-BR"/>
              </w:rPr>
              <w:t>SISTEMAS PARA SAÚDE</w:t>
            </w:r>
          </w:p>
        </w:tc>
      </w:tr>
      <w:tr w:rsidR="00BC2FF2">
        <w:tc>
          <w:tcPr>
            <w:tcW w:w="627" w:type="dxa"/>
            <w:shd w:val="clear" w:color="auto" w:fill="auto"/>
            <w:vAlign w:val="center"/>
          </w:tcPr>
          <w:p w:rsidR="00BC2FF2" w:rsidRDefault="00C719D1">
            <w:pPr>
              <w:jc w:val="center"/>
              <w:rPr>
                <w:rFonts w:ascii="Calibri" w:eastAsia="Times New Roman" w:hAnsi="Calibri" w:cs="Calibri"/>
                <w:sz w:val="21"/>
                <w:szCs w:val="21"/>
                <w:lang w:val="pt-BR"/>
              </w:rPr>
            </w:pPr>
            <w:r>
              <w:rPr>
                <w:rFonts w:ascii="Calibri" w:eastAsia="Times New Roman" w:hAnsi="Calibri" w:cs="Calibri"/>
                <w:sz w:val="21"/>
                <w:szCs w:val="21"/>
                <w:lang w:val="pt-BR"/>
              </w:rPr>
              <w:t>38</w:t>
            </w:r>
          </w:p>
        </w:tc>
        <w:tc>
          <w:tcPr>
            <w:tcW w:w="4725" w:type="dxa"/>
            <w:shd w:val="clear" w:color="auto" w:fill="auto"/>
            <w:vAlign w:val="center"/>
          </w:tcPr>
          <w:p w:rsidR="00BC2FF2" w:rsidRDefault="00C719D1">
            <w:pPr>
              <w:pStyle w:val="Sumrio1"/>
              <w:tabs>
                <w:tab w:val="right" w:pos="9638"/>
              </w:tabs>
              <w:rPr>
                <w:rFonts w:ascii="Calibri" w:eastAsia="Times New Roman" w:hAnsi="Calibri" w:cs="Calibri"/>
                <w:sz w:val="21"/>
                <w:szCs w:val="21"/>
                <w:lang w:val="pt-BR"/>
              </w:rPr>
            </w:pPr>
            <w:r>
              <w:rPr>
                <w:rFonts w:ascii="Calibri" w:hAnsi="Calibri" w:cs="Calibri"/>
                <w:sz w:val="21"/>
                <w:szCs w:val="21"/>
              </w:rPr>
              <w:t xml:space="preserve">Módulo </w:t>
            </w:r>
            <w:r>
              <w:rPr>
                <w:rFonts w:ascii="Calibri" w:hAnsi="Calibri" w:cs="Calibri"/>
                <w:sz w:val="21"/>
                <w:szCs w:val="21"/>
                <w:lang w:val="pt-BR"/>
              </w:rPr>
              <w:t xml:space="preserve">de </w:t>
            </w:r>
            <w:r>
              <w:rPr>
                <w:rFonts w:ascii="Calibri" w:hAnsi="Calibri" w:cs="Calibri"/>
                <w:sz w:val="21"/>
                <w:szCs w:val="21"/>
              </w:rPr>
              <w:t>prontuário eletrônico do cidadão</w:t>
            </w:r>
          </w:p>
        </w:tc>
        <w:tc>
          <w:tcPr>
            <w:tcW w:w="720"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948,32</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11.379,84</w:t>
            </w:r>
          </w:p>
        </w:tc>
      </w:tr>
      <w:tr w:rsidR="00BC2FF2">
        <w:tc>
          <w:tcPr>
            <w:tcW w:w="627"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lang w:val="pt-BR"/>
              </w:rPr>
              <w:t>39</w:t>
            </w:r>
          </w:p>
        </w:tc>
        <w:tc>
          <w:tcPr>
            <w:tcW w:w="4725" w:type="dxa"/>
            <w:shd w:val="clear" w:color="auto" w:fill="auto"/>
            <w:vAlign w:val="center"/>
          </w:tcPr>
          <w:p w:rsidR="00BC2FF2" w:rsidRDefault="00C719D1">
            <w:pPr>
              <w:pStyle w:val="Sumrio1"/>
              <w:tabs>
                <w:tab w:val="right" w:pos="9638"/>
              </w:tabs>
              <w:rPr>
                <w:rFonts w:ascii="Calibri" w:hAnsi="Calibri" w:cs="Calibri"/>
                <w:sz w:val="21"/>
                <w:szCs w:val="21"/>
                <w:lang w:val="pt-BR"/>
              </w:rPr>
            </w:pPr>
            <w:r>
              <w:rPr>
                <w:rFonts w:ascii="Calibri" w:hAnsi="Calibri" w:cs="Calibri"/>
                <w:sz w:val="21"/>
                <w:szCs w:val="21"/>
                <w:lang w:val="pt-BR"/>
              </w:rPr>
              <w:t>Módulo de controle de estoque da farmácia</w:t>
            </w:r>
          </w:p>
        </w:tc>
        <w:tc>
          <w:tcPr>
            <w:tcW w:w="720"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lang w:val="pt-BR"/>
              </w:rPr>
              <w:t>12</w:t>
            </w:r>
          </w:p>
        </w:tc>
        <w:tc>
          <w:tcPr>
            <w:tcW w:w="735" w:type="dxa"/>
            <w:shd w:val="clear" w:color="auto" w:fill="auto"/>
            <w:vAlign w:val="center"/>
          </w:tcPr>
          <w:p w:rsidR="00BC2FF2" w:rsidRDefault="00C719D1">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rPr>
              <w:t>R$</w:t>
            </w:r>
            <w:r>
              <w:rPr>
                <w:rFonts w:ascii="Calibri" w:hAnsi="Calibri" w:cs="Calibri"/>
                <w:sz w:val="21"/>
                <w:szCs w:val="21"/>
                <w:lang w:val="pt-BR"/>
              </w:rPr>
              <w:t xml:space="preserve"> 948,32</w:t>
            </w:r>
          </w:p>
        </w:tc>
        <w:tc>
          <w:tcPr>
            <w:tcW w:w="1515" w:type="dxa"/>
            <w:shd w:val="clear" w:color="auto" w:fill="auto"/>
            <w:vAlign w:val="bottom"/>
          </w:tcPr>
          <w:p w:rsidR="00BC2FF2" w:rsidRDefault="00C719D1">
            <w:pPr>
              <w:jc w:val="center"/>
              <w:rPr>
                <w:rFonts w:ascii="Calibri" w:hAnsi="Calibri" w:cs="Calibri"/>
                <w:sz w:val="21"/>
                <w:szCs w:val="21"/>
                <w:lang w:val="pt-BR"/>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11.379,84</w:t>
            </w:r>
          </w:p>
        </w:tc>
      </w:tr>
      <w:tr w:rsidR="00BC2FF2">
        <w:tc>
          <w:tcPr>
            <w:tcW w:w="627"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lang w:val="pt-BR"/>
              </w:rPr>
              <w:t>40</w:t>
            </w:r>
          </w:p>
        </w:tc>
        <w:tc>
          <w:tcPr>
            <w:tcW w:w="4725" w:type="dxa"/>
            <w:shd w:val="clear" w:color="auto" w:fill="auto"/>
            <w:vAlign w:val="center"/>
          </w:tcPr>
          <w:p w:rsidR="00BC2FF2" w:rsidRDefault="00C719D1">
            <w:pPr>
              <w:pStyle w:val="Sumrio1"/>
              <w:tabs>
                <w:tab w:val="right" w:pos="9638"/>
              </w:tabs>
              <w:rPr>
                <w:rFonts w:ascii="Calibri" w:eastAsia="Times New Roman" w:hAnsi="Calibri" w:cs="Calibri"/>
                <w:sz w:val="21"/>
                <w:szCs w:val="21"/>
                <w:lang w:val="pt-BR"/>
              </w:rPr>
            </w:pPr>
            <w:r>
              <w:rPr>
                <w:rFonts w:ascii="Calibri" w:hAnsi="Calibri" w:cs="Calibri"/>
                <w:sz w:val="21"/>
                <w:szCs w:val="21"/>
              </w:rPr>
              <w:t>Módulo d</w:t>
            </w:r>
            <w:r>
              <w:rPr>
                <w:rFonts w:ascii="Calibri" w:hAnsi="Calibri" w:cs="Calibri"/>
                <w:sz w:val="21"/>
                <w:szCs w:val="21"/>
                <w:lang w:val="pt-BR"/>
              </w:rPr>
              <w:t>e</w:t>
            </w:r>
            <w:r>
              <w:rPr>
                <w:rFonts w:ascii="Calibri" w:hAnsi="Calibri" w:cs="Calibri"/>
                <w:sz w:val="21"/>
                <w:szCs w:val="21"/>
              </w:rPr>
              <w:t xml:space="preserve"> assistência social</w:t>
            </w:r>
          </w:p>
        </w:tc>
        <w:tc>
          <w:tcPr>
            <w:tcW w:w="720"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rPr>
              <w:t>12</w:t>
            </w:r>
          </w:p>
        </w:tc>
        <w:tc>
          <w:tcPr>
            <w:tcW w:w="735" w:type="dxa"/>
            <w:shd w:val="clear" w:color="auto" w:fill="auto"/>
            <w:vAlign w:val="center"/>
          </w:tcPr>
          <w:p w:rsidR="00BC2FF2" w:rsidRDefault="00C719D1">
            <w:pPr>
              <w:jc w:val="center"/>
              <w:rPr>
                <w:rFonts w:ascii="Calibri" w:hAnsi="Calibri" w:cs="Calibri"/>
                <w:sz w:val="21"/>
                <w:szCs w:val="21"/>
                <w:lang w:val="pt-BR"/>
              </w:rPr>
            </w:pPr>
            <w:r>
              <w:rPr>
                <w:rFonts w:ascii="Calibri" w:hAnsi="Calibri" w:cs="Calibri"/>
                <w:sz w:val="21"/>
                <w:szCs w:val="21"/>
              </w:rPr>
              <w:t>Mês</w:t>
            </w:r>
          </w:p>
        </w:tc>
        <w:tc>
          <w:tcPr>
            <w:tcW w:w="1410" w:type="dxa"/>
            <w:shd w:val="clear" w:color="auto" w:fill="auto"/>
            <w:vAlign w:val="center"/>
          </w:tcPr>
          <w:p w:rsidR="00BC2FF2" w:rsidRDefault="00C719D1">
            <w:pPr>
              <w:jc w:val="center"/>
              <w:rPr>
                <w:rFonts w:ascii="Calibri" w:eastAsia="SimSun" w:hAnsi="Calibri" w:cs="Calibri"/>
                <w:color w:val="000000"/>
                <w:sz w:val="21"/>
                <w:szCs w:val="21"/>
                <w:lang w:val="pt-BR"/>
              </w:rPr>
            </w:pPr>
            <w:r>
              <w:rPr>
                <w:rFonts w:ascii="Calibri" w:hAnsi="Calibri" w:cs="Calibri"/>
                <w:sz w:val="21"/>
                <w:szCs w:val="21"/>
              </w:rPr>
              <w:t>R$</w:t>
            </w:r>
            <w:r>
              <w:rPr>
                <w:rFonts w:ascii="Calibri" w:hAnsi="Calibri" w:cs="Calibri"/>
                <w:sz w:val="21"/>
                <w:szCs w:val="21"/>
                <w:lang w:val="pt-BR"/>
              </w:rPr>
              <w:t xml:space="preserve"> 631,88</w:t>
            </w:r>
          </w:p>
        </w:tc>
        <w:tc>
          <w:tcPr>
            <w:tcW w:w="1515" w:type="dxa"/>
            <w:shd w:val="clear" w:color="auto" w:fill="auto"/>
            <w:vAlign w:val="bottom"/>
          </w:tcPr>
          <w:p w:rsidR="00BC2FF2" w:rsidRDefault="00C719D1">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lang w:val="pt-BR"/>
              </w:rPr>
              <w:t xml:space="preserve"> </w:t>
            </w:r>
            <w:r>
              <w:rPr>
                <w:rFonts w:ascii="Calibri" w:hAnsi="Calibri" w:cs="Calibri"/>
                <w:sz w:val="21"/>
                <w:szCs w:val="21"/>
              </w:rPr>
              <w:t>7.582,56</w:t>
            </w:r>
          </w:p>
        </w:tc>
      </w:tr>
      <w:tr w:rsidR="00BC2FF2">
        <w:tc>
          <w:tcPr>
            <w:tcW w:w="8217" w:type="dxa"/>
            <w:gridSpan w:val="5"/>
            <w:shd w:val="clear" w:color="auto" w:fill="auto"/>
            <w:vAlign w:val="center"/>
          </w:tcPr>
          <w:p w:rsidR="00BC2FF2" w:rsidRDefault="00C719D1">
            <w:pPr>
              <w:jc w:val="right"/>
              <w:rPr>
                <w:rFonts w:ascii="Calibri" w:hAnsi="Calibri" w:cs="Calibri"/>
                <w:sz w:val="21"/>
                <w:szCs w:val="21"/>
                <w:lang w:val="pt-BR"/>
              </w:rPr>
            </w:pPr>
            <w:r>
              <w:rPr>
                <w:rFonts w:ascii="Calibri" w:hAnsi="Calibri" w:cs="Calibri"/>
                <w:b/>
                <w:bCs/>
                <w:sz w:val="21"/>
                <w:szCs w:val="21"/>
                <w:lang w:val="pt-BR"/>
              </w:rPr>
              <w:t>SUBTOTAL MENSAL</w:t>
            </w:r>
          </w:p>
        </w:tc>
        <w:tc>
          <w:tcPr>
            <w:tcW w:w="1515" w:type="dxa"/>
            <w:shd w:val="clear" w:color="auto" w:fill="auto"/>
            <w:vAlign w:val="center"/>
          </w:tcPr>
          <w:p w:rsidR="00BC2FF2" w:rsidRDefault="00C719D1">
            <w:pPr>
              <w:jc w:val="center"/>
              <w:rPr>
                <w:rFonts w:ascii="Calibri" w:hAnsi="Calibri" w:cs="Calibri"/>
                <w:b/>
                <w:bCs/>
                <w:sz w:val="21"/>
                <w:szCs w:val="21"/>
                <w:lang w:val="pt-BR"/>
              </w:rPr>
            </w:pPr>
            <w:r>
              <w:rPr>
                <w:rFonts w:ascii="Calibri" w:hAnsi="Calibri" w:cs="Calibri"/>
                <w:b/>
                <w:bCs/>
                <w:sz w:val="21"/>
                <w:szCs w:val="21"/>
              </w:rPr>
              <w:t xml:space="preserve">R$ 29.473,42 </w:t>
            </w:r>
          </w:p>
        </w:tc>
      </w:tr>
      <w:tr w:rsidR="00BC2FF2">
        <w:tc>
          <w:tcPr>
            <w:tcW w:w="8217" w:type="dxa"/>
            <w:gridSpan w:val="5"/>
            <w:shd w:val="clear" w:color="auto" w:fill="auto"/>
            <w:vAlign w:val="center"/>
          </w:tcPr>
          <w:p w:rsidR="00BC2FF2" w:rsidRDefault="00C719D1">
            <w:pPr>
              <w:jc w:val="right"/>
              <w:rPr>
                <w:rFonts w:ascii="Calibri" w:hAnsi="Calibri" w:cs="Calibri"/>
                <w:sz w:val="21"/>
                <w:szCs w:val="21"/>
                <w:lang w:val="pt-BR"/>
              </w:rPr>
            </w:pPr>
            <w:r>
              <w:rPr>
                <w:rFonts w:ascii="Calibri" w:hAnsi="Calibri" w:cs="Calibri"/>
                <w:b/>
                <w:bCs/>
                <w:sz w:val="21"/>
                <w:szCs w:val="21"/>
                <w:lang w:val="pt-BR"/>
              </w:rPr>
              <w:t>SUBTOTAL ANUAL (somente mensalidade)</w:t>
            </w:r>
          </w:p>
        </w:tc>
        <w:tc>
          <w:tcPr>
            <w:tcW w:w="1515" w:type="dxa"/>
            <w:shd w:val="clear" w:color="auto" w:fill="auto"/>
            <w:vAlign w:val="center"/>
          </w:tcPr>
          <w:p w:rsidR="00BC2FF2" w:rsidRDefault="00C719D1">
            <w:pPr>
              <w:jc w:val="center"/>
              <w:rPr>
                <w:rFonts w:ascii="Calibri" w:hAnsi="Calibri" w:cs="Calibri"/>
                <w:b/>
                <w:bCs/>
                <w:sz w:val="21"/>
                <w:szCs w:val="21"/>
                <w:lang w:val="pt-BR"/>
              </w:rPr>
            </w:pPr>
            <w:r>
              <w:rPr>
                <w:rFonts w:ascii="Calibri" w:hAnsi="Calibri" w:cs="Calibri"/>
                <w:b/>
                <w:bCs/>
                <w:sz w:val="21"/>
                <w:szCs w:val="21"/>
              </w:rPr>
              <w:t xml:space="preserve">R$ 353.681,04 </w:t>
            </w:r>
          </w:p>
        </w:tc>
      </w:tr>
      <w:tr w:rsidR="00BC2FF2">
        <w:tc>
          <w:tcPr>
            <w:tcW w:w="8217" w:type="dxa"/>
            <w:gridSpan w:val="5"/>
            <w:shd w:val="clear" w:color="auto" w:fill="auto"/>
            <w:vAlign w:val="center"/>
          </w:tcPr>
          <w:p w:rsidR="00BC2FF2" w:rsidRDefault="00C719D1">
            <w:pPr>
              <w:jc w:val="right"/>
              <w:rPr>
                <w:rFonts w:ascii="Calibri" w:hAnsi="Calibri" w:cs="Calibri"/>
                <w:sz w:val="21"/>
                <w:szCs w:val="21"/>
                <w:lang w:val="pt-BR"/>
              </w:rPr>
            </w:pPr>
            <w:r>
              <w:rPr>
                <w:rFonts w:ascii="Calibri" w:hAnsi="Calibri" w:cs="Calibri"/>
                <w:b/>
                <w:bCs/>
                <w:sz w:val="21"/>
                <w:szCs w:val="21"/>
                <w:lang w:val="pt-BR"/>
              </w:rPr>
              <w:t xml:space="preserve">VALOR TOTAL </w:t>
            </w:r>
            <w:r>
              <w:rPr>
                <w:rFonts w:ascii="Calibri" w:hAnsi="Calibri" w:cs="Calibri"/>
                <w:b/>
                <w:bCs/>
                <w:sz w:val="21"/>
                <w:szCs w:val="21"/>
                <w:lang w:val="pt-BR"/>
              </w:rPr>
              <w:t>GLOBAL (mensalidade + implantação)</w:t>
            </w:r>
          </w:p>
        </w:tc>
        <w:tc>
          <w:tcPr>
            <w:tcW w:w="1515" w:type="dxa"/>
            <w:shd w:val="clear" w:color="auto" w:fill="auto"/>
            <w:vAlign w:val="center"/>
          </w:tcPr>
          <w:p w:rsidR="00BC2FF2" w:rsidRDefault="00C719D1">
            <w:pPr>
              <w:jc w:val="center"/>
              <w:rPr>
                <w:rFonts w:ascii="Calibri" w:hAnsi="Calibri" w:cs="Calibri"/>
                <w:b/>
                <w:bCs/>
                <w:sz w:val="21"/>
                <w:szCs w:val="21"/>
                <w:lang w:val="pt-BR"/>
              </w:rPr>
            </w:pPr>
            <w:r>
              <w:rPr>
                <w:rFonts w:ascii="Calibri" w:hAnsi="Calibri" w:cs="Calibri"/>
                <w:b/>
                <w:bCs/>
                <w:sz w:val="21"/>
                <w:szCs w:val="21"/>
              </w:rPr>
              <w:t xml:space="preserve">R$ 424.685,04 </w:t>
            </w:r>
          </w:p>
        </w:tc>
      </w:tr>
    </w:tbl>
    <w:p w:rsidR="00BC2FF2" w:rsidRDefault="00C719D1">
      <w:pPr>
        <w:pStyle w:val="NormalWeb"/>
        <w:spacing w:beforeLines="70" w:before="168" w:beforeAutospacing="0" w:afterLines="70" w:after="168" w:afterAutospacing="0"/>
        <w:jc w:val="both"/>
        <w:rPr>
          <w:rFonts w:ascii="Calibri" w:hAnsi="Calibri" w:cs="Calibri"/>
          <w:b/>
          <w:bCs/>
          <w:sz w:val="24"/>
          <w:u w:val="single"/>
          <w:lang w:val="pt-BR"/>
        </w:rPr>
      </w:pPr>
      <w:r>
        <w:rPr>
          <w:rFonts w:ascii="Calibri" w:hAnsi="Calibri" w:cs="Calibri"/>
          <w:sz w:val="24"/>
          <w:lang w:val="pt-BR"/>
        </w:rPr>
        <w:t xml:space="preserve">Considerando que a contratação de data center se dá conforme o consumo efetivo do contratante em cada módulo do sistema, o custo correspondente ao provimento dessa infraestrutura deve estar incorporado no </w:t>
      </w:r>
      <w:r>
        <w:rPr>
          <w:rFonts w:ascii="Calibri" w:hAnsi="Calibri" w:cs="Calibri"/>
          <w:sz w:val="24"/>
          <w:lang w:val="pt-BR"/>
        </w:rPr>
        <w:t>valor mensal de cada módulo. Tal modelagem assegura que o preço reflita a realidade operacional: caso haja contratação de novos módulos, o consumo — e, consequentemente, o custo de data center — aumenta de forma proporcional; da mesma forma, eventual supre</w:t>
      </w:r>
      <w:r>
        <w:rPr>
          <w:rFonts w:ascii="Calibri" w:hAnsi="Calibri" w:cs="Calibri"/>
          <w:sz w:val="24"/>
          <w:lang w:val="pt-BR"/>
        </w:rPr>
        <w:t>ssão de módulos reduz o consumo e o custo associado, garantindo coerência e transparência na formação do preço</w:t>
      </w:r>
      <w:bookmarkStart w:id="3" w:name="art18§1v"/>
      <w:bookmarkEnd w:id="3"/>
      <w:r>
        <w:rPr>
          <w:rFonts w:ascii="Calibri" w:hAnsi="Calibri" w:cs="Calibri"/>
          <w:sz w:val="24"/>
          <w:lang w:val="pt-BR"/>
        </w:rPr>
        <w:t>.</w:t>
      </w:r>
    </w:p>
    <w:p w:rsidR="00BC2FF2" w:rsidRDefault="00C719D1">
      <w:pPr>
        <w:pStyle w:val="NormalWeb"/>
        <w:spacing w:before="225" w:beforeAutospacing="0" w:after="225" w:afterAutospacing="0"/>
        <w:jc w:val="both"/>
        <w:rPr>
          <w:rFonts w:ascii="Calibri" w:hAnsi="Calibri" w:cs="Calibri"/>
          <w:b/>
          <w:bCs/>
          <w:sz w:val="24"/>
          <w:u w:val="single"/>
        </w:rPr>
      </w:pPr>
      <w:r>
        <w:rPr>
          <w:rFonts w:ascii="Calibri" w:hAnsi="Calibri" w:cs="Calibri"/>
          <w:b/>
          <w:bCs/>
          <w:sz w:val="24"/>
          <w:u w:val="single"/>
        </w:rPr>
        <w:t>V - LEVANTAMENTO DE MERCADO</w:t>
      </w:r>
    </w:p>
    <w:p w:rsidR="00BC2FF2" w:rsidRDefault="00C719D1">
      <w:pPr>
        <w:pStyle w:val="NormalWeb"/>
        <w:spacing w:beforeLines="70" w:before="168" w:beforeAutospacing="0" w:afterLines="70" w:after="168" w:afterAutospacing="0"/>
        <w:jc w:val="both"/>
        <w:rPr>
          <w:rFonts w:ascii="Calibri" w:hAnsi="Calibri" w:cs="Calibri"/>
          <w:sz w:val="24"/>
          <w:lang w:val="pt-BR"/>
        </w:rPr>
      </w:pPr>
      <w:r>
        <w:rPr>
          <w:rFonts w:ascii="Calibri" w:hAnsi="Calibri" w:cs="Calibri"/>
          <w:sz w:val="24"/>
          <w:lang w:val="pt-BR"/>
        </w:rPr>
        <w:t>Foi realizado levantamento de mercado com a finalidade de identificar alternativas capazes de atender às necessidade</w:t>
      </w:r>
      <w:r>
        <w:rPr>
          <w:rFonts w:ascii="Calibri" w:hAnsi="Calibri" w:cs="Calibri"/>
          <w:sz w:val="24"/>
          <w:lang w:val="pt-BR"/>
        </w:rPr>
        <w:t>s do Município quanto à disponibilização de sistema integrado de gestão pública, considerando critérios de viabilidade técnica, econômica, operacional e de mitigação de riscos. A análise contemplou a possibilidade de desenvolvimento interno, parcerias inst</w:t>
      </w:r>
      <w:r>
        <w:rPr>
          <w:rFonts w:ascii="Calibri" w:hAnsi="Calibri" w:cs="Calibri"/>
          <w:sz w:val="24"/>
          <w:lang w:val="pt-BR"/>
        </w:rPr>
        <w:t>itucionais e a contratação de soluções já consolidadas no mercado.</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 xml:space="preserve">O desenvolvimento próprio ou por meio de parcerias demandaria estrutura técnica especializada, elevados custos </w:t>
      </w:r>
      <w:r>
        <w:rPr>
          <w:rFonts w:ascii="Calibri" w:hAnsi="Calibri" w:cs="Calibri"/>
          <w:sz w:val="24"/>
          <w:lang w:val="pt-BR"/>
        </w:rPr>
        <w:t>indiretos</w:t>
      </w:r>
      <w:r>
        <w:rPr>
          <w:rFonts w:ascii="Calibri" w:hAnsi="Calibri" w:cs="Calibri"/>
          <w:sz w:val="24"/>
        </w:rPr>
        <w:t xml:space="preserve">, maior prazo de implantação e riscos relevantes quanto à </w:t>
      </w:r>
      <w:r>
        <w:rPr>
          <w:rFonts w:ascii="Calibri" w:hAnsi="Calibri" w:cs="Calibri"/>
          <w:sz w:val="24"/>
          <w:lang w:val="pt-BR"/>
        </w:rPr>
        <w:t>continuidad</w:t>
      </w:r>
      <w:r>
        <w:rPr>
          <w:rFonts w:ascii="Calibri" w:hAnsi="Calibri" w:cs="Calibri"/>
          <w:sz w:val="24"/>
          <w:lang w:val="pt-BR"/>
        </w:rPr>
        <w:t>e</w:t>
      </w:r>
      <w:r>
        <w:rPr>
          <w:rFonts w:ascii="Calibri" w:hAnsi="Calibri" w:cs="Calibri"/>
          <w:sz w:val="24"/>
        </w:rPr>
        <w:t>, manutenção e atualização tecnológica, o que não se mostra compatível com a realidade administrativa do Município. Em contrapartida, as soluções ofertadas por empresas especializadas apresentam maior maturidade tecnológica, rápida implantação, suporte co</w:t>
      </w:r>
      <w:r>
        <w:rPr>
          <w:rFonts w:ascii="Calibri" w:hAnsi="Calibri" w:cs="Calibri"/>
          <w:sz w:val="24"/>
        </w:rPr>
        <w:t>ntínuo e atualização permanente, transferindo ao fornecedor os riscos relacionados à infraestrutura, desenvolvimento e manutenção do sistema.</w:t>
      </w:r>
    </w:p>
    <w:p w:rsidR="00BC2FF2" w:rsidRDefault="00C719D1">
      <w:pPr>
        <w:pStyle w:val="NormalWeb"/>
        <w:spacing w:beforeLines="70" w:before="168" w:beforeAutospacing="0" w:afterLines="70" w:after="168" w:afterAutospacing="0"/>
        <w:jc w:val="both"/>
        <w:rPr>
          <w:rFonts w:ascii="Calibri" w:eastAsia="DejaVuSerif" w:hAnsi="Calibri" w:cs="Calibri"/>
          <w:sz w:val="24"/>
          <w:lang w:bidi="ar"/>
        </w:rPr>
      </w:pPr>
      <w:r>
        <w:rPr>
          <w:rFonts w:ascii="Calibri" w:hAnsi="Calibri" w:cs="Calibri"/>
          <w:sz w:val="24"/>
        </w:rPr>
        <w:t xml:space="preserve">Diante desse cenário, conclui-se que a contratação de solução de mercado, especialmente no </w:t>
      </w:r>
      <w:r>
        <w:rPr>
          <w:rFonts w:ascii="Calibri" w:hAnsi="Calibri" w:cs="Calibri"/>
          <w:sz w:val="24"/>
          <w:lang w:val="pt-BR"/>
        </w:rPr>
        <w:t xml:space="preserve">modelo </w:t>
      </w:r>
      <w:r>
        <w:rPr>
          <w:rStyle w:val="Forte"/>
          <w:rFonts w:ascii="Calibri" w:hAnsi="Calibri" w:cs="Calibri"/>
          <w:b w:val="0"/>
          <w:bCs w:val="0"/>
          <w:sz w:val="24"/>
        </w:rPr>
        <w:t>Software como Se</w:t>
      </w:r>
      <w:r>
        <w:rPr>
          <w:rStyle w:val="Forte"/>
          <w:rFonts w:ascii="Calibri" w:hAnsi="Calibri" w:cs="Calibri"/>
          <w:b w:val="0"/>
          <w:bCs w:val="0"/>
          <w:sz w:val="24"/>
        </w:rPr>
        <w:t>rviço (SaaS</w:t>
      </w:r>
      <w:r>
        <w:rPr>
          <w:rStyle w:val="Forte"/>
          <w:rFonts w:ascii="Calibri" w:hAnsi="Calibri" w:cs="Calibri"/>
          <w:sz w:val="24"/>
        </w:rPr>
        <w:t>)</w:t>
      </w:r>
      <w:r>
        <w:rPr>
          <w:rFonts w:ascii="Calibri" w:hAnsi="Calibri" w:cs="Calibri"/>
          <w:sz w:val="24"/>
        </w:rPr>
        <w:t xml:space="preserve">, revela-se a alternativa mais adequada, por assegurar </w:t>
      </w:r>
      <w:r>
        <w:rPr>
          <w:rFonts w:ascii="Calibri" w:hAnsi="Calibri" w:cs="Calibri"/>
          <w:sz w:val="24"/>
          <w:lang w:val="pt-BR"/>
        </w:rPr>
        <w:t xml:space="preserve">previsibilidade </w:t>
      </w:r>
      <w:r>
        <w:rPr>
          <w:rFonts w:ascii="Calibri" w:hAnsi="Calibri" w:cs="Calibri"/>
          <w:sz w:val="24"/>
        </w:rPr>
        <w:t>de custos, escalabilidade, conformidade normativa, maior segurança da informação e alinhamento às práticas adotadas por municípios de porte semelhante. Assim, sob os aspecto</w:t>
      </w:r>
      <w:r>
        <w:rPr>
          <w:rFonts w:ascii="Calibri" w:hAnsi="Calibri" w:cs="Calibri"/>
          <w:sz w:val="24"/>
        </w:rPr>
        <w:t>s da conveniência, economicidade e eficiência, a opção pela contratação contínua de empresa especializada em sistema de gestão pública municipal, mediante procedimento licitatório, mostra-se a mais vantajosa para o Município de Roque Gonzales.</w:t>
      </w:r>
    </w:p>
    <w:p w:rsidR="00BC2FF2" w:rsidRDefault="00C719D1">
      <w:pPr>
        <w:pStyle w:val="NormalWeb"/>
        <w:spacing w:before="225" w:beforeAutospacing="0" w:after="225" w:afterAutospacing="0"/>
        <w:jc w:val="both"/>
        <w:rPr>
          <w:rFonts w:ascii="Calibri" w:hAnsi="Calibri" w:cs="Calibri"/>
          <w:b/>
          <w:bCs/>
          <w:sz w:val="24"/>
          <w:u w:val="single"/>
        </w:rPr>
      </w:pPr>
      <w:bookmarkStart w:id="4" w:name="art18§1vi"/>
      <w:bookmarkEnd w:id="4"/>
      <w:r>
        <w:rPr>
          <w:rFonts w:ascii="Calibri" w:hAnsi="Calibri" w:cs="Calibri"/>
          <w:b/>
          <w:bCs/>
          <w:sz w:val="24"/>
          <w:u w:val="single"/>
        </w:rPr>
        <w:t>VI - ESTIMAT</w:t>
      </w:r>
      <w:r>
        <w:rPr>
          <w:rFonts w:ascii="Calibri" w:hAnsi="Calibri" w:cs="Calibri"/>
          <w:b/>
          <w:bCs/>
          <w:sz w:val="24"/>
          <w:u w:val="single"/>
        </w:rPr>
        <w:t>IVA DO VALOR DA CONTRATAÇÃO</w:t>
      </w:r>
    </w:p>
    <w:p w:rsidR="00BC2FF2" w:rsidRDefault="00C719D1">
      <w:pPr>
        <w:pStyle w:val="NormalWeb"/>
        <w:spacing w:beforeLines="70" w:before="168" w:beforeAutospacing="0" w:afterLines="70" w:after="168" w:afterAutospacing="0"/>
        <w:jc w:val="both"/>
        <w:rPr>
          <w:rFonts w:ascii="Calibri" w:hAnsi="Calibri" w:cs="Calibri"/>
          <w:sz w:val="24"/>
          <w:lang w:val="pt-BR"/>
        </w:rPr>
      </w:pPr>
      <w:r>
        <w:rPr>
          <w:rFonts w:ascii="Calibri" w:eastAsia="CIDFont" w:hAnsi="Calibri" w:cs="Calibri"/>
          <w:color w:val="000000"/>
          <w:sz w:val="24"/>
          <w:lang w:val="pt-BR" w:bidi="ar"/>
        </w:rPr>
        <w:t xml:space="preserve">Para composição dos valores da presente contratação, </w:t>
      </w:r>
      <w:r>
        <w:rPr>
          <w:rFonts w:ascii="Calibri" w:hAnsi="Calibri" w:cs="Calibri"/>
          <w:sz w:val="24"/>
          <w:lang w:val="pt-BR"/>
        </w:rPr>
        <w:t xml:space="preserve">foram realizadas consultas por meio de </w:t>
      </w:r>
      <w:r>
        <w:rPr>
          <w:rFonts w:ascii="Calibri" w:hAnsi="Calibri" w:cs="Calibri"/>
          <w:sz w:val="24"/>
          <w:lang w:val="pt-BR"/>
        </w:rPr>
        <w:t xml:space="preserve">pesquisa </w:t>
      </w:r>
      <w:r>
        <w:rPr>
          <w:rFonts w:ascii="Calibri" w:hAnsi="Calibri" w:cs="Calibri"/>
          <w:sz w:val="24"/>
          <w:lang w:val="pt-BR"/>
        </w:rPr>
        <w:t xml:space="preserve">no </w:t>
      </w:r>
      <w:r>
        <w:rPr>
          <w:rFonts w:ascii="Calibri" w:eastAsia="CIDFont" w:hAnsi="Calibri" w:cs="Calibri"/>
          <w:color w:val="000000"/>
          <w:sz w:val="24"/>
          <w:lang w:val="pt-BR" w:bidi="ar"/>
        </w:rPr>
        <w:t>Portal Licitacon Cidadão RS</w:t>
      </w:r>
      <w:r>
        <w:rPr>
          <w:rFonts w:ascii="Calibri" w:hAnsi="Calibri" w:cs="Calibri"/>
          <w:sz w:val="24"/>
          <w:lang w:val="pt-BR"/>
        </w:rPr>
        <w:t xml:space="preserve">, disponibilizado pelo Tribunal de Contas do Estado do Rio Grande do Sul, efetuadas com base na Instrução Normativa SEGES n° 65, de 7 de julho </w:t>
      </w:r>
      <w:r>
        <w:rPr>
          <w:rFonts w:ascii="Calibri" w:eastAsia="Times-Roman" w:hAnsi="Calibri" w:cs="Calibri"/>
          <w:color w:val="000000"/>
          <w:sz w:val="24"/>
          <w:lang w:val="pt-BR" w:bidi="ar"/>
        </w:rPr>
        <w:t>de 2021, nos termos previstos na Lei Federal nº 14.133, de 1º de abril de 2021</w:t>
      </w:r>
    </w:p>
    <w:p w:rsidR="00BC2FF2" w:rsidRDefault="00C719D1">
      <w:pPr>
        <w:pStyle w:val="NormalWeb"/>
        <w:spacing w:beforeLines="70" w:before="168" w:beforeAutospacing="0" w:afterLines="70" w:after="168" w:afterAutospacing="0"/>
        <w:jc w:val="both"/>
        <w:rPr>
          <w:rFonts w:ascii="Calibri" w:eastAsia="Times-Roman" w:hAnsi="Calibri" w:cs="Calibri"/>
          <w:color w:val="000000"/>
          <w:sz w:val="24"/>
          <w:lang w:val="pt-BR" w:bidi="ar"/>
        </w:rPr>
      </w:pPr>
      <w:r>
        <w:rPr>
          <w:rFonts w:ascii="Calibri" w:eastAsia="Times-Roman" w:hAnsi="Calibri" w:cs="Calibri"/>
          <w:color w:val="000000"/>
          <w:sz w:val="24"/>
          <w:lang w:val="pt-BR" w:bidi="ar"/>
        </w:rPr>
        <w:t>Para composição do preço de mercad</w:t>
      </w:r>
      <w:r>
        <w:rPr>
          <w:rFonts w:ascii="Calibri" w:eastAsia="Times-Roman" w:hAnsi="Calibri" w:cs="Calibri"/>
          <w:color w:val="000000"/>
          <w:sz w:val="24"/>
          <w:lang w:val="pt-BR" w:bidi="ar"/>
        </w:rPr>
        <w:t xml:space="preserve">o, em acordo com o Art. 23, II, da lei 14.133/2021, a administração </w:t>
      </w:r>
      <w:r>
        <w:rPr>
          <w:rFonts w:ascii="Calibri" w:hAnsi="Calibri" w:cs="Calibri"/>
          <w:sz w:val="24"/>
          <w:lang w:val="pt-BR"/>
        </w:rPr>
        <w:t xml:space="preserve">realizou </w:t>
      </w:r>
      <w:r>
        <w:rPr>
          <w:rFonts w:ascii="Calibri" w:eastAsia="Times-Roman" w:hAnsi="Calibri" w:cs="Calibri"/>
          <w:color w:val="000000"/>
          <w:sz w:val="24"/>
          <w:lang w:val="pt-BR" w:bidi="ar"/>
        </w:rPr>
        <w:t>pesquisa de preços por meio de análise de</w:t>
      </w:r>
      <w:r>
        <w:rPr>
          <w:rFonts w:ascii="Calibri" w:hAnsi="Calibri" w:cs="Calibri"/>
          <w:color w:val="000000"/>
          <w:sz w:val="24"/>
        </w:rPr>
        <w:t xml:space="preserve"> contratações similares feitas pela Administração Pública</w:t>
      </w:r>
      <w:r>
        <w:rPr>
          <w:rFonts w:ascii="Calibri" w:hAnsi="Calibri" w:cs="Calibri"/>
          <w:color w:val="000000"/>
          <w:sz w:val="24"/>
          <w:lang w:val="pt-BR"/>
        </w:rPr>
        <w:t>.</w:t>
      </w:r>
    </w:p>
    <w:p w:rsidR="00BC2FF2" w:rsidRDefault="00C719D1">
      <w:pPr>
        <w:pStyle w:val="NormalWeb"/>
        <w:spacing w:beforeLines="70" w:before="168" w:beforeAutospacing="0" w:afterLines="70" w:after="168" w:afterAutospacing="0"/>
        <w:jc w:val="both"/>
        <w:rPr>
          <w:rFonts w:ascii="Calibri" w:hAnsi="Calibri" w:cs="Calibri"/>
          <w:sz w:val="24"/>
          <w:lang w:val="pt-BR"/>
        </w:rPr>
      </w:pPr>
      <w:r>
        <w:rPr>
          <w:rFonts w:ascii="Calibri" w:hAnsi="Calibri" w:cs="Calibri"/>
          <w:sz w:val="24"/>
          <w:lang w:val="pt-BR"/>
        </w:rPr>
        <w:t>Chegou-se ao Preço de Mercado por meio do cálculo da mediana dos valores obtido</w:t>
      </w:r>
      <w:r>
        <w:rPr>
          <w:rFonts w:ascii="Calibri" w:hAnsi="Calibri" w:cs="Calibri"/>
          <w:sz w:val="24"/>
          <w:lang w:val="pt-BR"/>
        </w:rPr>
        <w:t>s na pesquisa de preços, conforme planilha de cálculo em anexo.</w:t>
      </w:r>
    </w:p>
    <w:p w:rsidR="00BC2FF2" w:rsidRDefault="00C719D1">
      <w:pPr>
        <w:pStyle w:val="NormalWeb"/>
        <w:spacing w:beforeLines="70" w:before="168" w:beforeAutospacing="0" w:afterLines="70" w:after="168" w:afterAutospacing="0"/>
        <w:jc w:val="both"/>
        <w:rPr>
          <w:rFonts w:ascii="Calibri" w:eastAsia="Times-Roman" w:hAnsi="Calibri" w:cs="Calibri"/>
          <w:color w:val="000000"/>
          <w:sz w:val="24"/>
          <w:lang w:val="pt-BR" w:bidi="ar"/>
        </w:rPr>
      </w:pPr>
      <w:r>
        <w:rPr>
          <w:rFonts w:ascii="Calibri" w:eastAsia="Times-Roman" w:hAnsi="Calibri" w:cs="Calibri"/>
          <w:color w:val="000000"/>
          <w:sz w:val="24"/>
          <w:lang w:val="pt-BR" w:bidi="ar"/>
        </w:rPr>
        <w:t xml:space="preserve">Para a definição do valor estimado da contratação, optou-se pela utilização da mediana dos </w:t>
      </w:r>
      <w:r>
        <w:rPr>
          <w:rFonts w:ascii="Calibri" w:hAnsi="Calibri" w:cs="Calibri"/>
          <w:sz w:val="24"/>
          <w:lang w:val="pt-BR"/>
        </w:rPr>
        <w:t xml:space="preserve">preços </w:t>
      </w:r>
      <w:r>
        <w:rPr>
          <w:rFonts w:ascii="Calibri" w:eastAsia="Times-Roman" w:hAnsi="Calibri" w:cs="Calibri"/>
          <w:color w:val="000000"/>
          <w:sz w:val="24"/>
          <w:lang w:val="pt-BR" w:bidi="ar"/>
        </w:rPr>
        <w:t xml:space="preserve">coletados, em detrimento da média aritmética, por se tratar do critério estatístico mais </w:t>
      </w:r>
      <w:r>
        <w:rPr>
          <w:rFonts w:ascii="Calibri" w:eastAsia="Times-Roman" w:hAnsi="Calibri" w:cs="Calibri"/>
          <w:color w:val="000000"/>
          <w:sz w:val="24"/>
          <w:lang w:val="pt-BR" w:bidi="ar"/>
        </w:rPr>
        <w:t>adequado às características da amostra analisada. Os valores obtidos na pesquisa apresentam variação significativa, decorrente de diferenças de escopo contratual, quantidade de módulos, modelo de precificação, histórico de contratações, porte dos Município</w:t>
      </w:r>
      <w:r>
        <w:rPr>
          <w:rFonts w:ascii="Calibri" w:eastAsia="Times-Roman" w:hAnsi="Calibri" w:cs="Calibri"/>
          <w:color w:val="000000"/>
          <w:sz w:val="24"/>
          <w:lang w:val="pt-BR" w:bidi="ar"/>
        </w:rPr>
        <w:t>s e condições específicas de cada ajuste, o que resulta na presença de valores atípicos (outliers), tanto superiores quanto inferiores à prática predominante de mercado.</w:t>
      </w:r>
    </w:p>
    <w:p w:rsidR="00BC2FF2" w:rsidRDefault="00C719D1">
      <w:pPr>
        <w:pStyle w:val="NormalWeb"/>
        <w:spacing w:beforeLines="70" w:before="168" w:beforeAutospacing="0" w:afterLines="70" w:after="168" w:afterAutospacing="0"/>
        <w:jc w:val="both"/>
        <w:rPr>
          <w:rFonts w:ascii="Calibri" w:eastAsia="Times-Roman" w:hAnsi="Calibri" w:cs="Calibri"/>
          <w:color w:val="000000"/>
          <w:sz w:val="24"/>
          <w:lang w:val="pt-BR" w:bidi="ar"/>
        </w:rPr>
      </w:pPr>
      <w:r>
        <w:rPr>
          <w:rFonts w:ascii="Calibri" w:eastAsia="Times-Roman" w:hAnsi="Calibri" w:cs="Calibri"/>
          <w:color w:val="000000"/>
          <w:sz w:val="24"/>
          <w:lang w:val="pt-BR" w:bidi="ar"/>
        </w:rPr>
        <w:t>Nessas circunstâncias, a utilização da média aritmética poderia gerar distorções relev</w:t>
      </w:r>
      <w:r>
        <w:rPr>
          <w:rFonts w:ascii="Calibri" w:eastAsia="Times-Roman" w:hAnsi="Calibri" w:cs="Calibri"/>
          <w:color w:val="000000"/>
          <w:sz w:val="24"/>
          <w:lang w:val="pt-BR" w:bidi="ar"/>
        </w:rPr>
        <w:t xml:space="preserve">antes, afastando o </w:t>
      </w:r>
      <w:r>
        <w:rPr>
          <w:rFonts w:ascii="Calibri" w:hAnsi="Calibri" w:cs="Calibri"/>
          <w:sz w:val="24"/>
          <w:lang w:val="pt-BR"/>
        </w:rPr>
        <w:t xml:space="preserve">valor </w:t>
      </w:r>
      <w:r>
        <w:rPr>
          <w:rFonts w:ascii="Calibri" w:eastAsia="Times-Roman" w:hAnsi="Calibri" w:cs="Calibri"/>
          <w:color w:val="000000"/>
          <w:sz w:val="24"/>
          <w:lang w:val="pt-BR" w:bidi="ar"/>
        </w:rPr>
        <w:t>estimado da realidade efetivamente praticada, em prejuízo aos princípios da razoabilidade, economicidade e eficiência. A mediana, por sua vez, representa o valor central da distribuição, neutralizando a influência de extremos e ref</w:t>
      </w:r>
      <w:r>
        <w:rPr>
          <w:rFonts w:ascii="Calibri" w:eastAsia="Times-Roman" w:hAnsi="Calibri" w:cs="Calibri"/>
          <w:color w:val="000000"/>
          <w:sz w:val="24"/>
          <w:lang w:val="pt-BR" w:bidi="ar"/>
        </w:rPr>
        <w:t>letindo de forma mais fidedigna o preço usual dos serviços contratados por Municípios de porte e características semelhantes.</w:t>
      </w:r>
    </w:p>
    <w:p w:rsidR="00BC2FF2" w:rsidRDefault="00C719D1">
      <w:pPr>
        <w:pStyle w:val="NormalWeb"/>
        <w:spacing w:beforeLines="70" w:before="168" w:beforeAutospacing="0" w:afterLines="70" w:after="168" w:afterAutospacing="0"/>
        <w:jc w:val="both"/>
        <w:rPr>
          <w:rFonts w:ascii="Calibri" w:eastAsia="Times-Roman" w:hAnsi="Calibri" w:cs="Calibri"/>
          <w:color w:val="000000"/>
          <w:sz w:val="24"/>
          <w:lang w:val="pt-BR" w:bidi="ar"/>
        </w:rPr>
      </w:pPr>
      <w:r>
        <w:rPr>
          <w:rFonts w:ascii="Calibri" w:eastAsia="Times-Roman" w:hAnsi="Calibri" w:cs="Calibri"/>
          <w:color w:val="000000"/>
          <w:sz w:val="24"/>
          <w:lang w:val="pt-BR" w:bidi="ar"/>
        </w:rPr>
        <w:t xml:space="preserve">Ressalta-se </w:t>
      </w:r>
      <w:r>
        <w:rPr>
          <w:rFonts w:ascii="Calibri" w:hAnsi="Calibri" w:cs="Calibri"/>
          <w:sz w:val="24"/>
          <w:lang w:val="pt-BR"/>
        </w:rPr>
        <w:t xml:space="preserve">que </w:t>
      </w:r>
      <w:r>
        <w:rPr>
          <w:rFonts w:ascii="Calibri" w:eastAsia="Times-Roman" w:hAnsi="Calibri" w:cs="Calibri"/>
          <w:color w:val="000000"/>
          <w:sz w:val="24"/>
          <w:lang w:val="pt-BR" w:bidi="ar"/>
        </w:rPr>
        <w:t>os preços considerados foram extraídos de contratos vigentes e em execução, com valores atualizados por meio dos r</w:t>
      </w:r>
      <w:r>
        <w:rPr>
          <w:rFonts w:ascii="Calibri" w:eastAsia="Times-Roman" w:hAnsi="Calibri" w:cs="Calibri"/>
          <w:color w:val="000000"/>
          <w:sz w:val="24"/>
          <w:lang w:val="pt-BR" w:bidi="ar"/>
        </w:rPr>
        <w:t>espectivos termos aditivos, o que confere maior confiabilidade e aderência à realidade do mercado. Dessa forma, a adoção da mediana como parâmetro de referência atende às boas práticas de estimativa de preços, mitiga riscos de superestimativa ou subestimat</w:t>
      </w:r>
      <w:r>
        <w:rPr>
          <w:rFonts w:ascii="Calibri" w:eastAsia="Times-Roman" w:hAnsi="Calibri" w:cs="Calibri"/>
          <w:color w:val="000000"/>
          <w:sz w:val="24"/>
          <w:lang w:val="pt-BR" w:bidi="ar"/>
        </w:rPr>
        <w:t>iva do valor da contratação e se mostra plenamente compatível com o entendimento dos órgãos de controle, inclusive do Tribunal de Contas do Estado do Rio Grande do Sul.</w:t>
      </w:r>
    </w:p>
    <w:p w:rsidR="00BC2FF2" w:rsidRDefault="00C719D1">
      <w:pPr>
        <w:pStyle w:val="NormalWeb"/>
        <w:spacing w:beforeLines="70" w:before="168" w:beforeAutospacing="0" w:afterLines="70" w:after="168" w:afterAutospacing="0"/>
        <w:jc w:val="both"/>
        <w:rPr>
          <w:rFonts w:ascii="Calibri" w:eastAsia="Times-Roman" w:hAnsi="Calibri" w:cs="Calibri"/>
          <w:sz w:val="24"/>
          <w:lang w:val="pt-BR" w:bidi="ar"/>
        </w:rPr>
      </w:pPr>
      <w:r>
        <w:rPr>
          <w:rFonts w:ascii="Calibri" w:eastAsia="Times-Roman" w:hAnsi="Calibri" w:cs="Calibri"/>
          <w:color w:val="000000"/>
          <w:sz w:val="24"/>
          <w:lang w:val="pt-BR" w:bidi="ar"/>
        </w:rPr>
        <w:t xml:space="preserve">Com base nesse levantamento, estima-se o valor global da contratação em R$ 424.685,04 </w:t>
      </w:r>
      <w:r>
        <w:rPr>
          <w:rFonts w:ascii="Calibri" w:eastAsia="Times-Roman" w:hAnsi="Calibri" w:cs="Calibri"/>
          <w:color w:val="000000"/>
          <w:sz w:val="24"/>
          <w:lang w:val="pt-BR" w:bidi="ar"/>
        </w:rPr>
        <w:t>(quatrocentos e vinte e quatro mil, seiscentos e oitenta e cinco reais e quatro centavos), conforme discriminados no item “IV - ESTIMATIVAS DAS QUANTIDADES PARA A CONTRATAÇÃO”, considerando a totalidade dos módulos, os serviços de implantação, migração, ca</w:t>
      </w:r>
      <w:r>
        <w:rPr>
          <w:rFonts w:ascii="Calibri" w:eastAsia="Times-Roman" w:hAnsi="Calibri" w:cs="Calibri"/>
          <w:color w:val="000000"/>
          <w:sz w:val="24"/>
          <w:lang w:val="pt-BR" w:bidi="ar"/>
        </w:rPr>
        <w:t>pacitação, suporte técnico, manutenção c</w:t>
      </w:r>
      <w:r>
        <w:rPr>
          <w:rFonts w:ascii="Calibri" w:eastAsia="Times-Roman" w:hAnsi="Calibri" w:cs="Calibri"/>
          <w:sz w:val="24"/>
          <w:lang w:val="pt-BR" w:bidi="ar"/>
        </w:rPr>
        <w:t xml:space="preserve">orretiva, legal e </w:t>
      </w:r>
      <w:r>
        <w:rPr>
          <w:rFonts w:ascii="Calibri" w:hAnsi="Calibri" w:cs="Calibri"/>
          <w:sz w:val="24"/>
          <w:lang w:val="pt-BR"/>
        </w:rPr>
        <w:t>evolutiva</w:t>
      </w:r>
      <w:r>
        <w:rPr>
          <w:rFonts w:ascii="Calibri" w:eastAsia="Times-Roman" w:hAnsi="Calibri" w:cs="Calibri"/>
          <w:sz w:val="24"/>
          <w:lang w:val="pt-BR" w:bidi="ar"/>
        </w:rPr>
        <w:t xml:space="preserve">, bem como a hospedagem da solução em ambiente de alta disponibilidade, para o período de 12 (doze) meses. </w:t>
      </w:r>
    </w:p>
    <w:p w:rsidR="00BC2FF2" w:rsidRDefault="00C719D1">
      <w:pPr>
        <w:pStyle w:val="NormalWeb"/>
        <w:spacing w:before="225" w:beforeAutospacing="0" w:after="225" w:afterAutospacing="0"/>
        <w:jc w:val="both"/>
        <w:rPr>
          <w:rFonts w:ascii="Calibri" w:hAnsi="Calibri" w:cs="Calibri"/>
          <w:b/>
          <w:bCs/>
          <w:sz w:val="24"/>
          <w:u w:val="single"/>
        </w:rPr>
      </w:pPr>
      <w:bookmarkStart w:id="5" w:name="art18§1vii"/>
      <w:bookmarkEnd w:id="5"/>
      <w:r>
        <w:rPr>
          <w:rFonts w:ascii="Calibri" w:hAnsi="Calibri" w:cs="Calibri"/>
          <w:b/>
          <w:bCs/>
          <w:sz w:val="24"/>
          <w:u w:val="single"/>
        </w:rPr>
        <w:t>VII - DESCRIÇÃO DA SOLUÇÃO COMO UM TODO</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eastAsia="Times-Roman" w:hAnsi="Calibri" w:cs="Calibri"/>
          <w:color w:val="000000"/>
          <w:sz w:val="24"/>
          <w:lang w:val="pt-BR" w:bidi="ar"/>
        </w:rPr>
        <w:t>A solução a ser contratada consiste em si</w:t>
      </w:r>
      <w:r>
        <w:rPr>
          <w:rFonts w:ascii="Calibri" w:eastAsia="Times-Roman" w:hAnsi="Calibri" w:cs="Calibri"/>
          <w:color w:val="000000"/>
          <w:sz w:val="24"/>
          <w:lang w:val="pt-BR" w:bidi="ar"/>
        </w:rPr>
        <w:t>stema integrado de gestão pública municipal, disponibilizado em ambiente 100% web, na modalidade Software como Serviço (SaaS), destinado a atender, de forma unificada, segura e contínua, todas as áreas administrativas, financeiras, fiscais e finalísticas d</w:t>
      </w:r>
      <w:r>
        <w:rPr>
          <w:rFonts w:ascii="Calibri" w:eastAsia="Times-Roman" w:hAnsi="Calibri" w:cs="Calibri"/>
          <w:color w:val="000000"/>
          <w:sz w:val="24"/>
          <w:lang w:val="pt-BR" w:bidi="ar"/>
        </w:rPr>
        <w:t>o Município. A plataforma deverá centralizar as informações, padronizar proce</w:t>
      </w:r>
      <w:r>
        <w:rPr>
          <w:rFonts w:ascii="Calibri" w:hAnsi="Calibri" w:cs="Calibri"/>
          <w:sz w:val="24"/>
        </w:rPr>
        <w:t>dimentos e promover a interoperabilidade entre os diversos setores da Administração, assegurando maior eficiência operacional, controle gerencial e transparência dos atos públicos</w:t>
      </w:r>
      <w:r>
        <w:rPr>
          <w:rFonts w:ascii="Calibri" w:hAnsi="Calibri" w:cs="Calibri"/>
          <w:sz w:val="24"/>
        </w:rPr>
        <w:t>.</w:t>
      </w:r>
    </w:p>
    <w:p w:rsidR="00BC2FF2" w:rsidRDefault="00C719D1">
      <w:pPr>
        <w:pStyle w:val="NormalWeb"/>
        <w:spacing w:beforeLines="70" w:before="168" w:beforeAutospacing="0" w:afterLines="70" w:after="168" w:afterAutospacing="0"/>
        <w:jc w:val="both"/>
        <w:rPr>
          <w:rFonts w:ascii="Calibri" w:eastAsia="Times-Roman" w:hAnsi="Calibri" w:cs="Calibri"/>
          <w:color w:val="000000"/>
          <w:sz w:val="24"/>
          <w:lang w:val="pt-BR" w:bidi="ar"/>
        </w:rPr>
      </w:pPr>
      <w:r>
        <w:rPr>
          <w:rFonts w:ascii="Calibri" w:hAnsi="Calibri" w:cs="Calibri"/>
          <w:sz w:val="24"/>
        </w:rPr>
        <w:t xml:space="preserve">O sistema deverá </w:t>
      </w:r>
      <w:r>
        <w:rPr>
          <w:rFonts w:ascii="Calibri" w:eastAsia="Times-Roman" w:hAnsi="Calibri" w:cs="Calibri"/>
          <w:color w:val="000000"/>
          <w:sz w:val="24"/>
          <w:lang w:val="pt-BR" w:bidi="ar"/>
        </w:rPr>
        <w:t xml:space="preserve">ser </w:t>
      </w:r>
      <w:r>
        <w:rPr>
          <w:rFonts w:ascii="Calibri" w:hAnsi="Calibri" w:cs="Calibri"/>
          <w:sz w:val="24"/>
        </w:rPr>
        <w:t>comp</w:t>
      </w:r>
      <w:r>
        <w:rPr>
          <w:rFonts w:ascii="Calibri" w:eastAsia="Times-Roman" w:hAnsi="Calibri" w:cs="Calibri"/>
          <w:color w:val="000000"/>
          <w:sz w:val="24"/>
          <w:lang w:val="pt-BR" w:bidi="ar"/>
        </w:rPr>
        <w:t xml:space="preserve">osto por módulos integrados, capazes de </w:t>
      </w:r>
      <w:r>
        <w:rPr>
          <w:rFonts w:ascii="Calibri" w:hAnsi="Calibri" w:cs="Calibri"/>
          <w:sz w:val="24"/>
        </w:rPr>
        <w:t xml:space="preserve">abranger a totalidade das rotinas municipais, desde os processos administrativos internos até os serviços digitais disponibilizados ao cidadão, incluindo, entre </w:t>
      </w:r>
      <w:r>
        <w:rPr>
          <w:rFonts w:ascii="Calibri" w:eastAsia="Times-Roman" w:hAnsi="Calibri" w:cs="Calibri"/>
          <w:color w:val="000000"/>
          <w:sz w:val="24"/>
          <w:lang w:val="pt-BR" w:bidi="ar"/>
        </w:rPr>
        <w:t>outros</w:t>
      </w:r>
      <w:r>
        <w:rPr>
          <w:rFonts w:ascii="Calibri" w:hAnsi="Calibri" w:cs="Calibri"/>
          <w:sz w:val="24"/>
        </w:rPr>
        <w:t>, gestão administrativ</w:t>
      </w:r>
      <w:r>
        <w:rPr>
          <w:rFonts w:ascii="Calibri" w:hAnsi="Calibri" w:cs="Calibri"/>
          <w:sz w:val="24"/>
        </w:rPr>
        <w:t>a, tributária, financeira, contábil, licitações e contratos, recursos humanos, saúde, educação, assistência social, controle interno e transparência pública. Todos os módulos deverão opera</w:t>
      </w:r>
      <w:r>
        <w:rPr>
          <w:rFonts w:ascii="Calibri" w:eastAsia="Times-Roman" w:hAnsi="Calibri" w:cs="Calibri"/>
          <w:color w:val="000000"/>
          <w:sz w:val="24"/>
          <w:lang w:val="pt-BR" w:bidi="ar"/>
        </w:rPr>
        <w:t xml:space="preserve">r de forma integrada, compartilhando a mesma base de dados, de modo </w:t>
      </w:r>
      <w:r>
        <w:rPr>
          <w:rFonts w:ascii="Calibri" w:eastAsia="Times-Roman" w:hAnsi="Calibri" w:cs="Calibri"/>
          <w:color w:val="000000"/>
          <w:sz w:val="24"/>
          <w:lang w:val="pt-BR" w:bidi="ar"/>
        </w:rPr>
        <w:t>a garantir a consistência, a integridade e a rastreabilidade das informações.</w:t>
      </w:r>
    </w:p>
    <w:p w:rsidR="00BC2FF2" w:rsidRDefault="00C719D1">
      <w:pPr>
        <w:pStyle w:val="NormalWeb"/>
        <w:spacing w:beforeLines="70" w:before="168" w:beforeAutospacing="0" w:afterLines="70" w:after="168" w:afterAutospacing="0"/>
        <w:jc w:val="both"/>
        <w:rPr>
          <w:rFonts w:ascii="Calibri" w:eastAsia="Times-Roman" w:hAnsi="Calibri" w:cs="Calibri"/>
          <w:color w:val="000000"/>
          <w:sz w:val="24"/>
          <w:lang w:val="pt-BR" w:bidi="ar"/>
        </w:rPr>
      </w:pPr>
      <w:r>
        <w:rPr>
          <w:rFonts w:ascii="Calibri" w:eastAsia="Times-Roman" w:hAnsi="Calibri" w:cs="Calibri"/>
          <w:color w:val="000000"/>
          <w:sz w:val="24"/>
          <w:lang w:val="pt-BR" w:bidi="ar"/>
        </w:rPr>
        <w:t>A solução deverá contemplar infraestrutura de hospedagem, segurança da informação, manutenção, atualização tecnológica e suporte técnico contínuo, sendo de responsabilidade da co</w:t>
      </w:r>
      <w:r>
        <w:rPr>
          <w:rFonts w:ascii="Calibri" w:eastAsia="Times-Roman" w:hAnsi="Calibri" w:cs="Calibri"/>
          <w:color w:val="000000"/>
          <w:sz w:val="24"/>
          <w:lang w:val="pt-BR" w:bidi="ar"/>
        </w:rPr>
        <w:t>ntratada a gestão do ambiente tecnológico, incluindo backups, monitoramento, planos de contingência e adequação às alterações normativas. O sistema deverá permanecer permanentemente atualizado, em conformidade com a legislação vigente e com as exigências d</w:t>
      </w:r>
      <w:r>
        <w:rPr>
          <w:rFonts w:ascii="Calibri" w:eastAsia="Times-Roman" w:hAnsi="Calibri" w:cs="Calibri"/>
          <w:color w:val="000000"/>
          <w:sz w:val="24"/>
          <w:lang w:val="pt-BR" w:bidi="ar"/>
        </w:rPr>
        <w:t>os órgãos de controle, em especial aquelas relativas ao SIAFIC, à Lei nº 14.133/2021 e à Lei Geral de Proteção de Dados – LGPD.</w:t>
      </w:r>
    </w:p>
    <w:p w:rsidR="00BC2FF2" w:rsidRDefault="00C719D1">
      <w:pPr>
        <w:pStyle w:val="NormalWeb"/>
        <w:spacing w:beforeLines="70" w:before="168" w:beforeAutospacing="0" w:afterLines="70" w:after="168" w:afterAutospacing="0"/>
        <w:jc w:val="both"/>
        <w:rPr>
          <w:rFonts w:ascii="Calibri" w:eastAsia="Times-Roman" w:hAnsi="Calibri" w:cs="Calibri"/>
          <w:color w:val="000000"/>
          <w:sz w:val="24"/>
          <w:lang w:val="pt-BR" w:bidi="ar"/>
        </w:rPr>
      </w:pPr>
      <w:r>
        <w:rPr>
          <w:rFonts w:ascii="Calibri" w:eastAsia="Times-Roman" w:hAnsi="Calibri" w:cs="Calibri"/>
          <w:color w:val="000000"/>
          <w:sz w:val="24"/>
          <w:lang w:val="pt-BR" w:bidi="ar"/>
        </w:rPr>
        <w:t>A contratação deverá abranger todas as etapas necessárias à plena operacionalização da solução, incluindo planejamento, implanta</w:t>
      </w:r>
      <w:r>
        <w:rPr>
          <w:rFonts w:ascii="Calibri" w:eastAsia="Times-Roman" w:hAnsi="Calibri" w:cs="Calibri"/>
          <w:color w:val="000000"/>
          <w:sz w:val="24"/>
          <w:lang w:val="pt-BR" w:bidi="ar"/>
        </w:rPr>
        <w:t>ção, migração de dados, parametrização, testes, capacitação dos servidores, entrada em produção assistida e suporte técnico durante toda a vigência contratual. A solução deverá permitir evolução contínua, com possibilidade de ampliação de funcionalidades e</w:t>
      </w:r>
      <w:r>
        <w:rPr>
          <w:rFonts w:ascii="Calibri" w:eastAsia="Times-Roman" w:hAnsi="Calibri" w:cs="Calibri"/>
          <w:color w:val="000000"/>
          <w:sz w:val="24"/>
          <w:lang w:val="pt-BR" w:bidi="ar"/>
        </w:rPr>
        <w:t xml:space="preserve"> módulos, sem prejuízo à continuidade dos serviços públicos.</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eastAsia="Times-Roman" w:hAnsi="Calibri" w:cs="Calibri"/>
          <w:color w:val="000000"/>
          <w:sz w:val="24"/>
          <w:lang w:val="pt-BR" w:bidi="ar"/>
        </w:rPr>
        <w:t>De forma geral, a solução proposta visa assegurar continuidade administrativa, eficiência na gestão pública, segurança da informação, redução de riscos operacionais e melhoria do atendimento ao c</w:t>
      </w:r>
      <w:r>
        <w:rPr>
          <w:rFonts w:ascii="Calibri" w:eastAsia="Times-Roman" w:hAnsi="Calibri" w:cs="Calibri"/>
          <w:color w:val="000000"/>
          <w:sz w:val="24"/>
          <w:lang w:val="pt-BR" w:bidi="ar"/>
        </w:rPr>
        <w:t>idadão, oferecendo ao Município ferramenta tecnológica moderna, confiável e aderente às melhores práticas de governança pública e gestão digit</w:t>
      </w:r>
      <w:r>
        <w:rPr>
          <w:rFonts w:ascii="Calibri" w:hAnsi="Calibri" w:cs="Calibri"/>
          <w:sz w:val="24"/>
        </w:rPr>
        <w:t>al.</w:t>
      </w:r>
    </w:p>
    <w:p w:rsidR="00BC2FF2" w:rsidRDefault="00C719D1">
      <w:pPr>
        <w:pStyle w:val="NormalWeb"/>
        <w:spacing w:before="225" w:beforeAutospacing="0" w:after="225" w:afterAutospacing="0"/>
        <w:jc w:val="both"/>
        <w:rPr>
          <w:rFonts w:ascii="Calibri" w:hAnsi="Calibri" w:cs="Calibri"/>
          <w:b/>
          <w:bCs/>
          <w:sz w:val="24"/>
          <w:u w:val="single"/>
        </w:rPr>
      </w:pPr>
      <w:bookmarkStart w:id="6" w:name="art18§1viii"/>
      <w:bookmarkEnd w:id="6"/>
      <w:r>
        <w:rPr>
          <w:rFonts w:ascii="Calibri" w:hAnsi="Calibri" w:cs="Calibri"/>
          <w:b/>
          <w:bCs/>
          <w:sz w:val="24"/>
          <w:u w:val="single"/>
        </w:rPr>
        <w:t>VIII - JUSTIFICATIVAS PARA O PARCELAMENTO OU NÃO DA CONTRATAÇÃO</w:t>
      </w:r>
    </w:p>
    <w:p w:rsidR="00BC2FF2" w:rsidRDefault="00C719D1">
      <w:pPr>
        <w:pStyle w:val="NormalWeb"/>
        <w:spacing w:beforeLines="70" w:before="168" w:beforeAutospacing="0" w:afterLines="70" w:after="168" w:afterAutospacing="0"/>
        <w:jc w:val="both"/>
        <w:rPr>
          <w:rFonts w:ascii="Calibri" w:eastAsia="DejaVuSerif" w:hAnsi="Calibri" w:cs="Calibri"/>
          <w:sz w:val="24"/>
        </w:rPr>
      </w:pPr>
      <w:r>
        <w:rPr>
          <w:rFonts w:ascii="Calibri" w:eastAsia="DejaVuSerif" w:hAnsi="Calibri" w:cs="Calibri"/>
          <w:sz w:val="24"/>
        </w:rPr>
        <w:t xml:space="preserve">Após a análise das características do objeto, </w:t>
      </w:r>
      <w:r>
        <w:rPr>
          <w:rFonts w:ascii="Calibri" w:eastAsia="DejaVuSerif" w:hAnsi="Calibri" w:cs="Calibri"/>
          <w:sz w:val="24"/>
        </w:rPr>
        <w:t>conclui-se que não é técnica nem economicamente recomendável o parcelamento da contratação, devendo esta ocorrer de forma global e integrada</w:t>
      </w:r>
      <w:r>
        <w:rPr>
          <w:rFonts w:ascii="Calibri" w:eastAsia="Times-Roman" w:hAnsi="Calibri" w:cs="Calibri"/>
          <w:color w:val="000000"/>
          <w:sz w:val="24"/>
          <w:lang w:bidi="ar"/>
        </w:rPr>
        <w:t xml:space="preserve">, </w:t>
      </w:r>
      <w:r>
        <w:rPr>
          <w:rFonts w:ascii="Calibri" w:eastAsia="DejaVuSerif" w:hAnsi="Calibri" w:cs="Calibri"/>
          <w:sz w:val="24"/>
        </w:rPr>
        <w:t xml:space="preserve">abrangendo o fornecimento do sistema de gestão pública municipal, seus módulos, serviços de implantação, migração </w:t>
      </w:r>
      <w:r>
        <w:rPr>
          <w:rFonts w:ascii="Calibri" w:eastAsia="DejaVuSerif" w:hAnsi="Calibri" w:cs="Calibri"/>
          <w:sz w:val="24"/>
        </w:rPr>
        <w:t>de dados, capacitação, suporte técnico, manutenção evolutiva e hospedagem em ambiente web.</w:t>
      </w:r>
    </w:p>
    <w:p w:rsidR="00BC2FF2" w:rsidRDefault="00C719D1">
      <w:pPr>
        <w:pStyle w:val="NormalWeb"/>
        <w:spacing w:beforeLines="70" w:before="168" w:beforeAutospacing="0" w:afterLines="70" w:after="168" w:afterAutospacing="0"/>
        <w:jc w:val="both"/>
        <w:rPr>
          <w:rFonts w:ascii="Calibri" w:eastAsia="DejaVuSerif" w:hAnsi="Calibri" w:cs="Calibri"/>
          <w:sz w:val="24"/>
        </w:rPr>
      </w:pPr>
      <w:r>
        <w:rPr>
          <w:rFonts w:ascii="Calibri" w:eastAsia="DejaVuSerif" w:hAnsi="Calibri" w:cs="Calibri"/>
          <w:sz w:val="24"/>
        </w:rPr>
        <w:t xml:space="preserve">O objeto pretendido constitui uma solução única e indivisível do ponto de vista funcional e operacional, uma vez que os módulos do sistema compartilham a mesma base </w:t>
      </w:r>
      <w:r>
        <w:rPr>
          <w:rFonts w:ascii="Calibri" w:eastAsia="DejaVuSerif" w:hAnsi="Calibri" w:cs="Calibri"/>
          <w:sz w:val="24"/>
        </w:rPr>
        <w:t xml:space="preserve">de dados, regras de negócio, </w:t>
      </w:r>
      <w:r>
        <w:rPr>
          <w:rFonts w:ascii="Calibri" w:eastAsia="Times-Roman" w:hAnsi="Calibri" w:cs="Calibri"/>
          <w:color w:val="000000"/>
          <w:sz w:val="24"/>
          <w:lang w:bidi="ar"/>
        </w:rPr>
        <w:t xml:space="preserve">estrutura </w:t>
      </w:r>
      <w:r>
        <w:rPr>
          <w:rFonts w:ascii="Calibri" w:eastAsia="DejaVuSerif" w:hAnsi="Calibri" w:cs="Calibri"/>
          <w:sz w:val="24"/>
        </w:rPr>
        <w:t>tecnológica e mecanismos de segurança da informação. O parcelamento da contratação, com a separação de módulos ou serviços entre diferentes fornecedores, comprometeria a integração sistêmica, aumentaria o risco de inc</w:t>
      </w:r>
      <w:r>
        <w:rPr>
          <w:rFonts w:ascii="Calibri" w:eastAsia="DejaVuSerif" w:hAnsi="Calibri" w:cs="Calibri"/>
          <w:sz w:val="24"/>
        </w:rPr>
        <w:t>onsistências de dados, dificultaria a responsabilização técnica e poderia resultar em prejuízos à continuidade dos serviços públicos essenciais.</w:t>
      </w:r>
    </w:p>
    <w:p w:rsidR="00BC2FF2" w:rsidRDefault="00C719D1">
      <w:pPr>
        <w:pStyle w:val="NormalWeb"/>
        <w:spacing w:beforeLines="70" w:before="168" w:beforeAutospacing="0" w:afterLines="70" w:after="168" w:afterAutospacing="0"/>
        <w:jc w:val="both"/>
        <w:rPr>
          <w:rFonts w:ascii="Calibri" w:eastAsia="DejaVuSerif" w:hAnsi="Calibri" w:cs="Calibri"/>
          <w:sz w:val="24"/>
        </w:rPr>
      </w:pPr>
      <w:r>
        <w:rPr>
          <w:rFonts w:ascii="Calibri" w:eastAsia="DejaVuSerif" w:hAnsi="Calibri" w:cs="Calibri"/>
          <w:sz w:val="24"/>
        </w:rPr>
        <w:t xml:space="preserve">Sob o aspecto econômico, o parcelamento também se mostra desvantajoso, pois a contratação fragmentada </w:t>
      </w:r>
      <w:r>
        <w:rPr>
          <w:rFonts w:ascii="Calibri" w:eastAsia="Times-Roman" w:hAnsi="Calibri" w:cs="Calibri"/>
          <w:color w:val="000000"/>
          <w:sz w:val="24"/>
          <w:lang w:bidi="ar"/>
        </w:rPr>
        <w:t xml:space="preserve">tenderia </w:t>
      </w:r>
      <w:r>
        <w:rPr>
          <w:rFonts w:ascii="Calibri" w:eastAsia="DejaVuSerif" w:hAnsi="Calibri" w:cs="Calibri"/>
          <w:sz w:val="24"/>
        </w:rPr>
        <w:t>a gerar custos adicionais relacionados à integração entre sistemas distintos, duplicidade de infraestrutura tecnológica, aumento da complexidade contratual e maior esforço de gestão e fiscalização por parte da Administração. Ademais, a contratação unificad</w:t>
      </w:r>
      <w:r>
        <w:rPr>
          <w:rFonts w:ascii="Calibri" w:eastAsia="DejaVuSerif" w:hAnsi="Calibri" w:cs="Calibri"/>
          <w:sz w:val="24"/>
        </w:rPr>
        <w:t>a favorece a economia de escala, possibilitando melhores condições comerciais e maior eficiência na execução do contrato.</w:t>
      </w:r>
    </w:p>
    <w:p w:rsidR="00BC2FF2" w:rsidRDefault="00C719D1">
      <w:pPr>
        <w:pStyle w:val="NormalWeb"/>
        <w:spacing w:beforeLines="70" w:before="168" w:beforeAutospacing="0" w:afterLines="70" w:after="168" w:afterAutospacing="0"/>
        <w:jc w:val="both"/>
        <w:rPr>
          <w:rFonts w:ascii="Calibri" w:eastAsia="DejaVuSerif" w:hAnsi="Calibri" w:cs="Calibri"/>
          <w:sz w:val="24"/>
        </w:rPr>
      </w:pPr>
      <w:r>
        <w:rPr>
          <w:rFonts w:ascii="Calibri" w:eastAsia="DejaVuSerif" w:hAnsi="Calibri" w:cs="Calibri"/>
          <w:sz w:val="24"/>
        </w:rPr>
        <w:t>Ressalte-se, ainda, que a contratação global não restringe a competitividade, uma vez que o mercado dispõe de diversos fornecedores ap</w:t>
      </w:r>
      <w:r>
        <w:rPr>
          <w:rFonts w:ascii="Calibri" w:eastAsia="DejaVuSerif" w:hAnsi="Calibri" w:cs="Calibri"/>
          <w:sz w:val="24"/>
        </w:rPr>
        <w:t xml:space="preserve">tos a ofertar soluções integradas de gestão pública municipal, </w:t>
      </w:r>
      <w:r>
        <w:rPr>
          <w:rFonts w:ascii="Calibri" w:eastAsia="Times-Roman" w:hAnsi="Calibri" w:cs="Calibri"/>
          <w:color w:val="000000"/>
          <w:sz w:val="24"/>
          <w:lang w:bidi="ar"/>
        </w:rPr>
        <w:t xml:space="preserve">conforme </w:t>
      </w:r>
      <w:r>
        <w:rPr>
          <w:rFonts w:ascii="Calibri" w:eastAsia="DejaVuSerif" w:hAnsi="Calibri" w:cs="Calibri"/>
          <w:sz w:val="24"/>
        </w:rPr>
        <w:t>demonstrado na pesquisa de preços realizada. Assim, a opção pela não divisão do objeto atende ao disposto no art. 23, §1º, da Lei nº 14.133/2021, ao preservar a vantajosidade da contra</w:t>
      </w:r>
      <w:r>
        <w:rPr>
          <w:rFonts w:ascii="Calibri" w:eastAsia="DejaVuSerif" w:hAnsi="Calibri" w:cs="Calibri"/>
          <w:sz w:val="24"/>
        </w:rPr>
        <w:t>tação, a eficiência administrativa e a segurança da execução contratual.</w:t>
      </w:r>
    </w:p>
    <w:p w:rsidR="00BC2FF2" w:rsidRDefault="00C719D1">
      <w:pPr>
        <w:pStyle w:val="NormalWeb"/>
        <w:spacing w:beforeLines="70" w:before="168" w:beforeAutospacing="0" w:afterLines="70" w:after="168" w:afterAutospacing="0"/>
        <w:jc w:val="both"/>
        <w:rPr>
          <w:rFonts w:ascii="Calibri" w:eastAsia="DejaVuSerif" w:hAnsi="Calibri" w:cs="Calibri"/>
          <w:sz w:val="24"/>
          <w:lang w:bidi="ar"/>
        </w:rPr>
      </w:pPr>
      <w:r>
        <w:rPr>
          <w:rFonts w:ascii="Calibri" w:eastAsia="DejaVuSerif" w:hAnsi="Calibri" w:cs="Calibri"/>
          <w:sz w:val="24"/>
        </w:rPr>
        <w:t xml:space="preserve">Diante do exposto, </w:t>
      </w:r>
      <w:r>
        <w:rPr>
          <w:rFonts w:ascii="Calibri" w:eastAsia="Times-Roman" w:hAnsi="Calibri" w:cs="Calibri"/>
          <w:color w:val="000000"/>
          <w:sz w:val="24"/>
          <w:lang w:bidi="ar"/>
        </w:rPr>
        <w:t>justifica</w:t>
      </w:r>
      <w:r>
        <w:rPr>
          <w:rFonts w:ascii="Calibri" w:eastAsia="DejaVuSerif" w:hAnsi="Calibri" w:cs="Calibri"/>
          <w:sz w:val="24"/>
        </w:rPr>
        <w:t>-se a não realização do parcelamento da contratação, por razões técnicas, operacionais, econômicas e de interesse público, assegurando-se solução integrada</w:t>
      </w:r>
      <w:r>
        <w:rPr>
          <w:rFonts w:ascii="Calibri" w:eastAsia="DejaVuSerif" w:hAnsi="Calibri" w:cs="Calibri"/>
          <w:sz w:val="24"/>
        </w:rPr>
        <w:t>, contínua e compatível com as necessidades da Administração Municipal.</w:t>
      </w:r>
    </w:p>
    <w:p w:rsidR="00BC2FF2" w:rsidRDefault="00C719D1">
      <w:pPr>
        <w:pStyle w:val="NormalWeb"/>
        <w:spacing w:before="225" w:beforeAutospacing="0" w:after="225" w:afterAutospacing="0"/>
        <w:jc w:val="both"/>
        <w:rPr>
          <w:rFonts w:ascii="Calibri" w:hAnsi="Calibri" w:cs="Calibri"/>
          <w:b/>
          <w:bCs/>
          <w:sz w:val="24"/>
          <w:u w:val="single"/>
        </w:rPr>
      </w:pPr>
      <w:bookmarkStart w:id="7" w:name="art18§1ix"/>
      <w:bookmarkEnd w:id="7"/>
      <w:r>
        <w:rPr>
          <w:rFonts w:ascii="Calibri" w:hAnsi="Calibri" w:cs="Calibri"/>
          <w:b/>
          <w:bCs/>
          <w:sz w:val="24"/>
          <w:u w:val="single"/>
        </w:rPr>
        <w:t>IX - DEMONSTRATIVO DOS RESULTADOS PRETENDIDOS</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 xml:space="preserve">A contratação da </w:t>
      </w:r>
      <w:r>
        <w:rPr>
          <w:rFonts w:ascii="Calibri" w:eastAsia="Times-Roman" w:hAnsi="Calibri" w:cs="Calibri"/>
          <w:color w:val="000000"/>
          <w:sz w:val="24"/>
          <w:lang w:val="pt-BR" w:bidi="ar"/>
        </w:rPr>
        <w:t xml:space="preserve">solução </w:t>
      </w:r>
      <w:r>
        <w:rPr>
          <w:rFonts w:ascii="Calibri" w:hAnsi="Calibri" w:cs="Calibri"/>
          <w:sz w:val="24"/>
        </w:rPr>
        <w:t>integrada de gestão pública municipal tem por finalidade alcançar resultados concretos e mensuráveis, alinhados a</w:t>
      </w:r>
      <w:r>
        <w:rPr>
          <w:rFonts w:ascii="Calibri" w:hAnsi="Calibri" w:cs="Calibri"/>
          <w:sz w:val="24"/>
        </w:rPr>
        <w:t>os princípios da eficiência, economicidade, transparência e continuidade dos serviços públicos.</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Como resultado pretendido, busca-se a modernização e a padronização dos processos administrativos, substituindo controles manuais ou sistemas fragmentados por u</w:t>
      </w:r>
      <w:r>
        <w:rPr>
          <w:rFonts w:ascii="Calibri" w:hAnsi="Calibri" w:cs="Calibri"/>
          <w:sz w:val="24"/>
        </w:rPr>
        <w:t xml:space="preserve">ma plataforma única, integrada e centralizada, capaz de atender de forma uniforme a todos os setores da </w:t>
      </w:r>
      <w:r>
        <w:rPr>
          <w:rFonts w:ascii="Calibri" w:eastAsia="Times-Roman" w:hAnsi="Calibri" w:cs="Calibri"/>
          <w:color w:val="000000"/>
          <w:sz w:val="24"/>
          <w:lang w:val="pt-BR" w:bidi="ar"/>
        </w:rPr>
        <w:t xml:space="preserve">Administração </w:t>
      </w:r>
      <w:r>
        <w:rPr>
          <w:rFonts w:ascii="Calibri" w:hAnsi="Calibri" w:cs="Calibri"/>
          <w:sz w:val="24"/>
        </w:rPr>
        <w:t>Municipal. Espera-se, com isso, a redução de retrabalho, falhas operacionais e inconsistências de informações entre áreas distintas.</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Prete</w:t>
      </w:r>
      <w:r>
        <w:rPr>
          <w:rFonts w:ascii="Calibri" w:hAnsi="Calibri" w:cs="Calibri"/>
          <w:sz w:val="24"/>
        </w:rPr>
        <w:t>nde-se, ainda, a melhoria da qualidade, confiabilidade e tempestividade das informações gerenciais, contábeis, orçamentárias, financeiras e administrativas, permitindo maior suporte à tomada de decisões pelos gestores públicos, bem como o atendimento adequ</w:t>
      </w:r>
      <w:r>
        <w:rPr>
          <w:rFonts w:ascii="Calibri" w:hAnsi="Calibri" w:cs="Calibri"/>
          <w:sz w:val="24"/>
        </w:rPr>
        <w:t xml:space="preserve">ado às </w:t>
      </w:r>
      <w:r>
        <w:rPr>
          <w:rFonts w:ascii="Calibri" w:eastAsia="Times-Roman" w:hAnsi="Calibri" w:cs="Calibri"/>
          <w:color w:val="000000"/>
          <w:sz w:val="24"/>
          <w:lang w:val="pt-BR" w:bidi="ar"/>
        </w:rPr>
        <w:t xml:space="preserve">demandas </w:t>
      </w:r>
      <w:r>
        <w:rPr>
          <w:rFonts w:ascii="Calibri" w:hAnsi="Calibri" w:cs="Calibri"/>
          <w:sz w:val="24"/>
        </w:rPr>
        <w:t>de órgãos de controle, fiscalização e controle social.</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 xml:space="preserve">Outro resultado </w:t>
      </w:r>
      <w:r>
        <w:rPr>
          <w:rFonts w:ascii="Calibri" w:eastAsia="Times-Roman" w:hAnsi="Calibri" w:cs="Calibri"/>
          <w:color w:val="000000"/>
          <w:sz w:val="24"/>
          <w:lang w:val="pt-BR" w:bidi="ar"/>
        </w:rPr>
        <w:t xml:space="preserve">relevante </w:t>
      </w:r>
      <w:r>
        <w:rPr>
          <w:rFonts w:ascii="Calibri" w:hAnsi="Calibri" w:cs="Calibri"/>
          <w:sz w:val="24"/>
        </w:rPr>
        <w:t>consiste no atendimento integral às exigências legais e normativas, especialmente no que se refere à conformidade com o SIAFIC, nos termos do Decreto Federal nº 10.540/2020, à Lei de Responsabilidade Fiscal, à Lei de Acesso à Informação e à Lei Geral de Pr</w:t>
      </w:r>
      <w:r>
        <w:rPr>
          <w:rFonts w:ascii="Calibri" w:hAnsi="Calibri" w:cs="Calibri"/>
          <w:sz w:val="24"/>
        </w:rPr>
        <w:t xml:space="preserve">oteção de Dados – LGPD, assegurando segurança da informação, </w:t>
      </w:r>
      <w:r>
        <w:rPr>
          <w:rFonts w:ascii="Calibri" w:eastAsia="Times-Roman" w:hAnsi="Calibri" w:cs="Calibri"/>
          <w:color w:val="000000"/>
          <w:sz w:val="24"/>
          <w:lang w:val="pt-BR" w:bidi="ar"/>
        </w:rPr>
        <w:t>rastreabilidade</w:t>
      </w:r>
      <w:r>
        <w:rPr>
          <w:rFonts w:ascii="Calibri" w:hAnsi="Calibri" w:cs="Calibri"/>
          <w:sz w:val="24"/>
        </w:rPr>
        <w:t>, integridade dos dados e transparência ativa.</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 xml:space="preserve">A contratação visa, igualmente, a otimização dos recursos públicos, mediante a adoção de solução em </w:t>
      </w:r>
      <w:r>
        <w:rPr>
          <w:rFonts w:ascii="Calibri" w:eastAsia="Times-Roman" w:hAnsi="Calibri" w:cs="Calibri"/>
          <w:color w:val="000000"/>
          <w:sz w:val="24"/>
          <w:lang w:val="pt-BR" w:bidi="ar"/>
        </w:rPr>
        <w:t xml:space="preserve">ambiente </w:t>
      </w:r>
      <w:r>
        <w:rPr>
          <w:rFonts w:ascii="Calibri" w:hAnsi="Calibri" w:cs="Calibri"/>
          <w:sz w:val="24"/>
        </w:rPr>
        <w:t xml:space="preserve">web (SaaS), que elimina </w:t>
      </w:r>
      <w:r>
        <w:rPr>
          <w:rFonts w:ascii="Calibri" w:hAnsi="Calibri" w:cs="Calibri"/>
          <w:sz w:val="24"/>
        </w:rPr>
        <w:t>a necessidade de investimentos em infraestrutura própria de hardware, reduz custos de manutenção tecnológica e mitiga riscos decorrentes da ausência de equipe técnica especializada no âmbito municipal.</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hAnsi="Calibri" w:cs="Calibri"/>
          <w:sz w:val="24"/>
        </w:rPr>
        <w:t>Por fim, almeja-</w:t>
      </w:r>
      <w:r>
        <w:rPr>
          <w:rFonts w:ascii="Calibri" w:eastAsia="Times-Roman" w:hAnsi="Calibri" w:cs="Calibri"/>
          <w:color w:val="000000"/>
          <w:sz w:val="24"/>
          <w:lang w:val="pt-BR" w:bidi="ar"/>
        </w:rPr>
        <w:t xml:space="preserve">se </w:t>
      </w:r>
      <w:r>
        <w:rPr>
          <w:rFonts w:ascii="Calibri" w:hAnsi="Calibri" w:cs="Calibri"/>
          <w:sz w:val="24"/>
        </w:rPr>
        <w:t>garantir a continuidade operacional</w:t>
      </w:r>
      <w:r>
        <w:rPr>
          <w:rFonts w:ascii="Calibri" w:hAnsi="Calibri" w:cs="Calibri"/>
          <w:sz w:val="24"/>
        </w:rPr>
        <w:t xml:space="preserve"> dos serviços públicos, com alta disponibilidade do sistema, suporte técnico contínuo, atualizações evolutivas e corretivas, bem como a capacitação dos servidores municipais, assegurando a plena utilização da solução contratada e a sustentabilidade do mode</w:t>
      </w:r>
      <w:r>
        <w:rPr>
          <w:rFonts w:ascii="Calibri" w:hAnsi="Calibri" w:cs="Calibri"/>
          <w:sz w:val="24"/>
        </w:rPr>
        <w:t>lo adotado ao longo da vigência contratual.</w:t>
      </w:r>
    </w:p>
    <w:p w:rsidR="00BC2FF2" w:rsidRDefault="00C719D1">
      <w:pPr>
        <w:pStyle w:val="NormalWeb"/>
        <w:spacing w:before="225" w:beforeAutospacing="0" w:after="225" w:afterAutospacing="0"/>
        <w:jc w:val="both"/>
        <w:rPr>
          <w:rFonts w:ascii="Calibri" w:hAnsi="Calibri" w:cs="Calibri"/>
          <w:b/>
          <w:bCs/>
          <w:sz w:val="24"/>
          <w:u w:val="single"/>
        </w:rPr>
      </w:pPr>
      <w:bookmarkStart w:id="8" w:name="art18§1x"/>
      <w:bookmarkEnd w:id="8"/>
      <w:r>
        <w:rPr>
          <w:rFonts w:ascii="Calibri" w:hAnsi="Calibri" w:cs="Calibri"/>
          <w:b/>
          <w:bCs/>
          <w:sz w:val="24"/>
          <w:u w:val="single"/>
        </w:rPr>
        <w:t>X - PROVIDÊNCIAS A SEREM ADOTADAS PELA ADMINISTRAÇÃO PREVIAMENTE À CELEBRAÇÃO DO CONTRATO</w:t>
      </w:r>
    </w:p>
    <w:p w:rsidR="00BC2FF2" w:rsidRDefault="00C719D1">
      <w:pPr>
        <w:pStyle w:val="NormalWeb"/>
        <w:spacing w:beforeLines="70" w:before="168" w:beforeAutospacing="0" w:afterLines="70" w:after="168" w:afterAutospacing="0"/>
        <w:jc w:val="both"/>
        <w:rPr>
          <w:rFonts w:ascii="Calibri" w:eastAsia="Times-Roman" w:hAnsi="Calibri" w:cs="Calibri"/>
          <w:color w:val="000000"/>
          <w:sz w:val="24"/>
          <w:lang w:val="pt-BR" w:bidi="ar"/>
        </w:rPr>
      </w:pPr>
      <w:r>
        <w:rPr>
          <w:rFonts w:ascii="Calibri" w:eastAsia="Times-Roman" w:hAnsi="Calibri" w:cs="Calibri"/>
          <w:sz w:val="24"/>
          <w:lang w:val="pt-BR"/>
        </w:rPr>
        <w:t>Previamente à celebração do contrato, a Administração Municipal deverá adotar as providências</w:t>
      </w:r>
      <w:r>
        <w:rPr>
          <w:rFonts w:ascii="Calibri" w:eastAsia="Times-Roman" w:hAnsi="Calibri" w:cs="Calibri"/>
          <w:color w:val="000000"/>
          <w:sz w:val="24"/>
          <w:lang w:val="pt-BR" w:bidi="ar"/>
        </w:rPr>
        <w:t xml:space="preserve"> necessárias para assegurar a</w:t>
      </w:r>
      <w:r>
        <w:rPr>
          <w:rFonts w:ascii="Calibri" w:eastAsia="Times-Roman" w:hAnsi="Calibri" w:cs="Calibri"/>
          <w:color w:val="000000"/>
          <w:sz w:val="24"/>
          <w:lang w:val="pt-BR" w:bidi="ar"/>
        </w:rPr>
        <w:t xml:space="preserve"> regularidade do procedimento, a viabilidade da contratação e a adequada execução do objeto, em conformidade com a Lei nº 14.133/2021.</w:t>
      </w:r>
    </w:p>
    <w:p w:rsidR="00BC2FF2" w:rsidRDefault="00C719D1">
      <w:pPr>
        <w:pStyle w:val="NormalWeb"/>
        <w:spacing w:beforeLines="70" w:before="168" w:beforeAutospacing="0" w:afterLines="70" w:after="168" w:afterAutospacing="0"/>
        <w:jc w:val="both"/>
        <w:rPr>
          <w:rFonts w:ascii="Calibri" w:eastAsia="Times-Roman" w:hAnsi="Calibri" w:cs="Calibri"/>
          <w:color w:val="000000"/>
          <w:sz w:val="24"/>
          <w:lang w:val="pt-BR" w:bidi="ar"/>
        </w:rPr>
      </w:pPr>
      <w:r>
        <w:rPr>
          <w:rFonts w:ascii="Calibri" w:eastAsia="Times-Roman" w:hAnsi="Calibri" w:cs="Calibri"/>
          <w:color w:val="000000"/>
          <w:sz w:val="24"/>
          <w:lang w:val="pt-BR" w:bidi="ar"/>
        </w:rPr>
        <w:t>Inicialmente, deverá ser promovida a aprovação do Estudo Técnico Preliminar e do Termo de Referência pela autoridade comp</w:t>
      </w:r>
      <w:r>
        <w:rPr>
          <w:rFonts w:ascii="Calibri" w:eastAsia="Times-Roman" w:hAnsi="Calibri" w:cs="Calibri"/>
          <w:color w:val="000000"/>
          <w:sz w:val="24"/>
          <w:lang w:val="pt-BR" w:bidi="ar"/>
        </w:rPr>
        <w:t>etente, bem como a verificação da compatibilidade da contratação com o planejamento institucional, o Plano Plurianual, a Lei de Diretrizes Orçamentárias e a Lei Orçamentária Anual, quando aplicável.</w:t>
      </w:r>
    </w:p>
    <w:p w:rsidR="00BC2FF2" w:rsidRDefault="00C719D1">
      <w:pPr>
        <w:pStyle w:val="NormalWeb"/>
        <w:spacing w:beforeLines="70" w:before="168" w:beforeAutospacing="0" w:afterLines="70" w:after="168" w:afterAutospacing="0"/>
        <w:jc w:val="both"/>
        <w:rPr>
          <w:rFonts w:ascii="Calibri" w:eastAsia="Times-Roman" w:hAnsi="Calibri" w:cs="Calibri"/>
          <w:color w:val="000000"/>
          <w:sz w:val="24"/>
          <w:lang w:val="pt-BR" w:bidi="ar"/>
        </w:rPr>
      </w:pPr>
      <w:r>
        <w:rPr>
          <w:rFonts w:ascii="Calibri" w:eastAsia="Times-Roman" w:hAnsi="Calibri" w:cs="Calibri"/>
          <w:color w:val="000000"/>
          <w:sz w:val="24"/>
          <w:lang w:val="pt-BR" w:bidi="ar"/>
        </w:rPr>
        <w:t xml:space="preserve">A Administração deverá assegurar a existência de dotação </w:t>
      </w:r>
      <w:r>
        <w:rPr>
          <w:rFonts w:ascii="Calibri" w:eastAsia="Times-Roman" w:hAnsi="Calibri" w:cs="Calibri"/>
          <w:color w:val="000000"/>
          <w:sz w:val="24"/>
          <w:lang w:val="pt-BR" w:bidi="ar"/>
        </w:rPr>
        <w:t>orçamentária suficiente, com a devida reserva de recursos para fazer frente às despesas decorrentes da contratação, observada a natureza continuada do serviço e os limites legais de empenho e execução financeira.</w:t>
      </w:r>
    </w:p>
    <w:p w:rsidR="00BC2FF2" w:rsidRDefault="00C719D1">
      <w:pPr>
        <w:pStyle w:val="NormalWeb"/>
        <w:spacing w:beforeLines="70" w:before="168" w:beforeAutospacing="0" w:afterLines="70" w:after="168" w:afterAutospacing="0"/>
        <w:jc w:val="both"/>
        <w:rPr>
          <w:rFonts w:ascii="Calibri" w:eastAsia="Times-Roman" w:hAnsi="Calibri" w:cs="Calibri"/>
          <w:color w:val="000000"/>
          <w:sz w:val="24"/>
          <w:lang w:val="pt-BR" w:bidi="ar"/>
        </w:rPr>
      </w:pPr>
      <w:r>
        <w:rPr>
          <w:rFonts w:ascii="Calibri" w:eastAsia="Times-Roman" w:hAnsi="Calibri" w:cs="Calibri"/>
          <w:color w:val="000000"/>
          <w:sz w:val="24"/>
          <w:lang w:val="pt-BR" w:bidi="ar"/>
        </w:rPr>
        <w:t>Deverá, ainda, ser realizada a definição cl</w:t>
      </w:r>
      <w:r>
        <w:rPr>
          <w:rFonts w:ascii="Calibri" w:eastAsia="Times-Roman" w:hAnsi="Calibri" w:cs="Calibri"/>
          <w:color w:val="000000"/>
          <w:sz w:val="24"/>
          <w:lang w:val="pt-BR" w:bidi="ar"/>
        </w:rPr>
        <w:t>ara das responsabilidades internas, com a designação prévia do gestor e do fiscal do contrato, bem como das áreas técnicas responsáveis pelo acompanhamento da implantação, migração de dados, homologação das funcionalidades e validação dos serviços prestado</w:t>
      </w:r>
      <w:r>
        <w:rPr>
          <w:rFonts w:ascii="Calibri" w:eastAsia="Times-Roman" w:hAnsi="Calibri" w:cs="Calibri"/>
          <w:color w:val="000000"/>
          <w:sz w:val="24"/>
          <w:lang w:val="pt-BR" w:bidi="ar"/>
        </w:rPr>
        <w:t>s pela futura contratada.</w:t>
      </w:r>
    </w:p>
    <w:p w:rsidR="00BC2FF2" w:rsidRDefault="00C719D1">
      <w:pPr>
        <w:pStyle w:val="NormalWeb"/>
        <w:spacing w:beforeLines="70" w:before="168" w:beforeAutospacing="0" w:afterLines="70" w:after="168" w:afterAutospacing="0"/>
        <w:jc w:val="both"/>
        <w:rPr>
          <w:rFonts w:ascii="Calibri" w:eastAsia="Times-Roman" w:hAnsi="Calibri" w:cs="Calibri"/>
          <w:color w:val="000000"/>
          <w:sz w:val="24"/>
          <w:lang w:val="pt-BR" w:bidi="ar"/>
        </w:rPr>
      </w:pPr>
      <w:r>
        <w:rPr>
          <w:rFonts w:ascii="Calibri" w:eastAsia="Times-Roman" w:hAnsi="Calibri" w:cs="Calibri"/>
          <w:color w:val="000000"/>
          <w:sz w:val="24"/>
          <w:lang w:val="pt-BR" w:bidi="ar"/>
        </w:rPr>
        <w:t>Como providência essencial, caberá à Administração promover a organização, saneamento e disponibilização das informações e bases de dados existentes, garantindo o acesso aos dados necessários à migração, integração e parametrizaçã</w:t>
      </w:r>
      <w:r>
        <w:rPr>
          <w:rFonts w:ascii="Calibri" w:eastAsia="Times-Roman" w:hAnsi="Calibri" w:cs="Calibri"/>
          <w:color w:val="000000"/>
          <w:sz w:val="24"/>
          <w:lang w:val="pt-BR" w:bidi="ar"/>
        </w:rPr>
        <w:t>o do sistema, respeitadas as normas de segurança da informação e de proteção de dados pessoais.</w:t>
      </w:r>
    </w:p>
    <w:p w:rsidR="00BC2FF2" w:rsidRDefault="00C719D1">
      <w:pPr>
        <w:pStyle w:val="NormalWeb"/>
        <w:spacing w:beforeLines="70" w:before="168" w:beforeAutospacing="0" w:afterLines="70" w:after="168" w:afterAutospacing="0"/>
        <w:jc w:val="both"/>
        <w:rPr>
          <w:rFonts w:ascii="Calibri" w:eastAsia="Times-Roman" w:hAnsi="Calibri" w:cs="Calibri"/>
          <w:color w:val="000000"/>
          <w:sz w:val="24"/>
          <w:lang w:val="pt-BR" w:bidi="ar"/>
        </w:rPr>
      </w:pPr>
      <w:r>
        <w:rPr>
          <w:rFonts w:ascii="Calibri" w:eastAsia="Times-Roman" w:hAnsi="Calibri" w:cs="Calibri"/>
          <w:color w:val="000000"/>
          <w:sz w:val="24"/>
          <w:lang w:val="pt-BR" w:bidi="ar"/>
        </w:rPr>
        <w:t>A Administração deverá, também, estabelecer fluxos internos e indicar servidores para participação nos treinamentos, testes e validações, assegurando o engajame</w:t>
      </w:r>
      <w:r>
        <w:rPr>
          <w:rFonts w:ascii="Calibri" w:eastAsia="Times-Roman" w:hAnsi="Calibri" w:cs="Calibri"/>
          <w:color w:val="000000"/>
          <w:sz w:val="24"/>
          <w:lang w:val="pt-BR" w:bidi="ar"/>
        </w:rPr>
        <w:t>nto das áreas usuárias e a adequada absorção da solução tecnológica a ser contratada.</w:t>
      </w:r>
    </w:p>
    <w:p w:rsidR="00BC2FF2" w:rsidRDefault="00C719D1">
      <w:pPr>
        <w:pStyle w:val="NormalWeb"/>
        <w:spacing w:beforeLines="70" w:before="168" w:beforeAutospacing="0" w:afterLines="70" w:after="168" w:afterAutospacing="0"/>
        <w:jc w:val="both"/>
        <w:rPr>
          <w:rFonts w:ascii="Calibri" w:eastAsia="Times-Roman" w:hAnsi="Calibri" w:cs="Calibri"/>
          <w:sz w:val="24"/>
          <w:lang w:val="pt-BR" w:bidi="ar"/>
        </w:rPr>
      </w:pPr>
      <w:r>
        <w:rPr>
          <w:rFonts w:ascii="Calibri" w:eastAsia="Times-Roman" w:hAnsi="Calibri" w:cs="Calibri"/>
          <w:color w:val="000000"/>
          <w:sz w:val="24"/>
          <w:lang w:val="pt-BR" w:bidi="ar"/>
        </w:rPr>
        <w:t>Por fim, deverão ser adotadas as medidas administrativas necessárias à deflagração e condução regular do procedimento licitatório, incluind</w:t>
      </w:r>
      <w:r>
        <w:rPr>
          <w:rFonts w:ascii="Calibri" w:eastAsia="Times-Roman" w:hAnsi="Calibri" w:cs="Calibri"/>
          <w:sz w:val="24"/>
          <w:lang w:val="pt-BR"/>
        </w:rPr>
        <w:t>o a definição da modalidade, cr</w:t>
      </w:r>
      <w:r>
        <w:rPr>
          <w:rFonts w:ascii="Calibri" w:eastAsia="Times-Roman" w:hAnsi="Calibri" w:cs="Calibri"/>
          <w:sz w:val="24"/>
          <w:lang w:val="pt-BR"/>
        </w:rPr>
        <w:t>itérios de julgamento, exigências de habilitação, cláusulas contratuais essenciais e condições de execução, de forma a garantir a seleção da proposta mais vantajosa e a segurança jurídica da contratação.</w:t>
      </w:r>
    </w:p>
    <w:p w:rsidR="00BC2FF2" w:rsidRDefault="00C719D1">
      <w:pPr>
        <w:pStyle w:val="NormalWeb"/>
        <w:spacing w:before="225" w:beforeAutospacing="0" w:after="225" w:afterAutospacing="0"/>
        <w:jc w:val="both"/>
        <w:rPr>
          <w:rFonts w:ascii="Calibri" w:hAnsi="Calibri" w:cs="Calibri"/>
          <w:b/>
          <w:bCs/>
          <w:sz w:val="24"/>
          <w:u w:val="single"/>
        </w:rPr>
      </w:pPr>
      <w:bookmarkStart w:id="9" w:name="art18§1xi"/>
      <w:bookmarkEnd w:id="9"/>
      <w:r>
        <w:rPr>
          <w:rFonts w:ascii="Calibri" w:hAnsi="Calibri" w:cs="Calibri"/>
          <w:b/>
          <w:bCs/>
          <w:sz w:val="24"/>
          <w:u w:val="single"/>
        </w:rPr>
        <w:t>XI - CONTRATAÇÕES CORRELATAS E/OU INTERDEPENDENTES</w:t>
      </w:r>
    </w:p>
    <w:p w:rsidR="00BC2FF2" w:rsidRDefault="00C719D1">
      <w:pPr>
        <w:pStyle w:val="NormalWeb"/>
        <w:spacing w:beforeLines="70" w:before="168" w:beforeAutospacing="0" w:afterLines="70" w:after="168" w:afterAutospacing="0"/>
        <w:jc w:val="both"/>
        <w:rPr>
          <w:rFonts w:ascii="Calibri" w:hAnsi="Calibri" w:cs="Calibri"/>
          <w:sz w:val="24"/>
        </w:rPr>
      </w:pPr>
      <w:r>
        <w:rPr>
          <w:rFonts w:ascii="Calibri" w:eastAsia="DejaVuSerif" w:hAnsi="Calibri" w:cs="Calibri"/>
          <w:sz w:val="24"/>
          <w:lang w:bidi="ar"/>
        </w:rPr>
        <w:t xml:space="preserve">Não há </w:t>
      </w:r>
      <w:r>
        <w:rPr>
          <w:rFonts w:ascii="Calibri" w:eastAsia="Times-Roman" w:hAnsi="Calibri" w:cs="Calibri"/>
          <w:color w:val="000000"/>
          <w:sz w:val="24"/>
          <w:lang w:bidi="ar"/>
        </w:rPr>
        <w:t xml:space="preserve">contratação </w:t>
      </w:r>
      <w:r>
        <w:rPr>
          <w:rFonts w:ascii="Calibri" w:eastAsia="DejaVuSerif" w:hAnsi="Calibri" w:cs="Calibri"/>
          <w:sz w:val="24"/>
          <w:lang w:bidi="ar"/>
        </w:rPr>
        <w:t>correlatas e/ou interdependentes ao objeto da presente contratação.</w:t>
      </w:r>
    </w:p>
    <w:p w:rsidR="00BC2FF2" w:rsidRDefault="00C719D1">
      <w:pPr>
        <w:pStyle w:val="NormalWeb"/>
        <w:spacing w:before="225" w:beforeAutospacing="0" w:after="225" w:afterAutospacing="0"/>
        <w:jc w:val="both"/>
        <w:rPr>
          <w:rFonts w:ascii="Calibri" w:hAnsi="Calibri" w:cs="Calibri"/>
          <w:b/>
          <w:bCs/>
          <w:sz w:val="24"/>
          <w:u w:val="single"/>
        </w:rPr>
      </w:pPr>
      <w:bookmarkStart w:id="10" w:name="art18§1xii"/>
      <w:bookmarkEnd w:id="10"/>
      <w:r>
        <w:rPr>
          <w:rFonts w:ascii="Calibri" w:hAnsi="Calibri" w:cs="Calibri"/>
          <w:b/>
          <w:bCs/>
          <w:sz w:val="24"/>
          <w:u w:val="single"/>
        </w:rPr>
        <w:t>XII - DESCRIÇÃO DE POSSÍVEIS IMPACTOS AMBIENTAIS</w:t>
      </w:r>
    </w:p>
    <w:p w:rsidR="00BC2FF2" w:rsidRDefault="00C719D1">
      <w:pPr>
        <w:pStyle w:val="NormalWeb"/>
        <w:spacing w:beforeLines="70" w:before="168" w:beforeAutospacing="0" w:afterLines="70" w:after="168" w:afterAutospacing="0"/>
        <w:jc w:val="both"/>
        <w:rPr>
          <w:rFonts w:ascii="Calibri" w:eastAsia="Segoe UI" w:hAnsi="Calibri" w:cs="Calibri"/>
          <w:sz w:val="24"/>
          <w:shd w:val="clear" w:color="auto" w:fill="FFFFFF"/>
          <w:lang w:val="pt-BR"/>
        </w:rPr>
      </w:pPr>
      <w:r>
        <w:rPr>
          <w:rFonts w:ascii="Calibri" w:hAnsi="Calibri" w:cs="Calibri"/>
          <w:sz w:val="24"/>
          <w:lang w:val="pt-BR"/>
        </w:rPr>
        <w:t xml:space="preserve">Não há evidências de que esta contratação gere impactos ambientais significativos, uma vez que os serviços </w:t>
      </w:r>
      <w:r>
        <w:rPr>
          <w:rFonts w:ascii="Calibri" w:eastAsia="DejaVuSerif" w:hAnsi="Calibri" w:cs="Calibri"/>
          <w:sz w:val="24"/>
          <w:lang w:val="pt-BR" w:bidi="ar"/>
        </w:rPr>
        <w:t xml:space="preserve">contratados </w:t>
      </w:r>
      <w:r>
        <w:rPr>
          <w:rFonts w:ascii="Calibri" w:hAnsi="Calibri" w:cs="Calibri"/>
          <w:sz w:val="24"/>
          <w:lang w:val="pt-BR"/>
        </w:rPr>
        <w:t>s</w:t>
      </w:r>
      <w:r>
        <w:rPr>
          <w:rFonts w:ascii="Calibri" w:hAnsi="Calibri" w:cs="Calibri"/>
          <w:sz w:val="24"/>
          <w:lang w:val="pt-BR"/>
        </w:rPr>
        <w:t xml:space="preserve">e relacionam exclusivamente à área de tecnologia da informação, sem atividades que </w:t>
      </w:r>
      <w:r>
        <w:rPr>
          <w:rFonts w:ascii="Calibri" w:eastAsia="Segoe UI" w:hAnsi="Calibri" w:cs="Calibri"/>
          <w:sz w:val="24"/>
          <w:shd w:val="clear" w:color="auto" w:fill="FFFFFF"/>
          <w:lang w:val="pt-BR"/>
        </w:rPr>
        <w:t>possam causar poluição, degradação ambiental ou alterações ao ecossistema.</w:t>
      </w:r>
    </w:p>
    <w:p w:rsidR="00BC2FF2" w:rsidRDefault="00C719D1">
      <w:pPr>
        <w:pStyle w:val="NormalWeb"/>
        <w:spacing w:before="225" w:beforeAutospacing="0" w:after="225" w:afterAutospacing="0"/>
        <w:jc w:val="both"/>
        <w:rPr>
          <w:rFonts w:ascii="Calibri" w:hAnsi="Calibri" w:cs="Calibri"/>
          <w:b/>
          <w:bCs/>
          <w:sz w:val="24"/>
          <w:u w:val="single"/>
        </w:rPr>
      </w:pPr>
      <w:bookmarkStart w:id="11" w:name="art18§1xiii"/>
      <w:bookmarkEnd w:id="11"/>
      <w:r>
        <w:rPr>
          <w:rFonts w:ascii="Calibri" w:hAnsi="Calibri" w:cs="Calibri"/>
          <w:b/>
          <w:bCs/>
          <w:sz w:val="24"/>
          <w:u w:val="single"/>
        </w:rPr>
        <w:t>XIII - POSICIONAMENTO CONCLUSIVO SOBRE A ADEQUAÇÃO DA CONTRATAÇÃO</w:t>
      </w:r>
    </w:p>
    <w:p w:rsidR="00BC2FF2" w:rsidRDefault="00C719D1">
      <w:pPr>
        <w:pStyle w:val="NormalWeb"/>
        <w:spacing w:beforeLines="70" w:before="168" w:beforeAutospacing="0" w:afterLines="70" w:after="168" w:afterAutospacing="0"/>
        <w:jc w:val="both"/>
        <w:rPr>
          <w:rFonts w:ascii="Calibri" w:eastAsia="DejaVuSerif" w:hAnsi="Calibri" w:cs="Calibri"/>
          <w:sz w:val="24"/>
          <w:lang w:bidi="ar"/>
        </w:rPr>
      </w:pPr>
      <w:r>
        <w:rPr>
          <w:rFonts w:ascii="Calibri" w:eastAsia="DejaVuSerif" w:hAnsi="Calibri" w:cs="Calibri"/>
          <w:sz w:val="24"/>
          <w:lang w:bidi="ar"/>
        </w:rPr>
        <w:t xml:space="preserve">Com </w:t>
      </w:r>
      <w:r>
        <w:rPr>
          <w:rFonts w:ascii="Calibri" w:eastAsia="Segoe UI" w:hAnsi="Calibri" w:cs="Calibri"/>
          <w:sz w:val="24"/>
          <w:shd w:val="clear" w:color="auto" w:fill="FFFFFF"/>
        </w:rPr>
        <w:t xml:space="preserve">base </w:t>
      </w:r>
      <w:r>
        <w:rPr>
          <w:rFonts w:ascii="Calibri" w:eastAsia="DejaVuSerif" w:hAnsi="Calibri" w:cs="Calibri"/>
          <w:sz w:val="24"/>
          <w:lang w:bidi="ar"/>
        </w:rPr>
        <w:t xml:space="preserve">nas informações levantadas durante este estudo, a Equipe/Comissão de Planejamento </w:t>
      </w:r>
      <w:r>
        <w:rPr>
          <w:rFonts w:ascii="Calibri" w:eastAsia="Times-Roman" w:hAnsi="Calibri" w:cs="Calibri"/>
          <w:color w:val="000000"/>
          <w:sz w:val="24"/>
          <w:lang w:bidi="ar"/>
        </w:rPr>
        <w:t xml:space="preserve">entende </w:t>
      </w:r>
      <w:r>
        <w:rPr>
          <w:rFonts w:ascii="Calibri" w:eastAsia="DejaVuSerif" w:hAnsi="Calibri" w:cs="Calibri"/>
          <w:sz w:val="24"/>
          <w:lang w:bidi="ar"/>
        </w:rPr>
        <w:t>ser viável a solução descrita no presente Estudo Técnico Preliminar para a presente contratação, vez que se mostrou tecnicamente a mais adequada à necessidade e funda</w:t>
      </w:r>
      <w:r>
        <w:rPr>
          <w:rFonts w:ascii="Calibri" w:eastAsia="DejaVuSerif" w:hAnsi="Calibri" w:cs="Calibri"/>
          <w:sz w:val="24"/>
          <w:lang w:bidi="ar"/>
        </w:rPr>
        <w:t xml:space="preserve">mentadamente atendendo ao interesse público. </w:t>
      </w:r>
    </w:p>
    <w:p w:rsidR="00BC2FF2" w:rsidRDefault="00C719D1" w:rsidP="00E46296">
      <w:pPr>
        <w:pStyle w:val="NormalWeb"/>
        <w:spacing w:beforeLines="70" w:before="168" w:beforeAutospacing="0" w:afterLines="70" w:after="168" w:afterAutospacing="0"/>
        <w:jc w:val="both"/>
        <w:rPr>
          <w:rFonts w:ascii="Calibri" w:eastAsia="CIDFont" w:hAnsi="Calibri" w:cs="Calibri"/>
          <w:color w:val="000000"/>
          <w:sz w:val="24"/>
          <w:lang w:val="pt-BR" w:bidi="ar"/>
        </w:rPr>
      </w:pPr>
      <w:r>
        <w:rPr>
          <w:rFonts w:ascii="Calibri" w:eastAsia="Times-Roman" w:hAnsi="Calibri" w:cs="Calibri"/>
          <w:color w:val="000000"/>
          <w:sz w:val="24"/>
          <w:lang w:val="pt-BR" w:bidi="ar"/>
        </w:rPr>
        <w:t>Pirapó</w:t>
      </w:r>
      <w:r>
        <w:rPr>
          <w:rFonts w:ascii="Calibri" w:eastAsia="CIDFont" w:hAnsi="Calibri" w:cs="Calibri"/>
          <w:sz w:val="24"/>
          <w:lang w:val="pt-BR" w:bidi="ar"/>
        </w:rPr>
        <w:t xml:space="preserve">, </w:t>
      </w:r>
      <w:r>
        <w:rPr>
          <w:rFonts w:ascii="Calibri" w:eastAsia="CIDFont" w:hAnsi="Calibri" w:cs="Calibri"/>
          <w:sz w:val="24"/>
          <w:lang w:val="pt-BR" w:bidi="ar"/>
        </w:rPr>
        <w:t>R</w:t>
      </w:r>
      <w:r>
        <w:rPr>
          <w:rFonts w:ascii="Calibri" w:eastAsia="CIDFont" w:hAnsi="Calibri" w:cs="Calibri"/>
          <w:color w:val="000000"/>
          <w:sz w:val="24"/>
          <w:lang w:val="pt-BR" w:bidi="ar"/>
        </w:rPr>
        <w:t>S</w:t>
      </w:r>
      <w:r w:rsidRPr="00EA6EC4">
        <w:rPr>
          <w:rFonts w:ascii="Calibri" w:eastAsia="CIDFont" w:hAnsi="Calibri" w:cs="Calibri"/>
          <w:color w:val="000000" w:themeColor="text1"/>
          <w:sz w:val="24"/>
          <w:lang w:val="pt-BR" w:bidi="ar"/>
        </w:rPr>
        <w:t xml:space="preserve">, </w:t>
      </w:r>
      <w:r w:rsidR="00EA6EC4" w:rsidRPr="00EA6EC4">
        <w:rPr>
          <w:rFonts w:ascii="Calibri" w:eastAsia="CIDFont" w:hAnsi="Calibri" w:cs="Calibri"/>
          <w:color w:val="000000" w:themeColor="text1"/>
          <w:sz w:val="24"/>
          <w:highlight w:val="yellow"/>
          <w:lang w:val="pt-BR" w:bidi="ar"/>
        </w:rPr>
        <w:t>02</w:t>
      </w:r>
      <w:r w:rsidRPr="00EA6EC4">
        <w:rPr>
          <w:rFonts w:ascii="Calibri" w:eastAsia="CIDFont" w:hAnsi="Calibri" w:cs="Calibri"/>
          <w:color w:val="000000" w:themeColor="text1"/>
          <w:sz w:val="24"/>
          <w:highlight w:val="yellow"/>
          <w:lang w:val="pt-BR" w:bidi="ar"/>
        </w:rPr>
        <w:t xml:space="preserve"> </w:t>
      </w:r>
      <w:r w:rsidRPr="00EA6EC4">
        <w:rPr>
          <w:rFonts w:ascii="Calibri" w:eastAsia="CIDFont" w:hAnsi="Calibri" w:cs="Calibri"/>
          <w:color w:val="000000" w:themeColor="text1"/>
          <w:sz w:val="24"/>
          <w:lang w:val="pt-BR" w:bidi="ar"/>
        </w:rPr>
        <w:t xml:space="preserve">de </w:t>
      </w:r>
      <w:proofErr w:type="gramStart"/>
      <w:r w:rsidR="00EA6EC4" w:rsidRPr="00EA6EC4">
        <w:rPr>
          <w:rFonts w:ascii="Calibri" w:eastAsia="CIDFont" w:hAnsi="Calibri" w:cs="Calibri"/>
          <w:color w:val="000000" w:themeColor="text1"/>
          <w:sz w:val="24"/>
          <w:highlight w:val="yellow"/>
          <w:lang w:val="pt-BR" w:bidi="ar"/>
        </w:rPr>
        <w:t>Fevereiro</w:t>
      </w:r>
      <w:proofErr w:type="gramEnd"/>
      <w:r w:rsidRPr="00EA6EC4">
        <w:rPr>
          <w:rFonts w:ascii="Calibri" w:eastAsia="CIDFont" w:hAnsi="Calibri" w:cs="Calibri"/>
          <w:color w:val="000000" w:themeColor="text1"/>
          <w:sz w:val="24"/>
          <w:highlight w:val="yellow"/>
          <w:lang w:val="pt-BR" w:bidi="ar"/>
        </w:rPr>
        <w:t xml:space="preserve"> </w:t>
      </w:r>
      <w:r>
        <w:rPr>
          <w:rFonts w:ascii="Calibri" w:eastAsia="CIDFont" w:hAnsi="Calibri" w:cs="Calibri"/>
          <w:color w:val="000000"/>
          <w:sz w:val="24"/>
          <w:lang w:val="pt-BR" w:bidi="ar"/>
        </w:rPr>
        <w:t xml:space="preserve">de 2026. </w:t>
      </w:r>
      <w:bookmarkStart w:id="12" w:name="_GoBack"/>
      <w:bookmarkEnd w:id="12"/>
    </w:p>
    <w:p w:rsidR="00BC2FF2" w:rsidRDefault="00140C71">
      <w:pPr>
        <w:pStyle w:val="NormalWeb"/>
        <w:suppressAutoHyphens/>
        <w:spacing w:beforeLines="100" w:before="240" w:beforeAutospacing="0" w:afterLines="100" w:after="240" w:afterAutospacing="0"/>
        <w:jc w:val="both"/>
        <w:rPr>
          <w:rFonts w:ascii="Calibri" w:eastAsia="CIDFont" w:hAnsi="Calibri" w:cs="Calibri"/>
          <w:color w:val="000000"/>
          <w:sz w:val="24"/>
          <w:lang w:val="pt-BR" w:bidi="ar"/>
        </w:rPr>
      </w:pPr>
      <w:r>
        <w:rPr>
          <w:rFonts w:ascii="Calibri" w:eastAsia="CIDFont" w:hAnsi="Calibri" w:cs="Calibri"/>
          <w:color w:val="000000"/>
          <w:sz w:val="24"/>
          <w:lang w:val="pt-BR" w:bidi="ar"/>
        </w:rPr>
        <w:t xml:space="preserve">                                                                  _______________________</w:t>
      </w:r>
    </w:p>
    <w:p w:rsidR="00BC2FF2" w:rsidRDefault="00140C71">
      <w:pPr>
        <w:pStyle w:val="NormalWeb"/>
        <w:suppressAutoHyphens/>
        <w:spacing w:beforeAutospacing="0" w:afterAutospacing="0"/>
        <w:jc w:val="center"/>
        <w:rPr>
          <w:rFonts w:ascii="Calibri" w:eastAsia="CIDFont" w:hAnsi="Calibri" w:cs="Calibri"/>
          <w:color w:val="000000"/>
          <w:sz w:val="24"/>
          <w:lang w:val="pt-BR" w:bidi="ar"/>
        </w:rPr>
      </w:pPr>
      <w:r>
        <w:rPr>
          <w:rFonts w:ascii="Calibri" w:eastAsia="Times-Roman" w:hAnsi="Calibri" w:cs="Calibri"/>
          <w:b/>
          <w:bCs/>
          <w:color w:val="000000"/>
          <w:sz w:val="24"/>
          <w:lang w:val="pt-BR" w:bidi="ar"/>
        </w:rPr>
        <w:t>Adriana Diel Rohr</w:t>
      </w:r>
    </w:p>
    <w:p w:rsidR="00BC2FF2" w:rsidRDefault="00BC2FF2">
      <w:pPr>
        <w:rPr>
          <w:rFonts w:ascii="Calibri" w:hAnsi="Calibri" w:cs="Calibri"/>
          <w:sz w:val="24"/>
          <w:szCs w:val="24"/>
          <w:lang w:val="pt-BR"/>
        </w:rPr>
      </w:pPr>
    </w:p>
    <w:sectPr w:rsidR="00BC2FF2">
      <w:headerReference w:type="default" r:id="rId7"/>
      <w:footerReference w:type="default" r:id="rId8"/>
      <w:pgSz w:w="11906" w:h="16838"/>
      <w:pgMar w:top="2268" w:right="1020" w:bottom="1134" w:left="1134" w:header="340" w:footer="283" w:gutter="0"/>
      <w:pgNumType w:chapStyle="1" w:chapSep="em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719D1">
      <w:r>
        <w:separator/>
      </w:r>
    </w:p>
  </w:endnote>
  <w:endnote w:type="continuationSeparator" w:id="0">
    <w:p w:rsidR="00000000" w:rsidRDefault="00C71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MT">
    <w:altName w:val="Segoe Print"/>
    <w:charset w:val="00"/>
    <w:family w:val="auto"/>
    <w:pitch w:val="default"/>
  </w:font>
  <w:font w:name="DejaVuSerif">
    <w:altName w:val="Segoe Print"/>
    <w:charset w:val="00"/>
    <w:family w:val="auto"/>
    <w:pitch w:val="default"/>
  </w:font>
  <w:font w:name="CIDFont">
    <w:altName w:val="Segoe Print"/>
    <w:charset w:val="00"/>
    <w:family w:val="auto"/>
    <w:pitch w:val="default"/>
  </w:font>
  <w:font w:name="Times-Roman">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FF2" w:rsidRDefault="00C719D1">
    <w:pPr>
      <w:spacing w:line="212" w:lineRule="exact"/>
      <w:ind w:right="8"/>
      <w:jc w:val="center"/>
      <w:rPr>
        <w:rFonts w:ascii="Verdana" w:hAnsi="Verdana"/>
        <w:sz w:val="18"/>
      </w:rPr>
    </w:pPr>
    <w:sdt>
      <w:sdtPr>
        <w:rPr>
          <w:rFonts w:ascii="Arial Narrow" w:hAnsi="Arial Narrow"/>
          <w:sz w:val="18"/>
          <w:szCs w:val="18"/>
        </w:rPr>
        <w:id w:val="595219286"/>
        <w:showingPlcHdr/>
      </w:sdtPr>
      <w:sdtEndPr/>
      <w:sdtContent>
        <w:r>
          <w:rPr>
            <w:rFonts w:ascii="Arial Narrow" w:hAnsi="Arial Narrow"/>
            <w:sz w:val="18"/>
            <w:szCs w:val="18"/>
            <w:lang w:val="pt-BR"/>
          </w:rPr>
          <w:t xml:space="preserve">     </w:t>
        </w:r>
      </w:sdtContent>
    </w:sdt>
    <w:r>
      <w:rPr>
        <w:rFonts w:ascii="Verdana" w:hAnsi="Verdana"/>
        <w:sz w:val="18"/>
      </w:rPr>
      <w:t>Rua</w:t>
    </w:r>
    <w:r>
      <w:rPr>
        <w:rFonts w:ascii="Verdana" w:hAnsi="Verdana"/>
        <w:spacing w:val="-4"/>
        <w:sz w:val="18"/>
      </w:rPr>
      <w:t xml:space="preserve"> </w:t>
    </w:r>
    <w:r>
      <w:rPr>
        <w:rFonts w:ascii="Verdana" w:hAnsi="Verdana"/>
        <w:sz w:val="18"/>
      </w:rPr>
      <w:t>Afonso</w:t>
    </w:r>
    <w:r>
      <w:rPr>
        <w:rFonts w:ascii="Verdana" w:hAnsi="Verdana"/>
        <w:spacing w:val="-6"/>
        <w:sz w:val="18"/>
      </w:rPr>
      <w:t xml:space="preserve"> </w:t>
    </w:r>
    <w:r>
      <w:rPr>
        <w:rFonts w:ascii="Verdana" w:hAnsi="Verdana"/>
        <w:sz w:val="18"/>
      </w:rPr>
      <w:t>de</w:t>
    </w:r>
    <w:r>
      <w:rPr>
        <w:rFonts w:ascii="Verdana" w:hAnsi="Verdana"/>
        <w:spacing w:val="-4"/>
        <w:sz w:val="18"/>
      </w:rPr>
      <w:t xml:space="preserve"> </w:t>
    </w:r>
    <w:r>
      <w:rPr>
        <w:rFonts w:ascii="Verdana" w:hAnsi="Verdana"/>
        <w:sz w:val="18"/>
      </w:rPr>
      <w:t>Medeiros,</w:t>
    </w:r>
    <w:r>
      <w:rPr>
        <w:rFonts w:ascii="Verdana" w:hAnsi="Verdana"/>
        <w:spacing w:val="-5"/>
        <w:sz w:val="18"/>
      </w:rPr>
      <w:t xml:space="preserve"> </w:t>
    </w:r>
    <w:r>
      <w:rPr>
        <w:rFonts w:ascii="Verdana" w:hAnsi="Verdana"/>
        <w:sz w:val="18"/>
      </w:rPr>
      <w:t>562</w:t>
    </w:r>
    <w:r>
      <w:rPr>
        <w:rFonts w:ascii="Verdana" w:hAnsi="Verdana"/>
        <w:spacing w:val="-6"/>
        <w:sz w:val="18"/>
      </w:rPr>
      <w:t xml:space="preserve"> </w:t>
    </w:r>
    <w:r>
      <w:rPr>
        <w:rFonts w:ascii="Verdana" w:hAnsi="Verdana"/>
        <w:sz w:val="18"/>
      </w:rPr>
      <w:t>–</w:t>
    </w:r>
    <w:r>
      <w:rPr>
        <w:rFonts w:ascii="Verdana" w:hAnsi="Verdana"/>
        <w:spacing w:val="-3"/>
        <w:sz w:val="18"/>
      </w:rPr>
      <w:t xml:space="preserve"> </w:t>
    </w:r>
    <w:r>
      <w:rPr>
        <w:rFonts w:ascii="Verdana" w:hAnsi="Verdana"/>
        <w:sz w:val="18"/>
      </w:rPr>
      <w:t>CEP:</w:t>
    </w:r>
    <w:r>
      <w:rPr>
        <w:rFonts w:ascii="Verdana" w:hAnsi="Verdana"/>
        <w:spacing w:val="-4"/>
        <w:sz w:val="18"/>
      </w:rPr>
      <w:t xml:space="preserve"> </w:t>
    </w:r>
    <w:r>
      <w:rPr>
        <w:rFonts w:ascii="Verdana" w:hAnsi="Verdana"/>
        <w:sz w:val="18"/>
      </w:rPr>
      <w:t>97885-000 -</w:t>
    </w:r>
    <w:r>
      <w:rPr>
        <w:rFonts w:ascii="Verdana" w:hAnsi="Verdana"/>
        <w:spacing w:val="-4"/>
        <w:sz w:val="18"/>
      </w:rPr>
      <w:t xml:space="preserve"> </w:t>
    </w:r>
    <w:r>
      <w:rPr>
        <w:rFonts w:ascii="Verdana" w:hAnsi="Verdana"/>
        <w:sz w:val="18"/>
      </w:rPr>
      <w:t>Pirapó</w:t>
    </w:r>
    <w:r>
      <w:rPr>
        <w:rFonts w:ascii="Verdana" w:hAnsi="Verdana"/>
        <w:spacing w:val="-1"/>
        <w:sz w:val="18"/>
      </w:rPr>
      <w:t xml:space="preserve"> </w:t>
    </w:r>
    <w:r>
      <w:rPr>
        <w:rFonts w:ascii="Verdana" w:hAnsi="Verdana"/>
        <w:sz w:val="18"/>
      </w:rPr>
      <w:t>-</w:t>
    </w:r>
    <w:r>
      <w:rPr>
        <w:rFonts w:ascii="Verdana" w:hAnsi="Verdana"/>
        <w:spacing w:val="-3"/>
        <w:sz w:val="18"/>
      </w:rPr>
      <w:t xml:space="preserve"> </w:t>
    </w:r>
    <w:r>
      <w:rPr>
        <w:rFonts w:ascii="Verdana" w:hAnsi="Verdana"/>
        <w:spacing w:val="-5"/>
        <w:sz w:val="18"/>
      </w:rPr>
      <w:t>RS</w:t>
    </w:r>
    <w:r>
      <w:rPr>
        <w:rFonts w:ascii="Verdana" w:hAnsi="Verdana"/>
        <w:spacing w:val="-5"/>
        <w:sz w:val="18"/>
        <w:lang w:val="pt-BR"/>
      </w:rPr>
      <w:t xml:space="preserve"> - </w:t>
    </w:r>
    <w:r>
      <w:rPr>
        <w:rFonts w:ascii="Verdana" w:hAnsi="Verdana"/>
        <w:sz w:val="18"/>
      </w:rPr>
      <w:t>Fone</w:t>
    </w:r>
    <w:r>
      <w:rPr>
        <w:rFonts w:ascii="Verdana" w:hAnsi="Verdana"/>
        <w:spacing w:val="-4"/>
        <w:sz w:val="18"/>
      </w:rPr>
      <w:t xml:space="preserve"> </w:t>
    </w:r>
    <w:r>
      <w:rPr>
        <w:rFonts w:ascii="Verdana" w:hAnsi="Verdana"/>
        <w:sz w:val="18"/>
      </w:rPr>
      <w:t>PABX:</w:t>
    </w:r>
    <w:r>
      <w:rPr>
        <w:rFonts w:ascii="Verdana" w:hAnsi="Verdana"/>
        <w:spacing w:val="-5"/>
        <w:sz w:val="18"/>
      </w:rPr>
      <w:t xml:space="preserve"> </w:t>
    </w:r>
    <w:r>
      <w:rPr>
        <w:rFonts w:ascii="Verdana" w:hAnsi="Verdana"/>
        <w:sz w:val="18"/>
      </w:rPr>
      <w:t>55</w:t>
    </w:r>
    <w:r>
      <w:rPr>
        <w:rFonts w:ascii="Verdana" w:hAnsi="Verdana"/>
        <w:spacing w:val="-4"/>
        <w:sz w:val="18"/>
      </w:rPr>
      <w:t xml:space="preserve"> </w:t>
    </w:r>
    <w:r>
      <w:rPr>
        <w:rFonts w:ascii="Verdana" w:hAnsi="Verdana"/>
        <w:sz w:val="18"/>
      </w:rPr>
      <w:t>3351-1800</w:t>
    </w:r>
  </w:p>
  <w:p w:rsidR="00BC2FF2" w:rsidRDefault="00C719D1">
    <w:pPr>
      <w:pStyle w:val="Rodap"/>
      <w:jc w:val="center"/>
      <w:rPr>
        <w:rFonts w:ascii="Verdana" w:hAnsi="Verdana"/>
        <w:sz w:val="18"/>
      </w:rPr>
    </w:pPr>
    <w:hyperlink r:id="rId1">
      <w:r>
        <w:rPr>
          <w:rFonts w:ascii="Verdana" w:hAnsi="Verdana"/>
          <w:color w:val="0000FF"/>
          <w:sz w:val="18"/>
          <w:u w:val="single" w:color="0000FF"/>
        </w:rPr>
        <w:t>http://www.pirapo.rs.gov.br</w:t>
      </w:r>
    </w:hyperlink>
    <w:r>
      <w:rPr>
        <w:rFonts w:ascii="Verdana" w:hAnsi="Verdana"/>
        <w:color w:val="0000FF"/>
        <w:sz w:val="18"/>
      </w:rPr>
      <w:t xml:space="preserve"> </w:t>
    </w:r>
    <w:r>
      <w:rPr>
        <w:rFonts w:ascii="Verdana" w:hAnsi="Verdana"/>
        <w:sz w:val="18"/>
      </w:rPr>
      <w:t xml:space="preserve">e-mail: </w:t>
    </w:r>
    <w:hyperlink r:id="rId2">
      <w:r>
        <w:rPr>
          <w:rFonts w:ascii="Verdana" w:hAnsi="Verdana"/>
          <w:color w:val="0000FF"/>
          <w:sz w:val="18"/>
          <w:u w:val="single" w:color="0000FF"/>
        </w:rPr>
        <w:t>licitacao@pirapo.rs.gov.br</w:t>
      </w:r>
    </w:hyperlink>
    <w:r>
      <w:rPr>
        <w:rFonts w:ascii="Verdana" w:hAnsi="Verdana"/>
        <w:color w:val="0000FF"/>
        <w:sz w:val="18"/>
      </w:rPr>
      <w:t xml:space="preserve"> </w:t>
    </w:r>
    <w:r>
      <w:rPr>
        <w:rFonts w:ascii="Verdana" w:hAnsi="Verdana"/>
        <w:sz w:val="18"/>
      </w:rPr>
      <w:t>- CNPJ: 91.553.941/0001-08</w:t>
    </w:r>
  </w:p>
  <w:sdt>
    <w:sdtPr>
      <w:rPr>
        <w:rFonts w:ascii="Arial Narrow" w:hAnsi="Arial Narrow"/>
        <w:sz w:val="18"/>
        <w:szCs w:val="18"/>
      </w:rPr>
      <w:id w:val="147456719"/>
    </w:sdtPr>
    <w:sdtEndPr/>
    <w:sdtContent>
      <w:p w:rsidR="00BC2FF2" w:rsidRDefault="00C719D1">
        <w:pPr>
          <w:pStyle w:val="Rodap"/>
          <w:jc w:val="right"/>
          <w:rPr>
            <w:rFonts w:ascii="Arial Narrow" w:hAnsi="Arial Narrow"/>
            <w:sz w:val="18"/>
            <w:szCs w:val="18"/>
          </w:rPr>
        </w:pPr>
        <w:r>
          <w:rPr>
            <w:rFonts w:ascii="Arial Narrow" w:hAnsi="Arial Narrow"/>
            <w:sz w:val="16"/>
            <w:szCs w:val="16"/>
            <w:lang w:val="pt-BR"/>
          </w:rPr>
          <w:t xml:space="preserve">Página </w:t>
        </w:r>
        <w:r>
          <w:rPr>
            <w:rFonts w:ascii="Arial Narrow" w:hAnsi="Arial Narrow"/>
            <w:sz w:val="16"/>
            <w:szCs w:val="16"/>
          </w:rPr>
          <w:fldChar w:fldCharType="begin"/>
        </w:r>
        <w:r>
          <w:rPr>
            <w:rFonts w:ascii="Arial Narrow" w:hAnsi="Arial Narrow"/>
            <w:sz w:val="16"/>
            <w:szCs w:val="16"/>
          </w:rPr>
          <w:instrText>PAGE</w:instrText>
        </w:r>
        <w:r>
          <w:rPr>
            <w:rFonts w:ascii="Arial Narrow" w:hAnsi="Arial Narrow"/>
            <w:sz w:val="16"/>
            <w:szCs w:val="16"/>
          </w:rPr>
          <w:fldChar w:fldCharType="separate"/>
        </w:r>
        <w:r>
          <w:rPr>
            <w:rFonts w:ascii="Arial Narrow" w:hAnsi="Arial Narrow"/>
            <w:noProof/>
            <w:sz w:val="16"/>
            <w:szCs w:val="16"/>
          </w:rPr>
          <w:t>11</w:t>
        </w:r>
        <w:r>
          <w:rPr>
            <w:rFonts w:ascii="Arial Narrow" w:hAnsi="Arial Narrow"/>
            <w:sz w:val="16"/>
            <w:szCs w:val="16"/>
          </w:rPr>
          <w:fldChar w:fldCharType="end"/>
        </w:r>
        <w:r>
          <w:rPr>
            <w:rFonts w:ascii="Arial Narrow" w:hAnsi="Arial Narrow"/>
            <w:sz w:val="16"/>
            <w:szCs w:val="16"/>
            <w:lang w:val="pt-BR"/>
          </w:rPr>
          <w:t xml:space="preserve"> de </w:t>
        </w:r>
        <w:r>
          <w:rPr>
            <w:rFonts w:ascii="Arial Narrow" w:hAnsi="Arial Narrow"/>
            <w:sz w:val="16"/>
            <w:szCs w:val="16"/>
          </w:rPr>
          <w:fldChar w:fldCharType="begin"/>
        </w:r>
        <w:r>
          <w:rPr>
            <w:rFonts w:ascii="Arial Narrow" w:hAnsi="Arial Narrow"/>
            <w:sz w:val="16"/>
            <w:szCs w:val="16"/>
          </w:rPr>
          <w:instrText>NUMPAGES</w:instrText>
        </w:r>
        <w:r>
          <w:rPr>
            <w:rFonts w:ascii="Arial Narrow" w:hAnsi="Arial Narrow"/>
            <w:sz w:val="16"/>
            <w:szCs w:val="16"/>
          </w:rPr>
          <w:fldChar w:fldCharType="separate"/>
        </w:r>
        <w:r>
          <w:rPr>
            <w:rFonts w:ascii="Arial Narrow" w:hAnsi="Arial Narrow"/>
            <w:noProof/>
            <w:sz w:val="16"/>
            <w:szCs w:val="16"/>
          </w:rPr>
          <w:t>11</w:t>
        </w:r>
        <w:r>
          <w:rPr>
            <w:rFonts w:ascii="Arial Narrow" w:hAnsi="Arial Narrow"/>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719D1">
      <w:r>
        <w:separator/>
      </w:r>
    </w:p>
  </w:footnote>
  <w:footnote w:type="continuationSeparator" w:id="0">
    <w:p w:rsidR="00000000" w:rsidRDefault="00C719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FF2" w:rsidRDefault="00C719D1">
    <w:pPr>
      <w:spacing w:before="16"/>
      <w:ind w:left="10" w:right="10"/>
      <w:jc w:val="center"/>
      <w:rPr>
        <w:lang w:val="pt-BR" w:eastAsia="pt-BR"/>
      </w:rPr>
    </w:pPr>
    <w:r>
      <w:rPr>
        <w:noProof/>
        <w:lang w:val="pt-BR" w:eastAsia="pt-BR"/>
      </w:rPr>
      <w:drawing>
        <wp:inline distT="0" distB="0" distL="0" distR="0">
          <wp:extent cx="952500" cy="828040"/>
          <wp:effectExtent l="0" t="0" r="0" b="10160"/>
          <wp:docPr id="14" name="Image 1"/>
          <wp:cNvGraphicFramePr/>
          <a:graphic xmlns:a="http://schemas.openxmlformats.org/drawingml/2006/main">
            <a:graphicData uri="http://schemas.openxmlformats.org/drawingml/2006/picture">
              <pic:pic xmlns:pic="http://schemas.openxmlformats.org/drawingml/2006/picture">
                <pic:nvPicPr>
                  <pic:cNvPr id="14" name="Image 1"/>
                  <pic:cNvPicPr/>
                </pic:nvPicPr>
                <pic:blipFill>
                  <a:blip r:embed="rId1" cstate="print"/>
                  <a:stretch>
                    <a:fillRect/>
                  </a:stretch>
                </pic:blipFill>
                <pic:spPr>
                  <a:xfrm>
                    <a:off x="0" y="0"/>
                    <a:ext cx="952500" cy="828040"/>
                  </a:xfrm>
                  <a:prstGeom prst="rect">
                    <a:avLst/>
                  </a:prstGeom>
                </pic:spPr>
              </pic:pic>
            </a:graphicData>
          </a:graphic>
        </wp:inline>
      </w:drawing>
    </w:r>
  </w:p>
  <w:p w:rsidR="00BC2FF2" w:rsidRDefault="00C719D1">
    <w:pPr>
      <w:ind w:right="10"/>
      <w:jc w:val="center"/>
      <w:rPr>
        <w:b/>
        <w:spacing w:val="-2"/>
        <w:sz w:val="23"/>
      </w:rPr>
    </w:pPr>
    <w:r>
      <w:rPr>
        <w:b/>
        <w:sz w:val="23"/>
      </w:rPr>
      <w:t>PREFEITURA</w:t>
    </w:r>
    <w:r>
      <w:rPr>
        <w:b/>
        <w:spacing w:val="25"/>
        <w:sz w:val="23"/>
      </w:rPr>
      <w:t xml:space="preserve"> </w:t>
    </w:r>
    <w:r>
      <w:rPr>
        <w:b/>
        <w:sz w:val="23"/>
      </w:rPr>
      <w:t>MUNICIPAL</w:t>
    </w:r>
    <w:r>
      <w:rPr>
        <w:b/>
        <w:spacing w:val="45"/>
        <w:sz w:val="23"/>
      </w:rPr>
      <w:t xml:space="preserve"> </w:t>
    </w:r>
    <w:r>
      <w:rPr>
        <w:b/>
        <w:sz w:val="23"/>
      </w:rPr>
      <w:t xml:space="preserve">DE </w:t>
    </w:r>
    <w:r>
      <w:rPr>
        <w:b/>
        <w:spacing w:val="-2"/>
        <w:sz w:val="23"/>
      </w:rPr>
      <w:t>PIRAPÓ</w:t>
    </w:r>
  </w:p>
  <w:p w:rsidR="00BC2FF2" w:rsidRDefault="00C719D1">
    <w:pPr>
      <w:jc w:val="center"/>
      <w:rPr>
        <w:lang w:val="pt-BR" w:eastAsia="pt-BR"/>
      </w:rPr>
    </w:pPr>
    <w:r>
      <w:rPr>
        <w:i/>
        <w:w w:val="105"/>
        <w:sz w:val="23"/>
      </w:rPr>
      <w:t>Estado</w:t>
    </w:r>
    <w:r>
      <w:rPr>
        <w:i/>
        <w:spacing w:val="-6"/>
        <w:w w:val="105"/>
        <w:sz w:val="23"/>
      </w:rPr>
      <w:t xml:space="preserve"> </w:t>
    </w:r>
    <w:r>
      <w:rPr>
        <w:i/>
        <w:w w:val="105"/>
        <w:sz w:val="23"/>
      </w:rPr>
      <w:t>do</w:t>
    </w:r>
    <w:r>
      <w:rPr>
        <w:i/>
        <w:spacing w:val="-6"/>
        <w:w w:val="105"/>
        <w:sz w:val="23"/>
      </w:rPr>
      <w:t xml:space="preserve"> </w:t>
    </w:r>
    <w:r>
      <w:rPr>
        <w:i/>
        <w:w w:val="105"/>
        <w:sz w:val="23"/>
      </w:rPr>
      <w:t>Rio</w:t>
    </w:r>
    <w:r>
      <w:rPr>
        <w:i/>
        <w:spacing w:val="-6"/>
        <w:w w:val="105"/>
        <w:sz w:val="23"/>
      </w:rPr>
      <w:t xml:space="preserve"> </w:t>
    </w:r>
    <w:r>
      <w:rPr>
        <w:i/>
        <w:w w:val="105"/>
        <w:sz w:val="23"/>
      </w:rPr>
      <w:t>Grande</w:t>
    </w:r>
    <w:r>
      <w:rPr>
        <w:i/>
        <w:spacing w:val="-7"/>
        <w:w w:val="105"/>
        <w:sz w:val="23"/>
      </w:rPr>
      <w:t xml:space="preserve"> </w:t>
    </w:r>
    <w:r>
      <w:rPr>
        <w:i/>
        <w:w w:val="105"/>
        <w:sz w:val="23"/>
      </w:rPr>
      <w:t>do</w:t>
    </w:r>
    <w:r>
      <w:rPr>
        <w:i/>
        <w:spacing w:val="-5"/>
        <w:w w:val="105"/>
        <w:sz w:val="23"/>
      </w:rPr>
      <w:t xml:space="preserve"> Sul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defaultTabStop w:val="708"/>
  <w:hyphenationZone w:val="425"/>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6CC"/>
    <w:rsid w:val="000A7059"/>
    <w:rsid w:val="00140C71"/>
    <w:rsid w:val="00172E02"/>
    <w:rsid w:val="00224CF0"/>
    <w:rsid w:val="002C6A6B"/>
    <w:rsid w:val="00340401"/>
    <w:rsid w:val="00395D7E"/>
    <w:rsid w:val="003B3389"/>
    <w:rsid w:val="004A09E4"/>
    <w:rsid w:val="004A13F1"/>
    <w:rsid w:val="004D37A5"/>
    <w:rsid w:val="006E51C3"/>
    <w:rsid w:val="00805DC9"/>
    <w:rsid w:val="009822A3"/>
    <w:rsid w:val="009C2311"/>
    <w:rsid w:val="00A21B1F"/>
    <w:rsid w:val="00AA26CC"/>
    <w:rsid w:val="00B86A19"/>
    <w:rsid w:val="00BC2FF2"/>
    <w:rsid w:val="00C719D1"/>
    <w:rsid w:val="00D57400"/>
    <w:rsid w:val="00D66B69"/>
    <w:rsid w:val="00DF3188"/>
    <w:rsid w:val="00E46296"/>
    <w:rsid w:val="00E53B50"/>
    <w:rsid w:val="00E63218"/>
    <w:rsid w:val="00EA6EC4"/>
    <w:rsid w:val="00EE6004"/>
    <w:rsid w:val="01820CAF"/>
    <w:rsid w:val="01C40EF4"/>
    <w:rsid w:val="02AD7C71"/>
    <w:rsid w:val="03004E02"/>
    <w:rsid w:val="033E7560"/>
    <w:rsid w:val="035F3318"/>
    <w:rsid w:val="03664EA1"/>
    <w:rsid w:val="037441B6"/>
    <w:rsid w:val="042F09E0"/>
    <w:rsid w:val="046837CA"/>
    <w:rsid w:val="04AE2C39"/>
    <w:rsid w:val="04DB308A"/>
    <w:rsid w:val="04FC07BA"/>
    <w:rsid w:val="05284B01"/>
    <w:rsid w:val="059A13A6"/>
    <w:rsid w:val="05D32A1C"/>
    <w:rsid w:val="06844DBE"/>
    <w:rsid w:val="06EB4C52"/>
    <w:rsid w:val="06ED47ED"/>
    <w:rsid w:val="07036991"/>
    <w:rsid w:val="0724601F"/>
    <w:rsid w:val="072C64D0"/>
    <w:rsid w:val="07913C76"/>
    <w:rsid w:val="0862434F"/>
    <w:rsid w:val="0881384D"/>
    <w:rsid w:val="08894C98"/>
    <w:rsid w:val="08A4283A"/>
    <w:rsid w:val="08B408D6"/>
    <w:rsid w:val="0919027A"/>
    <w:rsid w:val="09E57B43"/>
    <w:rsid w:val="0A1641A0"/>
    <w:rsid w:val="0A9F38F9"/>
    <w:rsid w:val="0AC24DB3"/>
    <w:rsid w:val="0AD656DD"/>
    <w:rsid w:val="0C097A25"/>
    <w:rsid w:val="0CAF495E"/>
    <w:rsid w:val="0D3D54C7"/>
    <w:rsid w:val="0D4912D9"/>
    <w:rsid w:val="0E554E78"/>
    <w:rsid w:val="0E8D77C8"/>
    <w:rsid w:val="0F0E7940"/>
    <w:rsid w:val="0FA66BBA"/>
    <w:rsid w:val="105F25B2"/>
    <w:rsid w:val="10D33DA9"/>
    <w:rsid w:val="11486590"/>
    <w:rsid w:val="11803EC2"/>
    <w:rsid w:val="11901C04"/>
    <w:rsid w:val="11950791"/>
    <w:rsid w:val="11DF2FE2"/>
    <w:rsid w:val="11FE2FC7"/>
    <w:rsid w:val="1219663F"/>
    <w:rsid w:val="12A1358C"/>
    <w:rsid w:val="12D91F0D"/>
    <w:rsid w:val="130435C4"/>
    <w:rsid w:val="130B4CCD"/>
    <w:rsid w:val="135F4757"/>
    <w:rsid w:val="136775E5"/>
    <w:rsid w:val="1420256C"/>
    <w:rsid w:val="145923F1"/>
    <w:rsid w:val="15763AC2"/>
    <w:rsid w:val="160C7839"/>
    <w:rsid w:val="164E1D9F"/>
    <w:rsid w:val="16745F63"/>
    <w:rsid w:val="16BD3DD9"/>
    <w:rsid w:val="18270E2D"/>
    <w:rsid w:val="18307B5A"/>
    <w:rsid w:val="187E183C"/>
    <w:rsid w:val="19D51DED"/>
    <w:rsid w:val="1A6C7B4B"/>
    <w:rsid w:val="1B414C4E"/>
    <w:rsid w:val="1B733E18"/>
    <w:rsid w:val="1BE10BC8"/>
    <w:rsid w:val="1C2516BD"/>
    <w:rsid w:val="1C4466EF"/>
    <w:rsid w:val="1C7C20CC"/>
    <w:rsid w:val="1CC26FBD"/>
    <w:rsid w:val="1DC16EE0"/>
    <w:rsid w:val="1DF71000"/>
    <w:rsid w:val="1F1F489E"/>
    <w:rsid w:val="1F2951AD"/>
    <w:rsid w:val="1F983263"/>
    <w:rsid w:val="1FB416FF"/>
    <w:rsid w:val="1FE26B5A"/>
    <w:rsid w:val="1FEA77EA"/>
    <w:rsid w:val="20143EB1"/>
    <w:rsid w:val="202C6073"/>
    <w:rsid w:val="20346964"/>
    <w:rsid w:val="21B57D5A"/>
    <w:rsid w:val="21F575F8"/>
    <w:rsid w:val="2217457B"/>
    <w:rsid w:val="222A359C"/>
    <w:rsid w:val="23CD03C9"/>
    <w:rsid w:val="243F186E"/>
    <w:rsid w:val="24E76918"/>
    <w:rsid w:val="25B349DA"/>
    <w:rsid w:val="25B5026A"/>
    <w:rsid w:val="26B45C0E"/>
    <w:rsid w:val="26E90667"/>
    <w:rsid w:val="26F27C71"/>
    <w:rsid w:val="27125FA8"/>
    <w:rsid w:val="27310A5B"/>
    <w:rsid w:val="27536A11"/>
    <w:rsid w:val="277B4352"/>
    <w:rsid w:val="27D22B63"/>
    <w:rsid w:val="28030DB3"/>
    <w:rsid w:val="280C4696"/>
    <w:rsid w:val="288E2F16"/>
    <w:rsid w:val="28B47E4F"/>
    <w:rsid w:val="28F61640"/>
    <w:rsid w:val="29431740"/>
    <w:rsid w:val="29626771"/>
    <w:rsid w:val="2A955869"/>
    <w:rsid w:val="2AEC48E5"/>
    <w:rsid w:val="2BCA5C66"/>
    <w:rsid w:val="2BCD395D"/>
    <w:rsid w:val="2C43682A"/>
    <w:rsid w:val="2C87189D"/>
    <w:rsid w:val="2C9640B5"/>
    <w:rsid w:val="2CD15194"/>
    <w:rsid w:val="2D607001"/>
    <w:rsid w:val="2E3E78E9"/>
    <w:rsid w:val="2ECF4A9C"/>
    <w:rsid w:val="2F78065D"/>
    <w:rsid w:val="2FFB494B"/>
    <w:rsid w:val="302037B6"/>
    <w:rsid w:val="30223524"/>
    <w:rsid w:val="30367E1B"/>
    <w:rsid w:val="3039422C"/>
    <w:rsid w:val="305A21E2"/>
    <w:rsid w:val="306A027E"/>
    <w:rsid w:val="30E46E7F"/>
    <w:rsid w:val="31233A0E"/>
    <w:rsid w:val="313733A9"/>
    <w:rsid w:val="315E078B"/>
    <w:rsid w:val="31645F17"/>
    <w:rsid w:val="318C44A5"/>
    <w:rsid w:val="32422082"/>
    <w:rsid w:val="32DB47FF"/>
    <w:rsid w:val="333D39E1"/>
    <w:rsid w:val="34961252"/>
    <w:rsid w:val="35717CBC"/>
    <w:rsid w:val="35BB35B3"/>
    <w:rsid w:val="35EF058A"/>
    <w:rsid w:val="36044CAC"/>
    <w:rsid w:val="367A2CD8"/>
    <w:rsid w:val="36D72A86"/>
    <w:rsid w:val="3726190B"/>
    <w:rsid w:val="376D427E"/>
    <w:rsid w:val="38216CA8"/>
    <w:rsid w:val="383372D2"/>
    <w:rsid w:val="38677344"/>
    <w:rsid w:val="388A3751"/>
    <w:rsid w:val="38B90A1D"/>
    <w:rsid w:val="39255B4E"/>
    <w:rsid w:val="3971010F"/>
    <w:rsid w:val="39E416E3"/>
    <w:rsid w:val="3A0674E7"/>
    <w:rsid w:val="3A6D4BEB"/>
    <w:rsid w:val="3B965952"/>
    <w:rsid w:val="3BBE7540"/>
    <w:rsid w:val="3BDA7340"/>
    <w:rsid w:val="3BF639D1"/>
    <w:rsid w:val="3C550D6F"/>
    <w:rsid w:val="3C811DC4"/>
    <w:rsid w:val="3D3C56CE"/>
    <w:rsid w:val="3D5877B1"/>
    <w:rsid w:val="3DC213DF"/>
    <w:rsid w:val="3DFA1A0F"/>
    <w:rsid w:val="3E005C29"/>
    <w:rsid w:val="3E5A1BA6"/>
    <w:rsid w:val="3E721583"/>
    <w:rsid w:val="3EB554EF"/>
    <w:rsid w:val="3EC5358C"/>
    <w:rsid w:val="3F3B2B43"/>
    <w:rsid w:val="3FBB6919"/>
    <w:rsid w:val="40B32646"/>
    <w:rsid w:val="40C50AD3"/>
    <w:rsid w:val="41970E2B"/>
    <w:rsid w:val="42120775"/>
    <w:rsid w:val="4288501F"/>
    <w:rsid w:val="437B05F4"/>
    <w:rsid w:val="43970571"/>
    <w:rsid w:val="43D922DF"/>
    <w:rsid w:val="43E9573F"/>
    <w:rsid w:val="44066626"/>
    <w:rsid w:val="443C6B00"/>
    <w:rsid w:val="451A06ED"/>
    <w:rsid w:val="45A56D7F"/>
    <w:rsid w:val="46235C06"/>
    <w:rsid w:val="466F101E"/>
    <w:rsid w:val="46B86E94"/>
    <w:rsid w:val="49742590"/>
    <w:rsid w:val="4A49386D"/>
    <w:rsid w:val="4A6B50A6"/>
    <w:rsid w:val="4A955EEB"/>
    <w:rsid w:val="4AF57209"/>
    <w:rsid w:val="4B1367B9"/>
    <w:rsid w:val="4BB957C9"/>
    <w:rsid w:val="4BE7296B"/>
    <w:rsid w:val="4C752B7D"/>
    <w:rsid w:val="4C855396"/>
    <w:rsid w:val="4CA301C9"/>
    <w:rsid w:val="4CB052E1"/>
    <w:rsid w:val="4CE20FB3"/>
    <w:rsid w:val="4CEF6FC4"/>
    <w:rsid w:val="4D270115"/>
    <w:rsid w:val="4D517798"/>
    <w:rsid w:val="4D583170"/>
    <w:rsid w:val="4E1061A1"/>
    <w:rsid w:val="4F291DBC"/>
    <w:rsid w:val="4F760F6C"/>
    <w:rsid w:val="4F8A5A0E"/>
    <w:rsid w:val="4F8B568E"/>
    <w:rsid w:val="509D67D0"/>
    <w:rsid w:val="51A33AFF"/>
    <w:rsid w:val="51AE408E"/>
    <w:rsid w:val="51B05393"/>
    <w:rsid w:val="52784664"/>
    <w:rsid w:val="54067A66"/>
    <w:rsid w:val="541E510D"/>
    <w:rsid w:val="546B0A8F"/>
    <w:rsid w:val="55226F39"/>
    <w:rsid w:val="55365BD9"/>
    <w:rsid w:val="55F73C06"/>
    <w:rsid w:val="561B2515"/>
    <w:rsid w:val="562B234E"/>
    <w:rsid w:val="56707EE0"/>
    <w:rsid w:val="567735B3"/>
    <w:rsid w:val="56D9408C"/>
    <w:rsid w:val="56F0608C"/>
    <w:rsid w:val="573A621A"/>
    <w:rsid w:val="574A5644"/>
    <w:rsid w:val="57AD5591"/>
    <w:rsid w:val="580C1EEE"/>
    <w:rsid w:val="58106307"/>
    <w:rsid w:val="589368E0"/>
    <w:rsid w:val="58E65065"/>
    <w:rsid w:val="58EA72EF"/>
    <w:rsid w:val="591B7ABE"/>
    <w:rsid w:val="594805F9"/>
    <w:rsid w:val="597F55E4"/>
    <w:rsid w:val="598E457A"/>
    <w:rsid w:val="59A26A9D"/>
    <w:rsid w:val="59A4671D"/>
    <w:rsid w:val="59B6475B"/>
    <w:rsid w:val="59C725C5"/>
    <w:rsid w:val="59CC3A40"/>
    <w:rsid w:val="5A53303E"/>
    <w:rsid w:val="5A623658"/>
    <w:rsid w:val="5A6432D8"/>
    <w:rsid w:val="5B3710B2"/>
    <w:rsid w:val="5B9F3060"/>
    <w:rsid w:val="5BAD4574"/>
    <w:rsid w:val="5BD5353A"/>
    <w:rsid w:val="5C6A01AA"/>
    <w:rsid w:val="5C877162"/>
    <w:rsid w:val="5D93482C"/>
    <w:rsid w:val="5EA77DDA"/>
    <w:rsid w:val="5EBD517B"/>
    <w:rsid w:val="5F902F55"/>
    <w:rsid w:val="5F940EAF"/>
    <w:rsid w:val="5FEF45F4"/>
    <w:rsid w:val="610F6684"/>
    <w:rsid w:val="611430D1"/>
    <w:rsid w:val="617321F1"/>
    <w:rsid w:val="61A65EC3"/>
    <w:rsid w:val="61B14255"/>
    <w:rsid w:val="62751A14"/>
    <w:rsid w:val="62E62FCC"/>
    <w:rsid w:val="62F57E96"/>
    <w:rsid w:val="63A05C7E"/>
    <w:rsid w:val="63E458EA"/>
    <w:rsid w:val="64274C5E"/>
    <w:rsid w:val="64534828"/>
    <w:rsid w:val="657D45EA"/>
    <w:rsid w:val="66716DA1"/>
    <w:rsid w:val="66D523D7"/>
    <w:rsid w:val="673832E7"/>
    <w:rsid w:val="675D6DC0"/>
    <w:rsid w:val="6861624C"/>
    <w:rsid w:val="68FA2F47"/>
    <w:rsid w:val="694655C5"/>
    <w:rsid w:val="69E91555"/>
    <w:rsid w:val="69F56662"/>
    <w:rsid w:val="69FF4345"/>
    <w:rsid w:val="6A3264C7"/>
    <w:rsid w:val="6AF82A0D"/>
    <w:rsid w:val="6B4B4A16"/>
    <w:rsid w:val="6BC404DB"/>
    <w:rsid w:val="6C0A02CC"/>
    <w:rsid w:val="6C5B2654"/>
    <w:rsid w:val="6C891E9F"/>
    <w:rsid w:val="6D3754BB"/>
    <w:rsid w:val="6E78714C"/>
    <w:rsid w:val="6FBA31ED"/>
    <w:rsid w:val="6FC54BEF"/>
    <w:rsid w:val="70157E72"/>
    <w:rsid w:val="7038712D"/>
    <w:rsid w:val="706B06ED"/>
    <w:rsid w:val="707D2EEF"/>
    <w:rsid w:val="708C3333"/>
    <w:rsid w:val="70A254D7"/>
    <w:rsid w:val="70FA1A5A"/>
    <w:rsid w:val="712212A8"/>
    <w:rsid w:val="72442685"/>
    <w:rsid w:val="72A95C2C"/>
    <w:rsid w:val="72BA00C5"/>
    <w:rsid w:val="73337D8F"/>
    <w:rsid w:val="746229FF"/>
    <w:rsid w:val="753038B8"/>
    <w:rsid w:val="754E1286"/>
    <w:rsid w:val="75AE2321"/>
    <w:rsid w:val="760B1736"/>
    <w:rsid w:val="7704332B"/>
    <w:rsid w:val="77232203"/>
    <w:rsid w:val="7745174B"/>
    <w:rsid w:val="77E341DD"/>
    <w:rsid w:val="780A4A7F"/>
    <w:rsid w:val="789101DB"/>
    <w:rsid w:val="78DB7356"/>
    <w:rsid w:val="79034C97"/>
    <w:rsid w:val="79E5308B"/>
    <w:rsid w:val="7A34668D"/>
    <w:rsid w:val="7A5336BF"/>
    <w:rsid w:val="7A7E1F85"/>
    <w:rsid w:val="7A874E13"/>
    <w:rsid w:val="7BB52C4F"/>
    <w:rsid w:val="7BBF3C16"/>
    <w:rsid w:val="7C3D0C61"/>
    <w:rsid w:val="7CA4518D"/>
    <w:rsid w:val="7CCE7985"/>
    <w:rsid w:val="7D397901"/>
    <w:rsid w:val="7D6342AB"/>
    <w:rsid w:val="7D6E4856"/>
    <w:rsid w:val="7D85195F"/>
    <w:rsid w:val="7DEC5124"/>
    <w:rsid w:val="7E66156B"/>
    <w:rsid w:val="7EC42C09"/>
    <w:rsid w:val="7EF20255"/>
    <w:rsid w:val="7F275199"/>
    <w:rsid w:val="7F444EB6"/>
    <w:rsid w:val="7F9E3D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12A660"/>
  <w15:docId w15:val="{8A69458A-56C6-4C1C-B73E-38A3E2538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header" w:qFormat="1"/>
    <w:lsdException w:name="footer" w:uiPriority="99"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heme="minorHAnsi" w:eastAsiaTheme="minorEastAsia" w:hAnsiTheme="minorHAnsi" w:cstheme="minorBidi"/>
      <w:lang w:val="en-US" w:eastAsia="zh-CN"/>
    </w:rPr>
  </w:style>
  <w:style w:type="paragraph" w:styleId="Ttulo1">
    <w:name w:val="heading 1"/>
    <w:basedOn w:val="Normal"/>
    <w:next w:val="Normal"/>
    <w:qFormat/>
    <w:pPr>
      <w:spacing w:beforeAutospacing="1" w:afterAutospacing="1"/>
      <w:outlineLvl w:val="0"/>
    </w:pPr>
    <w:rPr>
      <w:rFonts w:ascii="SimSun" w:eastAsia="SimSun" w:hAnsi="SimSun" w:cs="Times New Roman" w:hint="eastAsia"/>
      <w:b/>
      <w:bCs/>
      <w:kern w:val="32"/>
      <w:sz w:val="48"/>
      <w:szCs w:val="48"/>
    </w:rPr>
  </w:style>
  <w:style w:type="paragraph" w:styleId="Ttulo2">
    <w:name w:val="heading 2"/>
    <w:next w:val="Normal"/>
    <w:semiHidden/>
    <w:unhideWhenUsed/>
    <w:qFormat/>
    <w:pPr>
      <w:spacing w:beforeAutospacing="1" w:afterAutospacing="1"/>
      <w:outlineLvl w:val="1"/>
    </w:pPr>
    <w:rPr>
      <w:rFonts w:ascii="SimSun" w:hAnsi="SimSun" w:hint="eastAsia"/>
      <w:b/>
      <w:bCs/>
      <w:i/>
      <w:sz w:val="36"/>
      <w:szCs w:val="36"/>
      <w:lang w:val="en-US" w:eastAsia="zh-CN"/>
    </w:rPr>
  </w:style>
  <w:style w:type="paragraph" w:styleId="Ttulo3">
    <w:name w:val="heading 3"/>
    <w:next w:val="Normal"/>
    <w:semiHidden/>
    <w:unhideWhenUsed/>
    <w:qFormat/>
    <w:pPr>
      <w:spacing w:beforeAutospacing="1" w:afterAutospacing="1"/>
      <w:outlineLvl w:val="2"/>
    </w:pPr>
    <w:rPr>
      <w:rFonts w:ascii="SimSun" w:hAnsi="SimSun" w:hint="eastAsia"/>
      <w:b/>
      <w:bCs/>
      <w:sz w:val="26"/>
      <w:szCs w:val="26"/>
      <w:lang w:val="en-US"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qFormat/>
    <w:rPr>
      <w:b/>
      <w:bCs/>
    </w:rPr>
  </w:style>
  <w:style w:type="character" w:styleId="nfase">
    <w:name w:val="Emphasis"/>
    <w:basedOn w:val="Fontepargpadro"/>
    <w:qFormat/>
    <w:rPr>
      <w:i/>
      <w:iCs/>
    </w:rPr>
  </w:style>
  <w:style w:type="paragraph" w:styleId="NormalWeb">
    <w:name w:val="Normal (Web)"/>
    <w:basedOn w:val="Normal"/>
    <w:qFormat/>
    <w:pPr>
      <w:spacing w:beforeAutospacing="1" w:afterAutospacing="1"/>
    </w:pPr>
    <w:rPr>
      <w:rFonts w:ascii="Times New Roman" w:eastAsia="SimSun" w:hAnsi="Times New Roman" w:cs="Times New Roman"/>
      <w:szCs w:val="24"/>
    </w:rPr>
  </w:style>
  <w:style w:type="paragraph" w:styleId="Cabealho">
    <w:name w:val="header"/>
    <w:basedOn w:val="Normal"/>
    <w:link w:val="CabealhoChar"/>
    <w:qFormat/>
    <w:pPr>
      <w:tabs>
        <w:tab w:val="center" w:pos="4252"/>
        <w:tab w:val="right" w:pos="8504"/>
      </w:tabs>
    </w:pPr>
  </w:style>
  <w:style w:type="paragraph" w:styleId="Rodap">
    <w:name w:val="footer"/>
    <w:basedOn w:val="Normal"/>
    <w:link w:val="RodapChar"/>
    <w:uiPriority w:val="99"/>
    <w:qFormat/>
    <w:pPr>
      <w:tabs>
        <w:tab w:val="center" w:pos="4252"/>
        <w:tab w:val="right" w:pos="8504"/>
      </w:tabs>
    </w:pPr>
  </w:style>
  <w:style w:type="paragraph" w:styleId="Sumrio1">
    <w:name w:val="toc 1"/>
    <w:basedOn w:val="Normal"/>
    <w:next w:val="Normal"/>
    <w:qFormat/>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qFormat/>
    <w:rPr>
      <w:rFonts w:asciiTheme="minorHAnsi" w:eastAsiaTheme="minorEastAsia" w:hAnsiTheme="minorHAnsi" w:cstheme="minorBidi"/>
      <w:lang w:val="en-US" w:eastAsia="zh-CN"/>
    </w:rPr>
  </w:style>
  <w:style w:type="character" w:customStyle="1" w:styleId="RodapChar">
    <w:name w:val="Rodapé Char"/>
    <w:basedOn w:val="Fontepargpadro"/>
    <w:link w:val="Rodap"/>
    <w:uiPriority w:val="99"/>
    <w:qFormat/>
    <w:rPr>
      <w:rFonts w:asciiTheme="minorHAnsi" w:eastAsiaTheme="minorEastAsia" w:hAnsiTheme="minorHAnsi" w:cstheme="minorBidi"/>
      <w:lang w:val="en-US" w:eastAsia="zh-CN"/>
    </w:rPr>
  </w:style>
  <w:style w:type="paragraph" w:styleId="Textodebalo">
    <w:name w:val="Balloon Text"/>
    <w:basedOn w:val="Normal"/>
    <w:link w:val="TextodebaloChar"/>
    <w:rsid w:val="00E46296"/>
    <w:rPr>
      <w:rFonts w:ascii="Segoe UI" w:hAnsi="Segoe UI" w:cs="Segoe UI"/>
      <w:sz w:val="18"/>
      <w:szCs w:val="18"/>
    </w:rPr>
  </w:style>
  <w:style w:type="character" w:customStyle="1" w:styleId="TextodebaloChar">
    <w:name w:val="Texto de balão Char"/>
    <w:basedOn w:val="Fontepargpadro"/>
    <w:link w:val="Textodebalo"/>
    <w:rsid w:val="00E46296"/>
    <w:rPr>
      <w:rFonts w:ascii="Segoe UI" w:eastAsiaTheme="minorEastAsia" w:hAnsi="Segoe UI" w:cs="Segoe UI"/>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licitacao@pirapo.rs.gov.br" TargetMode="External"/><Relationship Id="rId1" Type="http://schemas.openxmlformats.org/officeDocument/2006/relationships/hyperlink" Target="mailto:fazendapirapo@pro.via-r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36A25-403B-4EF1-AAE7-45C9A6E19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11</Pages>
  <Words>4501</Words>
  <Characters>27405</Characters>
  <Application>Microsoft Office Word</Application>
  <DocSecurity>0</DocSecurity>
  <Lines>228</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jeronimo.franco</dc:creator>
  <cp:lastModifiedBy>user49</cp:lastModifiedBy>
  <cp:revision>3</cp:revision>
  <cp:lastPrinted>2026-02-02T14:28:00Z</cp:lastPrinted>
  <dcterms:created xsi:type="dcterms:W3CDTF">2026-02-02T14:28:00Z</dcterms:created>
  <dcterms:modified xsi:type="dcterms:W3CDTF">2026-02-02T19:47:00Z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663F90CE8338415E97B78AF87249A542_12</vt:lpwstr>
  </property>
</Properties>
</file>