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8022D" w14:textId="77777777" w:rsidR="00262799" w:rsidRPr="00262799" w:rsidRDefault="00262799" w:rsidP="0003147A">
      <w:pPr>
        <w:spacing w:after="0" w:line="276" w:lineRule="auto"/>
        <w:jc w:val="center"/>
        <w:rPr>
          <w:rFonts w:ascii="Times New Roman" w:hAnsi="Times New Roman" w:cs="Times New Roman"/>
          <w:b/>
          <w:bCs/>
          <w:sz w:val="20"/>
          <w:szCs w:val="20"/>
        </w:rPr>
      </w:pPr>
    </w:p>
    <w:p w14:paraId="6E328AF7" w14:textId="343322BA" w:rsidR="0034208B" w:rsidRPr="0003147A" w:rsidRDefault="0034208B" w:rsidP="0003147A">
      <w:pPr>
        <w:spacing w:after="0" w:line="276" w:lineRule="auto"/>
        <w:jc w:val="center"/>
        <w:rPr>
          <w:rFonts w:ascii="Times New Roman" w:hAnsi="Times New Roman" w:cs="Times New Roman"/>
          <w:b/>
          <w:bCs/>
          <w:sz w:val="32"/>
          <w:szCs w:val="32"/>
        </w:rPr>
      </w:pPr>
      <w:r w:rsidRPr="0003147A">
        <w:rPr>
          <w:rFonts w:ascii="Times New Roman" w:hAnsi="Times New Roman" w:cs="Times New Roman"/>
          <w:b/>
          <w:bCs/>
          <w:sz w:val="32"/>
          <w:szCs w:val="32"/>
        </w:rPr>
        <w:t>ESTUDO TÉCNICO PRELIMINAR</w:t>
      </w:r>
    </w:p>
    <w:p w14:paraId="19C2D401" w14:textId="77777777" w:rsidR="0003147A" w:rsidRPr="00262799" w:rsidRDefault="0003147A" w:rsidP="0003147A">
      <w:pPr>
        <w:spacing w:after="0" w:line="276" w:lineRule="auto"/>
        <w:rPr>
          <w:rFonts w:ascii="Times New Roman" w:hAnsi="Times New Roman" w:cs="Times New Roman"/>
          <w:b/>
          <w:bCs/>
          <w:sz w:val="20"/>
          <w:szCs w:val="20"/>
        </w:rPr>
      </w:pPr>
    </w:p>
    <w:p w14:paraId="083C7604" w14:textId="3A9A41DE" w:rsidR="0003147A" w:rsidRPr="0003147A" w:rsidRDefault="0003147A" w:rsidP="0003147A">
      <w:pPr>
        <w:spacing w:after="0" w:line="276" w:lineRule="auto"/>
        <w:ind w:firstLine="709"/>
        <w:jc w:val="both"/>
        <w:rPr>
          <w:rFonts w:ascii="Times New Roman" w:hAnsi="Times New Roman" w:cs="Times New Roman"/>
          <w:b/>
          <w:bCs/>
          <w:sz w:val="20"/>
          <w:szCs w:val="20"/>
        </w:rPr>
      </w:pPr>
      <w:r w:rsidRPr="0003147A">
        <w:rPr>
          <w:rFonts w:ascii="Times New Roman" w:hAnsi="Times New Roman" w:cs="Times New Roman"/>
          <w:b/>
          <w:bCs/>
          <w:sz w:val="20"/>
          <w:szCs w:val="20"/>
        </w:rPr>
        <w:t xml:space="preserve">Área Requisitante: </w:t>
      </w:r>
      <w:r w:rsidR="00064B5B" w:rsidRPr="00064B5B">
        <w:rPr>
          <w:rFonts w:ascii="Times New Roman" w:hAnsi="Times New Roman" w:cs="Times New Roman"/>
          <w:sz w:val="20"/>
          <w:szCs w:val="20"/>
        </w:rPr>
        <w:t>Secretaria Municipal de Administração, Fazenda e Planejamento</w:t>
      </w:r>
    </w:p>
    <w:p w14:paraId="3236771F" w14:textId="2E9E0925" w:rsidR="0003147A" w:rsidRDefault="0003147A" w:rsidP="0003147A">
      <w:pPr>
        <w:spacing w:after="0" w:line="276" w:lineRule="auto"/>
        <w:ind w:firstLine="709"/>
        <w:jc w:val="both"/>
        <w:rPr>
          <w:rFonts w:ascii="Times New Roman" w:hAnsi="Times New Roman" w:cs="Times New Roman"/>
          <w:sz w:val="20"/>
          <w:szCs w:val="20"/>
        </w:rPr>
      </w:pPr>
      <w:r w:rsidRPr="0003147A">
        <w:rPr>
          <w:rFonts w:ascii="Times New Roman" w:hAnsi="Times New Roman" w:cs="Times New Roman"/>
          <w:b/>
          <w:bCs/>
          <w:sz w:val="20"/>
          <w:szCs w:val="20"/>
        </w:rPr>
        <w:t xml:space="preserve">Necessidade da Administração: </w:t>
      </w:r>
      <w:r w:rsidR="00117EB2" w:rsidRPr="00117EB2">
        <w:rPr>
          <w:rFonts w:ascii="Times New Roman" w:hAnsi="Times New Roman" w:cs="Times New Roman"/>
          <w:sz w:val="20"/>
          <w:szCs w:val="20"/>
        </w:rPr>
        <w:t>Aquisição de gêneros alimentícios destinados ao atendimento das demandas das escolas da Rede Municipal de Ensino de Paverama.</w:t>
      </w:r>
    </w:p>
    <w:p w14:paraId="6398AD13" w14:textId="77777777" w:rsidR="00064B5B" w:rsidRPr="0003147A" w:rsidRDefault="00064B5B" w:rsidP="0003147A">
      <w:pPr>
        <w:spacing w:after="0" w:line="276" w:lineRule="auto"/>
        <w:ind w:firstLine="709"/>
        <w:jc w:val="both"/>
        <w:rPr>
          <w:rFonts w:ascii="Times New Roman" w:hAnsi="Times New Roman" w:cs="Times New Roman"/>
          <w:b/>
          <w:bCs/>
          <w:sz w:val="20"/>
          <w:szCs w:val="20"/>
        </w:rPr>
      </w:pPr>
    </w:p>
    <w:p w14:paraId="04C9E9B1" w14:textId="6FBC3123"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I - DESCRIÇÃO DA NECESSIDADE DA CONTRATAÇÃO, CONSIDERADO O PROBLEMA A SER RESOLVIDO SOB A PERSPECTIVA DO INTERESSE PÚBLICO:</w:t>
      </w:r>
    </w:p>
    <w:p w14:paraId="7B950118" w14:textId="77777777" w:rsidR="00064B5B" w:rsidRPr="00064B5B" w:rsidRDefault="00064B5B" w:rsidP="00064B5B">
      <w:pPr>
        <w:spacing w:after="0" w:line="276" w:lineRule="auto"/>
        <w:ind w:firstLine="708"/>
        <w:jc w:val="both"/>
        <w:rPr>
          <w:rFonts w:ascii="Times New Roman" w:hAnsi="Times New Roman" w:cs="Times New Roman"/>
          <w:sz w:val="20"/>
          <w:szCs w:val="20"/>
        </w:rPr>
      </w:pPr>
      <w:r w:rsidRPr="00064B5B">
        <w:rPr>
          <w:rFonts w:ascii="Times New Roman" w:hAnsi="Times New Roman" w:cs="Times New Roman"/>
          <w:sz w:val="20"/>
          <w:szCs w:val="20"/>
        </w:rPr>
        <w:t>A presente contratação tem como finalidade assegurar o fornecimento de gêneros alimentícios necessários ao atendimento da merenda escolar da rede municipal de ensino, especificamente quanto aos itens que não tiveram sua contratação efetivada no Pregão Eletrônico nº 013/2026. A aquisição desses produtos é necessária para complementar o conjunto de gêneros destinados à alimentação dos alunos e permitir a execução regular dos cardápios planejados para as unidades escolares.</w:t>
      </w:r>
    </w:p>
    <w:p w14:paraId="1E57FDDE" w14:textId="77777777" w:rsidR="00064B5B" w:rsidRPr="00064B5B" w:rsidRDefault="00064B5B" w:rsidP="00064B5B">
      <w:pPr>
        <w:spacing w:after="0" w:line="276" w:lineRule="auto"/>
        <w:ind w:firstLine="708"/>
        <w:jc w:val="both"/>
        <w:rPr>
          <w:rFonts w:ascii="Times New Roman" w:hAnsi="Times New Roman" w:cs="Times New Roman"/>
          <w:sz w:val="20"/>
          <w:szCs w:val="20"/>
        </w:rPr>
      </w:pPr>
      <w:r w:rsidRPr="00064B5B">
        <w:rPr>
          <w:rFonts w:ascii="Times New Roman" w:hAnsi="Times New Roman" w:cs="Times New Roman"/>
          <w:sz w:val="20"/>
          <w:szCs w:val="20"/>
        </w:rPr>
        <w:t xml:space="preserve">O Município realizou procedimento licitatório para aquisição dos gêneros alimentícios destinados à merenda escolar, contudo, ao término do certame, os itens </w:t>
      </w:r>
      <w:r w:rsidRPr="00064B5B">
        <w:rPr>
          <w:rFonts w:ascii="Times New Roman" w:hAnsi="Times New Roman" w:cs="Times New Roman"/>
          <w:b/>
          <w:bCs/>
          <w:sz w:val="20"/>
          <w:szCs w:val="20"/>
        </w:rPr>
        <w:t>58 – Extrato de soja integral em pó; 86 – Bebida de soja UHT; e 164 – Bolacha salgada sem glúten e sem ovos</w:t>
      </w:r>
      <w:r w:rsidRPr="00064B5B">
        <w:rPr>
          <w:rFonts w:ascii="Times New Roman" w:hAnsi="Times New Roman" w:cs="Times New Roman"/>
          <w:sz w:val="20"/>
          <w:szCs w:val="20"/>
        </w:rPr>
        <w:t xml:space="preserve"> restaram desertos, enquanto os itens </w:t>
      </w:r>
      <w:r w:rsidRPr="00064B5B">
        <w:rPr>
          <w:rFonts w:ascii="Times New Roman" w:hAnsi="Times New Roman" w:cs="Times New Roman"/>
          <w:b/>
          <w:bCs/>
          <w:sz w:val="20"/>
          <w:szCs w:val="20"/>
        </w:rPr>
        <w:t>119 – Pão francês e 167 – Tempero misto in natura</w:t>
      </w:r>
      <w:r w:rsidRPr="00064B5B">
        <w:rPr>
          <w:rFonts w:ascii="Times New Roman" w:hAnsi="Times New Roman" w:cs="Times New Roman"/>
          <w:sz w:val="20"/>
          <w:szCs w:val="20"/>
        </w:rPr>
        <w:t xml:space="preserve"> restaram fracassados. Assim, embora o procedimento tenha resultado na contratação da maior parte dos alimentos necessários, permaneceu pendente o atendimento desses itens específicos. </w:t>
      </w:r>
    </w:p>
    <w:p w14:paraId="30B2E2C6" w14:textId="77777777" w:rsidR="00064B5B" w:rsidRPr="00064B5B" w:rsidRDefault="00064B5B" w:rsidP="00064B5B">
      <w:pPr>
        <w:spacing w:after="0" w:line="276" w:lineRule="auto"/>
        <w:ind w:firstLine="708"/>
        <w:jc w:val="both"/>
        <w:rPr>
          <w:rFonts w:ascii="Times New Roman" w:hAnsi="Times New Roman" w:cs="Times New Roman"/>
          <w:sz w:val="20"/>
          <w:szCs w:val="20"/>
        </w:rPr>
      </w:pPr>
      <w:r w:rsidRPr="00064B5B">
        <w:rPr>
          <w:rFonts w:ascii="Times New Roman" w:hAnsi="Times New Roman" w:cs="Times New Roman"/>
          <w:sz w:val="20"/>
          <w:szCs w:val="20"/>
        </w:rPr>
        <w:t>A alimentação escolar exige fornecimento regular e diversificado de gêneros alimentícios, uma vez que os cardápios são estruturados considerando a composição das refeições, a variedade dos alimentos e as necessidades dos alunos atendidos. A ausência de determinados produtos pode dificultar a execução do planejamento alimentar, provocar a necessidade de substituições frequentes e reduzir as alternativas disponíveis para organização das refeições servidas nas escolas.</w:t>
      </w:r>
    </w:p>
    <w:p w14:paraId="59B29773" w14:textId="77777777" w:rsidR="00064B5B" w:rsidRPr="00064B5B" w:rsidRDefault="00064B5B" w:rsidP="00064B5B">
      <w:pPr>
        <w:spacing w:after="0" w:line="276" w:lineRule="auto"/>
        <w:ind w:firstLine="708"/>
        <w:jc w:val="both"/>
        <w:rPr>
          <w:rFonts w:ascii="Times New Roman" w:hAnsi="Times New Roman" w:cs="Times New Roman"/>
          <w:sz w:val="20"/>
          <w:szCs w:val="20"/>
        </w:rPr>
      </w:pPr>
      <w:r w:rsidRPr="00064B5B">
        <w:rPr>
          <w:rFonts w:ascii="Times New Roman" w:hAnsi="Times New Roman" w:cs="Times New Roman"/>
          <w:sz w:val="20"/>
          <w:szCs w:val="20"/>
        </w:rPr>
        <w:t>Merece especial atenção o fato de que parte dos itens remanescentes possui características específicas, especialmente aqueles destinados a alunos com restrições ou necessidades alimentares diferenciadas. O extrato de soja integral em pó é destinado a fins especiais relacionados à alergia à proteína do leite de vaca, enquanto a bebida de soja é produto sem lactose e a bolacha salgada possui especificação sem glúten e sem ovos. A disponibilidade desses gêneros contribui para que a Administração possa atender adequadamente situações que exigem alimentação diferenciada, sem comprometer a participação do aluno na alimentação escolar.</w:t>
      </w:r>
    </w:p>
    <w:p w14:paraId="33690898" w14:textId="77777777" w:rsidR="00064B5B" w:rsidRPr="00064B5B" w:rsidRDefault="00064B5B" w:rsidP="00064B5B">
      <w:pPr>
        <w:spacing w:after="0" w:line="276" w:lineRule="auto"/>
        <w:ind w:firstLine="708"/>
        <w:jc w:val="both"/>
        <w:rPr>
          <w:rFonts w:ascii="Times New Roman" w:hAnsi="Times New Roman" w:cs="Times New Roman"/>
          <w:sz w:val="20"/>
          <w:szCs w:val="20"/>
        </w:rPr>
      </w:pPr>
      <w:r w:rsidRPr="00064B5B">
        <w:rPr>
          <w:rFonts w:ascii="Times New Roman" w:hAnsi="Times New Roman" w:cs="Times New Roman"/>
          <w:sz w:val="20"/>
          <w:szCs w:val="20"/>
        </w:rPr>
        <w:t xml:space="preserve">Além desses produtos específicos, o pão francês e o tempero misto </w:t>
      </w:r>
      <w:r w:rsidRPr="00064B5B">
        <w:rPr>
          <w:rFonts w:ascii="Times New Roman" w:hAnsi="Times New Roman" w:cs="Times New Roman"/>
          <w:i/>
          <w:iCs/>
          <w:sz w:val="20"/>
          <w:szCs w:val="20"/>
        </w:rPr>
        <w:t>in natura</w:t>
      </w:r>
      <w:r w:rsidRPr="00064B5B">
        <w:rPr>
          <w:rFonts w:ascii="Times New Roman" w:hAnsi="Times New Roman" w:cs="Times New Roman"/>
          <w:sz w:val="20"/>
          <w:szCs w:val="20"/>
        </w:rPr>
        <w:t xml:space="preserve"> são gêneros utilizados na composição cotidiana das refeições e preparações oferecidas pelas unidades escolares. A inexistência de fornecedor para esses itens pode comprometer a variedade e a execução dos cardápios, razão pela qual se mostra necessária a adoção de providências para suprir a parcela da demanda que não foi atendida no procedimento licitatório anterior.</w:t>
      </w:r>
    </w:p>
    <w:p w14:paraId="5F7B85AF" w14:textId="77777777" w:rsidR="00064B5B" w:rsidRPr="00210863" w:rsidRDefault="00064B5B" w:rsidP="00064B5B">
      <w:pPr>
        <w:spacing w:after="0" w:line="276" w:lineRule="auto"/>
        <w:ind w:firstLine="708"/>
        <w:jc w:val="both"/>
        <w:rPr>
          <w:rFonts w:ascii="Times New Roman" w:hAnsi="Times New Roman" w:cs="Times New Roman"/>
          <w:color w:val="000000" w:themeColor="text1"/>
          <w:sz w:val="20"/>
          <w:szCs w:val="20"/>
        </w:rPr>
      </w:pPr>
      <w:r w:rsidRPr="00210863">
        <w:rPr>
          <w:rFonts w:ascii="Times New Roman" w:hAnsi="Times New Roman" w:cs="Times New Roman"/>
          <w:color w:val="000000" w:themeColor="text1"/>
          <w:sz w:val="20"/>
          <w:szCs w:val="20"/>
        </w:rPr>
        <w:t>Importa destacar que as especificações, quantitativos e condições de fornecimento já foram previamente definidos no Pregão Eletrônico nº 013/2026. A presente contratação busca, portanto, atender a mesma necessidade anteriormente identificada, restringindo-se aos itens que permaneceram sem fornecedor após a conclusão do certame, sem alteração das características essenciais da demanda.</w:t>
      </w:r>
    </w:p>
    <w:p w14:paraId="20C47BF1" w14:textId="77777777" w:rsidR="00064B5B" w:rsidRPr="00064B5B" w:rsidRDefault="00064B5B" w:rsidP="00064B5B">
      <w:pPr>
        <w:spacing w:after="0" w:line="276" w:lineRule="auto"/>
        <w:ind w:firstLine="708"/>
        <w:jc w:val="both"/>
        <w:rPr>
          <w:rFonts w:ascii="Times New Roman" w:hAnsi="Times New Roman" w:cs="Times New Roman"/>
          <w:sz w:val="20"/>
          <w:szCs w:val="20"/>
        </w:rPr>
      </w:pPr>
      <w:r w:rsidRPr="00064B5B">
        <w:rPr>
          <w:rFonts w:ascii="Times New Roman" w:hAnsi="Times New Roman" w:cs="Times New Roman"/>
          <w:sz w:val="20"/>
          <w:szCs w:val="20"/>
        </w:rPr>
        <w:t>Sob a perspectiva do interesse público, a contratação mostra-se necessária para assegurar a continuidade e a regularidade da alimentação escolar, evitando a indisponibilidade dos produtos remanescentes e garantindo condições para que a Secretaria Municipal de Educação e Desenvolvimento Humano mantenha o fornecimento adequado das refeições aos alunos da rede municipal de ensino.</w:t>
      </w:r>
    </w:p>
    <w:p w14:paraId="24345BA8" w14:textId="77777777" w:rsidR="0008566E" w:rsidRDefault="0008566E" w:rsidP="0003147A">
      <w:pPr>
        <w:spacing w:after="0" w:line="276" w:lineRule="auto"/>
        <w:ind w:firstLine="708"/>
        <w:jc w:val="both"/>
        <w:rPr>
          <w:rFonts w:ascii="Times New Roman" w:hAnsi="Times New Roman" w:cs="Times New Roman"/>
          <w:sz w:val="20"/>
          <w:szCs w:val="20"/>
        </w:rPr>
      </w:pPr>
    </w:p>
    <w:p w14:paraId="767B7DCE" w14:textId="77777777"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II - DEMONSTRAÇÃO DA PREVISÃO DA CONTRATAÇÃO NO PLANO DE CONTRATAÇÕES ANUAL, SEMPRE QUE ELABORADO, DE MODO A INDICAR O SEU ALINHAMENTO COM O PLANEJAMENTO DA ADMINISTRAÇÃO:</w:t>
      </w:r>
    </w:p>
    <w:p w14:paraId="5E95A74B" w14:textId="4A127706" w:rsidR="009D5ED5" w:rsidRPr="009D5ED5" w:rsidRDefault="009D5ED5" w:rsidP="009D5ED5">
      <w:pPr>
        <w:spacing w:after="0" w:line="276" w:lineRule="auto"/>
        <w:ind w:firstLine="708"/>
        <w:jc w:val="both"/>
        <w:rPr>
          <w:rFonts w:ascii="Times New Roman" w:hAnsi="Times New Roman" w:cs="Times New Roman"/>
          <w:sz w:val="20"/>
          <w:szCs w:val="20"/>
        </w:rPr>
      </w:pPr>
      <w:r w:rsidRPr="009D5ED5">
        <w:rPr>
          <w:rFonts w:ascii="Times New Roman" w:hAnsi="Times New Roman" w:cs="Times New Roman"/>
          <w:sz w:val="20"/>
          <w:szCs w:val="20"/>
        </w:rPr>
        <w:t xml:space="preserve">A aquisição de gêneros alimentícios destinados ao atendimento da merenda escolar encontra-se prevista no Plano de Contratações Anual do Município para o exercício de 2026, integrando o planejamento previamente estabelecido pela Administração para assegurar o fornecimento regular dos alimentos necessários à rede municipal de ensino. </w:t>
      </w:r>
      <w:r w:rsidR="00117EB2">
        <w:rPr>
          <w:rFonts w:ascii="Times New Roman" w:hAnsi="Times New Roman" w:cs="Times New Roman"/>
          <w:sz w:val="20"/>
          <w:szCs w:val="20"/>
        </w:rPr>
        <w:t xml:space="preserve"> </w:t>
      </w:r>
      <w:r w:rsidRPr="009D5ED5">
        <w:rPr>
          <w:rFonts w:ascii="Times New Roman" w:hAnsi="Times New Roman" w:cs="Times New Roman"/>
          <w:sz w:val="20"/>
          <w:szCs w:val="20"/>
        </w:rPr>
        <w:t xml:space="preserve">A presente contratação direta não representa nova demanda ou necessidade superveniente, decorrendo </w:t>
      </w:r>
      <w:r w:rsidRPr="009D5ED5">
        <w:rPr>
          <w:rFonts w:ascii="Times New Roman" w:hAnsi="Times New Roman" w:cs="Times New Roman"/>
          <w:sz w:val="20"/>
          <w:szCs w:val="20"/>
        </w:rPr>
        <w:lastRenderedPageBreak/>
        <w:t>exclusivamente do insucesso parcial do Pregão Eletrônico nº 013/2026, no qual determinados itens restaram desertos ou fracassados. Dessa forma, permanece preservado o planejamento originalmente realizado, alterando-se apenas o procedimento utilizado para viabilizar a contratação dos itens que não tiveram fornecedor definido no pregão, mantendo-se a mesma finalidade, especificações, quantitativos e condições anteriormente estabelecidas.</w:t>
      </w:r>
    </w:p>
    <w:p w14:paraId="1AEE533C" w14:textId="77777777" w:rsidR="006B7D3F" w:rsidRPr="00E64C68" w:rsidRDefault="006B7D3F" w:rsidP="0003147A">
      <w:pPr>
        <w:spacing w:after="0" w:line="276" w:lineRule="auto"/>
        <w:ind w:firstLine="708"/>
        <w:jc w:val="both"/>
        <w:rPr>
          <w:rFonts w:ascii="Times New Roman" w:hAnsi="Times New Roman" w:cs="Times New Roman"/>
          <w:sz w:val="20"/>
          <w:szCs w:val="20"/>
        </w:rPr>
      </w:pPr>
    </w:p>
    <w:p w14:paraId="71B5809E" w14:textId="7084AB9B"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III - REQUISITOS DA CONTRATAÇÃO:</w:t>
      </w:r>
    </w:p>
    <w:p w14:paraId="466BCF2E" w14:textId="5980FA6C"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Para o atendimento da necessidade identificada, a contratação deverá observar requisitos mínimos de qualidade, segurança alimentar, regularidade de fornecimento e adequação às necessidades da alimentação escolar. Considerando que a dispensa decorre dos itens desertos e fracassados do Pregão Eletrônico nº 013/2026, deverão ser preservadas as especificações dos itens, condições técnicas e demais exigências anteriormente estabelecidas, sem alteração das características da contratação.</w:t>
      </w:r>
      <w:r>
        <w:rPr>
          <w:rFonts w:ascii="Times New Roman" w:eastAsia="Times New Roman" w:hAnsi="Times New Roman" w:cs="Times New Roman"/>
          <w:kern w:val="0"/>
          <w:sz w:val="20"/>
          <w:szCs w:val="20"/>
          <w:lang w:eastAsia="pt-BR"/>
          <w14:ligatures w14:val="none"/>
        </w:rPr>
        <w:t xml:space="preserve"> </w:t>
      </w:r>
      <w:r w:rsidRPr="00117EB2">
        <w:rPr>
          <w:rFonts w:ascii="Times New Roman" w:eastAsia="Times New Roman" w:hAnsi="Times New Roman" w:cs="Times New Roman"/>
          <w:kern w:val="0"/>
          <w:sz w:val="20"/>
          <w:szCs w:val="20"/>
          <w:lang w:eastAsia="pt-BR"/>
          <w14:ligatures w14:val="none"/>
        </w:rPr>
        <w:t>Além dos requisitos expressamente indicados neste Estudo Técnico Preliminar, permanecem aplicáveis, no que forem pertinentes aos itens ora contratados, todos os requisitos, especificações, condições de fornecimento, obrigações e demais exigências constantes do Estudo Técnico Preliminar</w:t>
      </w:r>
      <w:r w:rsidR="006969F9">
        <w:rPr>
          <w:rFonts w:ascii="Times New Roman" w:eastAsia="Times New Roman" w:hAnsi="Times New Roman" w:cs="Times New Roman"/>
          <w:kern w:val="0"/>
          <w:sz w:val="20"/>
          <w:szCs w:val="20"/>
          <w:lang w:eastAsia="pt-BR"/>
          <w14:ligatures w14:val="none"/>
        </w:rPr>
        <w:t>, Edital</w:t>
      </w:r>
      <w:r w:rsidRPr="00117EB2">
        <w:rPr>
          <w:rFonts w:ascii="Times New Roman" w:eastAsia="Times New Roman" w:hAnsi="Times New Roman" w:cs="Times New Roman"/>
          <w:kern w:val="0"/>
          <w:sz w:val="20"/>
          <w:szCs w:val="20"/>
          <w:lang w:eastAsia="pt-BR"/>
          <w14:ligatures w14:val="none"/>
        </w:rPr>
        <w:t xml:space="preserve"> e do Termo de Referência que instruíram o Pregão Eletrônico, os quais integram a referência técnica da presente contratação direta. </w:t>
      </w:r>
    </w:p>
    <w:p w14:paraId="0EC6A859" w14:textId="38288504"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1) Os gêneros alimentícios deverão atender integralmente às especificações definidas para os itens 58, 86, 119, 164 e 167, especialmente quanto à composição, unidade de fornecimento, peso ou volume, embalagem, rotulagem, prazo de validade, forma de acondicionamento e demais características próprias de cada produto. </w:t>
      </w:r>
    </w:p>
    <w:p w14:paraId="0B7B0E96" w14:textId="421B9B7B"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2) Os produtos deverão apresentar qualidade adequada ao consumo escolar e atender às normas sanitárias e de segurança alimentar aplicáveis. Não serão aceitos alimentos com embalagens violadas ou danificadas, prazo de validade incompatível, sinais de deterioração, contaminação, alteração de aspecto ou qualquer condição que comprometa sua utilização. </w:t>
      </w:r>
    </w:p>
    <w:p w14:paraId="0AEB53C8" w14:textId="37E2842D"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3) Deverão ser rigorosamente observadas as características dos produtos destinados a necessidades alimentares específicas. Entre os itens estão alimentos destinados a situações de restrição à proteína do leite de vaca, lactose, glúten e ovos, razão pela qual a composição, a rotulagem e a identificação de alergênicos deverão corresponder integralmente às especificações exigidas. </w:t>
      </w:r>
    </w:p>
    <w:p w14:paraId="00F9D77B" w14:textId="09FDCC51"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4) O fornecimento ocorrerá de forma parcelada, durante o período da contratação, de acordo com as necessidades da Secretaria Municipal de Educação e Desenvolvimento Humano e mediante solicitação da Administração, evitando formação desnecessária de estoques, perda de validade ou desperdício. </w:t>
      </w:r>
    </w:p>
    <w:p w14:paraId="0BCC4987" w14:textId="58BBE6D4"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5) As entregas deverão observar os locais, prazos, frequências e demais condições estabelecidas no Termo de Referência do Pregão Eletrônico, naquilo que forem aplicáveis aos itens objeto da presente contratação. O fornecedor será responsável pelo transporte, carregamento e descarregamento dos produtos, sem custos adicionais para o Município. </w:t>
      </w:r>
    </w:p>
    <w:p w14:paraId="372D6A3B" w14:textId="5EB798F6"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6) O transporte deverá ocorrer em veículo adequado à natureza dos gêneros alimentícios, em condições de higiene e conservação que preservem a integridade e a segurança dos produtos até o efetivo recebimento. </w:t>
      </w:r>
    </w:p>
    <w:p w14:paraId="64512286" w14:textId="0DFDC314"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7) No momento da entrega, os produtos estarão sujeitos à conferência quanto às quantidades, especificações, qualidade, embalagem, rotulagem e prazo de validade. Os itens que apresentarem desconformidade poderão ser recusados, devendo o fornecedor promover sua substituição, sem ônus adicional ao Município, observadas também as condições estabelecidas nos documentos técnicos do procedimento originário. </w:t>
      </w:r>
    </w:p>
    <w:p w14:paraId="17A662F9" w14:textId="7ED5A2E6"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 xml:space="preserve">8) A empresa contratada deverá comprovar e manter as condições de habilitação necessárias à contratação, inclusive regularidade jurídica, fiscal, social e trabalhista, bem como apresentar licenças, autorizações ou documentos sanitários pertinentes à sua atividade e aos produtos fornecidos, quando exigíveis, observadas as exigências de habilitação aplicáveis constantes do Pregão Eletrônico nº 013/2026. </w:t>
      </w:r>
    </w:p>
    <w:p w14:paraId="652F9A56" w14:textId="627F4E2E" w:rsid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r w:rsidRPr="00117EB2">
        <w:rPr>
          <w:rFonts w:ascii="Times New Roman" w:eastAsia="Times New Roman" w:hAnsi="Times New Roman" w:cs="Times New Roman"/>
          <w:kern w:val="0"/>
          <w:sz w:val="20"/>
          <w:szCs w:val="20"/>
          <w:lang w:eastAsia="pt-BR"/>
          <w14:ligatures w14:val="none"/>
        </w:rPr>
        <w:t>Os requisitos acima não possuem caráter exaustivo, devendo ser considerados conjuntamente com as disposições do ETP, Termo de Referência, edital e demais documentos técnicos do Pregão Eletrônico nº 013/2026, exclusivamente no que se referirem e forem aplicáveis aos itens</w:t>
      </w:r>
      <w:r>
        <w:rPr>
          <w:rFonts w:ascii="Times New Roman" w:eastAsia="Times New Roman" w:hAnsi="Times New Roman" w:cs="Times New Roman"/>
          <w:kern w:val="0"/>
          <w:sz w:val="20"/>
          <w:szCs w:val="20"/>
          <w:lang w:eastAsia="pt-BR"/>
          <w14:ligatures w14:val="none"/>
        </w:rPr>
        <w:t xml:space="preserve">. </w:t>
      </w:r>
      <w:r w:rsidRPr="00117EB2">
        <w:rPr>
          <w:rFonts w:ascii="Times New Roman" w:eastAsia="Times New Roman" w:hAnsi="Times New Roman" w:cs="Times New Roman"/>
          <w:kern w:val="0"/>
          <w:sz w:val="20"/>
          <w:szCs w:val="20"/>
          <w:lang w:eastAsia="pt-BR"/>
          <w14:ligatures w14:val="none"/>
        </w:rPr>
        <w:t>Dessa forma, busca-se assegurar que a contratação direta preserve as condições anteriormente definidas, evitando a introdução de exigências ou características distintas daquelas submetidas ao procedimento licitatório originário.</w:t>
      </w:r>
    </w:p>
    <w:p w14:paraId="25D1ECBA" w14:textId="77777777" w:rsidR="00117EB2" w:rsidRPr="00117EB2" w:rsidRDefault="00117EB2" w:rsidP="00117EB2">
      <w:pPr>
        <w:spacing w:after="0" w:line="276" w:lineRule="auto"/>
        <w:ind w:firstLine="709"/>
        <w:jc w:val="both"/>
        <w:rPr>
          <w:rFonts w:ascii="Times New Roman" w:eastAsia="Times New Roman" w:hAnsi="Times New Roman" w:cs="Times New Roman"/>
          <w:kern w:val="0"/>
          <w:sz w:val="20"/>
          <w:szCs w:val="20"/>
          <w:lang w:eastAsia="pt-BR"/>
          <w14:ligatures w14:val="none"/>
        </w:rPr>
      </w:pPr>
    </w:p>
    <w:p w14:paraId="313A3247" w14:textId="4F6CCCEE"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lastRenderedPageBreak/>
        <w:t>IV - ESTIMATIVAS DAS QUANTIDADES PARA A CONTRATAÇÃO, ACOMPANHADAS DAS MEMÓRIAS DE CÁLCULO E DOS DOCUMENTOS QUE LHES DÃO SUPORTE, QUE CONSIDEREM INTERDEPENDÊNCIAS COM OUTRAS CONTRATAÇÕES, DE MODO A POSSIBILITAR ECONOMIA DE ESCALA:</w:t>
      </w:r>
    </w:p>
    <w:p w14:paraId="637E2068" w14:textId="22236455" w:rsidR="00117EB2" w:rsidRDefault="003453EB" w:rsidP="00117EB2">
      <w:pPr>
        <w:spacing w:after="0" w:line="276" w:lineRule="auto"/>
        <w:jc w:val="both"/>
        <w:rPr>
          <w:rFonts w:ascii="Times New Roman" w:hAnsi="Times New Roman" w:cs="Times New Roman"/>
          <w:sz w:val="20"/>
          <w:szCs w:val="20"/>
        </w:rPr>
      </w:pPr>
      <w:r>
        <w:rPr>
          <w:rFonts w:ascii="Times New Roman" w:hAnsi="Times New Roman" w:cs="Times New Roman"/>
          <w:sz w:val="20"/>
          <w:szCs w:val="20"/>
        </w:rPr>
        <w:tab/>
      </w:r>
      <w:r w:rsidR="00117EB2" w:rsidRPr="00117EB2">
        <w:rPr>
          <w:rFonts w:ascii="Times New Roman" w:hAnsi="Times New Roman" w:cs="Times New Roman"/>
          <w:sz w:val="20"/>
          <w:szCs w:val="20"/>
        </w:rPr>
        <w:t>A estimativa das quantidades foi definida com base na necessidade de atendimento da alimentação escolar da rede municipal de ensino, considerando exclusivamente os itens que permaneceram sem contratação após o Pregão Eletrônico nº 013/2026. Como a presente contratação direta busca suprir exatamente essa parcela remanescente da demanda, foram mantidos os quantitativos anteriormente dimensionados, sem ampliação ou alteração das necessidades originalmente identificadas.</w:t>
      </w:r>
      <w:r w:rsidR="00117EB2">
        <w:rPr>
          <w:rFonts w:ascii="Times New Roman" w:hAnsi="Times New Roman" w:cs="Times New Roman"/>
          <w:sz w:val="20"/>
          <w:szCs w:val="20"/>
        </w:rPr>
        <w:t xml:space="preserve"> </w:t>
      </w:r>
      <w:r w:rsidR="00117EB2" w:rsidRPr="00117EB2">
        <w:rPr>
          <w:rFonts w:ascii="Times New Roman" w:hAnsi="Times New Roman" w:cs="Times New Roman"/>
          <w:sz w:val="20"/>
          <w:szCs w:val="20"/>
        </w:rPr>
        <w:t>Para assegurar a perfeita correspondência entre a presente contratação e o procedimento licitatório originário, são reproduzidas abaixo as especificações integrais dos itens, juntamente com os respectivos quantitativos</w:t>
      </w:r>
      <w:r w:rsidR="00117EB2">
        <w:rPr>
          <w:rFonts w:ascii="Times New Roman" w:hAnsi="Times New Roman" w:cs="Times New Roman"/>
          <w:sz w:val="20"/>
          <w:szCs w:val="20"/>
        </w:rPr>
        <w:t xml:space="preserve"> do Termo de Referência originário:</w:t>
      </w:r>
    </w:p>
    <w:tbl>
      <w:tblPr>
        <w:tblStyle w:val="Tabelacomgrade"/>
        <w:tblW w:w="0" w:type="auto"/>
        <w:tblInd w:w="-147" w:type="dxa"/>
        <w:tblLook w:val="04A0" w:firstRow="1" w:lastRow="0" w:firstColumn="1" w:lastColumn="0" w:noHBand="0" w:noVBand="1"/>
      </w:tblPr>
      <w:tblGrid>
        <w:gridCol w:w="616"/>
        <w:gridCol w:w="5137"/>
        <w:gridCol w:w="939"/>
        <w:gridCol w:w="992"/>
        <w:gridCol w:w="1524"/>
      </w:tblGrid>
      <w:tr w:rsidR="000F1CA2" w14:paraId="567310EC" w14:textId="77777777" w:rsidTr="000F1CA2">
        <w:tc>
          <w:tcPr>
            <w:tcW w:w="616" w:type="dxa"/>
            <w:vAlign w:val="center"/>
          </w:tcPr>
          <w:p w14:paraId="433EF120" w14:textId="7C0BF55A"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b/>
                <w:bCs/>
                <w:sz w:val="20"/>
                <w:szCs w:val="20"/>
              </w:rPr>
              <w:t>Item</w:t>
            </w:r>
          </w:p>
        </w:tc>
        <w:tc>
          <w:tcPr>
            <w:tcW w:w="5137" w:type="dxa"/>
            <w:vAlign w:val="center"/>
          </w:tcPr>
          <w:p w14:paraId="60B52473" w14:textId="71D07E58"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b/>
                <w:bCs/>
                <w:sz w:val="20"/>
                <w:szCs w:val="20"/>
              </w:rPr>
              <w:t>Descrição completa</w:t>
            </w:r>
          </w:p>
        </w:tc>
        <w:tc>
          <w:tcPr>
            <w:tcW w:w="939" w:type="dxa"/>
            <w:vAlign w:val="center"/>
          </w:tcPr>
          <w:p w14:paraId="20444917" w14:textId="668BF186"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b/>
                <w:bCs/>
                <w:sz w:val="20"/>
                <w:szCs w:val="20"/>
              </w:rPr>
              <w:t>Unidade</w:t>
            </w:r>
          </w:p>
        </w:tc>
        <w:tc>
          <w:tcPr>
            <w:tcW w:w="992" w:type="dxa"/>
            <w:vAlign w:val="center"/>
          </w:tcPr>
          <w:p w14:paraId="76B4ADC0" w14:textId="2094D3D4"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b/>
                <w:bCs/>
                <w:sz w:val="20"/>
                <w:szCs w:val="20"/>
              </w:rPr>
              <w:t>Quant</w:t>
            </w:r>
            <w:r w:rsidR="004F2390">
              <w:rPr>
                <w:rFonts w:ascii="Times New Roman" w:hAnsi="Times New Roman" w:cs="Times New Roman"/>
                <w:b/>
                <w:bCs/>
                <w:sz w:val="20"/>
                <w:szCs w:val="20"/>
              </w:rPr>
              <w:t>.</w:t>
            </w:r>
            <w:r w:rsidRPr="00117EB2">
              <w:rPr>
                <w:rFonts w:ascii="Times New Roman" w:hAnsi="Times New Roman" w:cs="Times New Roman"/>
                <w:b/>
                <w:bCs/>
                <w:sz w:val="20"/>
                <w:szCs w:val="20"/>
              </w:rPr>
              <w:t xml:space="preserve"> estimada</w:t>
            </w:r>
          </w:p>
        </w:tc>
        <w:tc>
          <w:tcPr>
            <w:tcW w:w="1524" w:type="dxa"/>
            <w:vAlign w:val="center"/>
          </w:tcPr>
          <w:p w14:paraId="0C7A9A03" w14:textId="00408C13"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b/>
                <w:bCs/>
                <w:sz w:val="20"/>
                <w:szCs w:val="20"/>
              </w:rPr>
              <w:t>Situação no PE nº 013/2026</w:t>
            </w:r>
          </w:p>
        </w:tc>
      </w:tr>
      <w:tr w:rsidR="000F1CA2" w14:paraId="6616AEA6" w14:textId="77777777" w:rsidTr="000F1CA2">
        <w:tc>
          <w:tcPr>
            <w:tcW w:w="616" w:type="dxa"/>
            <w:vAlign w:val="center"/>
          </w:tcPr>
          <w:p w14:paraId="175D118B" w14:textId="474A67C7" w:rsidR="00117EB2" w:rsidRPr="004F2390" w:rsidRDefault="00117EB2" w:rsidP="004F2390">
            <w:pPr>
              <w:spacing w:line="276" w:lineRule="auto"/>
              <w:jc w:val="center"/>
              <w:rPr>
                <w:rFonts w:ascii="Times New Roman" w:hAnsi="Times New Roman" w:cs="Times New Roman"/>
                <w:b/>
                <w:bCs/>
                <w:sz w:val="20"/>
                <w:szCs w:val="20"/>
              </w:rPr>
            </w:pPr>
            <w:r w:rsidRPr="004F2390">
              <w:rPr>
                <w:rStyle w:val="Forte"/>
                <w:rFonts w:ascii="Times New Roman" w:hAnsi="Times New Roman" w:cs="Times New Roman"/>
                <w:b w:val="0"/>
                <w:bCs w:val="0"/>
                <w:sz w:val="20"/>
                <w:szCs w:val="20"/>
              </w:rPr>
              <w:t>58</w:t>
            </w:r>
          </w:p>
        </w:tc>
        <w:tc>
          <w:tcPr>
            <w:tcW w:w="5137" w:type="dxa"/>
            <w:vAlign w:val="center"/>
          </w:tcPr>
          <w:p w14:paraId="6876B2DF" w14:textId="0C7C23F3" w:rsidR="00117EB2" w:rsidRPr="00117EB2" w:rsidRDefault="00117EB2" w:rsidP="00117EB2">
            <w:pPr>
              <w:spacing w:line="276" w:lineRule="auto"/>
              <w:jc w:val="both"/>
              <w:rPr>
                <w:rFonts w:ascii="Times New Roman" w:hAnsi="Times New Roman" w:cs="Times New Roman"/>
                <w:sz w:val="20"/>
                <w:szCs w:val="20"/>
              </w:rPr>
            </w:pPr>
            <w:r w:rsidRPr="00117EB2">
              <w:rPr>
                <w:rStyle w:val="Forte"/>
                <w:rFonts w:ascii="Times New Roman" w:hAnsi="Times New Roman" w:cs="Times New Roman"/>
                <w:sz w:val="20"/>
                <w:szCs w:val="20"/>
              </w:rPr>
              <w:t>Extrato de soja integral em pó (leite de soja integral).</w:t>
            </w:r>
            <w:r w:rsidRPr="00117EB2">
              <w:rPr>
                <w:rFonts w:ascii="Times New Roman" w:hAnsi="Times New Roman" w:cs="Times New Roman"/>
                <w:sz w:val="20"/>
                <w:szCs w:val="20"/>
              </w:rPr>
              <w:t xml:space="preserve"> Produto processado, elaborado a partir de soja desidratada e moída. Embalagem primária plástica contendo, no mínimo 500 gramas do produto. Rótulo contendo identificação do produto, tabela nutricional, peso, fabricante, data de fabricação e validade, n.º lote. Prazo de validade mínimo de 6 (seis) meses, a partir da data da entrega. </w:t>
            </w:r>
            <w:r w:rsidRPr="000F1CA2">
              <w:rPr>
                <w:rStyle w:val="Forte"/>
                <w:rFonts w:ascii="Times New Roman" w:hAnsi="Times New Roman" w:cs="Times New Roman"/>
                <w:b w:val="0"/>
                <w:bCs w:val="0"/>
                <w:sz w:val="20"/>
                <w:szCs w:val="20"/>
              </w:rPr>
              <w:t>ALIMENTO PARA FINS ESPECIAIS (ALERGIA PROTEÍNA LEITE VACA).</w:t>
            </w:r>
          </w:p>
        </w:tc>
        <w:tc>
          <w:tcPr>
            <w:tcW w:w="939" w:type="dxa"/>
            <w:vAlign w:val="center"/>
          </w:tcPr>
          <w:p w14:paraId="2CB909C0" w14:textId="117BDD4C"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UN</w:t>
            </w:r>
          </w:p>
        </w:tc>
        <w:tc>
          <w:tcPr>
            <w:tcW w:w="992" w:type="dxa"/>
            <w:vAlign w:val="center"/>
          </w:tcPr>
          <w:p w14:paraId="51B7E470" w14:textId="57E5730A"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100</w:t>
            </w:r>
          </w:p>
        </w:tc>
        <w:tc>
          <w:tcPr>
            <w:tcW w:w="1524" w:type="dxa"/>
            <w:vAlign w:val="center"/>
          </w:tcPr>
          <w:p w14:paraId="16C386CA" w14:textId="187B3CF3"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Deserto</w:t>
            </w:r>
          </w:p>
        </w:tc>
      </w:tr>
      <w:tr w:rsidR="000F1CA2" w14:paraId="0C5623CC" w14:textId="77777777" w:rsidTr="000F1CA2">
        <w:tc>
          <w:tcPr>
            <w:tcW w:w="616" w:type="dxa"/>
            <w:vAlign w:val="center"/>
          </w:tcPr>
          <w:p w14:paraId="0F370A26" w14:textId="4ADDE27C" w:rsidR="00117EB2" w:rsidRPr="004F2390" w:rsidRDefault="00117EB2" w:rsidP="004F2390">
            <w:pPr>
              <w:spacing w:line="276" w:lineRule="auto"/>
              <w:jc w:val="center"/>
              <w:rPr>
                <w:rFonts w:ascii="Times New Roman" w:hAnsi="Times New Roman" w:cs="Times New Roman"/>
                <w:b/>
                <w:bCs/>
                <w:sz w:val="20"/>
                <w:szCs w:val="20"/>
              </w:rPr>
            </w:pPr>
            <w:r w:rsidRPr="004F2390">
              <w:rPr>
                <w:rStyle w:val="Forte"/>
                <w:rFonts w:ascii="Times New Roman" w:hAnsi="Times New Roman" w:cs="Times New Roman"/>
                <w:b w:val="0"/>
                <w:bCs w:val="0"/>
                <w:sz w:val="20"/>
                <w:szCs w:val="20"/>
              </w:rPr>
              <w:t>86</w:t>
            </w:r>
          </w:p>
        </w:tc>
        <w:tc>
          <w:tcPr>
            <w:tcW w:w="5137" w:type="dxa"/>
            <w:vAlign w:val="center"/>
          </w:tcPr>
          <w:p w14:paraId="4D8D003D" w14:textId="3D468F55" w:rsidR="00117EB2" w:rsidRPr="00117EB2" w:rsidRDefault="00117EB2" w:rsidP="00117EB2">
            <w:pPr>
              <w:spacing w:line="276" w:lineRule="auto"/>
              <w:jc w:val="both"/>
              <w:rPr>
                <w:rFonts w:ascii="Times New Roman" w:hAnsi="Times New Roman" w:cs="Times New Roman"/>
                <w:sz w:val="20"/>
                <w:szCs w:val="20"/>
              </w:rPr>
            </w:pPr>
            <w:r w:rsidRPr="00117EB2">
              <w:rPr>
                <w:rStyle w:val="Forte"/>
                <w:rFonts w:ascii="Times New Roman" w:hAnsi="Times New Roman" w:cs="Times New Roman"/>
                <w:sz w:val="20"/>
                <w:szCs w:val="20"/>
              </w:rPr>
              <w:t>Bebida de Soja UHT</w:t>
            </w:r>
            <w:r w:rsidRPr="00117EB2">
              <w:rPr>
                <w:rFonts w:ascii="Times New Roman" w:hAnsi="Times New Roman" w:cs="Times New Roman"/>
                <w:sz w:val="20"/>
                <w:szCs w:val="20"/>
              </w:rPr>
              <w:t xml:space="preserve"> - Alimento à base de soja (extrato de soja), líquido, sabor natural, pronto para consumo. Produto </w:t>
            </w:r>
            <w:r w:rsidRPr="00117EB2">
              <w:rPr>
                <w:rStyle w:val="Forte"/>
                <w:rFonts w:ascii="Times New Roman" w:hAnsi="Times New Roman" w:cs="Times New Roman"/>
                <w:sz w:val="20"/>
                <w:szCs w:val="20"/>
              </w:rPr>
              <w:t>SEM LACTOSE</w:t>
            </w:r>
            <w:r w:rsidRPr="00117EB2">
              <w:rPr>
                <w:rFonts w:ascii="Times New Roman" w:hAnsi="Times New Roman" w:cs="Times New Roman"/>
                <w:sz w:val="20"/>
                <w:szCs w:val="20"/>
              </w:rPr>
              <w:t xml:space="preserve">, homogeneizado e submetido ao processo UHT (Ultra High </w:t>
            </w:r>
            <w:proofErr w:type="spellStart"/>
            <w:r w:rsidRPr="00117EB2">
              <w:rPr>
                <w:rFonts w:ascii="Times New Roman" w:hAnsi="Times New Roman" w:cs="Times New Roman"/>
                <w:sz w:val="20"/>
                <w:szCs w:val="20"/>
              </w:rPr>
              <w:t>Temperature</w:t>
            </w:r>
            <w:proofErr w:type="spellEnd"/>
            <w:r w:rsidRPr="00117EB2">
              <w:rPr>
                <w:rFonts w:ascii="Times New Roman" w:hAnsi="Times New Roman" w:cs="Times New Roman"/>
                <w:sz w:val="20"/>
                <w:szCs w:val="20"/>
              </w:rPr>
              <w:t>), esterilizado e envasado assepticamente. Acondicionado em embalagem tipo cartonada aluminizada tipo Tetra Pak com tampa rosca. Validade mínima de 6 (seis) meses a contar da data da entrega.</w:t>
            </w:r>
          </w:p>
        </w:tc>
        <w:tc>
          <w:tcPr>
            <w:tcW w:w="939" w:type="dxa"/>
            <w:vAlign w:val="center"/>
          </w:tcPr>
          <w:p w14:paraId="354EF2FC" w14:textId="56F57303"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L</w:t>
            </w:r>
          </w:p>
        </w:tc>
        <w:tc>
          <w:tcPr>
            <w:tcW w:w="992" w:type="dxa"/>
            <w:vAlign w:val="center"/>
          </w:tcPr>
          <w:p w14:paraId="30CC8AAF" w14:textId="214A30B4"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1.000</w:t>
            </w:r>
          </w:p>
        </w:tc>
        <w:tc>
          <w:tcPr>
            <w:tcW w:w="1524" w:type="dxa"/>
            <w:vAlign w:val="center"/>
          </w:tcPr>
          <w:p w14:paraId="31F12CF3" w14:textId="363B3179"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Deserto</w:t>
            </w:r>
          </w:p>
        </w:tc>
      </w:tr>
      <w:tr w:rsidR="000F1CA2" w14:paraId="6F49F0CA" w14:textId="77777777" w:rsidTr="000F1CA2">
        <w:tc>
          <w:tcPr>
            <w:tcW w:w="616" w:type="dxa"/>
            <w:vAlign w:val="center"/>
          </w:tcPr>
          <w:p w14:paraId="5FA80174" w14:textId="17E5BEC2" w:rsidR="00117EB2" w:rsidRPr="004F2390" w:rsidRDefault="00117EB2" w:rsidP="004F2390">
            <w:pPr>
              <w:spacing w:line="276" w:lineRule="auto"/>
              <w:jc w:val="center"/>
              <w:rPr>
                <w:rFonts w:ascii="Times New Roman" w:hAnsi="Times New Roman" w:cs="Times New Roman"/>
                <w:b/>
                <w:bCs/>
                <w:sz w:val="20"/>
                <w:szCs w:val="20"/>
              </w:rPr>
            </w:pPr>
            <w:r w:rsidRPr="004F2390">
              <w:rPr>
                <w:rStyle w:val="Forte"/>
                <w:rFonts w:ascii="Times New Roman" w:hAnsi="Times New Roman" w:cs="Times New Roman"/>
                <w:b w:val="0"/>
                <w:bCs w:val="0"/>
                <w:sz w:val="20"/>
                <w:szCs w:val="20"/>
              </w:rPr>
              <w:t>119</w:t>
            </w:r>
          </w:p>
        </w:tc>
        <w:tc>
          <w:tcPr>
            <w:tcW w:w="5137" w:type="dxa"/>
            <w:vAlign w:val="center"/>
          </w:tcPr>
          <w:p w14:paraId="4B4CAFC2" w14:textId="42E6C52B" w:rsidR="00117EB2" w:rsidRPr="00117EB2" w:rsidRDefault="00117EB2" w:rsidP="00117EB2">
            <w:pPr>
              <w:spacing w:line="276" w:lineRule="auto"/>
              <w:jc w:val="both"/>
              <w:rPr>
                <w:rFonts w:ascii="Times New Roman" w:hAnsi="Times New Roman" w:cs="Times New Roman"/>
                <w:sz w:val="20"/>
                <w:szCs w:val="20"/>
              </w:rPr>
            </w:pPr>
            <w:r w:rsidRPr="00117EB2">
              <w:rPr>
                <w:rStyle w:val="Forte"/>
                <w:rFonts w:ascii="Times New Roman" w:hAnsi="Times New Roman" w:cs="Times New Roman"/>
                <w:sz w:val="20"/>
                <w:szCs w:val="20"/>
              </w:rPr>
              <w:t>Pão francês.</w:t>
            </w:r>
            <w:r w:rsidRPr="00117EB2">
              <w:rPr>
                <w:rFonts w:ascii="Times New Roman" w:hAnsi="Times New Roman" w:cs="Times New Roman"/>
                <w:sz w:val="20"/>
                <w:szCs w:val="20"/>
              </w:rPr>
              <w:t xml:space="preserve"> Produto processado fresco, macio, sem presença de sujidades. Embalagem primária plástica transparente contendo 10 unidades de 50 gramas. Rótulo contendo identificação do produto, ingredientes, tabela nutricional, descrição dos alergênicos, peso, fabricante, data de fabricação e validade, nº de lote. Validade mínima de 7 dias a contar da data de entrega. Data de fabricação no máximo 1 (um) dia anterior a data da entrega.</w:t>
            </w:r>
          </w:p>
        </w:tc>
        <w:tc>
          <w:tcPr>
            <w:tcW w:w="939" w:type="dxa"/>
            <w:vAlign w:val="center"/>
          </w:tcPr>
          <w:p w14:paraId="57FF7F8A" w14:textId="51D663B2"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UN</w:t>
            </w:r>
          </w:p>
        </w:tc>
        <w:tc>
          <w:tcPr>
            <w:tcW w:w="992" w:type="dxa"/>
            <w:vAlign w:val="center"/>
          </w:tcPr>
          <w:p w14:paraId="7FCCB7B5" w14:textId="28BB8C6A"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5.500</w:t>
            </w:r>
          </w:p>
        </w:tc>
        <w:tc>
          <w:tcPr>
            <w:tcW w:w="1524" w:type="dxa"/>
            <w:vAlign w:val="center"/>
          </w:tcPr>
          <w:p w14:paraId="6BB08E24" w14:textId="3E0695CD"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Fracassado</w:t>
            </w:r>
          </w:p>
        </w:tc>
      </w:tr>
      <w:tr w:rsidR="000F1CA2" w14:paraId="50BE135C" w14:textId="77777777" w:rsidTr="000F1CA2">
        <w:tc>
          <w:tcPr>
            <w:tcW w:w="616" w:type="dxa"/>
            <w:vAlign w:val="center"/>
          </w:tcPr>
          <w:p w14:paraId="02A75D03" w14:textId="1DADA467" w:rsidR="00117EB2" w:rsidRPr="004F2390" w:rsidRDefault="00117EB2" w:rsidP="004F2390">
            <w:pPr>
              <w:spacing w:line="276" w:lineRule="auto"/>
              <w:jc w:val="center"/>
              <w:rPr>
                <w:rFonts w:ascii="Times New Roman" w:hAnsi="Times New Roman" w:cs="Times New Roman"/>
                <w:b/>
                <w:bCs/>
                <w:sz w:val="20"/>
                <w:szCs w:val="20"/>
              </w:rPr>
            </w:pPr>
            <w:r w:rsidRPr="004F2390">
              <w:rPr>
                <w:rStyle w:val="Forte"/>
                <w:rFonts w:ascii="Times New Roman" w:hAnsi="Times New Roman" w:cs="Times New Roman"/>
                <w:b w:val="0"/>
                <w:bCs w:val="0"/>
                <w:sz w:val="20"/>
                <w:szCs w:val="20"/>
              </w:rPr>
              <w:t>164</w:t>
            </w:r>
          </w:p>
        </w:tc>
        <w:tc>
          <w:tcPr>
            <w:tcW w:w="5137" w:type="dxa"/>
            <w:vAlign w:val="center"/>
          </w:tcPr>
          <w:p w14:paraId="69A7F7A8" w14:textId="3415C9AD" w:rsidR="00117EB2" w:rsidRPr="00117EB2" w:rsidRDefault="00117EB2" w:rsidP="00117EB2">
            <w:pPr>
              <w:spacing w:line="276" w:lineRule="auto"/>
              <w:jc w:val="both"/>
              <w:rPr>
                <w:rFonts w:ascii="Times New Roman" w:hAnsi="Times New Roman" w:cs="Times New Roman"/>
                <w:sz w:val="20"/>
                <w:szCs w:val="20"/>
              </w:rPr>
            </w:pPr>
            <w:r w:rsidRPr="00117EB2">
              <w:rPr>
                <w:rStyle w:val="Forte"/>
                <w:rFonts w:ascii="Times New Roman" w:hAnsi="Times New Roman" w:cs="Times New Roman"/>
                <w:sz w:val="20"/>
                <w:szCs w:val="20"/>
              </w:rPr>
              <w:t>Bolacha salgada sem glúten e sem ovos.</w:t>
            </w:r>
            <w:r w:rsidRPr="00117EB2">
              <w:rPr>
                <w:rFonts w:ascii="Times New Roman" w:hAnsi="Times New Roman" w:cs="Times New Roman"/>
                <w:sz w:val="20"/>
                <w:szCs w:val="20"/>
              </w:rPr>
              <w:t xml:space="preserve"> Produto fei</w:t>
            </w:r>
            <w:r w:rsidR="004F2390">
              <w:rPr>
                <w:rFonts w:ascii="Times New Roman" w:hAnsi="Times New Roman" w:cs="Times New Roman"/>
                <w:sz w:val="20"/>
                <w:szCs w:val="20"/>
              </w:rPr>
              <w:t>t</w:t>
            </w:r>
            <w:r w:rsidRPr="00117EB2">
              <w:rPr>
                <w:rFonts w:ascii="Times New Roman" w:hAnsi="Times New Roman" w:cs="Times New Roman"/>
                <w:sz w:val="20"/>
                <w:szCs w:val="20"/>
              </w:rPr>
              <w:t xml:space="preserve">o </w:t>
            </w:r>
            <w:proofErr w:type="spellStart"/>
            <w:r w:rsidRPr="00117EB2">
              <w:rPr>
                <w:rFonts w:ascii="Times New Roman" w:hAnsi="Times New Roman" w:cs="Times New Roman"/>
                <w:sz w:val="20"/>
                <w:szCs w:val="20"/>
              </w:rPr>
              <w:t>a</w:t>
            </w:r>
            <w:proofErr w:type="spellEnd"/>
            <w:r w:rsidRPr="00117EB2">
              <w:rPr>
                <w:rFonts w:ascii="Times New Roman" w:hAnsi="Times New Roman" w:cs="Times New Roman"/>
                <w:sz w:val="20"/>
                <w:szCs w:val="20"/>
              </w:rPr>
              <w:t xml:space="preserve"> base de farinha de arroz ou fécula de batata, ou farinha de trigo sarraceno, ou polvilho, ou arroz ou amido de milho. Acondicionada em embalagem contendo no mínimo 300 gramas, contendo dados de identificação e procedência e informação nutricional. Validade mínima de 2 meses a partir da data da entrega.</w:t>
            </w:r>
          </w:p>
        </w:tc>
        <w:tc>
          <w:tcPr>
            <w:tcW w:w="939" w:type="dxa"/>
            <w:vAlign w:val="center"/>
          </w:tcPr>
          <w:p w14:paraId="6BD4D161" w14:textId="008C1673"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UN</w:t>
            </w:r>
          </w:p>
        </w:tc>
        <w:tc>
          <w:tcPr>
            <w:tcW w:w="992" w:type="dxa"/>
            <w:vAlign w:val="center"/>
          </w:tcPr>
          <w:p w14:paraId="5E7175EA" w14:textId="1945E3D1"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150</w:t>
            </w:r>
          </w:p>
        </w:tc>
        <w:tc>
          <w:tcPr>
            <w:tcW w:w="1524" w:type="dxa"/>
            <w:vAlign w:val="center"/>
          </w:tcPr>
          <w:p w14:paraId="41C57FA1" w14:textId="29417895"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Deserto</w:t>
            </w:r>
          </w:p>
        </w:tc>
      </w:tr>
      <w:tr w:rsidR="000F1CA2" w14:paraId="411450E8" w14:textId="77777777" w:rsidTr="000F1CA2">
        <w:tc>
          <w:tcPr>
            <w:tcW w:w="616" w:type="dxa"/>
            <w:vAlign w:val="center"/>
          </w:tcPr>
          <w:p w14:paraId="26F9A264" w14:textId="4FBBBF30" w:rsidR="00117EB2" w:rsidRPr="004F2390" w:rsidRDefault="00117EB2" w:rsidP="004F2390">
            <w:pPr>
              <w:spacing w:line="276" w:lineRule="auto"/>
              <w:jc w:val="center"/>
              <w:rPr>
                <w:rFonts w:ascii="Times New Roman" w:hAnsi="Times New Roman" w:cs="Times New Roman"/>
                <w:b/>
                <w:bCs/>
                <w:sz w:val="20"/>
                <w:szCs w:val="20"/>
              </w:rPr>
            </w:pPr>
            <w:r w:rsidRPr="004F2390">
              <w:rPr>
                <w:rStyle w:val="Forte"/>
                <w:rFonts w:ascii="Times New Roman" w:hAnsi="Times New Roman" w:cs="Times New Roman"/>
                <w:b w:val="0"/>
                <w:bCs w:val="0"/>
                <w:sz w:val="20"/>
                <w:szCs w:val="20"/>
              </w:rPr>
              <w:t>167</w:t>
            </w:r>
          </w:p>
        </w:tc>
        <w:tc>
          <w:tcPr>
            <w:tcW w:w="5137" w:type="dxa"/>
            <w:vAlign w:val="center"/>
          </w:tcPr>
          <w:p w14:paraId="51D7945E" w14:textId="70A26878" w:rsidR="00117EB2" w:rsidRPr="00117EB2" w:rsidRDefault="00117EB2" w:rsidP="00117EB2">
            <w:pPr>
              <w:spacing w:line="276" w:lineRule="auto"/>
              <w:jc w:val="both"/>
              <w:rPr>
                <w:rFonts w:ascii="Times New Roman" w:hAnsi="Times New Roman" w:cs="Times New Roman"/>
                <w:sz w:val="20"/>
                <w:szCs w:val="20"/>
              </w:rPr>
            </w:pPr>
            <w:r w:rsidRPr="00117EB2">
              <w:rPr>
                <w:rStyle w:val="Forte"/>
                <w:rFonts w:ascii="Times New Roman" w:hAnsi="Times New Roman" w:cs="Times New Roman"/>
                <w:sz w:val="20"/>
                <w:szCs w:val="20"/>
              </w:rPr>
              <w:t>Tempero misto in natura.</w:t>
            </w:r>
            <w:r w:rsidRPr="00117EB2">
              <w:rPr>
                <w:rFonts w:ascii="Times New Roman" w:hAnsi="Times New Roman" w:cs="Times New Roman"/>
                <w:sz w:val="20"/>
                <w:szCs w:val="20"/>
              </w:rPr>
              <w:t xml:space="preserve"> Molho de temperos frescos contendo tomilho, manjericão e manjerona, </w:t>
            </w:r>
            <w:proofErr w:type="gramStart"/>
            <w:r w:rsidRPr="00117EB2">
              <w:rPr>
                <w:rFonts w:ascii="Times New Roman" w:hAnsi="Times New Roman" w:cs="Times New Roman"/>
                <w:sz w:val="20"/>
                <w:szCs w:val="20"/>
              </w:rPr>
              <w:t>Acondicionado</w:t>
            </w:r>
            <w:proofErr w:type="gramEnd"/>
            <w:r w:rsidRPr="00117EB2">
              <w:rPr>
                <w:rFonts w:ascii="Times New Roman" w:hAnsi="Times New Roman" w:cs="Times New Roman"/>
                <w:sz w:val="20"/>
                <w:szCs w:val="20"/>
              </w:rPr>
              <w:t xml:space="preserve"> em embalagem e isopor, envolta por plástico transparente atóxico, na embalagem informações, contendo no mínimo 100 gramas do produto.</w:t>
            </w:r>
          </w:p>
        </w:tc>
        <w:tc>
          <w:tcPr>
            <w:tcW w:w="939" w:type="dxa"/>
            <w:vAlign w:val="center"/>
          </w:tcPr>
          <w:p w14:paraId="5663C346" w14:textId="218EA574"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UN</w:t>
            </w:r>
          </w:p>
        </w:tc>
        <w:tc>
          <w:tcPr>
            <w:tcW w:w="992" w:type="dxa"/>
            <w:vAlign w:val="center"/>
          </w:tcPr>
          <w:p w14:paraId="4C472833" w14:textId="786E0F4E"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150</w:t>
            </w:r>
          </w:p>
        </w:tc>
        <w:tc>
          <w:tcPr>
            <w:tcW w:w="1524" w:type="dxa"/>
            <w:vAlign w:val="center"/>
          </w:tcPr>
          <w:p w14:paraId="60DE0936" w14:textId="314E1E12" w:rsidR="00117EB2" w:rsidRPr="00117EB2" w:rsidRDefault="00117EB2" w:rsidP="004F2390">
            <w:pPr>
              <w:spacing w:line="276" w:lineRule="auto"/>
              <w:jc w:val="center"/>
              <w:rPr>
                <w:rFonts w:ascii="Times New Roman" w:hAnsi="Times New Roman" w:cs="Times New Roman"/>
                <w:sz w:val="20"/>
                <w:szCs w:val="20"/>
              </w:rPr>
            </w:pPr>
            <w:r w:rsidRPr="00117EB2">
              <w:rPr>
                <w:rFonts w:ascii="Times New Roman" w:hAnsi="Times New Roman" w:cs="Times New Roman"/>
                <w:sz w:val="20"/>
                <w:szCs w:val="20"/>
              </w:rPr>
              <w:t>Fracassado</w:t>
            </w:r>
          </w:p>
        </w:tc>
      </w:tr>
    </w:tbl>
    <w:p w14:paraId="465054D0" w14:textId="77777777" w:rsidR="00117EB2" w:rsidRPr="00117EB2" w:rsidRDefault="00117EB2" w:rsidP="00117EB2">
      <w:pPr>
        <w:spacing w:after="0" w:line="276" w:lineRule="auto"/>
        <w:jc w:val="both"/>
        <w:rPr>
          <w:rFonts w:ascii="Times New Roman" w:hAnsi="Times New Roman" w:cs="Times New Roman"/>
          <w:sz w:val="20"/>
          <w:szCs w:val="20"/>
        </w:rPr>
      </w:pPr>
    </w:p>
    <w:p w14:paraId="1D50DB53" w14:textId="2A26DBDD" w:rsidR="004F2390" w:rsidRPr="004F2390" w:rsidRDefault="004F2390" w:rsidP="004F2390">
      <w:pPr>
        <w:spacing w:after="0" w:line="276" w:lineRule="auto"/>
        <w:jc w:val="both"/>
        <w:rPr>
          <w:rFonts w:ascii="Times New Roman" w:hAnsi="Times New Roman" w:cs="Times New Roman"/>
          <w:sz w:val="20"/>
          <w:szCs w:val="20"/>
        </w:rPr>
      </w:pPr>
      <w:r>
        <w:rPr>
          <w:rFonts w:ascii="Times New Roman" w:hAnsi="Times New Roman" w:cs="Times New Roman"/>
          <w:sz w:val="20"/>
          <w:szCs w:val="20"/>
        </w:rPr>
        <w:tab/>
      </w:r>
      <w:r w:rsidRPr="004F2390">
        <w:rPr>
          <w:rFonts w:ascii="Times New Roman" w:hAnsi="Times New Roman" w:cs="Times New Roman"/>
          <w:sz w:val="20"/>
          <w:szCs w:val="20"/>
        </w:rPr>
        <w:t>As quantidades refletem o planejamento de consumo realizado para o atendimento das escolas municipais durante o período de fornecimento, considerando a utilização dos produtos na composição dos cardápios e, especialmente para determinados itens, a necessidade de atendimento a alunos com restrições alimentares específicas. O fornecimento deverá ocorrer de forma parcelada, conforme a demanda efetiva das unidades escolares, permitindo compatibilizar as aquisições com o consumo, a capacidade de armazenamento e os prazos de validade dos produtos.</w:t>
      </w:r>
    </w:p>
    <w:p w14:paraId="41FACD14" w14:textId="2FCD6D93" w:rsidR="004F2390" w:rsidRPr="004F2390" w:rsidRDefault="004F2390" w:rsidP="004F2390">
      <w:pPr>
        <w:spacing w:after="0" w:line="276" w:lineRule="auto"/>
        <w:jc w:val="both"/>
        <w:rPr>
          <w:rFonts w:ascii="Times New Roman" w:hAnsi="Times New Roman" w:cs="Times New Roman"/>
          <w:sz w:val="20"/>
          <w:szCs w:val="20"/>
        </w:rPr>
      </w:pPr>
      <w:r>
        <w:rPr>
          <w:rFonts w:ascii="Times New Roman" w:hAnsi="Times New Roman" w:cs="Times New Roman"/>
          <w:sz w:val="20"/>
          <w:szCs w:val="20"/>
        </w:rPr>
        <w:tab/>
      </w:r>
      <w:r w:rsidRPr="004F2390">
        <w:rPr>
          <w:rFonts w:ascii="Times New Roman" w:hAnsi="Times New Roman" w:cs="Times New Roman"/>
          <w:sz w:val="20"/>
          <w:szCs w:val="20"/>
        </w:rPr>
        <w:t>A contratação possui relação direta com as demais aquisições de gêneros alimentícios destinadas à merenda escolar, uma vez que os itens ora contemplados integram o conjunto de produtos utilizados na execução dos cardápios. Contudo, cada item possui especificação, unidade de fornecimento e consumo próprios, não havendo dependência que exija sua contratação conjunta com os demais gêneros já adquiridos.</w:t>
      </w:r>
    </w:p>
    <w:p w14:paraId="4D9A4E82" w14:textId="76F17465" w:rsidR="004F2390" w:rsidRPr="004F2390" w:rsidRDefault="004F2390" w:rsidP="004F2390">
      <w:pPr>
        <w:spacing w:after="0" w:line="276" w:lineRule="auto"/>
        <w:jc w:val="both"/>
        <w:rPr>
          <w:rFonts w:ascii="Times New Roman" w:hAnsi="Times New Roman" w:cs="Times New Roman"/>
          <w:sz w:val="20"/>
          <w:szCs w:val="20"/>
        </w:rPr>
      </w:pPr>
      <w:r>
        <w:rPr>
          <w:rFonts w:ascii="Times New Roman" w:hAnsi="Times New Roman" w:cs="Times New Roman"/>
          <w:sz w:val="20"/>
          <w:szCs w:val="20"/>
        </w:rPr>
        <w:tab/>
      </w:r>
      <w:r w:rsidRPr="004F2390">
        <w:rPr>
          <w:rFonts w:ascii="Times New Roman" w:hAnsi="Times New Roman" w:cs="Times New Roman"/>
          <w:sz w:val="20"/>
          <w:szCs w:val="20"/>
        </w:rPr>
        <w:t>A reunião dos cinco itens remanescentes em um único procedimento de contratação direta contribui para racionalizar a instrução administrativa, a pesquisa de preços, a formalização e o acompanhamento do fornecimento. A seleção deverá ocorrer por item, permitindo que cada produto seja contratado com o fornecedor que apresentar proposta compatível com as especificações exigidas e mais vantajosa para a Administração, permanecendo preservadas as condições aplicáveis estabelecidas no procedimento originário.</w:t>
      </w:r>
    </w:p>
    <w:p w14:paraId="4AEFB350" w14:textId="78AE10F7" w:rsidR="00C106A4" w:rsidRPr="00C106A4" w:rsidRDefault="00C106A4" w:rsidP="00117EB2">
      <w:pPr>
        <w:spacing w:after="0" w:line="276" w:lineRule="auto"/>
        <w:jc w:val="both"/>
        <w:rPr>
          <w:rFonts w:ascii="Times New Roman" w:hAnsi="Times New Roman" w:cs="Times New Roman"/>
          <w:sz w:val="20"/>
          <w:szCs w:val="20"/>
        </w:rPr>
      </w:pPr>
    </w:p>
    <w:p w14:paraId="5A04ECF7" w14:textId="5D8A3B86" w:rsidR="0034208B" w:rsidRPr="0008566E" w:rsidRDefault="00B87DCB" w:rsidP="00C106A4">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V - LEVANTAMENTO DE MERCADO, QUE CONSISTE NA ANÁLISE DAS ALTERNATIVAS POSSÍVEIS, E JUSTIFICATIVA TÉCNICA E ECONÔMICA DA ESCOLHA DO TIPO DE SOLUÇÃO A CONTRATAR:</w:t>
      </w:r>
    </w:p>
    <w:p w14:paraId="6F760261" w14:textId="15666E89" w:rsidR="007618D1" w:rsidRPr="007618D1" w:rsidRDefault="007618D1" w:rsidP="007618D1">
      <w:pPr>
        <w:spacing w:after="0" w:line="276" w:lineRule="auto"/>
        <w:ind w:firstLine="708"/>
        <w:jc w:val="both"/>
        <w:rPr>
          <w:rFonts w:ascii="Times New Roman" w:hAnsi="Times New Roman" w:cs="Times New Roman"/>
          <w:sz w:val="20"/>
          <w:szCs w:val="20"/>
        </w:rPr>
      </w:pPr>
      <w:r w:rsidRPr="007618D1">
        <w:rPr>
          <w:rFonts w:ascii="Times New Roman" w:hAnsi="Times New Roman" w:cs="Times New Roman"/>
          <w:sz w:val="20"/>
          <w:szCs w:val="20"/>
        </w:rPr>
        <w:t>O levantamento de mercado tem por finalidade identificar as alternativas disponíveis para atendimento da necessidade de aquisição dos gêneros alimentícios que permaneceram sem contratação, considerando aspectos técnicos, econômicos, operacionais e administrativos. Trata-se de gêneros alimentícios comuns, disponíveis no mercado e fornecidos por supermercados, distribuidores, atacadistas, panificadoras e outros estabelecimentos do ramo alimentício. A dificuldade verificada não decorre da inexistência dos produtos no mercado, mas da ausência de propostas ou de propostas válidas para determinados itens no procedimento anteriormente realizado. Dessa forma, a solução deve buscar ampliar a possibilidade de contratação sem modificar a necessidade originalmente identificada ou as características essenciais dos produtos.</w:t>
      </w:r>
      <w:r w:rsidR="004F2390">
        <w:rPr>
          <w:rFonts w:ascii="Times New Roman" w:hAnsi="Times New Roman" w:cs="Times New Roman"/>
          <w:sz w:val="20"/>
          <w:szCs w:val="20"/>
        </w:rPr>
        <w:t xml:space="preserve"> </w:t>
      </w:r>
      <w:r w:rsidRPr="007618D1">
        <w:rPr>
          <w:rFonts w:ascii="Times New Roman" w:hAnsi="Times New Roman" w:cs="Times New Roman"/>
          <w:sz w:val="20"/>
          <w:szCs w:val="20"/>
        </w:rPr>
        <w:t>Foram consideradas as seguintes alternativas:</w:t>
      </w:r>
    </w:p>
    <w:p w14:paraId="1D462818" w14:textId="77777777" w:rsidR="007618D1" w:rsidRPr="004F2390" w:rsidRDefault="007618D1" w:rsidP="007618D1">
      <w:pPr>
        <w:spacing w:after="0" w:line="276" w:lineRule="auto"/>
        <w:ind w:firstLine="708"/>
        <w:jc w:val="both"/>
        <w:rPr>
          <w:rFonts w:ascii="Times New Roman" w:hAnsi="Times New Roman" w:cs="Times New Roman"/>
          <w:sz w:val="20"/>
          <w:szCs w:val="20"/>
        </w:rPr>
      </w:pPr>
      <w:r w:rsidRPr="004F2390">
        <w:rPr>
          <w:rFonts w:ascii="Times New Roman" w:hAnsi="Times New Roman" w:cs="Times New Roman"/>
          <w:sz w:val="20"/>
          <w:szCs w:val="20"/>
        </w:rPr>
        <w:t>1) Realização de novo Pregão Eletrônico: consiste na abertura de nova licitação competitiva exclusivamente para os itens que não foram contratados. A alternativa é tecnicamente possível e permitiria nova disputa entre fornecedores. Entretanto, implicaria reiniciar procedimento licitatório completo para apenas cinco itens, com repetição de etapas administrativas e maior tempo de tramitação, embora o Município tenha realizado recentemente procedimento competitivo para a mesma necessidade.</w:t>
      </w:r>
    </w:p>
    <w:p w14:paraId="277CE714" w14:textId="77777777" w:rsidR="007618D1" w:rsidRPr="004F2390" w:rsidRDefault="007618D1" w:rsidP="007618D1">
      <w:pPr>
        <w:spacing w:after="0" w:line="276" w:lineRule="auto"/>
        <w:ind w:firstLine="708"/>
        <w:jc w:val="both"/>
        <w:rPr>
          <w:rFonts w:ascii="Times New Roman" w:hAnsi="Times New Roman" w:cs="Times New Roman"/>
          <w:sz w:val="20"/>
          <w:szCs w:val="20"/>
        </w:rPr>
      </w:pPr>
      <w:r w:rsidRPr="004F2390">
        <w:rPr>
          <w:rFonts w:ascii="Times New Roman" w:hAnsi="Times New Roman" w:cs="Times New Roman"/>
          <w:sz w:val="20"/>
          <w:szCs w:val="20"/>
        </w:rPr>
        <w:t>2) Contratação direta por dispensa de licitação: consiste na contratação dos itens remanescentes mediante procedimento de dispensa, preservando as condições estabelecidas para a contratação e realizando nova verificação dos preços praticados no mercado. A alternativa permite direcionar o procedimento exclusivamente aos produtos que permaneceram sem fornecedor, reduzindo o tempo administrativo necessário para complementar a aquisição da merenda escolar.</w:t>
      </w:r>
    </w:p>
    <w:p w14:paraId="7DB9B33E" w14:textId="77777777" w:rsidR="007618D1" w:rsidRPr="004F2390" w:rsidRDefault="007618D1" w:rsidP="007618D1">
      <w:pPr>
        <w:spacing w:after="0" w:line="276" w:lineRule="auto"/>
        <w:ind w:firstLine="708"/>
        <w:jc w:val="both"/>
        <w:rPr>
          <w:rFonts w:ascii="Times New Roman" w:hAnsi="Times New Roman" w:cs="Times New Roman"/>
          <w:sz w:val="20"/>
          <w:szCs w:val="20"/>
        </w:rPr>
      </w:pPr>
      <w:r w:rsidRPr="004F2390">
        <w:rPr>
          <w:rFonts w:ascii="Times New Roman" w:hAnsi="Times New Roman" w:cs="Times New Roman"/>
          <w:sz w:val="20"/>
          <w:szCs w:val="20"/>
        </w:rPr>
        <w:t>3) Adesão a Ata de Registro de Preços de outro órgão ou entidade: consiste na identificação de ata vigente que contemple os mesmos produtos, com especificações e condições compatíveis. Embora possível em tese, sua utilização dependeria da existência de ata adequada, disponibilidade de quantitativos, compatibilidade integral das especificações e atendimento das demais condições necessárias à adesão, circunstâncias que tornam sua aplicação menos previsível para o conjunto dos itens pretendidos.</w:t>
      </w:r>
    </w:p>
    <w:p w14:paraId="3CF81062" w14:textId="77777777" w:rsidR="004F2390" w:rsidRDefault="007618D1" w:rsidP="007618D1">
      <w:pPr>
        <w:spacing w:after="0" w:line="276" w:lineRule="auto"/>
        <w:ind w:firstLine="708"/>
        <w:jc w:val="both"/>
        <w:rPr>
          <w:rFonts w:ascii="Times New Roman" w:hAnsi="Times New Roman" w:cs="Times New Roman"/>
          <w:sz w:val="20"/>
          <w:szCs w:val="20"/>
        </w:rPr>
      </w:pPr>
      <w:r w:rsidRPr="004F2390">
        <w:rPr>
          <w:rFonts w:ascii="Times New Roman" w:hAnsi="Times New Roman" w:cs="Times New Roman"/>
          <w:sz w:val="20"/>
          <w:szCs w:val="20"/>
        </w:rPr>
        <w:t>4) Substituição dos produtos por outros gêneros alimentícios: poderia envolver alteração dos produtos inicialmente planejados e adaptação dos cardápios escolares. A alternativa não se mostra adequada como solução principal, especialmente porque alguns dos itens possuem características destinadas ao atendimento de necessidades alimentares específicas, além de exigir revisão do planejamento nutricional e não resolver diretamente a necessidade originalmente identificada.</w:t>
      </w:r>
    </w:p>
    <w:p w14:paraId="1DB963C0" w14:textId="13994164" w:rsidR="007618D1" w:rsidRDefault="007618D1" w:rsidP="004F2390">
      <w:pPr>
        <w:spacing w:after="0" w:line="276" w:lineRule="auto"/>
        <w:jc w:val="center"/>
        <w:rPr>
          <w:rFonts w:ascii="Times New Roman" w:hAnsi="Times New Roman" w:cs="Times New Roman"/>
          <w:b/>
          <w:bCs/>
          <w:sz w:val="20"/>
          <w:szCs w:val="20"/>
        </w:rPr>
      </w:pPr>
      <w:r w:rsidRPr="007618D1">
        <w:rPr>
          <w:rFonts w:ascii="Times New Roman" w:hAnsi="Times New Roman" w:cs="Times New Roman"/>
          <w:b/>
          <w:bCs/>
          <w:sz w:val="20"/>
          <w:szCs w:val="20"/>
        </w:rPr>
        <w:t>QUADRO COMPARATIVO DAS ALTERNATIVAS:</w:t>
      </w:r>
    </w:p>
    <w:tbl>
      <w:tblPr>
        <w:tblStyle w:val="Tabelacomgrade"/>
        <w:tblW w:w="0" w:type="auto"/>
        <w:tblInd w:w="-431" w:type="dxa"/>
        <w:tblLook w:val="04A0" w:firstRow="1" w:lastRow="0" w:firstColumn="1" w:lastColumn="0" w:noHBand="0" w:noVBand="1"/>
      </w:tblPr>
      <w:tblGrid>
        <w:gridCol w:w="2243"/>
        <w:gridCol w:w="2294"/>
        <w:gridCol w:w="1701"/>
        <w:gridCol w:w="1843"/>
        <w:gridCol w:w="1411"/>
      </w:tblGrid>
      <w:tr w:rsidR="004F2390" w14:paraId="35C7C3B7" w14:textId="77777777" w:rsidTr="000F1CA2">
        <w:tc>
          <w:tcPr>
            <w:tcW w:w="2243" w:type="dxa"/>
            <w:vAlign w:val="center"/>
          </w:tcPr>
          <w:p w14:paraId="5079E5BB" w14:textId="58392A29"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b/>
                <w:bCs/>
                <w:sz w:val="20"/>
                <w:szCs w:val="20"/>
              </w:rPr>
              <w:t>Alternativa</w:t>
            </w:r>
          </w:p>
        </w:tc>
        <w:tc>
          <w:tcPr>
            <w:tcW w:w="2294" w:type="dxa"/>
            <w:vAlign w:val="center"/>
          </w:tcPr>
          <w:p w14:paraId="6F6F1F15" w14:textId="24133CFD"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b/>
                <w:bCs/>
                <w:sz w:val="20"/>
                <w:szCs w:val="20"/>
              </w:rPr>
              <w:t>Adequação à necessidade</w:t>
            </w:r>
          </w:p>
        </w:tc>
        <w:tc>
          <w:tcPr>
            <w:tcW w:w="1701" w:type="dxa"/>
            <w:vAlign w:val="center"/>
          </w:tcPr>
          <w:p w14:paraId="150854E7" w14:textId="11178470"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b/>
                <w:bCs/>
                <w:sz w:val="20"/>
                <w:szCs w:val="20"/>
              </w:rPr>
              <w:t>Tempo de implementação</w:t>
            </w:r>
          </w:p>
        </w:tc>
        <w:tc>
          <w:tcPr>
            <w:tcW w:w="1843" w:type="dxa"/>
            <w:vAlign w:val="center"/>
          </w:tcPr>
          <w:p w14:paraId="7BADE786" w14:textId="4E407DF3"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b/>
                <w:bCs/>
                <w:sz w:val="20"/>
                <w:szCs w:val="20"/>
              </w:rPr>
              <w:t>Manutenção das especificações</w:t>
            </w:r>
          </w:p>
        </w:tc>
        <w:tc>
          <w:tcPr>
            <w:tcW w:w="1411" w:type="dxa"/>
            <w:vAlign w:val="center"/>
          </w:tcPr>
          <w:p w14:paraId="5997F611" w14:textId="1B2CB523"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b/>
                <w:bCs/>
                <w:sz w:val="20"/>
                <w:szCs w:val="20"/>
              </w:rPr>
              <w:t>Viabilidade operacional</w:t>
            </w:r>
          </w:p>
        </w:tc>
      </w:tr>
      <w:tr w:rsidR="004F2390" w14:paraId="55596C04" w14:textId="77777777" w:rsidTr="000F1CA2">
        <w:tc>
          <w:tcPr>
            <w:tcW w:w="2243" w:type="dxa"/>
            <w:vAlign w:val="center"/>
          </w:tcPr>
          <w:p w14:paraId="4BAC1FA4" w14:textId="1D2DBBBC"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Novo Pregão Eletrônico</w:t>
            </w:r>
          </w:p>
        </w:tc>
        <w:tc>
          <w:tcPr>
            <w:tcW w:w="2294" w:type="dxa"/>
            <w:vAlign w:val="center"/>
          </w:tcPr>
          <w:p w14:paraId="2546C074" w14:textId="7E87E1BA"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Alta</w:t>
            </w:r>
          </w:p>
        </w:tc>
        <w:tc>
          <w:tcPr>
            <w:tcW w:w="1701" w:type="dxa"/>
            <w:vAlign w:val="center"/>
          </w:tcPr>
          <w:p w14:paraId="2651EEDE" w14:textId="3DEB92E2"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Menor celeridade</w:t>
            </w:r>
          </w:p>
        </w:tc>
        <w:tc>
          <w:tcPr>
            <w:tcW w:w="1843" w:type="dxa"/>
            <w:vAlign w:val="center"/>
          </w:tcPr>
          <w:p w14:paraId="3045947D" w14:textId="116EBAC0"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Alta</w:t>
            </w:r>
          </w:p>
        </w:tc>
        <w:tc>
          <w:tcPr>
            <w:tcW w:w="1411" w:type="dxa"/>
            <w:vAlign w:val="center"/>
          </w:tcPr>
          <w:p w14:paraId="785E5114" w14:textId="5FFF18A3"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Alta</w:t>
            </w:r>
          </w:p>
        </w:tc>
      </w:tr>
      <w:tr w:rsidR="004F2390" w14:paraId="09F1E1F3" w14:textId="77777777" w:rsidTr="000F1CA2">
        <w:tc>
          <w:tcPr>
            <w:tcW w:w="2243" w:type="dxa"/>
            <w:vAlign w:val="center"/>
          </w:tcPr>
          <w:p w14:paraId="6291CA1D" w14:textId="58610A97"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Dispensa de licitação</w:t>
            </w:r>
          </w:p>
        </w:tc>
        <w:tc>
          <w:tcPr>
            <w:tcW w:w="2294" w:type="dxa"/>
            <w:vAlign w:val="center"/>
          </w:tcPr>
          <w:p w14:paraId="0E03B39F" w14:textId="1DE039D8"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Alta</w:t>
            </w:r>
          </w:p>
        </w:tc>
        <w:tc>
          <w:tcPr>
            <w:tcW w:w="1701" w:type="dxa"/>
            <w:vAlign w:val="center"/>
          </w:tcPr>
          <w:p w14:paraId="3F0EA29E" w14:textId="3E17D807"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Maior celeridade</w:t>
            </w:r>
          </w:p>
        </w:tc>
        <w:tc>
          <w:tcPr>
            <w:tcW w:w="1843" w:type="dxa"/>
            <w:vAlign w:val="center"/>
          </w:tcPr>
          <w:p w14:paraId="2F8168A8" w14:textId="33C7661A"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Alta</w:t>
            </w:r>
          </w:p>
        </w:tc>
        <w:tc>
          <w:tcPr>
            <w:tcW w:w="1411" w:type="dxa"/>
            <w:vAlign w:val="center"/>
          </w:tcPr>
          <w:p w14:paraId="1298C608" w14:textId="03A4B9F5"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Alta</w:t>
            </w:r>
          </w:p>
        </w:tc>
      </w:tr>
      <w:tr w:rsidR="004F2390" w14:paraId="159641C7" w14:textId="77777777" w:rsidTr="000F1CA2">
        <w:tc>
          <w:tcPr>
            <w:tcW w:w="2243" w:type="dxa"/>
            <w:vAlign w:val="center"/>
          </w:tcPr>
          <w:p w14:paraId="1F75CDDE" w14:textId="617E9C8E"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Adesão a ARP de outro órgão</w:t>
            </w:r>
          </w:p>
        </w:tc>
        <w:tc>
          <w:tcPr>
            <w:tcW w:w="2294" w:type="dxa"/>
            <w:vAlign w:val="center"/>
          </w:tcPr>
          <w:p w14:paraId="05678608" w14:textId="5148E866"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Média</w:t>
            </w:r>
          </w:p>
        </w:tc>
        <w:tc>
          <w:tcPr>
            <w:tcW w:w="1701" w:type="dxa"/>
            <w:vAlign w:val="center"/>
          </w:tcPr>
          <w:p w14:paraId="6F8DA636" w14:textId="750871B6"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Variável</w:t>
            </w:r>
          </w:p>
        </w:tc>
        <w:tc>
          <w:tcPr>
            <w:tcW w:w="1843" w:type="dxa"/>
            <w:vAlign w:val="center"/>
          </w:tcPr>
          <w:p w14:paraId="282E667F" w14:textId="5FFF3918"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Dependente da ata disponível</w:t>
            </w:r>
          </w:p>
        </w:tc>
        <w:tc>
          <w:tcPr>
            <w:tcW w:w="1411" w:type="dxa"/>
            <w:vAlign w:val="center"/>
          </w:tcPr>
          <w:p w14:paraId="171ED9CD" w14:textId="5D3E2FCC"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Média</w:t>
            </w:r>
          </w:p>
        </w:tc>
      </w:tr>
      <w:tr w:rsidR="004F2390" w14:paraId="086811AE" w14:textId="77777777" w:rsidTr="000F1CA2">
        <w:tc>
          <w:tcPr>
            <w:tcW w:w="2243" w:type="dxa"/>
            <w:vAlign w:val="center"/>
          </w:tcPr>
          <w:p w14:paraId="40661A87" w14:textId="35BC9C65"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Substituição dos gêneros</w:t>
            </w:r>
          </w:p>
        </w:tc>
        <w:tc>
          <w:tcPr>
            <w:tcW w:w="2294" w:type="dxa"/>
            <w:vAlign w:val="center"/>
          </w:tcPr>
          <w:p w14:paraId="28147F77" w14:textId="1FC8AF20"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Baixa</w:t>
            </w:r>
          </w:p>
        </w:tc>
        <w:tc>
          <w:tcPr>
            <w:tcW w:w="1701" w:type="dxa"/>
            <w:vAlign w:val="center"/>
          </w:tcPr>
          <w:p w14:paraId="356ACA94" w14:textId="70F32FB2"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Variável</w:t>
            </w:r>
          </w:p>
        </w:tc>
        <w:tc>
          <w:tcPr>
            <w:tcW w:w="1843" w:type="dxa"/>
            <w:vAlign w:val="center"/>
          </w:tcPr>
          <w:p w14:paraId="5CEA5B24" w14:textId="3C79AE09"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Baixa</w:t>
            </w:r>
          </w:p>
        </w:tc>
        <w:tc>
          <w:tcPr>
            <w:tcW w:w="1411" w:type="dxa"/>
            <w:vAlign w:val="center"/>
          </w:tcPr>
          <w:p w14:paraId="25B769F1" w14:textId="2316582D" w:rsidR="004F2390" w:rsidRDefault="004F2390" w:rsidP="004F2390">
            <w:pPr>
              <w:spacing w:line="276" w:lineRule="auto"/>
              <w:jc w:val="center"/>
              <w:rPr>
                <w:rFonts w:ascii="Times New Roman" w:hAnsi="Times New Roman" w:cs="Times New Roman"/>
                <w:sz w:val="20"/>
                <w:szCs w:val="20"/>
              </w:rPr>
            </w:pPr>
            <w:r w:rsidRPr="007618D1">
              <w:rPr>
                <w:rFonts w:ascii="Times New Roman" w:hAnsi="Times New Roman" w:cs="Times New Roman"/>
                <w:sz w:val="20"/>
                <w:szCs w:val="20"/>
              </w:rPr>
              <w:t>Média</w:t>
            </w:r>
          </w:p>
        </w:tc>
      </w:tr>
    </w:tbl>
    <w:p w14:paraId="29B9AD53" w14:textId="24672C94" w:rsidR="007618D1" w:rsidRPr="007618D1" w:rsidRDefault="007618D1" w:rsidP="007618D1">
      <w:pPr>
        <w:spacing w:after="0" w:line="276" w:lineRule="auto"/>
        <w:ind w:firstLine="708"/>
        <w:jc w:val="both"/>
        <w:rPr>
          <w:rFonts w:ascii="Times New Roman" w:hAnsi="Times New Roman" w:cs="Times New Roman"/>
          <w:sz w:val="20"/>
          <w:szCs w:val="20"/>
        </w:rPr>
      </w:pPr>
      <w:r w:rsidRPr="007618D1">
        <w:rPr>
          <w:rFonts w:ascii="Times New Roman" w:hAnsi="Times New Roman" w:cs="Times New Roman"/>
          <w:sz w:val="20"/>
          <w:szCs w:val="20"/>
        </w:rPr>
        <w:t xml:space="preserve">Diante das alternativas analisadas, a </w:t>
      </w:r>
      <w:r w:rsidRPr="007618D1">
        <w:rPr>
          <w:rFonts w:ascii="Times New Roman" w:hAnsi="Times New Roman" w:cs="Times New Roman"/>
          <w:b/>
          <w:bCs/>
          <w:sz w:val="20"/>
          <w:szCs w:val="20"/>
        </w:rPr>
        <w:t>contratação direta por dispensa de licitação</w:t>
      </w:r>
      <w:r w:rsidRPr="007618D1">
        <w:rPr>
          <w:rFonts w:ascii="Times New Roman" w:hAnsi="Times New Roman" w:cs="Times New Roman"/>
          <w:sz w:val="20"/>
          <w:szCs w:val="20"/>
        </w:rPr>
        <w:t xml:space="preserve"> mostra-se adequada para o atendimento da necessidade, considerando que se pretende contratar exclusivamente os itens que permaneceram sem fornecedor após a realização de procedimento competitivo recente. A solução permite preservar as especificações, os quantitativos e as condições </w:t>
      </w:r>
      <w:r w:rsidR="006969F9">
        <w:rPr>
          <w:rFonts w:ascii="Times New Roman" w:hAnsi="Times New Roman" w:cs="Times New Roman"/>
          <w:sz w:val="20"/>
          <w:szCs w:val="20"/>
        </w:rPr>
        <w:t xml:space="preserve">definidas no edital originário </w:t>
      </w:r>
      <w:r w:rsidRPr="007618D1">
        <w:rPr>
          <w:rFonts w:ascii="Times New Roman" w:hAnsi="Times New Roman" w:cs="Times New Roman"/>
          <w:sz w:val="20"/>
          <w:szCs w:val="20"/>
        </w:rPr>
        <w:t xml:space="preserve">da </w:t>
      </w:r>
      <w:r w:rsidR="006969F9">
        <w:rPr>
          <w:rFonts w:ascii="Times New Roman" w:hAnsi="Times New Roman" w:cs="Times New Roman"/>
          <w:sz w:val="20"/>
          <w:szCs w:val="20"/>
        </w:rPr>
        <w:t xml:space="preserve">presente </w:t>
      </w:r>
      <w:r w:rsidRPr="007618D1">
        <w:rPr>
          <w:rFonts w:ascii="Times New Roman" w:hAnsi="Times New Roman" w:cs="Times New Roman"/>
          <w:sz w:val="20"/>
          <w:szCs w:val="20"/>
        </w:rPr>
        <w:t>aquisição, concentrando a nova instrução administrativa apenas na parcela da demanda ainda não atendida.</w:t>
      </w:r>
    </w:p>
    <w:p w14:paraId="533AFFA0" w14:textId="77777777" w:rsidR="007618D1" w:rsidRPr="007618D1" w:rsidRDefault="007618D1" w:rsidP="007618D1">
      <w:pPr>
        <w:spacing w:after="0" w:line="276" w:lineRule="auto"/>
        <w:ind w:firstLine="708"/>
        <w:jc w:val="both"/>
        <w:rPr>
          <w:rFonts w:ascii="Times New Roman" w:hAnsi="Times New Roman" w:cs="Times New Roman"/>
          <w:sz w:val="20"/>
          <w:szCs w:val="20"/>
        </w:rPr>
      </w:pPr>
      <w:r w:rsidRPr="007618D1">
        <w:rPr>
          <w:rFonts w:ascii="Times New Roman" w:hAnsi="Times New Roman" w:cs="Times New Roman"/>
          <w:sz w:val="20"/>
          <w:szCs w:val="20"/>
        </w:rPr>
        <w:t>Sob o aspecto econômico e operacional, a solução evita a repetição integral de um novo procedimento licitatório para quantidade reduzida de itens, sem afastar a necessidade de pesquisa de preços, demonstração da compatibilidade dos valores com o mercado e seleção da proposta mais vantajosa. Dessa forma, a contratação direta apresenta-se como solução compatível com a necessidade administrativa, permitindo complementar o fornecimento da merenda escolar com maior racionalidade e eficiência.</w:t>
      </w:r>
    </w:p>
    <w:p w14:paraId="5BB681EB" w14:textId="77777777" w:rsidR="00061A24" w:rsidRPr="00061A24" w:rsidRDefault="00061A24" w:rsidP="00061A24">
      <w:pPr>
        <w:spacing w:after="0" w:line="276" w:lineRule="auto"/>
        <w:jc w:val="both"/>
        <w:rPr>
          <w:rFonts w:ascii="Times New Roman" w:hAnsi="Times New Roman" w:cs="Times New Roman"/>
          <w:b/>
          <w:bCs/>
          <w:sz w:val="20"/>
          <w:szCs w:val="20"/>
        </w:rPr>
      </w:pPr>
    </w:p>
    <w:p w14:paraId="462D32F6" w14:textId="26875510"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B6AC8CE"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A estimativa do valor da contratação foi elaborada em observância ao art. 23 da Lei Federal nº 14.133/2021, segundo o qual o valor previamente estimado deverá ser compatível com os preços praticados pelo mercado, consideradas as referências disponíveis, as quantidades pretendidas, a potencial economia de escala e as peculiaridades do local e das condições de execução do objeto. Para aquisição de bens e contratação de serviços em geral, o §1º do referido dispositivo admite a utilização, de forma combinada ou não, de diferentes parâmetros de pesquisa, entre eles preços obtidos em contratações públicas similares, sistemas e bases públicas de preços, sítios eletrônicos especializados ou de domínio amplo e pesquisa direta junto a fornecedores.</w:t>
      </w:r>
    </w:p>
    <w:p w14:paraId="4AA670DC" w14:textId="76EFF9A8"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A pesquisa foi realizada especificamente para os gêneros alimentícios objeto da presente contratação, no período compreendido entre 23 de setembro e 13 de outubro de 2026, reunindo referências provenientes de contratações públicas, mercado eletrônico, propostas diretamente obtidas junto a fornecedores e referências históricas constantes do procedimento originário. A utilização conjugada dessas fontes mostrou-se adequada às particularidades dos produtos pesquisados, alguns dos quais possuem composição, apresentação comercial e condições de fornecimento específicas, reduzindo a disponibilidade de referências públicas integralmente coincidentes.</w:t>
      </w:r>
    </w:p>
    <w:p w14:paraId="6E4482A8"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A plataforma Banco de Preços foi utilizada como instrumento de consulta, organização e consolidação das referências. As diretrizes da Instrução Normativa SEGES/ME nº 65/2021 foram consideradas como parâmetro metodológico complementar, especialmente quanto à diversificação das fontes, análise crítica dos valores coletados e definição do método matemático, sem prejuízo da aplicação do art. 23 da Lei nº 14.133/2021 e da regulamentação municipal pertinente.</w:t>
      </w:r>
    </w:p>
    <w:p w14:paraId="555565F5"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Registra-se, ainda, que determinadas referências históricas do próprio Município foram inseridas manualmente na plataforma mediante utilização do CNPJ municipal, em razão de limitação operacional do sistema, que não dispõe de campo específico para cadastramento dessa natureza de preço. Tais registros não correspondem a propostas comerciais formuladas pelo Município, constituindo referências extraídas do procedimento licitatório originário, cuja origem documental permanece identificada nos autos. A classificação atribuída automaticamente pela ferramenta possui, portanto, caráter operacional, cabendo à Administração a análise material da pertinência de cada referência.</w:t>
      </w:r>
    </w:p>
    <w:p w14:paraId="48355CD1" w14:textId="14A772E8"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 xml:space="preserve">Considerando as características da contratação, adotou-se como metodologia de definição dos preços unitários referenciais o menor preço dentre as referências consideradas válidas para cada item, após análise crítica dos dados pesquisados. A opção mostra-se adequada por estabelecer parâmetro estimativo conservador para a Administração, reduzindo o risco de formação de orçamento superior às condições efetivamente identificadas no mercado, sem impedir que, na fase de contratação, sejam avaliadas as circunstâncias concretas da proposta, sua exequibilidade e a possibilidade de negociação para obtenção de condições ainda mais vantajosas. </w:t>
      </w:r>
    </w:p>
    <w:p w14:paraId="42369E95"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A adoção do menor preço não ocorreu de forma meramente automática. As referências foram previamente examinadas quanto à aderência ao objeto, atualidade e representatividade, sendo afastados do cálculo valores históricos que, confrontados com as demais referências contemporâneas e com o resultado do procedimento anterior, não se mostraram adequados para representar as atuais condições de fornecimento. Assim, a metodologia busca combinar prudência na formação do orçamento com análise crítica suficiente para evitar tanto a superestimação quanto a utilização de parâmetros artificialmente reduzidos.</w:t>
      </w:r>
    </w:p>
    <w:tbl>
      <w:tblPr>
        <w:tblStyle w:val="Tabelacomgrade"/>
        <w:tblW w:w="9130" w:type="dxa"/>
        <w:tblLook w:val="04A0" w:firstRow="1" w:lastRow="0" w:firstColumn="1" w:lastColumn="0" w:noHBand="0" w:noVBand="1"/>
      </w:tblPr>
      <w:tblGrid>
        <w:gridCol w:w="617"/>
        <w:gridCol w:w="3347"/>
        <w:gridCol w:w="993"/>
        <w:gridCol w:w="850"/>
        <w:gridCol w:w="1559"/>
        <w:gridCol w:w="1764"/>
      </w:tblGrid>
      <w:tr w:rsidR="004F2390" w14:paraId="50C68014" w14:textId="77777777" w:rsidTr="004F2390">
        <w:tc>
          <w:tcPr>
            <w:tcW w:w="617" w:type="dxa"/>
            <w:vAlign w:val="center"/>
          </w:tcPr>
          <w:p w14:paraId="64351E8C" w14:textId="2AF1687F" w:rsidR="004F2390" w:rsidRDefault="004F2390" w:rsidP="004F2390">
            <w:pPr>
              <w:spacing w:line="276" w:lineRule="auto"/>
              <w:jc w:val="center"/>
              <w:rPr>
                <w:rFonts w:ascii="Times New Roman" w:hAnsi="Times New Roman" w:cs="Times New Roman"/>
                <w:sz w:val="20"/>
                <w:szCs w:val="20"/>
              </w:rPr>
            </w:pPr>
            <w:r w:rsidRPr="00876FFB">
              <w:rPr>
                <w:rFonts w:ascii="Times New Roman" w:hAnsi="Times New Roman" w:cs="Times New Roman"/>
                <w:b/>
                <w:bCs/>
                <w:sz w:val="20"/>
                <w:szCs w:val="20"/>
              </w:rPr>
              <w:t>Item</w:t>
            </w:r>
          </w:p>
        </w:tc>
        <w:tc>
          <w:tcPr>
            <w:tcW w:w="3347" w:type="dxa"/>
            <w:vAlign w:val="center"/>
          </w:tcPr>
          <w:p w14:paraId="64E1CCD4" w14:textId="0A42A58F" w:rsidR="004F2390" w:rsidRDefault="004F2390" w:rsidP="004F2390">
            <w:pPr>
              <w:spacing w:line="276" w:lineRule="auto"/>
              <w:jc w:val="center"/>
              <w:rPr>
                <w:rFonts w:ascii="Times New Roman" w:hAnsi="Times New Roman" w:cs="Times New Roman"/>
                <w:sz w:val="20"/>
                <w:szCs w:val="20"/>
              </w:rPr>
            </w:pPr>
            <w:r w:rsidRPr="00876FFB">
              <w:rPr>
                <w:rFonts w:ascii="Times New Roman" w:hAnsi="Times New Roman" w:cs="Times New Roman"/>
                <w:b/>
                <w:bCs/>
                <w:sz w:val="20"/>
                <w:szCs w:val="20"/>
              </w:rPr>
              <w:t>Descrição resumida</w:t>
            </w:r>
          </w:p>
        </w:tc>
        <w:tc>
          <w:tcPr>
            <w:tcW w:w="993" w:type="dxa"/>
            <w:vAlign w:val="center"/>
          </w:tcPr>
          <w:p w14:paraId="457BD767" w14:textId="39D61520" w:rsidR="004F2390" w:rsidRDefault="004F2390" w:rsidP="004F2390">
            <w:pPr>
              <w:spacing w:line="276" w:lineRule="auto"/>
              <w:jc w:val="center"/>
              <w:rPr>
                <w:rFonts w:ascii="Times New Roman" w:hAnsi="Times New Roman" w:cs="Times New Roman"/>
                <w:sz w:val="20"/>
                <w:szCs w:val="20"/>
              </w:rPr>
            </w:pPr>
            <w:r w:rsidRPr="00876FFB">
              <w:rPr>
                <w:rFonts w:ascii="Times New Roman" w:hAnsi="Times New Roman" w:cs="Times New Roman"/>
                <w:b/>
                <w:bCs/>
                <w:sz w:val="20"/>
                <w:szCs w:val="20"/>
              </w:rPr>
              <w:t>Unidade</w:t>
            </w:r>
          </w:p>
        </w:tc>
        <w:tc>
          <w:tcPr>
            <w:tcW w:w="850" w:type="dxa"/>
            <w:vAlign w:val="center"/>
          </w:tcPr>
          <w:p w14:paraId="3B0363F5" w14:textId="74DCF387" w:rsidR="004F2390" w:rsidRDefault="004F2390" w:rsidP="004F2390">
            <w:pPr>
              <w:spacing w:line="276" w:lineRule="auto"/>
              <w:jc w:val="center"/>
              <w:rPr>
                <w:rFonts w:ascii="Times New Roman" w:hAnsi="Times New Roman" w:cs="Times New Roman"/>
                <w:sz w:val="20"/>
                <w:szCs w:val="20"/>
              </w:rPr>
            </w:pPr>
            <w:r w:rsidRPr="00876FFB">
              <w:rPr>
                <w:rFonts w:ascii="Times New Roman" w:hAnsi="Times New Roman" w:cs="Times New Roman"/>
                <w:b/>
                <w:bCs/>
                <w:sz w:val="20"/>
                <w:szCs w:val="20"/>
              </w:rPr>
              <w:t>Quant</w:t>
            </w:r>
            <w:r>
              <w:rPr>
                <w:rFonts w:ascii="Times New Roman" w:hAnsi="Times New Roman" w:cs="Times New Roman"/>
                <w:b/>
                <w:bCs/>
                <w:sz w:val="20"/>
                <w:szCs w:val="20"/>
              </w:rPr>
              <w:t>.</w:t>
            </w:r>
          </w:p>
        </w:tc>
        <w:tc>
          <w:tcPr>
            <w:tcW w:w="1559" w:type="dxa"/>
            <w:vAlign w:val="center"/>
          </w:tcPr>
          <w:p w14:paraId="0C1E8A2B" w14:textId="2D51AEED" w:rsidR="004F2390" w:rsidRDefault="004F2390" w:rsidP="004F2390">
            <w:pPr>
              <w:spacing w:line="276" w:lineRule="auto"/>
              <w:jc w:val="center"/>
              <w:rPr>
                <w:rFonts w:ascii="Times New Roman" w:hAnsi="Times New Roman" w:cs="Times New Roman"/>
                <w:sz w:val="20"/>
                <w:szCs w:val="20"/>
              </w:rPr>
            </w:pPr>
            <w:r w:rsidRPr="00876FFB">
              <w:rPr>
                <w:rFonts w:ascii="Times New Roman" w:hAnsi="Times New Roman" w:cs="Times New Roman"/>
                <w:b/>
                <w:bCs/>
                <w:sz w:val="20"/>
                <w:szCs w:val="20"/>
              </w:rPr>
              <w:t>Valor unitário</w:t>
            </w:r>
          </w:p>
        </w:tc>
        <w:tc>
          <w:tcPr>
            <w:tcW w:w="1764" w:type="dxa"/>
            <w:vAlign w:val="center"/>
          </w:tcPr>
          <w:p w14:paraId="0AA75723" w14:textId="14D892F4" w:rsidR="004F2390" w:rsidRDefault="004F2390" w:rsidP="004F2390">
            <w:pPr>
              <w:spacing w:line="276" w:lineRule="auto"/>
              <w:jc w:val="center"/>
              <w:rPr>
                <w:rFonts w:ascii="Times New Roman" w:hAnsi="Times New Roman" w:cs="Times New Roman"/>
                <w:sz w:val="20"/>
                <w:szCs w:val="20"/>
              </w:rPr>
            </w:pPr>
            <w:r w:rsidRPr="00876FFB">
              <w:rPr>
                <w:rFonts w:ascii="Times New Roman" w:hAnsi="Times New Roman" w:cs="Times New Roman"/>
                <w:b/>
                <w:bCs/>
                <w:sz w:val="20"/>
                <w:szCs w:val="20"/>
              </w:rPr>
              <w:t>Valor total</w:t>
            </w:r>
          </w:p>
        </w:tc>
      </w:tr>
      <w:tr w:rsidR="00516253" w14:paraId="6194ABE1" w14:textId="77777777" w:rsidTr="004F2390">
        <w:tc>
          <w:tcPr>
            <w:tcW w:w="617" w:type="dxa"/>
            <w:vAlign w:val="center"/>
          </w:tcPr>
          <w:p w14:paraId="6A2C591A" w14:textId="24417DF9"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58</w:t>
            </w:r>
          </w:p>
        </w:tc>
        <w:tc>
          <w:tcPr>
            <w:tcW w:w="3347" w:type="dxa"/>
            <w:vAlign w:val="center"/>
          </w:tcPr>
          <w:p w14:paraId="4263327B" w14:textId="7F8A789E" w:rsidR="00516253" w:rsidRDefault="00516253" w:rsidP="00516253">
            <w:pPr>
              <w:spacing w:line="276" w:lineRule="auto"/>
              <w:jc w:val="both"/>
              <w:rPr>
                <w:rFonts w:ascii="Times New Roman" w:hAnsi="Times New Roman" w:cs="Times New Roman"/>
                <w:sz w:val="20"/>
                <w:szCs w:val="20"/>
              </w:rPr>
            </w:pPr>
            <w:r w:rsidRPr="00876FFB">
              <w:rPr>
                <w:rFonts w:ascii="Times New Roman" w:hAnsi="Times New Roman" w:cs="Times New Roman"/>
                <w:sz w:val="20"/>
                <w:szCs w:val="20"/>
              </w:rPr>
              <w:t>Extrato de soja integral em pó</w:t>
            </w:r>
          </w:p>
        </w:tc>
        <w:tc>
          <w:tcPr>
            <w:tcW w:w="993" w:type="dxa"/>
            <w:vAlign w:val="center"/>
          </w:tcPr>
          <w:p w14:paraId="72947212" w14:textId="7E424A51"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UN</w:t>
            </w:r>
          </w:p>
        </w:tc>
        <w:tc>
          <w:tcPr>
            <w:tcW w:w="850" w:type="dxa"/>
            <w:vAlign w:val="center"/>
          </w:tcPr>
          <w:p w14:paraId="43E91121" w14:textId="502A0E9E"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100</w:t>
            </w:r>
          </w:p>
        </w:tc>
        <w:tc>
          <w:tcPr>
            <w:tcW w:w="1559" w:type="dxa"/>
            <w:vAlign w:val="center"/>
          </w:tcPr>
          <w:p w14:paraId="5F42EABD" w14:textId="42295580"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R$ 17,90</w:t>
            </w:r>
          </w:p>
        </w:tc>
        <w:tc>
          <w:tcPr>
            <w:tcW w:w="1764" w:type="dxa"/>
            <w:vAlign w:val="center"/>
          </w:tcPr>
          <w:p w14:paraId="25344701" w14:textId="1527C28D"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R$ 1.790,00</w:t>
            </w:r>
          </w:p>
        </w:tc>
      </w:tr>
      <w:tr w:rsidR="00516253" w14:paraId="24418AD1" w14:textId="77777777" w:rsidTr="004F2390">
        <w:tc>
          <w:tcPr>
            <w:tcW w:w="617" w:type="dxa"/>
            <w:vAlign w:val="center"/>
          </w:tcPr>
          <w:p w14:paraId="1F92D19F" w14:textId="6524221D"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86</w:t>
            </w:r>
          </w:p>
        </w:tc>
        <w:tc>
          <w:tcPr>
            <w:tcW w:w="3347" w:type="dxa"/>
            <w:vAlign w:val="center"/>
          </w:tcPr>
          <w:p w14:paraId="5E809667" w14:textId="363DB25D" w:rsidR="00516253" w:rsidRDefault="00516253" w:rsidP="00516253">
            <w:pPr>
              <w:spacing w:line="276" w:lineRule="auto"/>
              <w:jc w:val="both"/>
              <w:rPr>
                <w:rFonts w:ascii="Times New Roman" w:hAnsi="Times New Roman" w:cs="Times New Roman"/>
                <w:sz w:val="20"/>
                <w:szCs w:val="20"/>
              </w:rPr>
            </w:pPr>
            <w:r w:rsidRPr="00876FFB">
              <w:rPr>
                <w:rFonts w:ascii="Times New Roman" w:hAnsi="Times New Roman" w:cs="Times New Roman"/>
                <w:sz w:val="20"/>
                <w:szCs w:val="20"/>
              </w:rPr>
              <w:t>Bebida de soja UHT</w:t>
            </w:r>
          </w:p>
        </w:tc>
        <w:tc>
          <w:tcPr>
            <w:tcW w:w="993" w:type="dxa"/>
            <w:vAlign w:val="center"/>
          </w:tcPr>
          <w:p w14:paraId="0616DEDD" w14:textId="77F06EFA"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L</w:t>
            </w:r>
          </w:p>
        </w:tc>
        <w:tc>
          <w:tcPr>
            <w:tcW w:w="850" w:type="dxa"/>
            <w:vAlign w:val="center"/>
          </w:tcPr>
          <w:p w14:paraId="367077E9" w14:textId="5DDE5AD0"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1.000</w:t>
            </w:r>
          </w:p>
        </w:tc>
        <w:tc>
          <w:tcPr>
            <w:tcW w:w="1559" w:type="dxa"/>
            <w:vAlign w:val="center"/>
          </w:tcPr>
          <w:p w14:paraId="13B50542" w14:textId="32F8BC91"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R$ 14,99</w:t>
            </w:r>
          </w:p>
        </w:tc>
        <w:tc>
          <w:tcPr>
            <w:tcW w:w="1764" w:type="dxa"/>
            <w:vAlign w:val="center"/>
          </w:tcPr>
          <w:p w14:paraId="22975FC3" w14:textId="04839C58"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R$ 14.990,00</w:t>
            </w:r>
          </w:p>
        </w:tc>
      </w:tr>
      <w:tr w:rsidR="00516253" w14:paraId="28838DBF" w14:textId="77777777" w:rsidTr="004F2390">
        <w:tc>
          <w:tcPr>
            <w:tcW w:w="617" w:type="dxa"/>
            <w:vAlign w:val="center"/>
          </w:tcPr>
          <w:p w14:paraId="017738A4" w14:textId="7333EB71"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119</w:t>
            </w:r>
          </w:p>
        </w:tc>
        <w:tc>
          <w:tcPr>
            <w:tcW w:w="3347" w:type="dxa"/>
            <w:vAlign w:val="center"/>
          </w:tcPr>
          <w:p w14:paraId="55C48E58" w14:textId="29DC4BEF" w:rsidR="00516253" w:rsidRDefault="00516253" w:rsidP="00516253">
            <w:pPr>
              <w:spacing w:line="276" w:lineRule="auto"/>
              <w:jc w:val="both"/>
              <w:rPr>
                <w:rFonts w:ascii="Times New Roman" w:hAnsi="Times New Roman" w:cs="Times New Roman"/>
                <w:sz w:val="20"/>
                <w:szCs w:val="20"/>
              </w:rPr>
            </w:pPr>
            <w:r w:rsidRPr="00876FFB">
              <w:rPr>
                <w:rFonts w:ascii="Times New Roman" w:hAnsi="Times New Roman" w:cs="Times New Roman"/>
                <w:sz w:val="20"/>
                <w:szCs w:val="20"/>
              </w:rPr>
              <w:t>Pão francês</w:t>
            </w:r>
          </w:p>
        </w:tc>
        <w:tc>
          <w:tcPr>
            <w:tcW w:w="993" w:type="dxa"/>
            <w:vAlign w:val="center"/>
          </w:tcPr>
          <w:p w14:paraId="7095AA99" w14:textId="0359C94C"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UN</w:t>
            </w:r>
          </w:p>
        </w:tc>
        <w:tc>
          <w:tcPr>
            <w:tcW w:w="850" w:type="dxa"/>
            <w:vAlign w:val="center"/>
          </w:tcPr>
          <w:p w14:paraId="38BE92B7" w14:textId="268C284D"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5.500</w:t>
            </w:r>
          </w:p>
        </w:tc>
        <w:tc>
          <w:tcPr>
            <w:tcW w:w="1559" w:type="dxa"/>
            <w:vAlign w:val="center"/>
          </w:tcPr>
          <w:p w14:paraId="020F35F3" w14:textId="662029EB"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R$ 12,50</w:t>
            </w:r>
          </w:p>
        </w:tc>
        <w:tc>
          <w:tcPr>
            <w:tcW w:w="1764" w:type="dxa"/>
            <w:vAlign w:val="center"/>
          </w:tcPr>
          <w:p w14:paraId="1C9558FC" w14:textId="25CF422D"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R$ 68.750,00</w:t>
            </w:r>
          </w:p>
        </w:tc>
      </w:tr>
      <w:tr w:rsidR="00516253" w14:paraId="05F884CB" w14:textId="77777777" w:rsidTr="004F2390">
        <w:tc>
          <w:tcPr>
            <w:tcW w:w="617" w:type="dxa"/>
            <w:vAlign w:val="center"/>
          </w:tcPr>
          <w:p w14:paraId="59E1ACD4" w14:textId="54940914"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164</w:t>
            </w:r>
          </w:p>
        </w:tc>
        <w:tc>
          <w:tcPr>
            <w:tcW w:w="3347" w:type="dxa"/>
            <w:vAlign w:val="center"/>
          </w:tcPr>
          <w:p w14:paraId="41B0360E" w14:textId="4E2D37CE" w:rsidR="00516253" w:rsidRDefault="00516253" w:rsidP="00516253">
            <w:pPr>
              <w:spacing w:line="276" w:lineRule="auto"/>
              <w:jc w:val="both"/>
              <w:rPr>
                <w:rFonts w:ascii="Times New Roman" w:hAnsi="Times New Roman" w:cs="Times New Roman"/>
                <w:sz w:val="20"/>
                <w:szCs w:val="20"/>
              </w:rPr>
            </w:pPr>
            <w:r w:rsidRPr="00876FFB">
              <w:rPr>
                <w:rFonts w:ascii="Times New Roman" w:hAnsi="Times New Roman" w:cs="Times New Roman"/>
                <w:sz w:val="20"/>
                <w:szCs w:val="20"/>
              </w:rPr>
              <w:t>Bolacha salgada sem glúten e sem ovos</w:t>
            </w:r>
          </w:p>
        </w:tc>
        <w:tc>
          <w:tcPr>
            <w:tcW w:w="993" w:type="dxa"/>
            <w:vAlign w:val="center"/>
          </w:tcPr>
          <w:p w14:paraId="2016864A" w14:textId="37C2B71F"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UN</w:t>
            </w:r>
          </w:p>
        </w:tc>
        <w:tc>
          <w:tcPr>
            <w:tcW w:w="850" w:type="dxa"/>
            <w:vAlign w:val="center"/>
          </w:tcPr>
          <w:p w14:paraId="1B2A7823" w14:textId="43F7FF92"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150</w:t>
            </w:r>
          </w:p>
        </w:tc>
        <w:tc>
          <w:tcPr>
            <w:tcW w:w="1559" w:type="dxa"/>
            <w:vAlign w:val="center"/>
          </w:tcPr>
          <w:p w14:paraId="474F937B" w14:textId="466304B8"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R$ 29,99</w:t>
            </w:r>
          </w:p>
        </w:tc>
        <w:tc>
          <w:tcPr>
            <w:tcW w:w="1764" w:type="dxa"/>
            <w:vAlign w:val="center"/>
          </w:tcPr>
          <w:p w14:paraId="52D9BB6F" w14:textId="5398DF59"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R$ 4.498,50</w:t>
            </w:r>
          </w:p>
        </w:tc>
      </w:tr>
      <w:tr w:rsidR="00516253" w14:paraId="1653F18E" w14:textId="77777777" w:rsidTr="004F2390">
        <w:tc>
          <w:tcPr>
            <w:tcW w:w="617" w:type="dxa"/>
            <w:vAlign w:val="center"/>
          </w:tcPr>
          <w:p w14:paraId="2A0B0FB4" w14:textId="319A4CE9"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167</w:t>
            </w:r>
          </w:p>
        </w:tc>
        <w:tc>
          <w:tcPr>
            <w:tcW w:w="3347" w:type="dxa"/>
            <w:vAlign w:val="center"/>
          </w:tcPr>
          <w:p w14:paraId="05662976" w14:textId="07855DDD" w:rsidR="00516253" w:rsidRDefault="00516253" w:rsidP="00516253">
            <w:pPr>
              <w:spacing w:line="276" w:lineRule="auto"/>
              <w:jc w:val="both"/>
              <w:rPr>
                <w:rFonts w:ascii="Times New Roman" w:hAnsi="Times New Roman" w:cs="Times New Roman"/>
                <w:sz w:val="20"/>
                <w:szCs w:val="20"/>
              </w:rPr>
            </w:pPr>
            <w:r w:rsidRPr="00876FFB">
              <w:rPr>
                <w:rFonts w:ascii="Times New Roman" w:hAnsi="Times New Roman" w:cs="Times New Roman"/>
                <w:sz w:val="20"/>
                <w:szCs w:val="20"/>
              </w:rPr>
              <w:t xml:space="preserve">Tempero misto </w:t>
            </w:r>
            <w:r w:rsidRPr="00876FFB">
              <w:rPr>
                <w:rFonts w:ascii="Times New Roman" w:hAnsi="Times New Roman" w:cs="Times New Roman"/>
                <w:i/>
                <w:iCs/>
                <w:sz w:val="20"/>
                <w:szCs w:val="20"/>
              </w:rPr>
              <w:t>in natura</w:t>
            </w:r>
          </w:p>
        </w:tc>
        <w:tc>
          <w:tcPr>
            <w:tcW w:w="993" w:type="dxa"/>
            <w:vAlign w:val="center"/>
          </w:tcPr>
          <w:p w14:paraId="3B5148C4" w14:textId="226EAB3F"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U</w:t>
            </w:r>
            <w:r>
              <w:rPr>
                <w:rFonts w:ascii="Times New Roman" w:hAnsi="Times New Roman" w:cs="Times New Roman"/>
                <w:sz w:val="20"/>
                <w:szCs w:val="20"/>
              </w:rPr>
              <w:t>N</w:t>
            </w:r>
          </w:p>
        </w:tc>
        <w:tc>
          <w:tcPr>
            <w:tcW w:w="850" w:type="dxa"/>
            <w:vAlign w:val="center"/>
          </w:tcPr>
          <w:p w14:paraId="38616A2F" w14:textId="0AAC6010" w:rsidR="00516253" w:rsidRDefault="00516253" w:rsidP="00516253">
            <w:pPr>
              <w:spacing w:line="276" w:lineRule="auto"/>
              <w:jc w:val="center"/>
              <w:rPr>
                <w:rFonts w:ascii="Times New Roman" w:hAnsi="Times New Roman" w:cs="Times New Roman"/>
                <w:sz w:val="20"/>
                <w:szCs w:val="20"/>
              </w:rPr>
            </w:pPr>
            <w:r w:rsidRPr="00876FFB">
              <w:rPr>
                <w:rFonts w:ascii="Times New Roman" w:hAnsi="Times New Roman" w:cs="Times New Roman"/>
                <w:sz w:val="20"/>
                <w:szCs w:val="20"/>
              </w:rPr>
              <w:t>150</w:t>
            </w:r>
          </w:p>
        </w:tc>
        <w:tc>
          <w:tcPr>
            <w:tcW w:w="1559" w:type="dxa"/>
            <w:vAlign w:val="center"/>
          </w:tcPr>
          <w:p w14:paraId="0C3364E5" w14:textId="37FC29AC"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R$ 4,99</w:t>
            </w:r>
          </w:p>
        </w:tc>
        <w:tc>
          <w:tcPr>
            <w:tcW w:w="1764" w:type="dxa"/>
            <w:vAlign w:val="center"/>
          </w:tcPr>
          <w:p w14:paraId="2AB2542C" w14:textId="6B368668" w:rsidR="00516253" w:rsidRDefault="00516253" w:rsidP="00516253">
            <w:pPr>
              <w:spacing w:line="276" w:lineRule="auto"/>
              <w:jc w:val="center"/>
              <w:rPr>
                <w:rFonts w:ascii="Times New Roman" w:hAnsi="Times New Roman" w:cs="Times New Roman"/>
                <w:sz w:val="20"/>
                <w:szCs w:val="20"/>
              </w:rPr>
            </w:pPr>
            <w:r w:rsidRPr="00516253">
              <w:rPr>
                <w:rFonts w:ascii="Times New Roman" w:hAnsi="Times New Roman" w:cs="Times New Roman"/>
                <w:sz w:val="20"/>
                <w:szCs w:val="20"/>
              </w:rPr>
              <w:t>R$ 748,50</w:t>
            </w:r>
          </w:p>
        </w:tc>
      </w:tr>
      <w:tr w:rsidR="004F2390" w14:paraId="4D5D3BD3" w14:textId="77777777" w:rsidTr="004F2390">
        <w:tc>
          <w:tcPr>
            <w:tcW w:w="7366" w:type="dxa"/>
            <w:gridSpan w:val="5"/>
          </w:tcPr>
          <w:p w14:paraId="2ABB4F8E" w14:textId="75275284" w:rsidR="004F2390" w:rsidRPr="004F2390" w:rsidRDefault="004F2390" w:rsidP="00940E4A">
            <w:pPr>
              <w:spacing w:line="276" w:lineRule="auto"/>
              <w:jc w:val="center"/>
              <w:rPr>
                <w:rFonts w:ascii="Times New Roman" w:hAnsi="Times New Roman" w:cs="Times New Roman"/>
                <w:b/>
                <w:bCs/>
                <w:color w:val="EE0000"/>
                <w:sz w:val="20"/>
                <w:szCs w:val="20"/>
              </w:rPr>
            </w:pPr>
            <w:r w:rsidRPr="004F2390">
              <w:rPr>
                <w:rFonts w:ascii="Times New Roman" w:hAnsi="Times New Roman" w:cs="Times New Roman"/>
                <w:b/>
                <w:bCs/>
                <w:color w:val="000000" w:themeColor="text1"/>
                <w:sz w:val="20"/>
                <w:szCs w:val="20"/>
              </w:rPr>
              <w:t>VALOR GLOBAL ESTIMADO:</w:t>
            </w:r>
          </w:p>
        </w:tc>
        <w:tc>
          <w:tcPr>
            <w:tcW w:w="1764" w:type="dxa"/>
            <w:vAlign w:val="center"/>
          </w:tcPr>
          <w:p w14:paraId="6EE7CAD5" w14:textId="23D4D7C1" w:rsidR="004F2390" w:rsidRPr="00876FFB" w:rsidRDefault="00516253" w:rsidP="004F2390">
            <w:pPr>
              <w:spacing w:line="276" w:lineRule="auto"/>
              <w:jc w:val="center"/>
              <w:rPr>
                <w:rFonts w:ascii="Times New Roman" w:hAnsi="Times New Roman" w:cs="Times New Roman"/>
                <w:color w:val="EE0000"/>
                <w:sz w:val="20"/>
                <w:szCs w:val="20"/>
              </w:rPr>
            </w:pPr>
            <w:r w:rsidRPr="00516253">
              <w:rPr>
                <w:rFonts w:ascii="Times New Roman" w:hAnsi="Times New Roman" w:cs="Times New Roman"/>
                <w:b/>
                <w:bCs/>
                <w:sz w:val="20"/>
                <w:szCs w:val="20"/>
              </w:rPr>
              <w:t>R$ 90.777,00</w:t>
            </w:r>
          </w:p>
        </w:tc>
      </w:tr>
    </w:tbl>
    <w:p w14:paraId="32AC5868" w14:textId="77777777" w:rsidR="00516253" w:rsidRDefault="00516253" w:rsidP="00876FFB">
      <w:pPr>
        <w:spacing w:after="0" w:line="276" w:lineRule="auto"/>
        <w:ind w:firstLine="708"/>
        <w:jc w:val="both"/>
        <w:rPr>
          <w:rFonts w:ascii="Times New Roman" w:hAnsi="Times New Roman" w:cs="Times New Roman"/>
          <w:sz w:val="20"/>
          <w:szCs w:val="20"/>
        </w:rPr>
      </w:pPr>
    </w:p>
    <w:p w14:paraId="452018A7"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O valor global estimado corresponde, portanto, a R$ 90.747,00 (noventa mil, setecentos e quarenta e sete reais), conforme consolidado no Relatório Resumido de Cotação. 100119_Cotacao_26-10-13_10-32-32 A memória de cálculo resulta da multiplicação dos quantitativos máximos estimados pelos respectivos preços unitários referenciais, considerados os menores valores válidos selecionados para cada produto.</w:t>
      </w:r>
    </w:p>
    <w:p w14:paraId="7B5EA3BE"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Os quantitativos previstos possuem natureza estimativa e representam os limites máximos passíveis de aquisição durante o período de 12 (doze) meses. O fornecimento ocorrerá de forma eventual, parcelada e conforme a necessidade da Administração, mediante solicitações específicas, inexistindo obrigação de aquisição integral das quantidades previstas. Consequentemente, o valor global constitui projeção máxima da despesa caso todos os quantitativos venham a ser utilizados, e não compromisso de execução integral desse montante.</w:t>
      </w:r>
    </w:p>
    <w:p w14:paraId="78BCB17F"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Importa distinguir, ainda, a presente estimativa da despesa da futura justificativa do preço da contratação direta. Os valores apurados constituem parâmetros para instrução do procedimento, análise das propostas e aferição da vantajosidade, mas não afastam a necessidade de demonstração, nos termos do art. 72, inciso VII, da Lei nº 14.133/2021, de que os preços efetivamente ajustados com os fornecedores permanecem compatíveis com o mercado, inclusive mediante negociação quando possível e conveniente.</w:t>
      </w:r>
    </w:p>
    <w:p w14:paraId="79F2508A" w14:textId="77777777" w:rsidR="00527E16" w:rsidRPr="00527E16" w:rsidRDefault="00527E16" w:rsidP="00527E16">
      <w:pPr>
        <w:spacing w:after="0" w:line="276" w:lineRule="auto"/>
        <w:ind w:firstLine="708"/>
        <w:jc w:val="both"/>
        <w:rPr>
          <w:rFonts w:ascii="Times New Roman" w:hAnsi="Times New Roman" w:cs="Times New Roman"/>
          <w:sz w:val="20"/>
          <w:szCs w:val="20"/>
        </w:rPr>
      </w:pPr>
      <w:r w:rsidRPr="00527E16">
        <w:rPr>
          <w:rFonts w:ascii="Times New Roman" w:hAnsi="Times New Roman" w:cs="Times New Roman"/>
          <w:sz w:val="20"/>
          <w:szCs w:val="20"/>
        </w:rPr>
        <w:t>Por fim, não se identifica necessidade de atribuição de sigilo à estimativa. O Relatório de Cotação, o Relatório Resumido, as propostas comerciais, as referências provenientes de contratações públicas e comércio eletrônico, os documentos do procedimento originário e as justificativas de inclusão ou exclusão dos valores deverão permanecer juntados aos autos, assegurando a rastreabilidade da pesquisa, a motivação administrativa e a demonstração da compatibilidade dos preços utilizados.</w:t>
      </w:r>
    </w:p>
    <w:p w14:paraId="365E39EC" w14:textId="6C39858D" w:rsidR="004F2390" w:rsidRPr="00876FFB" w:rsidRDefault="004F2390" w:rsidP="00876FFB">
      <w:pPr>
        <w:spacing w:after="0" w:line="276" w:lineRule="auto"/>
        <w:ind w:firstLine="708"/>
        <w:jc w:val="both"/>
        <w:rPr>
          <w:rFonts w:ascii="Times New Roman" w:hAnsi="Times New Roman" w:cs="Times New Roman"/>
          <w:sz w:val="20"/>
          <w:szCs w:val="20"/>
        </w:rPr>
      </w:pPr>
    </w:p>
    <w:p w14:paraId="24A009D0" w14:textId="5B34D456"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VII - DESCRIÇÃO DA SOLUÇÃO COMO UM TODO, INCLUSIVE DAS EXIGÊNCIAS RELACIONADAS À MANUTENÇÃO E À ASSISTÊNCIA TÉCNICA, QUANDO FOR O CASO:</w:t>
      </w:r>
    </w:p>
    <w:p w14:paraId="22CCBFA1" w14:textId="77777777" w:rsidR="009B6B28" w:rsidRPr="009B6B28" w:rsidRDefault="009B6B28" w:rsidP="009B6B28">
      <w:pPr>
        <w:spacing w:after="0" w:line="276" w:lineRule="auto"/>
        <w:ind w:firstLine="709"/>
        <w:jc w:val="both"/>
        <w:rPr>
          <w:rFonts w:ascii="Times New Roman" w:hAnsi="Times New Roman" w:cs="Times New Roman"/>
          <w:sz w:val="20"/>
          <w:szCs w:val="20"/>
        </w:rPr>
      </w:pPr>
      <w:r w:rsidRPr="009B6B28">
        <w:rPr>
          <w:rFonts w:ascii="Times New Roman" w:hAnsi="Times New Roman" w:cs="Times New Roman"/>
          <w:sz w:val="20"/>
          <w:szCs w:val="20"/>
        </w:rPr>
        <w:t>A solução proposta consiste na aquisição dos gêneros alimentícios remanescentes do Pregão Eletrônico nº 013/2026, com preservação das especificações, quantitativos e demais condições aplicáveis definidas no procedimento originário. Propõe-se a adoção da sistemática de Registro de Preços, em consonância com o modelo adotado na contratação originária, condicionada à confirmação de sua viabilidade jurídica no âmbito da contratação direta. A sistemática mostra-se adequada à natureza da demanda, uma vez que possibilita a realização de contratações futuras, eventuais e parceladas, conforme as necessidades efetivamente verificadas pela Administração ao longo do período de vigência, sem imposição de aquisição imediata ou integral dos quantitativos estimados.</w:t>
      </w:r>
    </w:p>
    <w:p w14:paraId="45A7CAF1" w14:textId="51494B2E" w:rsidR="00BD7F2B" w:rsidRPr="009B6B28" w:rsidRDefault="009B6B28" w:rsidP="00BD7F2B">
      <w:pPr>
        <w:spacing w:after="0" w:line="276" w:lineRule="auto"/>
        <w:ind w:firstLine="709"/>
        <w:jc w:val="both"/>
        <w:rPr>
          <w:rFonts w:ascii="Times New Roman" w:hAnsi="Times New Roman" w:cs="Times New Roman"/>
          <w:sz w:val="20"/>
          <w:szCs w:val="20"/>
        </w:rPr>
      </w:pPr>
      <w:r w:rsidRPr="009B6B28">
        <w:rPr>
          <w:rFonts w:ascii="Times New Roman" w:hAnsi="Times New Roman" w:cs="Times New Roman"/>
          <w:sz w:val="20"/>
          <w:szCs w:val="20"/>
        </w:rPr>
        <w:t xml:space="preserve">Os quantitativos previstos funcionarão como limites máximos estimados, não constituindo obrigação de aquisição integral pela Administração nem assegurando ao fornecedor quantitativo mínimo de fornecimento. </w:t>
      </w:r>
      <w:r w:rsidR="00BD7F2B" w:rsidRPr="009B6B28">
        <w:rPr>
          <w:rFonts w:ascii="Times New Roman" w:hAnsi="Times New Roman" w:cs="Times New Roman"/>
          <w:sz w:val="20"/>
          <w:szCs w:val="20"/>
        </w:rPr>
        <w:t xml:space="preserve">As aquisições serão realizadas conforme a demanda da Secretaria Municipal de Educação e Desenvolvimento Humano, mediante solicitação específica, observados o consumo das unidades escolares, a execução dos cardápios, a capacidade de armazenamento, os prazos de validade dos produtos e a disponibilidade orçamentária e financeira. Essa sistemática preserva a lógica definida no Termo de Referência originário, segundo o qual os quantitativos estimados não geram obrigação de aquisição integral e os fornecimentos ocorrem de forma parcelada, conforme a demanda efetiva. </w:t>
      </w:r>
    </w:p>
    <w:p w14:paraId="512147EE" w14:textId="77777777" w:rsidR="00BD7F2B" w:rsidRPr="009B6B28" w:rsidRDefault="00BD7F2B" w:rsidP="00BD7F2B">
      <w:pPr>
        <w:spacing w:after="0" w:line="276" w:lineRule="auto"/>
        <w:ind w:firstLine="709"/>
        <w:jc w:val="both"/>
        <w:rPr>
          <w:rFonts w:ascii="Times New Roman" w:hAnsi="Times New Roman" w:cs="Times New Roman"/>
          <w:sz w:val="20"/>
          <w:szCs w:val="20"/>
        </w:rPr>
      </w:pPr>
      <w:r w:rsidRPr="009B6B28">
        <w:rPr>
          <w:rFonts w:ascii="Times New Roman" w:hAnsi="Times New Roman" w:cs="Times New Roman"/>
          <w:sz w:val="20"/>
          <w:szCs w:val="20"/>
        </w:rPr>
        <w:t>O fornecimento deverá observar integralmente as especificações técnicas e demais exigências estabelecidas no Estudo Técnico Preliminar, no Termo de Referência, no edital e nos demais documentos que instruíram o Pregão Eletrônico nº 013/2026, naquilo que forem aplicáveis aos itens objeto da presente contratação. Permanecem abrangidas, entre outras, as condições relativas à qualidade, embalagem, rotulagem, validade, acondicionamento, transporte, locais e prazos de entrega, recebimento, substituição de produtos em desconformidade e demais obrigações pertinentes.</w:t>
      </w:r>
    </w:p>
    <w:p w14:paraId="04D16123"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A execução ocorrerá de forma parcelada e sob demanda, cabendo ao fornecedor assegurar o transporte, o carregamento e o descarregamento dos produtos em condições adequadas de higiene, conservação e segurança, preservando sua integridade e qualidade até o efetivo recebimento pela Administração. Por ocasião da entrega, serão verificados os quantitativos solicitados, a conformidade com as especificações, as condições das embalagens, a rotulagem, os prazos de validade e o estado geral dos produtos, podendo ser recusados aqueles que apresentarem qualquer desconformidade, hipótese em que deverá ser promovida a respectiva substituição, sem ônus adicional ao Município.</w:t>
      </w:r>
    </w:p>
    <w:p w14:paraId="6F882FDD"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Por se tratar de bens de consumo, não se aplicam exigências de manutenção ou assistência técnica continuada, permanecendo, contudo, a responsabilidade do fornecedor pela qualidade, regularidade e conformidade dos produtos fornecidos. Dessa forma, a solução adotada concilia a dispensa de licitação com a utilização do Sistema de Registro de Preços, permitindo aquisições parceladas, proporcionais às necessidades efetivas da Administração e sem obrigação de consumo integral dos quantitativos registrados, preservadas as condições estabelecidas no procedimento licitatório originário.</w:t>
      </w:r>
    </w:p>
    <w:p w14:paraId="6819486A" w14:textId="77777777" w:rsidR="006C02C4" w:rsidRDefault="006C02C4" w:rsidP="0003147A">
      <w:pPr>
        <w:spacing w:after="0" w:line="276" w:lineRule="auto"/>
        <w:jc w:val="both"/>
        <w:rPr>
          <w:rFonts w:ascii="Times New Roman" w:hAnsi="Times New Roman" w:cs="Times New Roman"/>
          <w:sz w:val="20"/>
          <w:szCs w:val="20"/>
        </w:rPr>
      </w:pPr>
    </w:p>
    <w:p w14:paraId="1FF39C50" w14:textId="7BC24D38"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VIII - JUSTIFICATIVAS PARA O PARCELAMENTO OU NÃO DA CONTRATAÇÃO:</w:t>
      </w:r>
    </w:p>
    <w:p w14:paraId="62259646" w14:textId="77777777" w:rsid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 xml:space="preserve">O art. 40, inciso V, alínea “b”, da Lei Federal nº 14.133/2021 estabelece que o planejamento das compras deverá observar o princípio do parcelamento quando este se mostrar tecnicamente viável e economicamente vantajoso. O § 3º do mesmo dispositivo, porém, ressalva a adoção do parcelamento quando a economia de escala, a redução dos custos de gestão contratual ou a maior vantagem recomendarem a aquisição do item do mesmo fornecedor, quando o objeto configurar sistema único e integrado com risco de prejuízo ao conjunto ou quando a padronização ou escolha de marca conduzir a fornecedor exclusivo. </w:t>
      </w:r>
    </w:p>
    <w:p w14:paraId="7300E76D" w14:textId="6EB9414A"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 xml:space="preserve">No presente caso, a contratação será realizada com parcelamento por item, por se tratar de gêneros alimentícios autônomos, com características, unidades de fornecimento, formas de acondicionamento e mercados fornecedores distintos, inexistindo dependência técnica que imponha o fornecimento conjunto por uma única empresa. A contratação individualizada permite que cada produto seja fornecido pela empresa que apresente proposta compatível com as respectivas especificações e mais vantajosa para a Administração, ampliando as possibilidades de participação de fornecedores e evitando que eventual indisponibilidade de determinado gênero inviabilize a contratação dos demais. Essa sistemática mostra-se especialmente adequada diante da diversidade dos produtos abrangidos, que compreendem gêneros destinados a necessidades alimentares específicas, produtos de panificação e alimentos </w:t>
      </w:r>
      <w:r w:rsidRPr="00BD7F2B">
        <w:rPr>
          <w:rFonts w:ascii="Times New Roman" w:hAnsi="Times New Roman" w:cs="Times New Roman"/>
          <w:i/>
          <w:iCs/>
          <w:sz w:val="20"/>
          <w:szCs w:val="20"/>
        </w:rPr>
        <w:t>in natura</w:t>
      </w:r>
      <w:r w:rsidRPr="00BD7F2B">
        <w:rPr>
          <w:rFonts w:ascii="Times New Roman" w:hAnsi="Times New Roman" w:cs="Times New Roman"/>
          <w:sz w:val="20"/>
          <w:szCs w:val="20"/>
        </w:rPr>
        <w:t>.</w:t>
      </w:r>
    </w:p>
    <w:p w14:paraId="04BB3A6F"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Embora os produtos estejam reunidos em um único procedimento de contratação direta por dispensa de licitação, sua adjudicação e posterior registro ocorrerão de forma individualizada, permanecendo cada item autônomo quanto à especificação, ao quantitativo, ao preço e ao respectivo fornecedor. A utilização do Sistema de Registro de Preços não afasta essa lógica, uma vez que os quantitativos registrados possuem caráter estimativo e as aquisições ocorrerão de forma parcelada, conforme a necessidade efetiva da Administração.</w:t>
      </w:r>
    </w:p>
    <w:p w14:paraId="1DBD754A"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Dessa forma, o parcelamento por item mostra-se tecnicamente adequado e economicamente justificável, por favorecer a competitividade, ampliar as possibilidades de obtenção de melhores condições comerciais, reduzir riscos de desabastecimento e conferir maior flexibilidade à execução das aquisições, sem prejuízo da racionalização administrativa decorrente da reunião da demanda em um único procedimento.</w:t>
      </w:r>
    </w:p>
    <w:p w14:paraId="762DF8F1" w14:textId="77777777" w:rsidR="00092865" w:rsidRDefault="00092865" w:rsidP="0003147A">
      <w:pPr>
        <w:spacing w:after="0" w:line="276" w:lineRule="auto"/>
        <w:jc w:val="both"/>
        <w:rPr>
          <w:rFonts w:ascii="Times New Roman" w:hAnsi="Times New Roman" w:cs="Times New Roman"/>
          <w:sz w:val="20"/>
          <w:szCs w:val="20"/>
        </w:rPr>
      </w:pPr>
    </w:p>
    <w:p w14:paraId="714C1012" w14:textId="75BD31D7"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IX - DEMONSTRATIVO DOS RESULTADOS PRETENDIDOS EM TERMOS DE ECONOMICIDADE E DE MELHOR APROVEITAMENTO DOS RECURSOS HUMANOS, MATERIAIS E FINANCEIROS DISPONÍVEIS:</w:t>
      </w:r>
    </w:p>
    <w:p w14:paraId="251DA4F0"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A contratação pretende assegurar o atendimento da parcela da demanda de gêneros alimentícios que permaneceu sem fornecedor no procedimento licitatório originário, garantindo a continuidade do abastecimento da merenda escolar e a regular execução dos cardápios da Rede Municipal de Ensino. A solução permite concentrar a nova contratação exclusivamente nos produtos ainda pendentes, preservando o planejamento já realizado e evitando a repetição integral de procedimento para os demais gêneros que tiveram contratação regular.</w:t>
      </w:r>
    </w:p>
    <w:p w14:paraId="7D4D4301"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Sob o aspecto econômico, pretende-se obter preços compatíveis com os praticados no mercado, mediante adequada pesquisa de preços e seleção da proposta mais vantajosa para cada item. O parcelamento do objeto, aliado à utilização do Sistema de Registro de Preços, permite que a Administração mantenha os quantitativos como limites estimados e realize aquisições somente quando necessárias, evitando a imobilização desnecessária de recursos financeiros e a contratação de quantidades superiores à demanda efetivamente verificada.</w:t>
      </w:r>
    </w:p>
    <w:p w14:paraId="181089EE"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Quanto aos recursos materiais, o fornecimento parcelado e sob demanda possibilita maior compatibilidade entre as aquisições, o consumo das unidades escolares, a capacidade de armazenamento e os prazos de validade dos produtos, contribuindo para a redução de estoques excessivos, perdas por deterioração ou vencimento e desperdícios. A sistemática também favorece melhor aproveitamento dos espaços de armazenamento e maior controle sobre os quantitativos recebidos e utilizados.</w:t>
      </w:r>
    </w:p>
    <w:p w14:paraId="4D884002"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Em relação aos recursos humanos e administrativos, a concentração dos itens remanescentes em um único procedimento de contratação direta racionaliza as atividades de instrução, pesquisa de preços, formalização, gestão e fiscalização, permitindo que as equipes responsáveis direcionem seus esforços ao acompanhamento das aquisições efetivamente realizadas e à conferência da qualidade e conformidade dos produtos entregues. Pretende-se, assim, conciliar economicidade, flexibilidade operacional, eficiência administrativa e adequada aplicação dos recursos públicos, assegurando simultaneamente a continuidade e a regularidade da alimentação escolar.</w:t>
      </w:r>
    </w:p>
    <w:p w14:paraId="70DFA0DF" w14:textId="083FE361" w:rsidR="007031BA" w:rsidRPr="00E64C68" w:rsidRDefault="007031BA" w:rsidP="00E50A92">
      <w:pPr>
        <w:spacing w:after="0" w:line="276" w:lineRule="auto"/>
        <w:jc w:val="both"/>
        <w:rPr>
          <w:rFonts w:ascii="Times New Roman" w:hAnsi="Times New Roman" w:cs="Times New Roman"/>
          <w:sz w:val="20"/>
          <w:szCs w:val="20"/>
        </w:rPr>
      </w:pPr>
    </w:p>
    <w:p w14:paraId="4E22839B" w14:textId="4886CD48"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X - PROVIDÊNCIAS A SEREM ADOTADAS PELA ADMINISTRAÇÃO PREVIAMENTE À CELEBRAÇÃO DO CONTRATO, INCLUSIVE QUANTO À CAPACITAÇÃO DE SERVIDORES OU DE EMPREGADOS PARA FISCALIZAÇÃO E GESTÃO CONTRATUAL:</w:t>
      </w:r>
    </w:p>
    <w:p w14:paraId="726B2305" w14:textId="018CD7CF"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 xml:space="preserve">Previamente à formalização da contratação, a Administração deverá promover a adequada instrução do processo de contratação direta, observando, no que couber, os elementos previstos no art. 72 da Lei Federal nº 14.133/2021. Deverão integrar os autos o Documento de Formalização de Demanda, o presente Estudo Técnico Preliminar, a estimativa da despesa, a demonstração da compatibilidade da previsão de recursos orçamentários, a comprovação das condições de habilitação e qualificação dos futuros contratados, a razão da escolha dos fornecedores, a justificativa dos preços, a manifestação jurídica e a autorização da autoridade competente, além de outros documentos técnicos que se mostrarem necessários à regular instrução do expediente. </w:t>
      </w:r>
    </w:p>
    <w:p w14:paraId="132B6B1C"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A pesquisa de preços deverá ser concluída de forma a demonstrar a compatibilidade dos valores pretendidos com aqueles praticados no mercado, servindo de fundamento tanto para a estimativa da contratação quanto para a posterior justificativa de preço. Do mesmo modo, deverão ser verificadas as condições de habilitação dos fornecedores e formalizadas as razões de sua escolha, considerando a seleção individualizada por item e a obtenção das condições mais vantajosas para a Administração.</w:t>
      </w:r>
    </w:p>
    <w:p w14:paraId="03B8C10E"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Não será elaborado novo Termo de Referência, em razão da dispensa admitida pelo Decreto Municipal nº 1.319/2024 para a situação em análise. A medida não prejudica a adequada caracterização do objeto, uma vez que a contratação preservará as condições definidas no Pregão Eletrônico nº 013/2026, permanecendo aplicáveis, no que couber, o Termo de Referência, o Estudo Técnico Preliminar, o edital e os demais documentos técnicos que instruíram o procedimento originário. O presente ETP complementa a instrução da contratação direta e demonstra a necessidade, a solução adotada e sua viabilidade.</w:t>
      </w:r>
    </w:p>
    <w:p w14:paraId="61D2EC2F"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Antes do início do fornecimento, deverão ser formalmente designados o gestor e o fiscal da contratação, bem como organizadas, juntamente com a Secretaria Municipal de Educação e Desenvolvimento Humano, as rotinas de solicitação, recebimento, conferência e acompanhamento das entregas. Os servidores envolvidos deverão ser orientados quanto à verificação dos quantitativos, especificações, qualidade, validade, integridade das embalagens, rotulagem, condições de conservação e demais exigências aplicáveis aos gêneros alimentícios.</w:t>
      </w:r>
    </w:p>
    <w:p w14:paraId="73BBA675"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Considerando a natureza do objeto e a experiência dos servidores que já atuam no acompanhamento da alimentação escolar, não se identifica, neste momento, necessidade de capacitação específica prévia, sem prejuízo de orientações complementares ou treinamento caso venham a ser considerados necessários. Cumpridas as etapas de instrução, inclusive a análise jurídica e a autorização da autoridade competente, o processo estará apto ao prosseguimento das providências destinadas à formalização da contratação direta e dos respectivos instrumentos decorrentes.</w:t>
      </w:r>
    </w:p>
    <w:p w14:paraId="1DBDBF32" w14:textId="00EDB91D" w:rsidR="006C02C4" w:rsidRDefault="006C02C4" w:rsidP="00BD7F2B">
      <w:pPr>
        <w:spacing w:after="0" w:line="276" w:lineRule="auto"/>
        <w:jc w:val="both"/>
        <w:rPr>
          <w:rFonts w:ascii="Times New Roman" w:hAnsi="Times New Roman" w:cs="Times New Roman"/>
          <w:sz w:val="20"/>
          <w:szCs w:val="20"/>
        </w:rPr>
      </w:pPr>
    </w:p>
    <w:p w14:paraId="610458D9" w14:textId="44590E8A"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XI - CONTRATAÇÕES CORRELATAS E/OU INTERDEPENDENTES:</w:t>
      </w:r>
    </w:p>
    <w:p w14:paraId="46868F89" w14:textId="0D7464AA" w:rsidR="004C534D" w:rsidRPr="004C534D" w:rsidRDefault="004C534D" w:rsidP="004C534D">
      <w:pPr>
        <w:spacing w:after="0" w:line="276" w:lineRule="auto"/>
        <w:ind w:firstLine="708"/>
        <w:jc w:val="both"/>
        <w:rPr>
          <w:rFonts w:ascii="Times New Roman" w:hAnsi="Times New Roman" w:cs="Times New Roman"/>
          <w:sz w:val="20"/>
          <w:szCs w:val="20"/>
        </w:rPr>
      </w:pPr>
      <w:r w:rsidRPr="004C534D">
        <w:rPr>
          <w:rFonts w:ascii="Times New Roman" w:hAnsi="Times New Roman" w:cs="Times New Roman"/>
          <w:sz w:val="20"/>
          <w:szCs w:val="20"/>
        </w:rPr>
        <w:t>Não foram identificadas contratações interdependentes indispensáveis à viabilização da presente aquisição. O Município já dispõe de estrutura administrativa e operacional para o recebimento, conferência, armazenamento e distribuição dos gêneros alimentícios às unidades escolares.</w:t>
      </w:r>
      <w:r w:rsidR="00BD7F2B">
        <w:rPr>
          <w:rFonts w:ascii="Times New Roman" w:hAnsi="Times New Roman" w:cs="Times New Roman"/>
          <w:sz w:val="20"/>
          <w:szCs w:val="20"/>
        </w:rPr>
        <w:t xml:space="preserve"> </w:t>
      </w:r>
      <w:r w:rsidRPr="004C534D">
        <w:rPr>
          <w:rFonts w:ascii="Times New Roman" w:hAnsi="Times New Roman" w:cs="Times New Roman"/>
          <w:sz w:val="20"/>
          <w:szCs w:val="20"/>
        </w:rPr>
        <w:t>A entrega dos produtos integrará as obrigações dos fornecedores contratados, não sendo necessária contratação específica de transporte. Eventuais outras necessidades relacionadas ao funcionamento da alimentação escolar possuem objetos próprios e, quando necessárias, deverão ser tratadas em processos administrativos específicos, sem condicionar a presente contratação.</w:t>
      </w:r>
    </w:p>
    <w:p w14:paraId="673EA554" w14:textId="1686A3A1" w:rsidR="007031BA" w:rsidRPr="00E64C68" w:rsidRDefault="007031BA" w:rsidP="000453C4">
      <w:pPr>
        <w:spacing w:after="0" w:line="276" w:lineRule="auto"/>
        <w:jc w:val="both"/>
        <w:rPr>
          <w:rFonts w:ascii="Times New Roman" w:hAnsi="Times New Roman" w:cs="Times New Roman"/>
          <w:sz w:val="20"/>
          <w:szCs w:val="20"/>
        </w:rPr>
      </w:pPr>
    </w:p>
    <w:p w14:paraId="43411044" w14:textId="0B99A5F3"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 xml:space="preserve">XII </w:t>
      </w:r>
      <w:r w:rsidR="00E7772C">
        <w:rPr>
          <w:rFonts w:ascii="Times New Roman" w:hAnsi="Times New Roman" w:cs="Times New Roman"/>
          <w:b/>
          <w:bCs/>
          <w:sz w:val="20"/>
          <w:szCs w:val="20"/>
        </w:rPr>
        <w:t>–</w:t>
      </w:r>
      <w:r w:rsidRPr="0008566E">
        <w:rPr>
          <w:rFonts w:ascii="Times New Roman" w:hAnsi="Times New Roman" w:cs="Times New Roman"/>
          <w:b/>
          <w:bCs/>
          <w:sz w:val="20"/>
          <w:szCs w:val="20"/>
        </w:rPr>
        <w:t xml:space="preserve"> DESCRIÇÃO DE POSSÍVEIS IMPACTOS AMBIENTAIS E RESPECTIVAS MEDIDAS MITIGADORAS, INCLUÍDOS REQUISITOS DE BAIXO CONSUMO DE ENERGIA E DE OUTROS RECURSOS, BEM COMO LOGÍSTICA REVERSA PARA DESFAZIMENTO E RECICLAGEM DE BENS E REFUGOS, QUANDO APLICÁVEL:</w:t>
      </w:r>
    </w:p>
    <w:p w14:paraId="6A5CC1D3" w14:textId="3EEC748B" w:rsidR="004C534D" w:rsidRPr="004C534D" w:rsidRDefault="004C534D" w:rsidP="004C534D">
      <w:pPr>
        <w:spacing w:after="0" w:line="276" w:lineRule="auto"/>
        <w:ind w:firstLine="709"/>
        <w:jc w:val="both"/>
        <w:rPr>
          <w:rFonts w:ascii="Times New Roman" w:hAnsi="Times New Roman" w:cs="Times New Roman"/>
          <w:sz w:val="20"/>
          <w:szCs w:val="20"/>
        </w:rPr>
      </w:pPr>
      <w:r w:rsidRPr="004C534D">
        <w:rPr>
          <w:rFonts w:ascii="Times New Roman" w:hAnsi="Times New Roman" w:cs="Times New Roman"/>
          <w:sz w:val="20"/>
          <w:szCs w:val="20"/>
        </w:rPr>
        <w:t>A aquisição e o fornecimento de gêneros alimentícios podem gerar impactos ambientais relacionados principalmente à produção de resíduos de embalagens, ao desperdício de alimentos, ao transporte dos produtos e ao consumo de recursos utilizados no armazenamento e conservação.</w:t>
      </w:r>
      <w:r w:rsidR="00BD7F2B">
        <w:rPr>
          <w:rFonts w:ascii="Times New Roman" w:hAnsi="Times New Roman" w:cs="Times New Roman"/>
          <w:sz w:val="20"/>
          <w:szCs w:val="20"/>
        </w:rPr>
        <w:t xml:space="preserve"> </w:t>
      </w:r>
      <w:r w:rsidRPr="004C534D">
        <w:rPr>
          <w:rFonts w:ascii="Times New Roman" w:hAnsi="Times New Roman" w:cs="Times New Roman"/>
          <w:sz w:val="20"/>
          <w:szCs w:val="20"/>
        </w:rPr>
        <w:t>Como medidas mitigadoras, o fornecimento deverá ocorrer de forma parcelada e compatível com a necessidade efetiva das unidades escolares, reduzindo o risco de perdas por vencimento, deterioração ou armazenamento excessivo. Os produtos deverão ser entregues em condições adequadas de conservação e acondicionamento, utilizando embalagens compatíveis com sua natureza e evitando danos que possam resultar em descarte prematuro.</w:t>
      </w:r>
    </w:p>
    <w:p w14:paraId="0384A9CD" w14:textId="77777777" w:rsidR="004C534D" w:rsidRPr="004C534D" w:rsidRDefault="004C534D" w:rsidP="004C534D">
      <w:pPr>
        <w:spacing w:after="0" w:line="276" w:lineRule="auto"/>
        <w:ind w:firstLine="709"/>
        <w:jc w:val="both"/>
        <w:rPr>
          <w:rFonts w:ascii="Times New Roman" w:hAnsi="Times New Roman" w:cs="Times New Roman"/>
          <w:sz w:val="20"/>
          <w:szCs w:val="20"/>
        </w:rPr>
      </w:pPr>
      <w:r w:rsidRPr="004C534D">
        <w:rPr>
          <w:rFonts w:ascii="Times New Roman" w:hAnsi="Times New Roman" w:cs="Times New Roman"/>
          <w:sz w:val="20"/>
          <w:szCs w:val="20"/>
        </w:rPr>
        <w:t>As embalagens e demais resíduos gerados deverão receber destinação adequada, com incentivo à separação e reciclagem sempre que tecnicamente possível. Também deverão ser adotadas práticas de uso racional de energia, água e demais recursos envolvidos no armazenamento, preparo e distribuição dos alimentos, sem prejuízo das condições necessárias à segurança alimentar e à qualidade dos produtos.</w:t>
      </w:r>
    </w:p>
    <w:p w14:paraId="02097B43" w14:textId="77777777" w:rsidR="00E50A92" w:rsidRPr="000453C4" w:rsidRDefault="00E50A92" w:rsidP="000453C4">
      <w:pPr>
        <w:spacing w:after="0" w:line="276" w:lineRule="auto"/>
        <w:ind w:firstLine="709"/>
        <w:jc w:val="both"/>
        <w:rPr>
          <w:rFonts w:ascii="Times New Roman" w:hAnsi="Times New Roman" w:cs="Times New Roman"/>
          <w:sz w:val="20"/>
          <w:szCs w:val="20"/>
        </w:rPr>
      </w:pPr>
    </w:p>
    <w:p w14:paraId="1E49B622" w14:textId="69F4089B" w:rsidR="0034208B" w:rsidRPr="0008566E" w:rsidRDefault="00B87DCB" w:rsidP="0003147A">
      <w:pPr>
        <w:spacing w:after="0" w:line="276" w:lineRule="auto"/>
        <w:jc w:val="both"/>
        <w:rPr>
          <w:rFonts w:ascii="Times New Roman" w:hAnsi="Times New Roman" w:cs="Times New Roman"/>
          <w:b/>
          <w:bCs/>
          <w:sz w:val="20"/>
          <w:szCs w:val="20"/>
        </w:rPr>
      </w:pPr>
      <w:r w:rsidRPr="0008566E">
        <w:rPr>
          <w:rFonts w:ascii="Times New Roman" w:hAnsi="Times New Roman" w:cs="Times New Roman"/>
          <w:b/>
          <w:bCs/>
          <w:sz w:val="20"/>
          <w:szCs w:val="20"/>
        </w:rPr>
        <w:t xml:space="preserve">XIII </w:t>
      </w:r>
      <w:r w:rsidR="00E7772C">
        <w:rPr>
          <w:rFonts w:ascii="Times New Roman" w:hAnsi="Times New Roman" w:cs="Times New Roman"/>
          <w:b/>
          <w:bCs/>
          <w:sz w:val="20"/>
          <w:szCs w:val="20"/>
        </w:rPr>
        <w:t>–</w:t>
      </w:r>
      <w:r w:rsidRPr="0008566E">
        <w:rPr>
          <w:rFonts w:ascii="Times New Roman" w:hAnsi="Times New Roman" w:cs="Times New Roman"/>
          <w:b/>
          <w:bCs/>
          <w:sz w:val="20"/>
          <w:szCs w:val="20"/>
        </w:rPr>
        <w:t xml:space="preserve"> POSICIONAMENTO CONCLUSIVO SOBRE A ADEQUAÇÃO DA CONTRATAÇÃO PARA O ATENDIMENTO DA NECESSIDADE A QUE SE DESTINA:</w:t>
      </w:r>
    </w:p>
    <w:p w14:paraId="2148D129" w14:textId="77777777" w:rsidR="0052484C"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A análise desenvolvida no presente Estudo Técnico Preliminar demonstra que a contratação pretendida é necessária, adequada e tecnicamente viável para suprir a parcela da demanda de gêneros alimentícios que permaneceu sem fornecedor no Pregão Eletrônico nº 013/2026, assegurando a continuidade e a regularidade do atendimento da merenda escolar da Rede Municipal de Ensino.</w:t>
      </w:r>
      <w:r>
        <w:rPr>
          <w:rFonts w:ascii="Times New Roman" w:hAnsi="Times New Roman" w:cs="Times New Roman"/>
          <w:sz w:val="20"/>
          <w:szCs w:val="20"/>
        </w:rPr>
        <w:t xml:space="preserve"> </w:t>
      </w:r>
    </w:p>
    <w:p w14:paraId="19476CA7" w14:textId="7D14C7FB"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A solução proposta preserva as especificações, os quantitativos e as demais condições estabelecidas no procedimento licitatório originário, adotando-se fornecimento parcelado e sob demanda, mediante Sistema de Registro de Preços, sem obrigação de aquisição integral dos quantitativos estimados. Tal sistemática mostra-se compatível com a natureza da demanda, permitindo maior controle das aquisições, redução de desperdícios, adequação dos estoques e utilização dos recursos públicos conforme a necessidade efetivamente verificada.</w:t>
      </w:r>
    </w:p>
    <w:p w14:paraId="641FF89D" w14:textId="77777777"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Sob os aspectos técnico, operacional, econômico e administrativo, declara-se a viabilidade da contratação, uma vez que a solução é apta a atender à necessidade identificada, possui objeto definido e disponível no mercado, permite seleção individualizada dos fornecedores e mantém as condições anteriormente submetidas à competição. A instrução será complementada pela pesquisa de preços, comprovação da habilitação, justificativa da escolha dos contratados e dos preços, disponibilidade orçamentária, autorização da autoridade competente e demais elementos exigidos para a contratação direta.</w:t>
      </w:r>
    </w:p>
    <w:p w14:paraId="399196D9" w14:textId="144B9759" w:rsidR="00BD7F2B" w:rsidRPr="00BD7F2B" w:rsidRDefault="00BD7F2B" w:rsidP="00BD7F2B">
      <w:pPr>
        <w:spacing w:after="0" w:line="276" w:lineRule="auto"/>
        <w:ind w:firstLine="709"/>
        <w:jc w:val="both"/>
        <w:rPr>
          <w:rFonts w:ascii="Times New Roman" w:hAnsi="Times New Roman" w:cs="Times New Roman"/>
          <w:sz w:val="20"/>
          <w:szCs w:val="20"/>
        </w:rPr>
      </w:pPr>
      <w:r w:rsidRPr="00BD7F2B">
        <w:rPr>
          <w:rFonts w:ascii="Times New Roman" w:hAnsi="Times New Roman" w:cs="Times New Roman"/>
          <w:sz w:val="20"/>
          <w:szCs w:val="20"/>
        </w:rPr>
        <w:t>Diante do conjunto dos elementos analisados, sugere-se o prosseguimento da contratação mediante dispensa de licitação, submetendo-se os autos à Assessoria Jurídica do Município para análise do enquadramento legal, da regularidade da instrução processual e da utilização do Sistema de Registro de Preços na forma proposta. Não será elaborado novo Termo de Referência, nos termos do Decreto Municipal nº 1.319/2024, permanecendo os documentos técnicos do Pregão Eletrônico nº 013/2026 como referência para a contratação, no que forem aplicáveis. Após a manifestação jurídica e o atendimento de eventuais recomendações, o expediente poderá prosseguir para sua formalização.</w:t>
      </w:r>
    </w:p>
    <w:p w14:paraId="3A62D691" w14:textId="77777777" w:rsidR="000911CF" w:rsidRPr="000911CF" w:rsidRDefault="000911CF" w:rsidP="000911CF">
      <w:pPr>
        <w:spacing w:after="0" w:line="276" w:lineRule="auto"/>
        <w:ind w:firstLine="708"/>
        <w:jc w:val="both"/>
        <w:rPr>
          <w:rFonts w:ascii="Times New Roman" w:hAnsi="Times New Roman" w:cs="Times New Roman"/>
          <w:vanish/>
          <w:sz w:val="20"/>
          <w:szCs w:val="20"/>
        </w:rPr>
      </w:pPr>
      <w:r w:rsidRPr="000911CF">
        <w:rPr>
          <w:rFonts w:ascii="Times New Roman" w:hAnsi="Times New Roman" w:cs="Times New Roman"/>
          <w:vanish/>
          <w:sz w:val="20"/>
          <w:szCs w:val="20"/>
        </w:rPr>
        <w:t>Parte superior do formulário</w:t>
      </w:r>
    </w:p>
    <w:p w14:paraId="7CCE5A27" w14:textId="77777777" w:rsidR="000911CF" w:rsidRPr="000911CF" w:rsidRDefault="000911CF" w:rsidP="000911CF">
      <w:pPr>
        <w:spacing w:after="0" w:line="276" w:lineRule="auto"/>
        <w:ind w:firstLine="708"/>
        <w:jc w:val="both"/>
        <w:rPr>
          <w:rFonts w:ascii="Times New Roman" w:hAnsi="Times New Roman" w:cs="Times New Roman"/>
          <w:vanish/>
          <w:sz w:val="20"/>
          <w:szCs w:val="20"/>
        </w:rPr>
      </w:pPr>
      <w:r w:rsidRPr="000911CF">
        <w:rPr>
          <w:rFonts w:ascii="Times New Roman" w:hAnsi="Times New Roman" w:cs="Times New Roman"/>
          <w:vanish/>
          <w:sz w:val="20"/>
          <w:szCs w:val="20"/>
        </w:rPr>
        <w:t>Parte inferior do formulário</w:t>
      </w:r>
    </w:p>
    <w:p w14:paraId="14F6F3E7" w14:textId="77777777" w:rsidR="007031BA" w:rsidRPr="00E64C68" w:rsidRDefault="007031BA" w:rsidP="0003147A">
      <w:pPr>
        <w:spacing w:after="0" w:line="276" w:lineRule="auto"/>
        <w:ind w:firstLine="708"/>
        <w:jc w:val="both"/>
        <w:rPr>
          <w:rFonts w:ascii="Times New Roman" w:hAnsi="Times New Roman" w:cs="Times New Roman"/>
          <w:sz w:val="20"/>
          <w:szCs w:val="20"/>
        </w:rPr>
      </w:pPr>
    </w:p>
    <w:p w14:paraId="2E73E8A7" w14:textId="3F00D921" w:rsidR="00E64C68" w:rsidRPr="0008566E" w:rsidRDefault="00E64C68" w:rsidP="0003147A">
      <w:pPr>
        <w:spacing w:after="0" w:line="276" w:lineRule="auto"/>
        <w:jc w:val="both"/>
        <w:rPr>
          <w:rFonts w:ascii="Times New Roman" w:eastAsia="Arial Unicode MS" w:hAnsi="Times New Roman" w:cs="Times New Roman"/>
          <w:b/>
          <w:sz w:val="20"/>
          <w:szCs w:val="20"/>
        </w:rPr>
      </w:pPr>
      <w:r w:rsidRPr="0008566E">
        <w:rPr>
          <w:rFonts w:ascii="Times New Roman" w:eastAsia="Arial Unicode MS" w:hAnsi="Times New Roman" w:cs="Times New Roman"/>
          <w:b/>
          <w:sz w:val="20"/>
          <w:szCs w:val="20"/>
        </w:rPr>
        <w:t xml:space="preserve">XIV – ANEXOS: </w:t>
      </w:r>
    </w:p>
    <w:p w14:paraId="7E3DE144" w14:textId="77777777" w:rsidR="001B40AE" w:rsidRDefault="00E64C68" w:rsidP="001B40AE">
      <w:pPr>
        <w:spacing w:after="0" w:line="276" w:lineRule="auto"/>
        <w:ind w:firstLine="708"/>
        <w:jc w:val="both"/>
        <w:rPr>
          <w:rFonts w:ascii="Times New Roman" w:eastAsia="Arial Unicode MS" w:hAnsi="Times New Roman" w:cs="Times New Roman"/>
          <w:sz w:val="20"/>
          <w:szCs w:val="20"/>
        </w:rPr>
      </w:pPr>
      <w:r w:rsidRPr="00E64C68">
        <w:rPr>
          <w:rFonts w:ascii="Times New Roman" w:eastAsia="Arial Unicode MS" w:hAnsi="Times New Roman" w:cs="Times New Roman"/>
          <w:sz w:val="20"/>
          <w:szCs w:val="20"/>
        </w:rPr>
        <w:t xml:space="preserve">Consta em anexos, </w:t>
      </w:r>
      <w:r w:rsidR="000D2529">
        <w:rPr>
          <w:rFonts w:ascii="Times New Roman" w:eastAsia="Arial Unicode MS" w:hAnsi="Times New Roman" w:cs="Times New Roman"/>
          <w:sz w:val="20"/>
          <w:szCs w:val="20"/>
        </w:rPr>
        <w:t>o orçamento</w:t>
      </w:r>
      <w:r w:rsidRPr="00E64C68">
        <w:rPr>
          <w:rFonts w:ascii="Times New Roman" w:eastAsia="Arial Unicode MS" w:hAnsi="Times New Roman" w:cs="Times New Roman"/>
          <w:sz w:val="20"/>
          <w:szCs w:val="20"/>
        </w:rPr>
        <w:t>,</w:t>
      </w:r>
      <w:r w:rsidR="000D2529">
        <w:rPr>
          <w:rFonts w:ascii="Times New Roman" w:eastAsia="Arial Unicode MS" w:hAnsi="Times New Roman" w:cs="Times New Roman"/>
          <w:sz w:val="20"/>
          <w:szCs w:val="20"/>
        </w:rPr>
        <w:t xml:space="preserve"> documentos relacionados a regularidade da empresa</w:t>
      </w:r>
      <w:r w:rsidRPr="00E64C68">
        <w:rPr>
          <w:rFonts w:ascii="Times New Roman" w:eastAsia="Arial Unicode MS" w:hAnsi="Times New Roman" w:cs="Times New Roman"/>
          <w:sz w:val="20"/>
          <w:szCs w:val="20"/>
        </w:rPr>
        <w:t xml:space="preserve"> para cumprimento da solução.</w:t>
      </w:r>
    </w:p>
    <w:p w14:paraId="4C9A5D9A" w14:textId="77777777" w:rsidR="001B40AE" w:rsidRDefault="001B40AE" w:rsidP="001B40AE">
      <w:pPr>
        <w:spacing w:after="0" w:line="276" w:lineRule="auto"/>
        <w:jc w:val="both"/>
        <w:rPr>
          <w:rFonts w:ascii="Times New Roman" w:eastAsia="Arial Unicode MS" w:hAnsi="Times New Roman" w:cs="Times New Roman"/>
          <w:sz w:val="20"/>
          <w:szCs w:val="20"/>
        </w:rPr>
      </w:pPr>
    </w:p>
    <w:p w14:paraId="5905BEA7" w14:textId="3B591036" w:rsidR="001B40AE" w:rsidRPr="006C4BB4" w:rsidRDefault="001B40AE" w:rsidP="001B40AE">
      <w:pPr>
        <w:spacing w:after="0" w:line="276" w:lineRule="auto"/>
        <w:jc w:val="both"/>
        <w:rPr>
          <w:rFonts w:ascii="Times New Roman" w:eastAsia="Arial Unicode MS" w:hAnsi="Times New Roman" w:cs="Times New Roman"/>
          <w:b/>
          <w:sz w:val="20"/>
          <w:szCs w:val="20"/>
        </w:rPr>
      </w:pPr>
      <w:r w:rsidRPr="0019752D">
        <w:rPr>
          <w:rFonts w:ascii="Times New Roman" w:eastAsia="Arial Unicode MS" w:hAnsi="Times New Roman" w:cs="Times New Roman"/>
          <w:b/>
          <w:sz w:val="20"/>
          <w:szCs w:val="20"/>
        </w:rPr>
        <w:t xml:space="preserve">XV – </w:t>
      </w:r>
      <w:r w:rsidRPr="006C4BB4">
        <w:rPr>
          <w:rFonts w:ascii="Times New Roman" w:eastAsia="Arial Unicode MS" w:hAnsi="Times New Roman" w:cs="Times New Roman"/>
          <w:b/>
          <w:sz w:val="20"/>
          <w:szCs w:val="20"/>
        </w:rPr>
        <w:t>RESPONSÁVEL: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2472"/>
        <w:gridCol w:w="3543"/>
        <w:gridCol w:w="1695"/>
      </w:tblGrid>
      <w:tr w:rsidR="00BD7F2B" w:rsidRPr="006C4BB4" w14:paraId="5A5E92FC" w14:textId="77777777" w:rsidTr="00BD7F2B">
        <w:tc>
          <w:tcPr>
            <w:tcW w:w="1351" w:type="dxa"/>
            <w:vMerge w:val="restart"/>
            <w:vAlign w:val="center"/>
          </w:tcPr>
          <w:p w14:paraId="0E1E4BDB" w14:textId="1CD1760A" w:rsidR="00BD7F2B" w:rsidRPr="00E7772C" w:rsidRDefault="00BD7F2B" w:rsidP="00CC7052">
            <w:pPr>
              <w:spacing w:after="0" w:line="276" w:lineRule="auto"/>
              <w:jc w:val="center"/>
              <w:rPr>
                <w:rFonts w:ascii="Times New Roman" w:eastAsia="Arial Unicode MS" w:hAnsi="Times New Roman" w:cs="Times New Roman"/>
                <w:b/>
                <w:bCs/>
                <w:sz w:val="20"/>
                <w:szCs w:val="20"/>
              </w:rPr>
            </w:pPr>
            <w:r w:rsidRPr="00E7772C">
              <w:rPr>
                <w:rFonts w:ascii="Times New Roman" w:eastAsia="Arial Unicode MS" w:hAnsi="Times New Roman" w:cs="Times New Roman"/>
                <w:b/>
                <w:bCs/>
                <w:sz w:val="20"/>
                <w:szCs w:val="20"/>
              </w:rPr>
              <w:t>Responsáve</w:t>
            </w:r>
            <w:r>
              <w:rPr>
                <w:rFonts w:ascii="Times New Roman" w:eastAsia="Arial Unicode MS" w:hAnsi="Times New Roman" w:cs="Times New Roman"/>
                <w:b/>
                <w:bCs/>
                <w:sz w:val="20"/>
                <w:szCs w:val="20"/>
              </w:rPr>
              <w:t>is</w:t>
            </w:r>
            <w:r w:rsidRPr="00E7772C">
              <w:rPr>
                <w:rFonts w:ascii="Times New Roman" w:eastAsia="Arial Unicode MS" w:hAnsi="Times New Roman" w:cs="Times New Roman"/>
                <w:b/>
                <w:bCs/>
                <w:sz w:val="20"/>
                <w:szCs w:val="20"/>
              </w:rPr>
              <w:t xml:space="preserve"> pelo Estudo:</w:t>
            </w:r>
          </w:p>
        </w:tc>
        <w:tc>
          <w:tcPr>
            <w:tcW w:w="2472" w:type="dxa"/>
            <w:vAlign w:val="center"/>
          </w:tcPr>
          <w:p w14:paraId="3B50D9EA" w14:textId="11FF5CFC" w:rsidR="00BD7F2B" w:rsidRPr="006C4BB4" w:rsidRDefault="00BD7F2B" w:rsidP="00CC7052">
            <w:pPr>
              <w:spacing w:after="0" w:line="276" w:lineRule="auto"/>
              <w:rPr>
                <w:rFonts w:ascii="Times New Roman" w:eastAsia="Arial Unicode MS" w:hAnsi="Times New Roman" w:cs="Times New Roman"/>
                <w:sz w:val="20"/>
                <w:szCs w:val="20"/>
              </w:rPr>
            </w:pPr>
            <w:r>
              <w:rPr>
                <w:rFonts w:ascii="Times New Roman" w:eastAsia="Arial Unicode MS" w:hAnsi="Times New Roman" w:cs="Times New Roman"/>
                <w:sz w:val="20"/>
                <w:szCs w:val="20"/>
              </w:rPr>
              <w:t>Vanessa Becker de Vargas</w:t>
            </w:r>
          </w:p>
        </w:tc>
        <w:tc>
          <w:tcPr>
            <w:tcW w:w="3543" w:type="dxa"/>
            <w:vAlign w:val="center"/>
          </w:tcPr>
          <w:p w14:paraId="27C4B92E" w14:textId="1B059B20" w:rsidR="00BD7F2B" w:rsidRPr="006C4BB4" w:rsidRDefault="00BD7F2B" w:rsidP="000453C4">
            <w:pPr>
              <w:spacing w:after="0" w:line="276" w:lineRule="auto"/>
              <w:jc w:val="center"/>
              <w:rPr>
                <w:rFonts w:ascii="Times New Roman" w:eastAsia="Arial Unicode MS" w:hAnsi="Times New Roman" w:cs="Times New Roman"/>
                <w:sz w:val="20"/>
                <w:szCs w:val="20"/>
              </w:rPr>
            </w:pPr>
            <w:r>
              <w:rPr>
                <w:rFonts w:ascii="Times New Roman" w:eastAsia="Arial Unicode MS" w:hAnsi="Times New Roman" w:cs="Times New Roman"/>
                <w:sz w:val="20"/>
                <w:szCs w:val="20"/>
              </w:rPr>
              <w:t>Chefe de Gabinete</w:t>
            </w:r>
          </w:p>
        </w:tc>
        <w:tc>
          <w:tcPr>
            <w:tcW w:w="1695" w:type="dxa"/>
            <w:vAlign w:val="center"/>
          </w:tcPr>
          <w:p w14:paraId="4100E504" w14:textId="469BA6F4" w:rsidR="00BD7F2B" w:rsidRPr="006C4BB4" w:rsidRDefault="00BD7F2B" w:rsidP="00CC705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Matrícula:</w:t>
            </w:r>
            <w:r w:rsidRPr="006C4BB4">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2030</w:t>
            </w:r>
          </w:p>
        </w:tc>
      </w:tr>
      <w:tr w:rsidR="00BD7F2B" w:rsidRPr="006C4BB4" w14:paraId="2BABC239" w14:textId="77777777" w:rsidTr="00BD7F2B">
        <w:tc>
          <w:tcPr>
            <w:tcW w:w="1351" w:type="dxa"/>
            <w:vMerge/>
            <w:vAlign w:val="center"/>
          </w:tcPr>
          <w:p w14:paraId="7EABC49F" w14:textId="77777777" w:rsidR="00BD7F2B" w:rsidRPr="00E7772C" w:rsidRDefault="00BD7F2B" w:rsidP="00CC7052">
            <w:pPr>
              <w:spacing w:after="0" w:line="276" w:lineRule="auto"/>
              <w:jc w:val="center"/>
              <w:rPr>
                <w:rFonts w:ascii="Times New Roman" w:eastAsia="Arial Unicode MS" w:hAnsi="Times New Roman" w:cs="Times New Roman"/>
                <w:b/>
                <w:bCs/>
                <w:sz w:val="20"/>
                <w:szCs w:val="20"/>
              </w:rPr>
            </w:pPr>
          </w:p>
        </w:tc>
        <w:tc>
          <w:tcPr>
            <w:tcW w:w="2472" w:type="dxa"/>
            <w:vAlign w:val="center"/>
          </w:tcPr>
          <w:p w14:paraId="1EA306C4" w14:textId="4C5DC23E" w:rsidR="00BD7F2B" w:rsidRDefault="00BD7F2B" w:rsidP="00CC7052">
            <w:pPr>
              <w:spacing w:after="0" w:line="276" w:lineRule="auto"/>
              <w:rPr>
                <w:rFonts w:ascii="Times New Roman" w:eastAsia="Arial Unicode MS" w:hAnsi="Times New Roman" w:cs="Times New Roman"/>
                <w:sz w:val="20"/>
                <w:szCs w:val="20"/>
              </w:rPr>
            </w:pPr>
            <w:r>
              <w:rPr>
                <w:rFonts w:ascii="Times New Roman" w:eastAsia="Arial Unicode MS" w:hAnsi="Times New Roman" w:cs="Times New Roman"/>
                <w:sz w:val="20"/>
                <w:szCs w:val="20"/>
              </w:rPr>
              <w:t>Frederico da Silva Pacheco</w:t>
            </w:r>
          </w:p>
        </w:tc>
        <w:tc>
          <w:tcPr>
            <w:tcW w:w="3543" w:type="dxa"/>
            <w:vAlign w:val="center"/>
          </w:tcPr>
          <w:p w14:paraId="6F47628B" w14:textId="453B9E8B" w:rsidR="00BD7F2B" w:rsidRDefault="00BD7F2B" w:rsidP="000453C4">
            <w:pPr>
              <w:spacing w:after="0" w:line="276" w:lineRule="auto"/>
              <w:jc w:val="center"/>
              <w:rPr>
                <w:rFonts w:ascii="Times New Roman" w:eastAsia="Arial Unicode MS" w:hAnsi="Times New Roman" w:cs="Times New Roman"/>
                <w:sz w:val="20"/>
                <w:szCs w:val="20"/>
              </w:rPr>
            </w:pPr>
            <w:r>
              <w:rPr>
                <w:rFonts w:ascii="Times New Roman" w:eastAsia="Arial Unicode MS" w:hAnsi="Times New Roman" w:cs="Times New Roman"/>
                <w:sz w:val="20"/>
                <w:szCs w:val="20"/>
              </w:rPr>
              <w:t>Assessor do Departamento de Administração, Fazenda e Planejamento</w:t>
            </w:r>
          </w:p>
        </w:tc>
        <w:tc>
          <w:tcPr>
            <w:tcW w:w="1695" w:type="dxa"/>
            <w:vAlign w:val="center"/>
          </w:tcPr>
          <w:p w14:paraId="209C6A6E" w14:textId="15BDEC1C" w:rsidR="00BD7F2B" w:rsidRPr="006C4BB4" w:rsidRDefault="00BD7F2B" w:rsidP="00CC7052">
            <w:pPr>
              <w:spacing w:after="0" w:line="276" w:lineRule="auto"/>
              <w:jc w:val="center"/>
              <w:rPr>
                <w:rFonts w:ascii="Times New Roman" w:eastAsia="Arial Unicode MS" w:hAnsi="Times New Roman" w:cs="Times New Roman"/>
                <w:b/>
                <w:bCs/>
                <w:sz w:val="20"/>
                <w:szCs w:val="20"/>
              </w:rPr>
            </w:pPr>
            <w:r w:rsidRPr="006C4BB4">
              <w:rPr>
                <w:rFonts w:ascii="Times New Roman" w:eastAsia="Arial Unicode MS" w:hAnsi="Times New Roman" w:cs="Times New Roman"/>
                <w:b/>
                <w:bCs/>
                <w:sz w:val="20"/>
                <w:szCs w:val="20"/>
              </w:rPr>
              <w:t>Matrícula:</w:t>
            </w:r>
            <w:r w:rsidRPr="006C4BB4">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2026</w:t>
            </w:r>
          </w:p>
        </w:tc>
      </w:tr>
      <w:tr w:rsidR="001B40AE" w:rsidRPr="006C4BB4" w14:paraId="7E55AA5F" w14:textId="77777777" w:rsidTr="00BD7F2B">
        <w:trPr>
          <w:trHeight w:val="70"/>
        </w:trPr>
        <w:tc>
          <w:tcPr>
            <w:tcW w:w="3823" w:type="dxa"/>
            <w:gridSpan w:val="2"/>
            <w:vAlign w:val="center"/>
            <w:hideMark/>
          </w:tcPr>
          <w:p w14:paraId="7939A0CA" w14:textId="18E15B5B" w:rsidR="001B40AE" w:rsidRPr="006C4BB4" w:rsidRDefault="001B40AE" w:rsidP="000911CF">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E-mail:</w:t>
            </w:r>
            <w:r w:rsidRPr="006C4BB4">
              <w:rPr>
                <w:rFonts w:ascii="Times New Roman" w:eastAsia="Arial Unicode MS" w:hAnsi="Times New Roman" w:cs="Times New Roman"/>
                <w:sz w:val="20"/>
                <w:szCs w:val="20"/>
              </w:rPr>
              <w:t xml:space="preserve"> </w:t>
            </w:r>
            <w:r w:rsidR="000911CF">
              <w:rPr>
                <w:rFonts w:ascii="Times New Roman" w:eastAsia="Arial Unicode MS" w:hAnsi="Times New Roman" w:cs="Times New Roman"/>
                <w:sz w:val="20"/>
                <w:szCs w:val="20"/>
              </w:rPr>
              <w:t>gabinete</w:t>
            </w:r>
            <w:r w:rsidRPr="006C4BB4">
              <w:rPr>
                <w:rFonts w:ascii="Times New Roman" w:eastAsia="Arial Unicode MS" w:hAnsi="Times New Roman" w:cs="Times New Roman"/>
                <w:sz w:val="20"/>
                <w:szCs w:val="20"/>
              </w:rPr>
              <w:t>@paverama.rs.gov.br</w:t>
            </w:r>
          </w:p>
        </w:tc>
        <w:tc>
          <w:tcPr>
            <w:tcW w:w="5238" w:type="dxa"/>
            <w:gridSpan w:val="2"/>
            <w:vAlign w:val="center"/>
          </w:tcPr>
          <w:p w14:paraId="32DA5E05" w14:textId="77777777" w:rsidR="001B40AE" w:rsidRPr="006C4BB4" w:rsidRDefault="001B40AE" w:rsidP="00CC705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Fone:</w:t>
            </w:r>
            <w:r w:rsidRPr="006C4BB4">
              <w:rPr>
                <w:rFonts w:ascii="Times New Roman" w:eastAsia="Arial Unicode MS" w:hAnsi="Times New Roman" w:cs="Times New Roman"/>
                <w:sz w:val="20"/>
                <w:szCs w:val="20"/>
              </w:rPr>
              <w:t xml:space="preserve"> (51) 3761-1044</w:t>
            </w:r>
          </w:p>
        </w:tc>
      </w:tr>
    </w:tbl>
    <w:p w14:paraId="7F09C256" w14:textId="77777777" w:rsidR="001B40AE" w:rsidRDefault="001B40AE" w:rsidP="00E7772C">
      <w:pPr>
        <w:spacing w:after="0" w:line="276" w:lineRule="auto"/>
        <w:jc w:val="both"/>
        <w:rPr>
          <w:rFonts w:ascii="Times New Roman" w:eastAsia="Arial Unicode MS" w:hAnsi="Times New Roman" w:cs="Times New Roman"/>
          <w:sz w:val="20"/>
          <w:szCs w:val="20"/>
        </w:rPr>
      </w:pPr>
    </w:p>
    <w:p w14:paraId="7D76806F" w14:textId="77777777" w:rsidR="00940E4A" w:rsidRDefault="00940E4A" w:rsidP="00E7772C">
      <w:pPr>
        <w:spacing w:after="0" w:line="276" w:lineRule="auto"/>
        <w:jc w:val="both"/>
        <w:rPr>
          <w:rFonts w:ascii="Times New Roman" w:eastAsia="Arial Unicode MS" w:hAnsi="Times New Roman" w:cs="Times New Roman"/>
          <w:sz w:val="20"/>
          <w:szCs w:val="20"/>
        </w:rPr>
      </w:pPr>
    </w:p>
    <w:p w14:paraId="596D0783" w14:textId="22A22CDF" w:rsidR="00940E4A" w:rsidRDefault="00940E4A" w:rsidP="00940E4A">
      <w:pPr>
        <w:spacing w:after="0" w:line="276" w:lineRule="auto"/>
        <w:jc w:val="center"/>
        <w:rPr>
          <w:rFonts w:ascii="Times New Roman" w:eastAsia="Arial Unicode MS" w:hAnsi="Times New Roman" w:cs="Times New Roman"/>
          <w:sz w:val="20"/>
          <w:szCs w:val="20"/>
        </w:rPr>
      </w:pPr>
      <w:r w:rsidRPr="00940E4A">
        <w:rPr>
          <w:rFonts w:ascii="Times New Roman" w:eastAsia="Arial Unicode MS" w:hAnsi="Times New Roman" w:cs="Times New Roman"/>
          <w:sz w:val="20"/>
          <w:szCs w:val="20"/>
        </w:rPr>
        <w:t>Paverama/RS, 13 de outubro de 2026.</w:t>
      </w:r>
    </w:p>
    <w:p w14:paraId="7C853E59" w14:textId="77777777" w:rsidR="00940E4A" w:rsidRDefault="00940E4A" w:rsidP="00940E4A">
      <w:pPr>
        <w:spacing w:after="0" w:line="276" w:lineRule="auto"/>
        <w:jc w:val="center"/>
        <w:rPr>
          <w:rFonts w:ascii="Times New Roman" w:eastAsia="Arial Unicode MS" w:hAnsi="Times New Roman" w:cs="Times New Roman"/>
          <w:sz w:val="20"/>
          <w:szCs w:val="20"/>
        </w:rPr>
      </w:pPr>
    </w:p>
    <w:p w14:paraId="4050774F" w14:textId="77777777" w:rsidR="00940E4A" w:rsidRDefault="00940E4A" w:rsidP="00940E4A">
      <w:pPr>
        <w:spacing w:after="0" w:line="276" w:lineRule="auto"/>
        <w:jc w:val="center"/>
        <w:rPr>
          <w:rFonts w:ascii="Times New Roman" w:eastAsia="Arial Unicode MS" w:hAnsi="Times New Roman" w:cs="Times New Roman"/>
          <w:sz w:val="20"/>
          <w:szCs w:val="20"/>
        </w:rPr>
      </w:pPr>
    </w:p>
    <w:p w14:paraId="4DA67A47" w14:textId="77777777" w:rsidR="00940E4A" w:rsidRDefault="00940E4A" w:rsidP="00940E4A">
      <w:pPr>
        <w:spacing w:after="0" w:line="276" w:lineRule="auto"/>
        <w:jc w:val="center"/>
        <w:rPr>
          <w:rFonts w:ascii="Times New Roman" w:eastAsia="Arial Unicode MS" w:hAnsi="Times New Roman" w:cs="Times New Roman"/>
          <w:sz w:val="20"/>
          <w:szCs w:val="20"/>
        </w:rPr>
      </w:pPr>
    </w:p>
    <w:p w14:paraId="354DA301" w14:textId="7A306B1B" w:rsidR="00940E4A" w:rsidRPr="00940E4A" w:rsidRDefault="00940E4A" w:rsidP="00940E4A">
      <w:pPr>
        <w:spacing w:after="0" w:line="276" w:lineRule="auto"/>
        <w:jc w:val="center"/>
        <w:rPr>
          <w:rFonts w:ascii="Times New Roman" w:eastAsia="Arial Unicode MS" w:hAnsi="Times New Roman" w:cs="Times New Roman"/>
          <w:b/>
          <w:bCs/>
          <w:sz w:val="20"/>
          <w:szCs w:val="20"/>
        </w:rPr>
      </w:pPr>
      <w:r w:rsidRPr="00940E4A">
        <w:rPr>
          <w:rFonts w:ascii="Times New Roman" w:eastAsia="Arial Unicode MS" w:hAnsi="Times New Roman" w:cs="Times New Roman"/>
          <w:b/>
          <w:bCs/>
          <w:sz w:val="20"/>
          <w:szCs w:val="20"/>
        </w:rPr>
        <w:t>FREDERICO DA SILVA PACHECO</w:t>
      </w:r>
    </w:p>
    <w:p w14:paraId="0E1E85F0" w14:textId="77777777" w:rsidR="00940E4A" w:rsidRDefault="00940E4A" w:rsidP="00940E4A">
      <w:pPr>
        <w:spacing w:after="0" w:line="276" w:lineRule="auto"/>
        <w:jc w:val="center"/>
        <w:rPr>
          <w:rFonts w:ascii="Times New Roman" w:eastAsia="Arial Unicode MS" w:hAnsi="Times New Roman" w:cs="Times New Roman"/>
          <w:sz w:val="20"/>
          <w:szCs w:val="20"/>
        </w:rPr>
      </w:pPr>
      <w:r w:rsidRPr="00940E4A">
        <w:rPr>
          <w:rFonts w:ascii="Times New Roman" w:eastAsia="Arial Unicode MS" w:hAnsi="Times New Roman" w:cs="Times New Roman"/>
          <w:sz w:val="20"/>
          <w:szCs w:val="20"/>
        </w:rPr>
        <w:t>Assessor do Departamento de Administração, Fazenda e Planejamento</w:t>
      </w:r>
    </w:p>
    <w:p w14:paraId="0F768C14" w14:textId="77777777" w:rsidR="00940E4A" w:rsidRDefault="00940E4A" w:rsidP="00940E4A">
      <w:pPr>
        <w:spacing w:after="0" w:line="276" w:lineRule="auto"/>
        <w:jc w:val="center"/>
        <w:rPr>
          <w:rFonts w:ascii="Times New Roman" w:eastAsia="Arial Unicode MS" w:hAnsi="Times New Roman" w:cs="Times New Roman"/>
          <w:sz w:val="20"/>
          <w:szCs w:val="20"/>
        </w:rPr>
      </w:pPr>
    </w:p>
    <w:p w14:paraId="3776066F" w14:textId="58CE8EBA" w:rsidR="00940E4A" w:rsidRDefault="00940E4A" w:rsidP="00940E4A">
      <w:pPr>
        <w:spacing w:after="0" w:line="276" w:lineRule="auto"/>
        <w:jc w:val="center"/>
        <w:rPr>
          <w:rFonts w:ascii="Times New Roman" w:eastAsia="Arial Unicode MS" w:hAnsi="Times New Roman" w:cs="Times New Roman"/>
          <w:sz w:val="20"/>
          <w:szCs w:val="20"/>
        </w:rPr>
        <w:sectPr w:rsidR="00940E4A" w:rsidSect="00805FDE">
          <w:headerReference w:type="default" r:id="rId8"/>
          <w:footerReference w:type="default" r:id="rId9"/>
          <w:pgSz w:w="11906" w:h="16838"/>
          <w:pgMar w:top="1985" w:right="991" w:bottom="1418" w:left="1701" w:header="709" w:footer="709" w:gutter="0"/>
          <w:cols w:space="708"/>
          <w:docGrid w:linePitch="360"/>
        </w:sectPr>
      </w:pPr>
    </w:p>
    <w:p w14:paraId="3D379382" w14:textId="77777777" w:rsidR="00E50A92" w:rsidRPr="006C4BB4" w:rsidRDefault="00E50A92" w:rsidP="00E50A92">
      <w:pPr>
        <w:spacing w:after="0" w:line="276" w:lineRule="auto"/>
        <w:ind w:firstLine="708"/>
        <w:jc w:val="both"/>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Realizadas as tarefas pertinentes ao ETP, encaminho o documento solicitando ciência e aprovação para posterior </w:t>
      </w:r>
      <w:r>
        <w:rPr>
          <w:rFonts w:ascii="Times New Roman" w:eastAsia="Arial Unicode MS" w:hAnsi="Times New Roman" w:cs="Times New Roman"/>
          <w:sz w:val="20"/>
          <w:szCs w:val="20"/>
        </w:rPr>
        <w:t>formalização da contratação</w:t>
      </w:r>
    </w:p>
    <w:p w14:paraId="74D57D5F" w14:textId="77777777" w:rsidR="00E50A92" w:rsidRDefault="00E50A92" w:rsidP="00E7772C">
      <w:pPr>
        <w:spacing w:after="0" w:line="276" w:lineRule="auto"/>
        <w:jc w:val="both"/>
        <w:rPr>
          <w:rFonts w:ascii="Times New Roman" w:eastAsia="Arial Unicode MS"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4"/>
      </w:tblGrid>
      <w:tr w:rsidR="001B40AE" w:rsidRPr="00B171E9" w14:paraId="0669CE13" w14:textId="77777777" w:rsidTr="00BD7F2B">
        <w:trPr>
          <w:trHeight w:val="56"/>
        </w:trPr>
        <w:tc>
          <w:tcPr>
            <w:tcW w:w="9211" w:type="dxa"/>
            <w:tcBorders>
              <w:top w:val="single" w:sz="4" w:space="0" w:color="000000"/>
              <w:left w:val="single" w:sz="4" w:space="0" w:color="000000"/>
              <w:bottom w:val="single" w:sz="4" w:space="0" w:color="000000"/>
              <w:right w:val="single" w:sz="4" w:space="0" w:color="000000"/>
            </w:tcBorders>
          </w:tcPr>
          <w:p w14:paraId="77E7174B" w14:textId="77777777" w:rsidR="001B40AE" w:rsidRDefault="001B40AE" w:rsidP="00CC7052">
            <w:pPr>
              <w:spacing w:after="0" w:line="360" w:lineRule="auto"/>
              <w:jc w:val="center"/>
              <w:rPr>
                <w:rFonts w:ascii="Times New Roman" w:eastAsia="Arial Unicode MS" w:hAnsi="Times New Roman" w:cs="Times New Roman"/>
                <w:b/>
                <w:bCs/>
                <w:sz w:val="20"/>
                <w:szCs w:val="20"/>
              </w:rPr>
            </w:pPr>
          </w:p>
          <w:p w14:paraId="4AA81F5B" w14:textId="3B531006" w:rsidR="000911CF" w:rsidRDefault="001B40AE" w:rsidP="000911CF">
            <w:pPr>
              <w:widowControl w:val="0"/>
              <w:spacing w:after="0" w:line="360" w:lineRule="auto"/>
              <w:jc w:val="center"/>
              <w:rPr>
                <w:rFonts w:ascii="Times New Roman" w:eastAsia="Arial Unicode MS" w:hAnsi="Times New Roman" w:cs="Times New Roman"/>
                <w:b/>
                <w:bCs/>
                <w:sz w:val="20"/>
                <w:szCs w:val="20"/>
                <w:lang w:eastAsia="x-none"/>
              </w:rPr>
            </w:pPr>
            <w:r>
              <w:rPr>
                <w:rFonts w:ascii="Times New Roman" w:eastAsia="Arial Unicode MS" w:hAnsi="Times New Roman" w:cs="Times New Roman"/>
                <w:b/>
                <w:bCs/>
                <w:sz w:val="20"/>
                <w:szCs w:val="20"/>
              </w:rPr>
              <w:t xml:space="preserve">SECRETARIA MUNICIPAL DE </w:t>
            </w:r>
            <w:r w:rsidR="000911CF" w:rsidRPr="000911CF">
              <w:rPr>
                <w:rFonts w:ascii="Times New Roman" w:eastAsia="Arial Unicode MS" w:hAnsi="Times New Roman" w:cs="Times New Roman"/>
                <w:b/>
                <w:bCs/>
                <w:sz w:val="20"/>
                <w:szCs w:val="20"/>
                <w:lang w:eastAsia="x-none"/>
              </w:rPr>
              <w:t>ADMINISTRAÇÃO, FAZENDA E PLANEJAMENTO</w:t>
            </w:r>
          </w:p>
          <w:p w14:paraId="6BB83DFB" w14:textId="2EC7D09C" w:rsidR="001B40AE" w:rsidRPr="006C4BB4" w:rsidRDefault="001B40AE" w:rsidP="00CC7052">
            <w:pPr>
              <w:spacing w:after="0" w:line="360" w:lineRule="auto"/>
              <w:ind w:firstLine="709"/>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Parecer conclusivo de ciência e aprovação:</w:t>
            </w:r>
          </w:p>
          <w:p w14:paraId="162EC916" w14:textId="77777777" w:rsidR="001B40AE" w:rsidRPr="006C4BB4" w:rsidRDefault="001B40AE" w:rsidP="00CC7052">
            <w:pPr>
              <w:spacing w:after="0" w:line="360" w:lineRule="auto"/>
              <w:ind w:firstLine="1156"/>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(X) Defiro; ou</w:t>
            </w:r>
          </w:p>
          <w:p w14:paraId="1BE5110F" w14:textId="77777777" w:rsidR="001B40AE" w:rsidRPr="006C4BB4" w:rsidRDefault="001B40AE" w:rsidP="00CC7052">
            <w:pPr>
              <w:spacing w:after="0" w:line="360" w:lineRule="auto"/>
              <w:ind w:firstLine="1156"/>
              <w:rPr>
                <w:rFonts w:ascii="Times New Roman" w:eastAsia="Arial Unicode MS" w:hAnsi="Times New Roman" w:cs="Times New Roman"/>
                <w:sz w:val="20"/>
                <w:szCs w:val="20"/>
              </w:rPr>
            </w:pPr>
            <w:proofErr w:type="gramStart"/>
            <w:r w:rsidRPr="006C4BB4">
              <w:rPr>
                <w:rFonts w:ascii="Times New Roman" w:eastAsia="Arial Unicode MS" w:hAnsi="Times New Roman" w:cs="Times New Roman"/>
                <w:sz w:val="20"/>
                <w:szCs w:val="20"/>
              </w:rPr>
              <w:t>(  )</w:t>
            </w:r>
            <w:proofErr w:type="gramEnd"/>
            <w:r w:rsidRPr="006C4BB4">
              <w:rPr>
                <w:rFonts w:ascii="Times New Roman" w:eastAsia="Arial Unicode MS" w:hAnsi="Times New Roman" w:cs="Times New Roman"/>
                <w:sz w:val="20"/>
                <w:szCs w:val="20"/>
              </w:rPr>
              <w:t xml:space="preserve"> Indefiro</w:t>
            </w:r>
          </w:p>
          <w:p w14:paraId="3BED6A62" w14:textId="60D36F8F" w:rsidR="001B40AE" w:rsidRDefault="001B40AE" w:rsidP="00E7772C">
            <w:pPr>
              <w:spacing w:after="0" w:line="360" w:lineRule="auto"/>
              <w:ind w:firstLine="709"/>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Motivar: Após análise e fundamentações postas, def</w:t>
            </w:r>
            <w:r>
              <w:rPr>
                <w:rFonts w:ascii="Times New Roman" w:eastAsia="Arial Unicode MS" w:hAnsi="Times New Roman" w:cs="Times New Roman"/>
                <w:sz w:val="20"/>
                <w:szCs w:val="20"/>
              </w:rPr>
              <w:t>erimos</w:t>
            </w:r>
            <w:r w:rsidRPr="006C4BB4">
              <w:rPr>
                <w:rFonts w:ascii="Times New Roman" w:eastAsia="Arial Unicode MS" w:hAnsi="Times New Roman" w:cs="Times New Roman"/>
                <w:sz w:val="20"/>
                <w:szCs w:val="20"/>
              </w:rPr>
              <w:t xml:space="preserve"> a solicitação.</w:t>
            </w:r>
          </w:p>
          <w:p w14:paraId="3E66FC24" w14:textId="13F94B84" w:rsidR="00E7772C" w:rsidRPr="00E50A92" w:rsidRDefault="001B40AE" w:rsidP="00E7772C">
            <w:pPr>
              <w:widowControl w:val="0"/>
              <w:spacing w:after="0" w:line="360"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Paverama/RS, </w:t>
            </w:r>
            <w:r w:rsidR="00516253">
              <w:rPr>
                <w:rFonts w:ascii="Times New Roman" w:eastAsia="Arial Unicode MS" w:hAnsi="Times New Roman" w:cs="Times New Roman"/>
                <w:sz w:val="20"/>
                <w:szCs w:val="20"/>
              </w:rPr>
              <w:t>13</w:t>
            </w:r>
            <w:r w:rsidRPr="006C4BB4">
              <w:rPr>
                <w:rFonts w:ascii="Times New Roman" w:eastAsia="Arial Unicode MS" w:hAnsi="Times New Roman" w:cs="Times New Roman"/>
                <w:sz w:val="20"/>
                <w:szCs w:val="20"/>
              </w:rPr>
              <w:t xml:space="preserve"> de </w:t>
            </w:r>
            <w:r w:rsidR="00805FDE">
              <w:rPr>
                <w:rFonts w:ascii="Times New Roman" w:eastAsia="Arial Unicode MS" w:hAnsi="Times New Roman" w:cs="Times New Roman"/>
                <w:sz w:val="20"/>
                <w:szCs w:val="20"/>
              </w:rPr>
              <w:t>outu</w:t>
            </w:r>
            <w:r w:rsidR="000911CF">
              <w:rPr>
                <w:rFonts w:ascii="Times New Roman" w:eastAsia="Arial Unicode MS" w:hAnsi="Times New Roman" w:cs="Times New Roman"/>
                <w:sz w:val="20"/>
                <w:szCs w:val="20"/>
              </w:rPr>
              <w:t>bro</w:t>
            </w:r>
            <w:r>
              <w:rPr>
                <w:rFonts w:ascii="Times New Roman" w:eastAsia="Arial Unicode MS" w:hAnsi="Times New Roman" w:cs="Times New Roman"/>
                <w:sz w:val="20"/>
                <w:szCs w:val="20"/>
              </w:rPr>
              <w:t xml:space="preserve"> </w:t>
            </w:r>
            <w:r w:rsidRPr="006C4BB4">
              <w:rPr>
                <w:rFonts w:ascii="Times New Roman" w:eastAsia="Arial Unicode MS" w:hAnsi="Times New Roman" w:cs="Times New Roman"/>
                <w:sz w:val="20"/>
                <w:szCs w:val="20"/>
              </w:rPr>
              <w:t>de 202</w:t>
            </w:r>
            <w:r>
              <w:rPr>
                <w:rFonts w:ascii="Times New Roman" w:eastAsia="Arial Unicode MS" w:hAnsi="Times New Roman" w:cs="Times New Roman"/>
                <w:sz w:val="20"/>
                <w:szCs w:val="20"/>
              </w:rPr>
              <w:t>6</w:t>
            </w:r>
            <w:r w:rsidRPr="006C4BB4">
              <w:rPr>
                <w:rFonts w:ascii="Times New Roman" w:eastAsia="Arial Unicode MS" w:hAnsi="Times New Roman" w:cs="Times New Roman"/>
                <w:sz w:val="20"/>
                <w:szCs w:val="20"/>
              </w:rPr>
              <w:t>.</w:t>
            </w:r>
          </w:p>
          <w:p w14:paraId="7AC56005" w14:textId="77777777" w:rsidR="0052484C" w:rsidRDefault="0052484C" w:rsidP="00CC7052">
            <w:pPr>
              <w:widowControl w:val="0"/>
              <w:spacing w:after="0" w:line="360" w:lineRule="auto"/>
              <w:jc w:val="center"/>
              <w:rPr>
                <w:rFonts w:ascii="Times New Roman" w:eastAsia="Arial Unicode MS" w:hAnsi="Times New Roman" w:cs="Times New Roman"/>
                <w:b/>
                <w:bCs/>
                <w:sz w:val="20"/>
                <w:szCs w:val="20"/>
                <w:lang w:eastAsia="x-none"/>
              </w:rPr>
            </w:pPr>
          </w:p>
          <w:p w14:paraId="54B70C19" w14:textId="77777777" w:rsidR="00805FDE" w:rsidRDefault="00805FDE" w:rsidP="00CC7052">
            <w:pPr>
              <w:widowControl w:val="0"/>
              <w:spacing w:after="0" w:line="360" w:lineRule="auto"/>
              <w:jc w:val="center"/>
              <w:rPr>
                <w:rFonts w:ascii="Times New Roman" w:eastAsia="Arial Unicode MS" w:hAnsi="Times New Roman" w:cs="Times New Roman"/>
                <w:b/>
                <w:bCs/>
                <w:sz w:val="20"/>
                <w:szCs w:val="20"/>
                <w:lang w:eastAsia="x-none"/>
              </w:rPr>
            </w:pPr>
          </w:p>
          <w:p w14:paraId="65BEFC66" w14:textId="77777777" w:rsidR="00E50A92" w:rsidRDefault="00E50A92" w:rsidP="00CC7052">
            <w:pPr>
              <w:widowControl w:val="0"/>
              <w:spacing w:after="0" w:line="360" w:lineRule="auto"/>
              <w:jc w:val="center"/>
              <w:rPr>
                <w:rFonts w:ascii="Times New Roman" w:eastAsia="Arial Unicode MS" w:hAnsi="Times New Roman" w:cs="Times New Roman"/>
                <w:b/>
                <w:bCs/>
                <w:sz w:val="20"/>
                <w:szCs w:val="20"/>
                <w:lang w:eastAsia="x-none"/>
              </w:rPr>
            </w:pPr>
          </w:p>
          <w:p w14:paraId="64552061" w14:textId="00381271" w:rsidR="001B40AE" w:rsidRDefault="000911CF" w:rsidP="00CC7052">
            <w:pPr>
              <w:widowControl w:val="0"/>
              <w:spacing w:after="0" w:line="360" w:lineRule="auto"/>
              <w:jc w:val="center"/>
              <w:rPr>
                <w:rFonts w:ascii="Times New Roman" w:eastAsia="Arial Unicode MS" w:hAnsi="Times New Roman" w:cs="Times New Roman"/>
                <w:b/>
                <w:bCs/>
                <w:sz w:val="20"/>
                <w:szCs w:val="20"/>
                <w:lang w:eastAsia="x-none"/>
              </w:rPr>
            </w:pPr>
            <w:r>
              <w:rPr>
                <w:rFonts w:ascii="Times New Roman" w:eastAsia="Arial Unicode MS" w:hAnsi="Times New Roman" w:cs="Times New Roman"/>
                <w:b/>
                <w:bCs/>
                <w:sz w:val="20"/>
                <w:szCs w:val="20"/>
                <w:lang w:eastAsia="x-none"/>
              </w:rPr>
              <w:t>ALEXANDRE LUÍS KLEBER</w:t>
            </w:r>
          </w:p>
          <w:p w14:paraId="01FFD78C" w14:textId="77777777" w:rsidR="00E50A92" w:rsidRDefault="001B40AE" w:rsidP="00BD7F2B">
            <w:pPr>
              <w:widowControl w:val="0"/>
              <w:spacing w:after="0" w:line="360" w:lineRule="auto"/>
              <w:jc w:val="center"/>
              <w:rPr>
                <w:rFonts w:ascii="Times New Roman" w:eastAsia="Arial Unicode MS" w:hAnsi="Times New Roman" w:cs="Times New Roman"/>
                <w:b/>
                <w:bCs/>
                <w:sz w:val="20"/>
                <w:szCs w:val="20"/>
                <w:lang w:eastAsia="x-none"/>
              </w:rPr>
            </w:pPr>
            <w:r>
              <w:rPr>
                <w:rFonts w:ascii="Times New Roman" w:eastAsia="Arial Unicode MS" w:hAnsi="Times New Roman" w:cs="Times New Roman"/>
                <w:b/>
                <w:bCs/>
                <w:sz w:val="20"/>
                <w:szCs w:val="20"/>
                <w:lang w:eastAsia="x-none"/>
              </w:rPr>
              <w:t>Secretári</w:t>
            </w:r>
            <w:r w:rsidR="000911CF">
              <w:rPr>
                <w:rFonts w:ascii="Times New Roman" w:eastAsia="Arial Unicode MS" w:hAnsi="Times New Roman" w:cs="Times New Roman"/>
                <w:b/>
                <w:bCs/>
                <w:sz w:val="20"/>
                <w:szCs w:val="20"/>
                <w:lang w:eastAsia="x-none"/>
              </w:rPr>
              <w:t>o</w:t>
            </w:r>
            <w:r>
              <w:rPr>
                <w:rFonts w:ascii="Times New Roman" w:eastAsia="Arial Unicode MS" w:hAnsi="Times New Roman" w:cs="Times New Roman"/>
                <w:b/>
                <w:bCs/>
                <w:sz w:val="20"/>
                <w:szCs w:val="20"/>
                <w:lang w:eastAsia="x-none"/>
              </w:rPr>
              <w:t xml:space="preserve"> Municipal de </w:t>
            </w:r>
            <w:r w:rsidR="000911CF">
              <w:rPr>
                <w:rFonts w:ascii="Times New Roman" w:eastAsia="Arial Unicode MS" w:hAnsi="Times New Roman" w:cs="Times New Roman"/>
                <w:b/>
                <w:bCs/>
                <w:sz w:val="20"/>
                <w:szCs w:val="20"/>
                <w:lang w:eastAsia="x-none"/>
              </w:rPr>
              <w:t>Administração, Fazenda e Planejamento</w:t>
            </w:r>
          </w:p>
          <w:p w14:paraId="30C81210" w14:textId="30A83BBF" w:rsidR="00805FDE" w:rsidRPr="00B171E9" w:rsidRDefault="00805FDE" w:rsidP="00BD7F2B">
            <w:pPr>
              <w:widowControl w:val="0"/>
              <w:spacing w:after="0" w:line="360" w:lineRule="auto"/>
              <w:jc w:val="center"/>
              <w:rPr>
                <w:rFonts w:ascii="Times New Roman" w:eastAsia="Arial Unicode MS" w:hAnsi="Times New Roman" w:cs="Times New Roman"/>
                <w:b/>
                <w:bCs/>
                <w:sz w:val="20"/>
                <w:szCs w:val="20"/>
                <w:lang w:eastAsia="x-none"/>
              </w:rPr>
            </w:pPr>
          </w:p>
        </w:tc>
      </w:tr>
    </w:tbl>
    <w:p w14:paraId="6CBA2F8A" w14:textId="434EBF82" w:rsidR="00956DB5" w:rsidRPr="00E64C68" w:rsidRDefault="00956DB5" w:rsidP="0052484C">
      <w:pPr>
        <w:tabs>
          <w:tab w:val="left" w:pos="618"/>
        </w:tabs>
        <w:rPr>
          <w:rFonts w:ascii="Times New Roman" w:hAnsi="Times New Roman" w:cs="Times New Roman"/>
          <w:sz w:val="20"/>
          <w:szCs w:val="20"/>
        </w:rPr>
      </w:pPr>
    </w:p>
    <w:sectPr w:rsidR="00956DB5" w:rsidRPr="00E64C68" w:rsidSect="00805FDE">
      <w:headerReference w:type="default" r:id="rId10"/>
      <w:footerReference w:type="default" r:id="rId11"/>
      <w:type w:val="continuous"/>
      <w:pgSz w:w="11906" w:h="16838"/>
      <w:pgMar w:top="1843" w:right="99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12FD9" w14:textId="77777777" w:rsidR="0025791C" w:rsidRDefault="0025791C" w:rsidP="000D2529">
      <w:pPr>
        <w:spacing w:after="0" w:line="240" w:lineRule="auto"/>
      </w:pPr>
      <w:r>
        <w:separator/>
      </w:r>
    </w:p>
  </w:endnote>
  <w:endnote w:type="continuationSeparator" w:id="0">
    <w:p w14:paraId="786F640C" w14:textId="77777777" w:rsidR="0025791C" w:rsidRDefault="0025791C" w:rsidP="000D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48380"/>
      <w:docPartObj>
        <w:docPartGallery w:val="Page Numbers (Bottom of Page)"/>
        <w:docPartUnique/>
      </w:docPartObj>
    </w:sdtPr>
    <w:sdtEndPr/>
    <w:sdtContent>
      <w:sdt>
        <w:sdtPr>
          <w:id w:val="-1769616900"/>
          <w:docPartObj>
            <w:docPartGallery w:val="Page Numbers (Top of Page)"/>
            <w:docPartUnique/>
          </w:docPartObj>
        </w:sdtPr>
        <w:sdtEndPr/>
        <w:sdtContent>
          <w:p w14:paraId="4ADA5FCC" w14:textId="77777777" w:rsidR="001B40AE" w:rsidRDefault="001B40AE">
            <w:pPr>
              <w:pStyle w:val="Rodap"/>
              <w:jc w:val="right"/>
            </w:pPr>
            <w:r>
              <w:rPr>
                <w:noProof/>
              </w:rPr>
              <w:drawing>
                <wp:anchor distT="0" distB="0" distL="114300" distR="114300" simplePos="0" relativeHeight="251662336" behindDoc="1" locked="0" layoutInCell="1" allowOverlap="1" wp14:anchorId="51983907" wp14:editId="116AC7B0">
                  <wp:simplePos x="0" y="0"/>
                  <wp:positionH relativeFrom="margin">
                    <wp:align>center</wp:align>
                  </wp:positionH>
                  <wp:positionV relativeFrom="paragraph">
                    <wp:posOffset>47424</wp:posOffset>
                  </wp:positionV>
                  <wp:extent cx="4259179" cy="712821"/>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9179" cy="712821"/>
                          </a:xfrm>
                          <a:prstGeom prst="rect">
                            <a:avLst/>
                          </a:prstGeom>
                          <a:noFill/>
                        </pic:spPr>
                      </pic:pic>
                    </a:graphicData>
                  </a:graphic>
                  <wp14:sizeRelH relativeFrom="margin">
                    <wp14:pctWidth>0</wp14:pctWidth>
                  </wp14:sizeRelH>
                  <wp14:sizeRelV relativeFrom="margin">
                    <wp14:pctHeight>0</wp14:pctHeight>
                  </wp14:sizeRelV>
                </wp:anchor>
              </w:drawing>
            </w:r>
          </w:p>
        </w:sdtContent>
      </w:sdt>
    </w:sdtContent>
  </w:sdt>
  <w:p w14:paraId="3699FC23" w14:textId="77777777" w:rsidR="001B40AE" w:rsidRDefault="001B40AE" w:rsidP="006B5D6C">
    <w:pPr>
      <w:pStyle w:val="Rodap"/>
      <w:tabs>
        <w:tab w:val="clear" w:pos="4252"/>
        <w:tab w:val="clear" w:pos="8504"/>
        <w:tab w:val="left" w:pos="6432"/>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651EB" w14:textId="5875C576" w:rsidR="000D2529" w:rsidRDefault="000D2529">
    <w:pPr>
      <w:pStyle w:val="Rodap"/>
    </w:pPr>
    <w:r>
      <w:rPr>
        <w:noProof/>
        <w:lang w:eastAsia="pt-BR"/>
      </w:rPr>
      <w:drawing>
        <wp:anchor distT="0" distB="0" distL="114300" distR="114300" simplePos="0" relativeHeight="251658240" behindDoc="1" locked="0" layoutInCell="1" allowOverlap="1" wp14:anchorId="7FA232AC" wp14:editId="58FB8811">
          <wp:simplePos x="0" y="0"/>
          <wp:positionH relativeFrom="margin">
            <wp:align>center</wp:align>
          </wp:positionH>
          <wp:positionV relativeFrom="paragraph">
            <wp:posOffset>-270931</wp:posOffset>
          </wp:positionV>
          <wp:extent cx="4723765" cy="790575"/>
          <wp:effectExtent l="0" t="0" r="635" b="9525"/>
          <wp:wrapNone/>
          <wp:docPr id="1953684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23765"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31509" w14:textId="77777777" w:rsidR="0025791C" w:rsidRDefault="0025791C" w:rsidP="000D2529">
      <w:pPr>
        <w:spacing w:after="0" w:line="240" w:lineRule="auto"/>
      </w:pPr>
      <w:r>
        <w:separator/>
      </w:r>
    </w:p>
  </w:footnote>
  <w:footnote w:type="continuationSeparator" w:id="0">
    <w:p w14:paraId="4F75BB0E" w14:textId="77777777" w:rsidR="0025791C" w:rsidRDefault="0025791C" w:rsidP="000D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296D" w14:textId="77777777" w:rsidR="001B40AE" w:rsidRDefault="001B40AE">
    <w:pPr>
      <w:pStyle w:val="Cabealho"/>
    </w:pPr>
    <w:r>
      <w:rPr>
        <w:noProof/>
      </w:rPr>
      <w:drawing>
        <wp:anchor distT="0" distB="0" distL="114300" distR="114300" simplePos="0" relativeHeight="251661312" behindDoc="1" locked="0" layoutInCell="1" allowOverlap="1" wp14:anchorId="30D05D6D" wp14:editId="449CE208">
          <wp:simplePos x="0" y="0"/>
          <wp:positionH relativeFrom="margin">
            <wp:align>center</wp:align>
          </wp:positionH>
          <wp:positionV relativeFrom="paragraph">
            <wp:posOffset>-326813</wp:posOffset>
          </wp:positionV>
          <wp:extent cx="4409440" cy="100965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09440" cy="10096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3359C" w14:textId="70158498" w:rsidR="000D2529" w:rsidRDefault="000D2529">
    <w:pPr>
      <w:pStyle w:val="Cabealho"/>
    </w:pPr>
    <w:r>
      <w:rPr>
        <w:noProof/>
        <w:lang w:eastAsia="pt-BR"/>
      </w:rPr>
      <w:drawing>
        <wp:anchor distT="0" distB="0" distL="114300" distR="114300" simplePos="0" relativeHeight="251659264" behindDoc="1" locked="0" layoutInCell="1" allowOverlap="1" wp14:anchorId="35753C76" wp14:editId="2E5D5775">
          <wp:simplePos x="0" y="0"/>
          <wp:positionH relativeFrom="margin">
            <wp:align>center</wp:align>
          </wp:positionH>
          <wp:positionV relativeFrom="paragraph">
            <wp:posOffset>-259080</wp:posOffset>
          </wp:positionV>
          <wp:extent cx="4161790" cy="952944"/>
          <wp:effectExtent l="0" t="0" r="0" b="0"/>
          <wp:wrapNone/>
          <wp:docPr id="4941718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61790" cy="952944"/>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2341"/>
    <w:multiLevelType w:val="multilevel"/>
    <w:tmpl w:val="51685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9C7F64"/>
    <w:multiLevelType w:val="multilevel"/>
    <w:tmpl w:val="DEE2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E4849"/>
    <w:multiLevelType w:val="multilevel"/>
    <w:tmpl w:val="A848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66872"/>
    <w:multiLevelType w:val="multilevel"/>
    <w:tmpl w:val="31B68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D8257F"/>
    <w:multiLevelType w:val="multilevel"/>
    <w:tmpl w:val="833C0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AF2921"/>
    <w:multiLevelType w:val="multilevel"/>
    <w:tmpl w:val="2482F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824AC4"/>
    <w:multiLevelType w:val="multilevel"/>
    <w:tmpl w:val="2558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300B4"/>
    <w:multiLevelType w:val="multilevel"/>
    <w:tmpl w:val="2BC6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970595"/>
    <w:multiLevelType w:val="multilevel"/>
    <w:tmpl w:val="A7DC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521A2C"/>
    <w:multiLevelType w:val="multilevel"/>
    <w:tmpl w:val="5A7A6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234F11"/>
    <w:multiLevelType w:val="multilevel"/>
    <w:tmpl w:val="157E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8646A"/>
    <w:multiLevelType w:val="multilevel"/>
    <w:tmpl w:val="1640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9E4038"/>
    <w:multiLevelType w:val="multilevel"/>
    <w:tmpl w:val="30A0F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0F17C8"/>
    <w:multiLevelType w:val="multilevel"/>
    <w:tmpl w:val="F3386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457F33"/>
    <w:multiLevelType w:val="multilevel"/>
    <w:tmpl w:val="5B18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42316"/>
    <w:multiLevelType w:val="multilevel"/>
    <w:tmpl w:val="5F5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DE7A73"/>
    <w:multiLevelType w:val="multilevel"/>
    <w:tmpl w:val="A3569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A9188B"/>
    <w:multiLevelType w:val="multilevel"/>
    <w:tmpl w:val="6EFC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B095B"/>
    <w:multiLevelType w:val="multilevel"/>
    <w:tmpl w:val="1A82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5399103">
    <w:abstractNumId w:val="7"/>
  </w:num>
  <w:num w:numId="2" w16cid:durableId="807162314">
    <w:abstractNumId w:val="1"/>
  </w:num>
  <w:num w:numId="3" w16cid:durableId="1713460570">
    <w:abstractNumId w:val="18"/>
  </w:num>
  <w:num w:numId="4" w16cid:durableId="1409578810">
    <w:abstractNumId w:val="6"/>
  </w:num>
  <w:num w:numId="5" w16cid:durableId="1690642370">
    <w:abstractNumId w:val="10"/>
  </w:num>
  <w:num w:numId="6" w16cid:durableId="4401183">
    <w:abstractNumId w:val="17"/>
  </w:num>
  <w:num w:numId="7" w16cid:durableId="549877620">
    <w:abstractNumId w:val="14"/>
  </w:num>
  <w:num w:numId="8" w16cid:durableId="1399590037">
    <w:abstractNumId w:val="3"/>
  </w:num>
  <w:num w:numId="9" w16cid:durableId="1976644368">
    <w:abstractNumId w:val="15"/>
  </w:num>
  <w:num w:numId="10" w16cid:durableId="2133936332">
    <w:abstractNumId w:val="5"/>
  </w:num>
  <w:num w:numId="11" w16cid:durableId="39669355">
    <w:abstractNumId w:val="0"/>
  </w:num>
  <w:num w:numId="12" w16cid:durableId="429160922">
    <w:abstractNumId w:val="2"/>
  </w:num>
  <w:num w:numId="13" w16cid:durableId="1729643164">
    <w:abstractNumId w:val="13"/>
  </w:num>
  <w:num w:numId="14" w16cid:durableId="1463376671">
    <w:abstractNumId w:val="4"/>
  </w:num>
  <w:num w:numId="15" w16cid:durableId="83185883">
    <w:abstractNumId w:val="16"/>
  </w:num>
  <w:num w:numId="16" w16cid:durableId="1721631116">
    <w:abstractNumId w:val="8"/>
  </w:num>
  <w:num w:numId="17" w16cid:durableId="1298757212">
    <w:abstractNumId w:val="11"/>
  </w:num>
  <w:num w:numId="18" w16cid:durableId="1828325129">
    <w:abstractNumId w:val="12"/>
  </w:num>
  <w:num w:numId="19" w16cid:durableId="12643418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1E0"/>
    <w:rsid w:val="00027A9F"/>
    <w:rsid w:val="0003147A"/>
    <w:rsid w:val="0004291E"/>
    <w:rsid w:val="000453C4"/>
    <w:rsid w:val="00061A24"/>
    <w:rsid w:val="00064B5B"/>
    <w:rsid w:val="0008566E"/>
    <w:rsid w:val="000911CF"/>
    <w:rsid w:val="00092865"/>
    <w:rsid w:val="000A0E73"/>
    <w:rsid w:val="000D2529"/>
    <w:rsid w:val="000D35A1"/>
    <w:rsid w:val="000F1CA2"/>
    <w:rsid w:val="0011364F"/>
    <w:rsid w:val="00117EB2"/>
    <w:rsid w:val="00123E05"/>
    <w:rsid w:val="00127FEA"/>
    <w:rsid w:val="00137E9C"/>
    <w:rsid w:val="0014243A"/>
    <w:rsid w:val="00154292"/>
    <w:rsid w:val="00177E59"/>
    <w:rsid w:val="001A6E13"/>
    <w:rsid w:val="001B0492"/>
    <w:rsid w:val="001B40AE"/>
    <w:rsid w:val="001C2692"/>
    <w:rsid w:val="00210863"/>
    <w:rsid w:val="00225E9C"/>
    <w:rsid w:val="0025791C"/>
    <w:rsid w:val="00262799"/>
    <w:rsid w:val="002A34BA"/>
    <w:rsid w:val="0034208B"/>
    <w:rsid w:val="003453EB"/>
    <w:rsid w:val="003D6648"/>
    <w:rsid w:val="003E6CEF"/>
    <w:rsid w:val="004343C0"/>
    <w:rsid w:val="004439DC"/>
    <w:rsid w:val="00456933"/>
    <w:rsid w:val="00465989"/>
    <w:rsid w:val="0047292F"/>
    <w:rsid w:val="004C1478"/>
    <w:rsid w:val="004C534D"/>
    <w:rsid w:val="004D527B"/>
    <w:rsid w:val="004F2390"/>
    <w:rsid w:val="00516253"/>
    <w:rsid w:val="0052484C"/>
    <w:rsid w:val="00527E16"/>
    <w:rsid w:val="00581A14"/>
    <w:rsid w:val="005B4918"/>
    <w:rsid w:val="005C717A"/>
    <w:rsid w:val="005D2981"/>
    <w:rsid w:val="0061096D"/>
    <w:rsid w:val="0064426B"/>
    <w:rsid w:val="006730FB"/>
    <w:rsid w:val="0069643E"/>
    <w:rsid w:val="006969F9"/>
    <w:rsid w:val="006972A4"/>
    <w:rsid w:val="006B7D3F"/>
    <w:rsid w:val="006C02C4"/>
    <w:rsid w:val="006E4BD3"/>
    <w:rsid w:val="007031BA"/>
    <w:rsid w:val="0072278D"/>
    <w:rsid w:val="0072429F"/>
    <w:rsid w:val="0072475C"/>
    <w:rsid w:val="00726512"/>
    <w:rsid w:val="007618D1"/>
    <w:rsid w:val="007A0F94"/>
    <w:rsid w:val="00805FDE"/>
    <w:rsid w:val="00852444"/>
    <w:rsid w:val="00876FFB"/>
    <w:rsid w:val="008A25E2"/>
    <w:rsid w:val="008B07AF"/>
    <w:rsid w:val="008F77F5"/>
    <w:rsid w:val="00940E4A"/>
    <w:rsid w:val="00940F28"/>
    <w:rsid w:val="009412DA"/>
    <w:rsid w:val="009458E6"/>
    <w:rsid w:val="00950655"/>
    <w:rsid w:val="00956DB5"/>
    <w:rsid w:val="009B6B28"/>
    <w:rsid w:val="009C21AA"/>
    <w:rsid w:val="009D5ED5"/>
    <w:rsid w:val="00A37846"/>
    <w:rsid w:val="00A43D56"/>
    <w:rsid w:val="00A45D33"/>
    <w:rsid w:val="00A7514D"/>
    <w:rsid w:val="00B01C4E"/>
    <w:rsid w:val="00B631E0"/>
    <w:rsid w:val="00B83A22"/>
    <w:rsid w:val="00B87DCB"/>
    <w:rsid w:val="00BB49C6"/>
    <w:rsid w:val="00BD7F2B"/>
    <w:rsid w:val="00C067F1"/>
    <w:rsid w:val="00C106A4"/>
    <w:rsid w:val="00C20689"/>
    <w:rsid w:val="00CF321D"/>
    <w:rsid w:val="00D23119"/>
    <w:rsid w:val="00D50CB4"/>
    <w:rsid w:val="00D8357C"/>
    <w:rsid w:val="00DA3D28"/>
    <w:rsid w:val="00DB3EEC"/>
    <w:rsid w:val="00DD0FB1"/>
    <w:rsid w:val="00E176F5"/>
    <w:rsid w:val="00E50A92"/>
    <w:rsid w:val="00E64C68"/>
    <w:rsid w:val="00E6780C"/>
    <w:rsid w:val="00E73C43"/>
    <w:rsid w:val="00E75344"/>
    <w:rsid w:val="00E7772C"/>
    <w:rsid w:val="00E84078"/>
    <w:rsid w:val="00E94BA9"/>
    <w:rsid w:val="00EC166B"/>
    <w:rsid w:val="00ED1564"/>
    <w:rsid w:val="00F44DAD"/>
    <w:rsid w:val="00F5317F"/>
    <w:rsid w:val="00F662D5"/>
    <w:rsid w:val="00F72AD1"/>
    <w:rsid w:val="00FB0EEF"/>
    <w:rsid w:val="00FC10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C61FF"/>
  <w15:chartTrackingRefBased/>
  <w15:docId w15:val="{52ADB105-F993-4824-A63C-6F80DFBC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1CF"/>
  </w:style>
  <w:style w:type="paragraph" w:styleId="Ttulo1">
    <w:name w:val="heading 1"/>
    <w:basedOn w:val="Normal"/>
    <w:next w:val="Normal"/>
    <w:link w:val="Ttulo1Char"/>
    <w:uiPriority w:val="9"/>
    <w:qFormat/>
    <w:rsid w:val="00B6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6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631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631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631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631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631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631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631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631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631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631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631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631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631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631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631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631E0"/>
    <w:rPr>
      <w:rFonts w:eastAsiaTheme="majorEastAsia" w:cstheme="majorBidi"/>
      <w:color w:val="272727" w:themeColor="text1" w:themeTint="D8"/>
    </w:rPr>
  </w:style>
  <w:style w:type="paragraph" w:styleId="Ttulo">
    <w:name w:val="Title"/>
    <w:basedOn w:val="Normal"/>
    <w:next w:val="Normal"/>
    <w:link w:val="TtuloChar"/>
    <w:uiPriority w:val="10"/>
    <w:qFormat/>
    <w:rsid w:val="00B63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631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631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631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631E0"/>
    <w:pPr>
      <w:spacing w:before="160"/>
      <w:jc w:val="center"/>
    </w:pPr>
    <w:rPr>
      <w:i/>
      <w:iCs/>
      <w:color w:val="404040" w:themeColor="text1" w:themeTint="BF"/>
    </w:rPr>
  </w:style>
  <w:style w:type="character" w:customStyle="1" w:styleId="CitaoChar">
    <w:name w:val="Citação Char"/>
    <w:basedOn w:val="Fontepargpadro"/>
    <w:link w:val="Citao"/>
    <w:uiPriority w:val="29"/>
    <w:rsid w:val="00B631E0"/>
    <w:rPr>
      <w:i/>
      <w:iCs/>
      <w:color w:val="404040" w:themeColor="text1" w:themeTint="BF"/>
    </w:rPr>
  </w:style>
  <w:style w:type="paragraph" w:styleId="PargrafodaLista">
    <w:name w:val="List Paragraph"/>
    <w:basedOn w:val="Normal"/>
    <w:uiPriority w:val="34"/>
    <w:qFormat/>
    <w:rsid w:val="00B631E0"/>
    <w:pPr>
      <w:ind w:left="720"/>
      <w:contextualSpacing/>
    </w:pPr>
  </w:style>
  <w:style w:type="character" w:styleId="nfaseIntensa">
    <w:name w:val="Intense Emphasis"/>
    <w:basedOn w:val="Fontepargpadro"/>
    <w:uiPriority w:val="21"/>
    <w:qFormat/>
    <w:rsid w:val="00B631E0"/>
    <w:rPr>
      <w:i/>
      <w:iCs/>
      <w:color w:val="0F4761" w:themeColor="accent1" w:themeShade="BF"/>
    </w:rPr>
  </w:style>
  <w:style w:type="paragraph" w:styleId="CitaoIntensa">
    <w:name w:val="Intense Quote"/>
    <w:basedOn w:val="Normal"/>
    <w:next w:val="Normal"/>
    <w:link w:val="CitaoIntensaChar"/>
    <w:uiPriority w:val="30"/>
    <w:qFormat/>
    <w:rsid w:val="00B63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631E0"/>
    <w:rPr>
      <w:i/>
      <w:iCs/>
      <w:color w:val="0F4761" w:themeColor="accent1" w:themeShade="BF"/>
    </w:rPr>
  </w:style>
  <w:style w:type="character" w:styleId="RefernciaIntensa">
    <w:name w:val="Intense Reference"/>
    <w:basedOn w:val="Fontepargpadro"/>
    <w:uiPriority w:val="32"/>
    <w:qFormat/>
    <w:rsid w:val="00B631E0"/>
    <w:rPr>
      <w:b/>
      <w:bCs/>
      <w:smallCaps/>
      <w:color w:val="0F4761" w:themeColor="accent1" w:themeShade="BF"/>
      <w:spacing w:val="5"/>
    </w:rPr>
  </w:style>
  <w:style w:type="paragraph" w:styleId="Cabealho">
    <w:name w:val="header"/>
    <w:basedOn w:val="Normal"/>
    <w:link w:val="CabealhoChar"/>
    <w:uiPriority w:val="99"/>
    <w:unhideWhenUsed/>
    <w:rsid w:val="000D25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2529"/>
  </w:style>
  <w:style w:type="paragraph" w:styleId="Rodap">
    <w:name w:val="footer"/>
    <w:basedOn w:val="Normal"/>
    <w:link w:val="RodapChar"/>
    <w:uiPriority w:val="99"/>
    <w:unhideWhenUsed/>
    <w:rsid w:val="000D2529"/>
    <w:pPr>
      <w:tabs>
        <w:tab w:val="center" w:pos="4252"/>
        <w:tab w:val="right" w:pos="8504"/>
      </w:tabs>
      <w:spacing w:after="0" w:line="240" w:lineRule="auto"/>
    </w:pPr>
  </w:style>
  <w:style w:type="character" w:customStyle="1" w:styleId="RodapChar">
    <w:name w:val="Rodapé Char"/>
    <w:basedOn w:val="Fontepargpadro"/>
    <w:link w:val="Rodap"/>
    <w:uiPriority w:val="99"/>
    <w:rsid w:val="000D2529"/>
  </w:style>
  <w:style w:type="character" w:styleId="nfaseSutil">
    <w:name w:val="Subtle Emphasis"/>
    <w:basedOn w:val="Fontepargpadro"/>
    <w:uiPriority w:val="19"/>
    <w:qFormat/>
    <w:rsid w:val="0008566E"/>
    <w:rPr>
      <w:i/>
      <w:iCs/>
      <w:color w:val="404040" w:themeColor="text1" w:themeTint="BF"/>
    </w:rPr>
  </w:style>
  <w:style w:type="table" w:styleId="Tabelacomgrade">
    <w:name w:val="Table Grid"/>
    <w:basedOn w:val="Tabelanormal"/>
    <w:uiPriority w:val="39"/>
    <w:rsid w:val="00061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53C4"/>
    <w:rPr>
      <w:rFonts w:ascii="Times New Roman" w:hAnsi="Times New Roman" w:cs="Times New Roman"/>
    </w:rPr>
  </w:style>
  <w:style w:type="character" w:styleId="Forte">
    <w:name w:val="Strong"/>
    <w:basedOn w:val="Fontepargpadro"/>
    <w:uiPriority w:val="22"/>
    <w:qFormat/>
    <w:rsid w:val="00117EB2"/>
    <w:rPr>
      <w:b/>
      <w:bCs/>
    </w:rPr>
  </w:style>
  <w:style w:type="character" w:styleId="Hyperlink">
    <w:name w:val="Hyperlink"/>
    <w:basedOn w:val="Fontepargpadro"/>
    <w:uiPriority w:val="99"/>
    <w:unhideWhenUsed/>
    <w:rsid w:val="00805FDE"/>
    <w:rPr>
      <w:color w:val="467886" w:themeColor="hyperlink"/>
      <w:u w:val="single"/>
    </w:rPr>
  </w:style>
  <w:style w:type="character" w:styleId="MenoPendente">
    <w:name w:val="Unresolved Mention"/>
    <w:basedOn w:val="Fontepargpadro"/>
    <w:uiPriority w:val="99"/>
    <w:semiHidden/>
    <w:unhideWhenUsed/>
    <w:rsid w:val="00805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3254">
      <w:bodyDiv w:val="1"/>
      <w:marLeft w:val="0"/>
      <w:marRight w:val="0"/>
      <w:marTop w:val="0"/>
      <w:marBottom w:val="0"/>
      <w:divBdr>
        <w:top w:val="none" w:sz="0" w:space="0" w:color="auto"/>
        <w:left w:val="none" w:sz="0" w:space="0" w:color="auto"/>
        <w:bottom w:val="none" w:sz="0" w:space="0" w:color="auto"/>
        <w:right w:val="none" w:sz="0" w:space="0" w:color="auto"/>
      </w:divBdr>
    </w:div>
    <w:div w:id="41491972">
      <w:bodyDiv w:val="1"/>
      <w:marLeft w:val="0"/>
      <w:marRight w:val="0"/>
      <w:marTop w:val="0"/>
      <w:marBottom w:val="0"/>
      <w:divBdr>
        <w:top w:val="none" w:sz="0" w:space="0" w:color="auto"/>
        <w:left w:val="none" w:sz="0" w:space="0" w:color="auto"/>
        <w:bottom w:val="none" w:sz="0" w:space="0" w:color="auto"/>
        <w:right w:val="none" w:sz="0" w:space="0" w:color="auto"/>
      </w:divBdr>
    </w:div>
    <w:div w:id="47540028">
      <w:bodyDiv w:val="1"/>
      <w:marLeft w:val="0"/>
      <w:marRight w:val="0"/>
      <w:marTop w:val="0"/>
      <w:marBottom w:val="0"/>
      <w:divBdr>
        <w:top w:val="none" w:sz="0" w:space="0" w:color="auto"/>
        <w:left w:val="none" w:sz="0" w:space="0" w:color="auto"/>
        <w:bottom w:val="none" w:sz="0" w:space="0" w:color="auto"/>
        <w:right w:val="none" w:sz="0" w:space="0" w:color="auto"/>
      </w:divBdr>
    </w:div>
    <w:div w:id="73433085">
      <w:bodyDiv w:val="1"/>
      <w:marLeft w:val="0"/>
      <w:marRight w:val="0"/>
      <w:marTop w:val="0"/>
      <w:marBottom w:val="0"/>
      <w:divBdr>
        <w:top w:val="none" w:sz="0" w:space="0" w:color="auto"/>
        <w:left w:val="none" w:sz="0" w:space="0" w:color="auto"/>
        <w:bottom w:val="none" w:sz="0" w:space="0" w:color="auto"/>
        <w:right w:val="none" w:sz="0" w:space="0" w:color="auto"/>
      </w:divBdr>
    </w:div>
    <w:div w:id="107705805">
      <w:bodyDiv w:val="1"/>
      <w:marLeft w:val="0"/>
      <w:marRight w:val="0"/>
      <w:marTop w:val="0"/>
      <w:marBottom w:val="0"/>
      <w:divBdr>
        <w:top w:val="none" w:sz="0" w:space="0" w:color="auto"/>
        <w:left w:val="none" w:sz="0" w:space="0" w:color="auto"/>
        <w:bottom w:val="none" w:sz="0" w:space="0" w:color="auto"/>
        <w:right w:val="none" w:sz="0" w:space="0" w:color="auto"/>
      </w:divBdr>
    </w:div>
    <w:div w:id="113865955">
      <w:bodyDiv w:val="1"/>
      <w:marLeft w:val="0"/>
      <w:marRight w:val="0"/>
      <w:marTop w:val="0"/>
      <w:marBottom w:val="0"/>
      <w:divBdr>
        <w:top w:val="none" w:sz="0" w:space="0" w:color="auto"/>
        <w:left w:val="none" w:sz="0" w:space="0" w:color="auto"/>
        <w:bottom w:val="none" w:sz="0" w:space="0" w:color="auto"/>
        <w:right w:val="none" w:sz="0" w:space="0" w:color="auto"/>
      </w:divBdr>
    </w:div>
    <w:div w:id="117453138">
      <w:bodyDiv w:val="1"/>
      <w:marLeft w:val="0"/>
      <w:marRight w:val="0"/>
      <w:marTop w:val="0"/>
      <w:marBottom w:val="0"/>
      <w:divBdr>
        <w:top w:val="none" w:sz="0" w:space="0" w:color="auto"/>
        <w:left w:val="none" w:sz="0" w:space="0" w:color="auto"/>
        <w:bottom w:val="none" w:sz="0" w:space="0" w:color="auto"/>
        <w:right w:val="none" w:sz="0" w:space="0" w:color="auto"/>
      </w:divBdr>
    </w:div>
    <w:div w:id="197622179">
      <w:bodyDiv w:val="1"/>
      <w:marLeft w:val="0"/>
      <w:marRight w:val="0"/>
      <w:marTop w:val="0"/>
      <w:marBottom w:val="0"/>
      <w:divBdr>
        <w:top w:val="none" w:sz="0" w:space="0" w:color="auto"/>
        <w:left w:val="none" w:sz="0" w:space="0" w:color="auto"/>
        <w:bottom w:val="none" w:sz="0" w:space="0" w:color="auto"/>
        <w:right w:val="none" w:sz="0" w:space="0" w:color="auto"/>
      </w:divBdr>
    </w:div>
    <w:div w:id="204686428">
      <w:bodyDiv w:val="1"/>
      <w:marLeft w:val="0"/>
      <w:marRight w:val="0"/>
      <w:marTop w:val="0"/>
      <w:marBottom w:val="0"/>
      <w:divBdr>
        <w:top w:val="none" w:sz="0" w:space="0" w:color="auto"/>
        <w:left w:val="none" w:sz="0" w:space="0" w:color="auto"/>
        <w:bottom w:val="none" w:sz="0" w:space="0" w:color="auto"/>
        <w:right w:val="none" w:sz="0" w:space="0" w:color="auto"/>
      </w:divBdr>
    </w:div>
    <w:div w:id="219026010">
      <w:bodyDiv w:val="1"/>
      <w:marLeft w:val="0"/>
      <w:marRight w:val="0"/>
      <w:marTop w:val="0"/>
      <w:marBottom w:val="0"/>
      <w:divBdr>
        <w:top w:val="none" w:sz="0" w:space="0" w:color="auto"/>
        <w:left w:val="none" w:sz="0" w:space="0" w:color="auto"/>
        <w:bottom w:val="none" w:sz="0" w:space="0" w:color="auto"/>
        <w:right w:val="none" w:sz="0" w:space="0" w:color="auto"/>
      </w:divBdr>
    </w:div>
    <w:div w:id="220481344">
      <w:bodyDiv w:val="1"/>
      <w:marLeft w:val="0"/>
      <w:marRight w:val="0"/>
      <w:marTop w:val="0"/>
      <w:marBottom w:val="0"/>
      <w:divBdr>
        <w:top w:val="none" w:sz="0" w:space="0" w:color="auto"/>
        <w:left w:val="none" w:sz="0" w:space="0" w:color="auto"/>
        <w:bottom w:val="none" w:sz="0" w:space="0" w:color="auto"/>
        <w:right w:val="none" w:sz="0" w:space="0" w:color="auto"/>
      </w:divBdr>
    </w:div>
    <w:div w:id="244412749">
      <w:bodyDiv w:val="1"/>
      <w:marLeft w:val="0"/>
      <w:marRight w:val="0"/>
      <w:marTop w:val="0"/>
      <w:marBottom w:val="0"/>
      <w:divBdr>
        <w:top w:val="none" w:sz="0" w:space="0" w:color="auto"/>
        <w:left w:val="none" w:sz="0" w:space="0" w:color="auto"/>
        <w:bottom w:val="none" w:sz="0" w:space="0" w:color="auto"/>
        <w:right w:val="none" w:sz="0" w:space="0" w:color="auto"/>
      </w:divBdr>
    </w:div>
    <w:div w:id="249121181">
      <w:bodyDiv w:val="1"/>
      <w:marLeft w:val="0"/>
      <w:marRight w:val="0"/>
      <w:marTop w:val="0"/>
      <w:marBottom w:val="0"/>
      <w:divBdr>
        <w:top w:val="none" w:sz="0" w:space="0" w:color="auto"/>
        <w:left w:val="none" w:sz="0" w:space="0" w:color="auto"/>
        <w:bottom w:val="none" w:sz="0" w:space="0" w:color="auto"/>
        <w:right w:val="none" w:sz="0" w:space="0" w:color="auto"/>
      </w:divBdr>
    </w:div>
    <w:div w:id="260643556">
      <w:bodyDiv w:val="1"/>
      <w:marLeft w:val="0"/>
      <w:marRight w:val="0"/>
      <w:marTop w:val="0"/>
      <w:marBottom w:val="0"/>
      <w:divBdr>
        <w:top w:val="none" w:sz="0" w:space="0" w:color="auto"/>
        <w:left w:val="none" w:sz="0" w:space="0" w:color="auto"/>
        <w:bottom w:val="none" w:sz="0" w:space="0" w:color="auto"/>
        <w:right w:val="none" w:sz="0" w:space="0" w:color="auto"/>
      </w:divBdr>
    </w:div>
    <w:div w:id="274794277">
      <w:bodyDiv w:val="1"/>
      <w:marLeft w:val="0"/>
      <w:marRight w:val="0"/>
      <w:marTop w:val="0"/>
      <w:marBottom w:val="0"/>
      <w:divBdr>
        <w:top w:val="none" w:sz="0" w:space="0" w:color="auto"/>
        <w:left w:val="none" w:sz="0" w:space="0" w:color="auto"/>
        <w:bottom w:val="none" w:sz="0" w:space="0" w:color="auto"/>
        <w:right w:val="none" w:sz="0" w:space="0" w:color="auto"/>
      </w:divBdr>
    </w:div>
    <w:div w:id="297489648">
      <w:bodyDiv w:val="1"/>
      <w:marLeft w:val="0"/>
      <w:marRight w:val="0"/>
      <w:marTop w:val="0"/>
      <w:marBottom w:val="0"/>
      <w:divBdr>
        <w:top w:val="none" w:sz="0" w:space="0" w:color="auto"/>
        <w:left w:val="none" w:sz="0" w:space="0" w:color="auto"/>
        <w:bottom w:val="none" w:sz="0" w:space="0" w:color="auto"/>
        <w:right w:val="none" w:sz="0" w:space="0" w:color="auto"/>
      </w:divBdr>
    </w:div>
    <w:div w:id="305815945">
      <w:bodyDiv w:val="1"/>
      <w:marLeft w:val="0"/>
      <w:marRight w:val="0"/>
      <w:marTop w:val="0"/>
      <w:marBottom w:val="0"/>
      <w:divBdr>
        <w:top w:val="none" w:sz="0" w:space="0" w:color="auto"/>
        <w:left w:val="none" w:sz="0" w:space="0" w:color="auto"/>
        <w:bottom w:val="none" w:sz="0" w:space="0" w:color="auto"/>
        <w:right w:val="none" w:sz="0" w:space="0" w:color="auto"/>
      </w:divBdr>
    </w:div>
    <w:div w:id="307514094">
      <w:bodyDiv w:val="1"/>
      <w:marLeft w:val="0"/>
      <w:marRight w:val="0"/>
      <w:marTop w:val="0"/>
      <w:marBottom w:val="0"/>
      <w:divBdr>
        <w:top w:val="none" w:sz="0" w:space="0" w:color="auto"/>
        <w:left w:val="none" w:sz="0" w:space="0" w:color="auto"/>
        <w:bottom w:val="none" w:sz="0" w:space="0" w:color="auto"/>
        <w:right w:val="none" w:sz="0" w:space="0" w:color="auto"/>
      </w:divBdr>
      <w:divsChild>
        <w:div w:id="350842228">
          <w:marLeft w:val="0"/>
          <w:marRight w:val="0"/>
          <w:marTop w:val="0"/>
          <w:marBottom w:val="0"/>
          <w:divBdr>
            <w:top w:val="none" w:sz="0" w:space="0" w:color="auto"/>
            <w:left w:val="none" w:sz="0" w:space="0" w:color="auto"/>
            <w:bottom w:val="none" w:sz="0" w:space="0" w:color="auto"/>
            <w:right w:val="none" w:sz="0" w:space="0" w:color="auto"/>
          </w:divBdr>
          <w:divsChild>
            <w:div w:id="728109308">
              <w:marLeft w:val="0"/>
              <w:marRight w:val="0"/>
              <w:marTop w:val="0"/>
              <w:marBottom w:val="0"/>
              <w:divBdr>
                <w:top w:val="none" w:sz="0" w:space="0" w:color="auto"/>
                <w:left w:val="none" w:sz="0" w:space="0" w:color="auto"/>
                <w:bottom w:val="none" w:sz="0" w:space="0" w:color="auto"/>
                <w:right w:val="none" w:sz="0" w:space="0" w:color="auto"/>
              </w:divBdr>
              <w:divsChild>
                <w:div w:id="2003505277">
                  <w:marLeft w:val="0"/>
                  <w:marRight w:val="0"/>
                  <w:marTop w:val="0"/>
                  <w:marBottom w:val="0"/>
                  <w:divBdr>
                    <w:top w:val="none" w:sz="0" w:space="0" w:color="auto"/>
                    <w:left w:val="none" w:sz="0" w:space="0" w:color="auto"/>
                    <w:bottom w:val="none" w:sz="0" w:space="0" w:color="auto"/>
                    <w:right w:val="none" w:sz="0" w:space="0" w:color="auto"/>
                  </w:divBdr>
                  <w:divsChild>
                    <w:div w:id="1891841518">
                      <w:marLeft w:val="0"/>
                      <w:marRight w:val="0"/>
                      <w:marTop w:val="0"/>
                      <w:marBottom w:val="0"/>
                      <w:divBdr>
                        <w:top w:val="none" w:sz="0" w:space="0" w:color="auto"/>
                        <w:left w:val="none" w:sz="0" w:space="0" w:color="auto"/>
                        <w:bottom w:val="none" w:sz="0" w:space="0" w:color="auto"/>
                        <w:right w:val="none" w:sz="0" w:space="0" w:color="auto"/>
                      </w:divBdr>
                      <w:divsChild>
                        <w:div w:id="1922331796">
                          <w:marLeft w:val="0"/>
                          <w:marRight w:val="0"/>
                          <w:marTop w:val="0"/>
                          <w:marBottom w:val="0"/>
                          <w:divBdr>
                            <w:top w:val="none" w:sz="0" w:space="0" w:color="auto"/>
                            <w:left w:val="none" w:sz="0" w:space="0" w:color="auto"/>
                            <w:bottom w:val="none" w:sz="0" w:space="0" w:color="auto"/>
                            <w:right w:val="none" w:sz="0" w:space="0" w:color="auto"/>
                          </w:divBdr>
                          <w:divsChild>
                            <w:div w:id="704016455">
                              <w:marLeft w:val="0"/>
                              <w:marRight w:val="0"/>
                              <w:marTop w:val="0"/>
                              <w:marBottom w:val="0"/>
                              <w:divBdr>
                                <w:top w:val="none" w:sz="0" w:space="0" w:color="auto"/>
                                <w:left w:val="none" w:sz="0" w:space="0" w:color="auto"/>
                                <w:bottom w:val="none" w:sz="0" w:space="0" w:color="auto"/>
                                <w:right w:val="none" w:sz="0" w:space="0" w:color="auto"/>
                              </w:divBdr>
                              <w:divsChild>
                                <w:div w:id="951010703">
                                  <w:marLeft w:val="0"/>
                                  <w:marRight w:val="0"/>
                                  <w:marTop w:val="0"/>
                                  <w:marBottom w:val="0"/>
                                  <w:divBdr>
                                    <w:top w:val="none" w:sz="0" w:space="0" w:color="auto"/>
                                    <w:left w:val="none" w:sz="0" w:space="0" w:color="auto"/>
                                    <w:bottom w:val="none" w:sz="0" w:space="0" w:color="auto"/>
                                    <w:right w:val="none" w:sz="0" w:space="0" w:color="auto"/>
                                  </w:divBdr>
                                  <w:divsChild>
                                    <w:div w:id="56907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320257">
      <w:bodyDiv w:val="1"/>
      <w:marLeft w:val="0"/>
      <w:marRight w:val="0"/>
      <w:marTop w:val="0"/>
      <w:marBottom w:val="0"/>
      <w:divBdr>
        <w:top w:val="none" w:sz="0" w:space="0" w:color="auto"/>
        <w:left w:val="none" w:sz="0" w:space="0" w:color="auto"/>
        <w:bottom w:val="none" w:sz="0" w:space="0" w:color="auto"/>
        <w:right w:val="none" w:sz="0" w:space="0" w:color="auto"/>
      </w:divBdr>
    </w:div>
    <w:div w:id="506941674">
      <w:bodyDiv w:val="1"/>
      <w:marLeft w:val="0"/>
      <w:marRight w:val="0"/>
      <w:marTop w:val="0"/>
      <w:marBottom w:val="0"/>
      <w:divBdr>
        <w:top w:val="none" w:sz="0" w:space="0" w:color="auto"/>
        <w:left w:val="none" w:sz="0" w:space="0" w:color="auto"/>
        <w:bottom w:val="none" w:sz="0" w:space="0" w:color="auto"/>
        <w:right w:val="none" w:sz="0" w:space="0" w:color="auto"/>
      </w:divBdr>
      <w:divsChild>
        <w:div w:id="759519539">
          <w:marLeft w:val="0"/>
          <w:marRight w:val="0"/>
          <w:marTop w:val="0"/>
          <w:marBottom w:val="0"/>
          <w:divBdr>
            <w:top w:val="none" w:sz="0" w:space="0" w:color="auto"/>
            <w:left w:val="none" w:sz="0" w:space="0" w:color="auto"/>
            <w:bottom w:val="none" w:sz="0" w:space="0" w:color="auto"/>
            <w:right w:val="none" w:sz="0" w:space="0" w:color="auto"/>
          </w:divBdr>
          <w:divsChild>
            <w:div w:id="2031905831">
              <w:marLeft w:val="0"/>
              <w:marRight w:val="0"/>
              <w:marTop w:val="0"/>
              <w:marBottom w:val="0"/>
              <w:divBdr>
                <w:top w:val="none" w:sz="0" w:space="0" w:color="auto"/>
                <w:left w:val="none" w:sz="0" w:space="0" w:color="auto"/>
                <w:bottom w:val="none" w:sz="0" w:space="0" w:color="auto"/>
                <w:right w:val="none" w:sz="0" w:space="0" w:color="auto"/>
              </w:divBdr>
              <w:divsChild>
                <w:div w:id="1715547022">
                  <w:marLeft w:val="0"/>
                  <w:marRight w:val="0"/>
                  <w:marTop w:val="0"/>
                  <w:marBottom w:val="0"/>
                  <w:divBdr>
                    <w:top w:val="none" w:sz="0" w:space="0" w:color="auto"/>
                    <w:left w:val="none" w:sz="0" w:space="0" w:color="auto"/>
                    <w:bottom w:val="none" w:sz="0" w:space="0" w:color="auto"/>
                    <w:right w:val="none" w:sz="0" w:space="0" w:color="auto"/>
                  </w:divBdr>
                  <w:divsChild>
                    <w:div w:id="442579247">
                      <w:marLeft w:val="0"/>
                      <w:marRight w:val="0"/>
                      <w:marTop w:val="0"/>
                      <w:marBottom w:val="0"/>
                      <w:divBdr>
                        <w:top w:val="none" w:sz="0" w:space="0" w:color="auto"/>
                        <w:left w:val="none" w:sz="0" w:space="0" w:color="auto"/>
                        <w:bottom w:val="none" w:sz="0" w:space="0" w:color="auto"/>
                        <w:right w:val="none" w:sz="0" w:space="0" w:color="auto"/>
                      </w:divBdr>
                      <w:divsChild>
                        <w:div w:id="1528132767">
                          <w:marLeft w:val="0"/>
                          <w:marRight w:val="0"/>
                          <w:marTop w:val="0"/>
                          <w:marBottom w:val="0"/>
                          <w:divBdr>
                            <w:top w:val="none" w:sz="0" w:space="0" w:color="auto"/>
                            <w:left w:val="none" w:sz="0" w:space="0" w:color="auto"/>
                            <w:bottom w:val="none" w:sz="0" w:space="0" w:color="auto"/>
                            <w:right w:val="none" w:sz="0" w:space="0" w:color="auto"/>
                          </w:divBdr>
                          <w:divsChild>
                            <w:div w:id="1132554316">
                              <w:marLeft w:val="0"/>
                              <w:marRight w:val="0"/>
                              <w:marTop w:val="0"/>
                              <w:marBottom w:val="0"/>
                              <w:divBdr>
                                <w:top w:val="none" w:sz="0" w:space="0" w:color="auto"/>
                                <w:left w:val="none" w:sz="0" w:space="0" w:color="auto"/>
                                <w:bottom w:val="none" w:sz="0" w:space="0" w:color="auto"/>
                                <w:right w:val="none" w:sz="0" w:space="0" w:color="auto"/>
                              </w:divBdr>
                              <w:divsChild>
                                <w:div w:id="642854016">
                                  <w:marLeft w:val="0"/>
                                  <w:marRight w:val="0"/>
                                  <w:marTop w:val="0"/>
                                  <w:marBottom w:val="0"/>
                                  <w:divBdr>
                                    <w:top w:val="none" w:sz="0" w:space="0" w:color="auto"/>
                                    <w:left w:val="none" w:sz="0" w:space="0" w:color="auto"/>
                                    <w:bottom w:val="none" w:sz="0" w:space="0" w:color="auto"/>
                                    <w:right w:val="none" w:sz="0" w:space="0" w:color="auto"/>
                                  </w:divBdr>
                                  <w:divsChild>
                                    <w:div w:id="111293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022350">
      <w:bodyDiv w:val="1"/>
      <w:marLeft w:val="0"/>
      <w:marRight w:val="0"/>
      <w:marTop w:val="0"/>
      <w:marBottom w:val="0"/>
      <w:divBdr>
        <w:top w:val="none" w:sz="0" w:space="0" w:color="auto"/>
        <w:left w:val="none" w:sz="0" w:space="0" w:color="auto"/>
        <w:bottom w:val="none" w:sz="0" w:space="0" w:color="auto"/>
        <w:right w:val="none" w:sz="0" w:space="0" w:color="auto"/>
      </w:divBdr>
    </w:div>
    <w:div w:id="573977070">
      <w:bodyDiv w:val="1"/>
      <w:marLeft w:val="0"/>
      <w:marRight w:val="0"/>
      <w:marTop w:val="0"/>
      <w:marBottom w:val="0"/>
      <w:divBdr>
        <w:top w:val="none" w:sz="0" w:space="0" w:color="auto"/>
        <w:left w:val="none" w:sz="0" w:space="0" w:color="auto"/>
        <w:bottom w:val="none" w:sz="0" w:space="0" w:color="auto"/>
        <w:right w:val="none" w:sz="0" w:space="0" w:color="auto"/>
      </w:divBdr>
    </w:div>
    <w:div w:id="593979254">
      <w:bodyDiv w:val="1"/>
      <w:marLeft w:val="0"/>
      <w:marRight w:val="0"/>
      <w:marTop w:val="0"/>
      <w:marBottom w:val="0"/>
      <w:divBdr>
        <w:top w:val="none" w:sz="0" w:space="0" w:color="auto"/>
        <w:left w:val="none" w:sz="0" w:space="0" w:color="auto"/>
        <w:bottom w:val="none" w:sz="0" w:space="0" w:color="auto"/>
        <w:right w:val="none" w:sz="0" w:space="0" w:color="auto"/>
      </w:divBdr>
    </w:div>
    <w:div w:id="619917687">
      <w:bodyDiv w:val="1"/>
      <w:marLeft w:val="0"/>
      <w:marRight w:val="0"/>
      <w:marTop w:val="0"/>
      <w:marBottom w:val="0"/>
      <w:divBdr>
        <w:top w:val="none" w:sz="0" w:space="0" w:color="auto"/>
        <w:left w:val="none" w:sz="0" w:space="0" w:color="auto"/>
        <w:bottom w:val="none" w:sz="0" w:space="0" w:color="auto"/>
        <w:right w:val="none" w:sz="0" w:space="0" w:color="auto"/>
      </w:divBdr>
    </w:div>
    <w:div w:id="631324631">
      <w:bodyDiv w:val="1"/>
      <w:marLeft w:val="0"/>
      <w:marRight w:val="0"/>
      <w:marTop w:val="0"/>
      <w:marBottom w:val="0"/>
      <w:divBdr>
        <w:top w:val="none" w:sz="0" w:space="0" w:color="auto"/>
        <w:left w:val="none" w:sz="0" w:space="0" w:color="auto"/>
        <w:bottom w:val="none" w:sz="0" w:space="0" w:color="auto"/>
        <w:right w:val="none" w:sz="0" w:space="0" w:color="auto"/>
      </w:divBdr>
    </w:div>
    <w:div w:id="679746394">
      <w:bodyDiv w:val="1"/>
      <w:marLeft w:val="0"/>
      <w:marRight w:val="0"/>
      <w:marTop w:val="0"/>
      <w:marBottom w:val="0"/>
      <w:divBdr>
        <w:top w:val="none" w:sz="0" w:space="0" w:color="auto"/>
        <w:left w:val="none" w:sz="0" w:space="0" w:color="auto"/>
        <w:bottom w:val="none" w:sz="0" w:space="0" w:color="auto"/>
        <w:right w:val="none" w:sz="0" w:space="0" w:color="auto"/>
      </w:divBdr>
    </w:div>
    <w:div w:id="746729125">
      <w:bodyDiv w:val="1"/>
      <w:marLeft w:val="0"/>
      <w:marRight w:val="0"/>
      <w:marTop w:val="0"/>
      <w:marBottom w:val="0"/>
      <w:divBdr>
        <w:top w:val="none" w:sz="0" w:space="0" w:color="auto"/>
        <w:left w:val="none" w:sz="0" w:space="0" w:color="auto"/>
        <w:bottom w:val="none" w:sz="0" w:space="0" w:color="auto"/>
        <w:right w:val="none" w:sz="0" w:space="0" w:color="auto"/>
      </w:divBdr>
    </w:div>
    <w:div w:id="769155284">
      <w:bodyDiv w:val="1"/>
      <w:marLeft w:val="0"/>
      <w:marRight w:val="0"/>
      <w:marTop w:val="0"/>
      <w:marBottom w:val="0"/>
      <w:divBdr>
        <w:top w:val="none" w:sz="0" w:space="0" w:color="auto"/>
        <w:left w:val="none" w:sz="0" w:space="0" w:color="auto"/>
        <w:bottom w:val="none" w:sz="0" w:space="0" w:color="auto"/>
        <w:right w:val="none" w:sz="0" w:space="0" w:color="auto"/>
      </w:divBdr>
    </w:div>
    <w:div w:id="824278982">
      <w:bodyDiv w:val="1"/>
      <w:marLeft w:val="0"/>
      <w:marRight w:val="0"/>
      <w:marTop w:val="0"/>
      <w:marBottom w:val="0"/>
      <w:divBdr>
        <w:top w:val="none" w:sz="0" w:space="0" w:color="auto"/>
        <w:left w:val="none" w:sz="0" w:space="0" w:color="auto"/>
        <w:bottom w:val="none" w:sz="0" w:space="0" w:color="auto"/>
        <w:right w:val="none" w:sz="0" w:space="0" w:color="auto"/>
      </w:divBdr>
      <w:divsChild>
        <w:div w:id="302926314">
          <w:marLeft w:val="0"/>
          <w:marRight w:val="0"/>
          <w:marTop w:val="0"/>
          <w:marBottom w:val="0"/>
          <w:divBdr>
            <w:top w:val="none" w:sz="0" w:space="0" w:color="auto"/>
            <w:left w:val="none" w:sz="0" w:space="0" w:color="auto"/>
            <w:bottom w:val="none" w:sz="0" w:space="0" w:color="auto"/>
            <w:right w:val="none" w:sz="0" w:space="0" w:color="auto"/>
          </w:divBdr>
          <w:divsChild>
            <w:div w:id="393509670">
              <w:marLeft w:val="0"/>
              <w:marRight w:val="0"/>
              <w:marTop w:val="0"/>
              <w:marBottom w:val="0"/>
              <w:divBdr>
                <w:top w:val="none" w:sz="0" w:space="0" w:color="auto"/>
                <w:left w:val="none" w:sz="0" w:space="0" w:color="auto"/>
                <w:bottom w:val="none" w:sz="0" w:space="0" w:color="auto"/>
                <w:right w:val="none" w:sz="0" w:space="0" w:color="auto"/>
              </w:divBdr>
              <w:divsChild>
                <w:div w:id="1725716587">
                  <w:marLeft w:val="0"/>
                  <w:marRight w:val="0"/>
                  <w:marTop w:val="0"/>
                  <w:marBottom w:val="0"/>
                  <w:divBdr>
                    <w:top w:val="none" w:sz="0" w:space="0" w:color="auto"/>
                    <w:left w:val="none" w:sz="0" w:space="0" w:color="auto"/>
                    <w:bottom w:val="none" w:sz="0" w:space="0" w:color="auto"/>
                    <w:right w:val="none" w:sz="0" w:space="0" w:color="auto"/>
                  </w:divBdr>
                  <w:divsChild>
                    <w:div w:id="121579368">
                      <w:marLeft w:val="0"/>
                      <w:marRight w:val="0"/>
                      <w:marTop w:val="0"/>
                      <w:marBottom w:val="0"/>
                      <w:divBdr>
                        <w:top w:val="none" w:sz="0" w:space="0" w:color="auto"/>
                        <w:left w:val="none" w:sz="0" w:space="0" w:color="auto"/>
                        <w:bottom w:val="none" w:sz="0" w:space="0" w:color="auto"/>
                        <w:right w:val="none" w:sz="0" w:space="0" w:color="auto"/>
                      </w:divBdr>
                      <w:divsChild>
                        <w:div w:id="1109082750">
                          <w:marLeft w:val="0"/>
                          <w:marRight w:val="0"/>
                          <w:marTop w:val="0"/>
                          <w:marBottom w:val="0"/>
                          <w:divBdr>
                            <w:top w:val="none" w:sz="0" w:space="0" w:color="auto"/>
                            <w:left w:val="none" w:sz="0" w:space="0" w:color="auto"/>
                            <w:bottom w:val="none" w:sz="0" w:space="0" w:color="auto"/>
                            <w:right w:val="none" w:sz="0" w:space="0" w:color="auto"/>
                          </w:divBdr>
                          <w:divsChild>
                            <w:div w:id="1129972614">
                              <w:marLeft w:val="0"/>
                              <w:marRight w:val="0"/>
                              <w:marTop w:val="0"/>
                              <w:marBottom w:val="0"/>
                              <w:divBdr>
                                <w:top w:val="none" w:sz="0" w:space="0" w:color="auto"/>
                                <w:left w:val="none" w:sz="0" w:space="0" w:color="auto"/>
                                <w:bottom w:val="none" w:sz="0" w:space="0" w:color="auto"/>
                                <w:right w:val="none" w:sz="0" w:space="0" w:color="auto"/>
                              </w:divBdr>
                              <w:divsChild>
                                <w:div w:id="2106414017">
                                  <w:marLeft w:val="0"/>
                                  <w:marRight w:val="0"/>
                                  <w:marTop w:val="0"/>
                                  <w:marBottom w:val="0"/>
                                  <w:divBdr>
                                    <w:top w:val="none" w:sz="0" w:space="0" w:color="auto"/>
                                    <w:left w:val="none" w:sz="0" w:space="0" w:color="auto"/>
                                    <w:bottom w:val="none" w:sz="0" w:space="0" w:color="auto"/>
                                    <w:right w:val="none" w:sz="0" w:space="0" w:color="auto"/>
                                  </w:divBdr>
                                  <w:divsChild>
                                    <w:div w:id="6136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590499">
      <w:bodyDiv w:val="1"/>
      <w:marLeft w:val="0"/>
      <w:marRight w:val="0"/>
      <w:marTop w:val="0"/>
      <w:marBottom w:val="0"/>
      <w:divBdr>
        <w:top w:val="none" w:sz="0" w:space="0" w:color="auto"/>
        <w:left w:val="none" w:sz="0" w:space="0" w:color="auto"/>
        <w:bottom w:val="none" w:sz="0" w:space="0" w:color="auto"/>
        <w:right w:val="none" w:sz="0" w:space="0" w:color="auto"/>
      </w:divBdr>
    </w:div>
    <w:div w:id="931862049">
      <w:bodyDiv w:val="1"/>
      <w:marLeft w:val="0"/>
      <w:marRight w:val="0"/>
      <w:marTop w:val="0"/>
      <w:marBottom w:val="0"/>
      <w:divBdr>
        <w:top w:val="none" w:sz="0" w:space="0" w:color="auto"/>
        <w:left w:val="none" w:sz="0" w:space="0" w:color="auto"/>
        <w:bottom w:val="none" w:sz="0" w:space="0" w:color="auto"/>
        <w:right w:val="none" w:sz="0" w:space="0" w:color="auto"/>
      </w:divBdr>
      <w:divsChild>
        <w:div w:id="805663633">
          <w:marLeft w:val="0"/>
          <w:marRight w:val="0"/>
          <w:marTop w:val="0"/>
          <w:marBottom w:val="0"/>
          <w:divBdr>
            <w:top w:val="none" w:sz="0" w:space="0" w:color="auto"/>
            <w:left w:val="none" w:sz="0" w:space="0" w:color="auto"/>
            <w:bottom w:val="none" w:sz="0" w:space="0" w:color="auto"/>
            <w:right w:val="none" w:sz="0" w:space="0" w:color="auto"/>
          </w:divBdr>
          <w:divsChild>
            <w:div w:id="1772967650">
              <w:marLeft w:val="0"/>
              <w:marRight w:val="0"/>
              <w:marTop w:val="0"/>
              <w:marBottom w:val="0"/>
              <w:divBdr>
                <w:top w:val="none" w:sz="0" w:space="0" w:color="auto"/>
                <w:left w:val="none" w:sz="0" w:space="0" w:color="auto"/>
                <w:bottom w:val="none" w:sz="0" w:space="0" w:color="auto"/>
                <w:right w:val="none" w:sz="0" w:space="0" w:color="auto"/>
              </w:divBdr>
              <w:divsChild>
                <w:div w:id="2113430845">
                  <w:marLeft w:val="0"/>
                  <w:marRight w:val="0"/>
                  <w:marTop w:val="0"/>
                  <w:marBottom w:val="0"/>
                  <w:divBdr>
                    <w:top w:val="none" w:sz="0" w:space="0" w:color="auto"/>
                    <w:left w:val="none" w:sz="0" w:space="0" w:color="auto"/>
                    <w:bottom w:val="none" w:sz="0" w:space="0" w:color="auto"/>
                    <w:right w:val="none" w:sz="0" w:space="0" w:color="auto"/>
                  </w:divBdr>
                  <w:divsChild>
                    <w:div w:id="310259588">
                      <w:marLeft w:val="0"/>
                      <w:marRight w:val="0"/>
                      <w:marTop w:val="0"/>
                      <w:marBottom w:val="0"/>
                      <w:divBdr>
                        <w:top w:val="none" w:sz="0" w:space="0" w:color="auto"/>
                        <w:left w:val="none" w:sz="0" w:space="0" w:color="auto"/>
                        <w:bottom w:val="none" w:sz="0" w:space="0" w:color="auto"/>
                        <w:right w:val="none" w:sz="0" w:space="0" w:color="auto"/>
                      </w:divBdr>
                      <w:divsChild>
                        <w:div w:id="314529572">
                          <w:marLeft w:val="0"/>
                          <w:marRight w:val="0"/>
                          <w:marTop w:val="0"/>
                          <w:marBottom w:val="0"/>
                          <w:divBdr>
                            <w:top w:val="none" w:sz="0" w:space="0" w:color="auto"/>
                            <w:left w:val="none" w:sz="0" w:space="0" w:color="auto"/>
                            <w:bottom w:val="none" w:sz="0" w:space="0" w:color="auto"/>
                            <w:right w:val="none" w:sz="0" w:space="0" w:color="auto"/>
                          </w:divBdr>
                          <w:divsChild>
                            <w:div w:id="899561052">
                              <w:marLeft w:val="0"/>
                              <w:marRight w:val="0"/>
                              <w:marTop w:val="0"/>
                              <w:marBottom w:val="0"/>
                              <w:divBdr>
                                <w:top w:val="none" w:sz="0" w:space="0" w:color="auto"/>
                                <w:left w:val="none" w:sz="0" w:space="0" w:color="auto"/>
                                <w:bottom w:val="none" w:sz="0" w:space="0" w:color="auto"/>
                                <w:right w:val="none" w:sz="0" w:space="0" w:color="auto"/>
                              </w:divBdr>
                              <w:divsChild>
                                <w:div w:id="500434052">
                                  <w:marLeft w:val="0"/>
                                  <w:marRight w:val="0"/>
                                  <w:marTop w:val="0"/>
                                  <w:marBottom w:val="0"/>
                                  <w:divBdr>
                                    <w:top w:val="none" w:sz="0" w:space="0" w:color="auto"/>
                                    <w:left w:val="none" w:sz="0" w:space="0" w:color="auto"/>
                                    <w:bottom w:val="none" w:sz="0" w:space="0" w:color="auto"/>
                                    <w:right w:val="none" w:sz="0" w:space="0" w:color="auto"/>
                                  </w:divBdr>
                                  <w:divsChild>
                                    <w:div w:id="205488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407052">
      <w:bodyDiv w:val="1"/>
      <w:marLeft w:val="0"/>
      <w:marRight w:val="0"/>
      <w:marTop w:val="0"/>
      <w:marBottom w:val="0"/>
      <w:divBdr>
        <w:top w:val="none" w:sz="0" w:space="0" w:color="auto"/>
        <w:left w:val="none" w:sz="0" w:space="0" w:color="auto"/>
        <w:bottom w:val="none" w:sz="0" w:space="0" w:color="auto"/>
        <w:right w:val="none" w:sz="0" w:space="0" w:color="auto"/>
      </w:divBdr>
    </w:div>
    <w:div w:id="959840894">
      <w:bodyDiv w:val="1"/>
      <w:marLeft w:val="0"/>
      <w:marRight w:val="0"/>
      <w:marTop w:val="0"/>
      <w:marBottom w:val="0"/>
      <w:divBdr>
        <w:top w:val="none" w:sz="0" w:space="0" w:color="auto"/>
        <w:left w:val="none" w:sz="0" w:space="0" w:color="auto"/>
        <w:bottom w:val="none" w:sz="0" w:space="0" w:color="auto"/>
        <w:right w:val="none" w:sz="0" w:space="0" w:color="auto"/>
      </w:divBdr>
    </w:div>
    <w:div w:id="963001248">
      <w:bodyDiv w:val="1"/>
      <w:marLeft w:val="0"/>
      <w:marRight w:val="0"/>
      <w:marTop w:val="0"/>
      <w:marBottom w:val="0"/>
      <w:divBdr>
        <w:top w:val="none" w:sz="0" w:space="0" w:color="auto"/>
        <w:left w:val="none" w:sz="0" w:space="0" w:color="auto"/>
        <w:bottom w:val="none" w:sz="0" w:space="0" w:color="auto"/>
        <w:right w:val="none" w:sz="0" w:space="0" w:color="auto"/>
      </w:divBdr>
    </w:div>
    <w:div w:id="976645452">
      <w:bodyDiv w:val="1"/>
      <w:marLeft w:val="0"/>
      <w:marRight w:val="0"/>
      <w:marTop w:val="0"/>
      <w:marBottom w:val="0"/>
      <w:divBdr>
        <w:top w:val="none" w:sz="0" w:space="0" w:color="auto"/>
        <w:left w:val="none" w:sz="0" w:space="0" w:color="auto"/>
        <w:bottom w:val="none" w:sz="0" w:space="0" w:color="auto"/>
        <w:right w:val="none" w:sz="0" w:space="0" w:color="auto"/>
      </w:divBdr>
    </w:div>
    <w:div w:id="987631798">
      <w:bodyDiv w:val="1"/>
      <w:marLeft w:val="0"/>
      <w:marRight w:val="0"/>
      <w:marTop w:val="0"/>
      <w:marBottom w:val="0"/>
      <w:divBdr>
        <w:top w:val="none" w:sz="0" w:space="0" w:color="auto"/>
        <w:left w:val="none" w:sz="0" w:space="0" w:color="auto"/>
        <w:bottom w:val="none" w:sz="0" w:space="0" w:color="auto"/>
        <w:right w:val="none" w:sz="0" w:space="0" w:color="auto"/>
      </w:divBdr>
      <w:divsChild>
        <w:div w:id="653873176">
          <w:marLeft w:val="0"/>
          <w:marRight w:val="0"/>
          <w:marTop w:val="0"/>
          <w:marBottom w:val="0"/>
          <w:divBdr>
            <w:top w:val="none" w:sz="0" w:space="0" w:color="auto"/>
            <w:left w:val="none" w:sz="0" w:space="0" w:color="auto"/>
            <w:bottom w:val="none" w:sz="0" w:space="0" w:color="auto"/>
            <w:right w:val="none" w:sz="0" w:space="0" w:color="auto"/>
          </w:divBdr>
          <w:divsChild>
            <w:div w:id="1178496769">
              <w:marLeft w:val="0"/>
              <w:marRight w:val="0"/>
              <w:marTop w:val="0"/>
              <w:marBottom w:val="0"/>
              <w:divBdr>
                <w:top w:val="none" w:sz="0" w:space="0" w:color="auto"/>
                <w:left w:val="none" w:sz="0" w:space="0" w:color="auto"/>
                <w:bottom w:val="none" w:sz="0" w:space="0" w:color="auto"/>
                <w:right w:val="none" w:sz="0" w:space="0" w:color="auto"/>
              </w:divBdr>
              <w:divsChild>
                <w:div w:id="139930205">
                  <w:marLeft w:val="0"/>
                  <w:marRight w:val="0"/>
                  <w:marTop w:val="0"/>
                  <w:marBottom w:val="0"/>
                  <w:divBdr>
                    <w:top w:val="none" w:sz="0" w:space="0" w:color="auto"/>
                    <w:left w:val="none" w:sz="0" w:space="0" w:color="auto"/>
                    <w:bottom w:val="none" w:sz="0" w:space="0" w:color="auto"/>
                    <w:right w:val="none" w:sz="0" w:space="0" w:color="auto"/>
                  </w:divBdr>
                  <w:divsChild>
                    <w:div w:id="650870706">
                      <w:marLeft w:val="0"/>
                      <w:marRight w:val="0"/>
                      <w:marTop w:val="0"/>
                      <w:marBottom w:val="0"/>
                      <w:divBdr>
                        <w:top w:val="none" w:sz="0" w:space="0" w:color="auto"/>
                        <w:left w:val="none" w:sz="0" w:space="0" w:color="auto"/>
                        <w:bottom w:val="none" w:sz="0" w:space="0" w:color="auto"/>
                        <w:right w:val="none" w:sz="0" w:space="0" w:color="auto"/>
                      </w:divBdr>
                      <w:divsChild>
                        <w:div w:id="1305811170">
                          <w:marLeft w:val="0"/>
                          <w:marRight w:val="0"/>
                          <w:marTop w:val="0"/>
                          <w:marBottom w:val="0"/>
                          <w:divBdr>
                            <w:top w:val="none" w:sz="0" w:space="0" w:color="auto"/>
                            <w:left w:val="none" w:sz="0" w:space="0" w:color="auto"/>
                            <w:bottom w:val="none" w:sz="0" w:space="0" w:color="auto"/>
                            <w:right w:val="none" w:sz="0" w:space="0" w:color="auto"/>
                          </w:divBdr>
                          <w:divsChild>
                            <w:div w:id="1582060595">
                              <w:marLeft w:val="0"/>
                              <w:marRight w:val="0"/>
                              <w:marTop w:val="0"/>
                              <w:marBottom w:val="0"/>
                              <w:divBdr>
                                <w:top w:val="none" w:sz="0" w:space="0" w:color="auto"/>
                                <w:left w:val="none" w:sz="0" w:space="0" w:color="auto"/>
                                <w:bottom w:val="none" w:sz="0" w:space="0" w:color="auto"/>
                                <w:right w:val="none" w:sz="0" w:space="0" w:color="auto"/>
                              </w:divBdr>
                              <w:divsChild>
                                <w:div w:id="757945682">
                                  <w:marLeft w:val="0"/>
                                  <w:marRight w:val="0"/>
                                  <w:marTop w:val="0"/>
                                  <w:marBottom w:val="0"/>
                                  <w:divBdr>
                                    <w:top w:val="none" w:sz="0" w:space="0" w:color="auto"/>
                                    <w:left w:val="none" w:sz="0" w:space="0" w:color="auto"/>
                                    <w:bottom w:val="none" w:sz="0" w:space="0" w:color="auto"/>
                                    <w:right w:val="none" w:sz="0" w:space="0" w:color="auto"/>
                                  </w:divBdr>
                                  <w:divsChild>
                                    <w:div w:id="187703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998712">
      <w:bodyDiv w:val="1"/>
      <w:marLeft w:val="0"/>
      <w:marRight w:val="0"/>
      <w:marTop w:val="0"/>
      <w:marBottom w:val="0"/>
      <w:divBdr>
        <w:top w:val="none" w:sz="0" w:space="0" w:color="auto"/>
        <w:left w:val="none" w:sz="0" w:space="0" w:color="auto"/>
        <w:bottom w:val="none" w:sz="0" w:space="0" w:color="auto"/>
        <w:right w:val="none" w:sz="0" w:space="0" w:color="auto"/>
      </w:divBdr>
    </w:div>
    <w:div w:id="1025715051">
      <w:bodyDiv w:val="1"/>
      <w:marLeft w:val="0"/>
      <w:marRight w:val="0"/>
      <w:marTop w:val="0"/>
      <w:marBottom w:val="0"/>
      <w:divBdr>
        <w:top w:val="none" w:sz="0" w:space="0" w:color="auto"/>
        <w:left w:val="none" w:sz="0" w:space="0" w:color="auto"/>
        <w:bottom w:val="none" w:sz="0" w:space="0" w:color="auto"/>
        <w:right w:val="none" w:sz="0" w:space="0" w:color="auto"/>
      </w:divBdr>
    </w:div>
    <w:div w:id="1032192338">
      <w:bodyDiv w:val="1"/>
      <w:marLeft w:val="0"/>
      <w:marRight w:val="0"/>
      <w:marTop w:val="0"/>
      <w:marBottom w:val="0"/>
      <w:divBdr>
        <w:top w:val="none" w:sz="0" w:space="0" w:color="auto"/>
        <w:left w:val="none" w:sz="0" w:space="0" w:color="auto"/>
        <w:bottom w:val="none" w:sz="0" w:space="0" w:color="auto"/>
        <w:right w:val="none" w:sz="0" w:space="0" w:color="auto"/>
      </w:divBdr>
    </w:div>
    <w:div w:id="1046183064">
      <w:bodyDiv w:val="1"/>
      <w:marLeft w:val="0"/>
      <w:marRight w:val="0"/>
      <w:marTop w:val="0"/>
      <w:marBottom w:val="0"/>
      <w:divBdr>
        <w:top w:val="none" w:sz="0" w:space="0" w:color="auto"/>
        <w:left w:val="none" w:sz="0" w:space="0" w:color="auto"/>
        <w:bottom w:val="none" w:sz="0" w:space="0" w:color="auto"/>
        <w:right w:val="none" w:sz="0" w:space="0" w:color="auto"/>
      </w:divBdr>
    </w:div>
    <w:div w:id="1090542754">
      <w:bodyDiv w:val="1"/>
      <w:marLeft w:val="0"/>
      <w:marRight w:val="0"/>
      <w:marTop w:val="0"/>
      <w:marBottom w:val="0"/>
      <w:divBdr>
        <w:top w:val="none" w:sz="0" w:space="0" w:color="auto"/>
        <w:left w:val="none" w:sz="0" w:space="0" w:color="auto"/>
        <w:bottom w:val="none" w:sz="0" w:space="0" w:color="auto"/>
        <w:right w:val="none" w:sz="0" w:space="0" w:color="auto"/>
      </w:divBdr>
    </w:div>
    <w:div w:id="1103306919">
      <w:bodyDiv w:val="1"/>
      <w:marLeft w:val="0"/>
      <w:marRight w:val="0"/>
      <w:marTop w:val="0"/>
      <w:marBottom w:val="0"/>
      <w:divBdr>
        <w:top w:val="none" w:sz="0" w:space="0" w:color="auto"/>
        <w:left w:val="none" w:sz="0" w:space="0" w:color="auto"/>
        <w:bottom w:val="none" w:sz="0" w:space="0" w:color="auto"/>
        <w:right w:val="none" w:sz="0" w:space="0" w:color="auto"/>
      </w:divBdr>
    </w:div>
    <w:div w:id="1108622148">
      <w:bodyDiv w:val="1"/>
      <w:marLeft w:val="0"/>
      <w:marRight w:val="0"/>
      <w:marTop w:val="0"/>
      <w:marBottom w:val="0"/>
      <w:divBdr>
        <w:top w:val="none" w:sz="0" w:space="0" w:color="auto"/>
        <w:left w:val="none" w:sz="0" w:space="0" w:color="auto"/>
        <w:bottom w:val="none" w:sz="0" w:space="0" w:color="auto"/>
        <w:right w:val="none" w:sz="0" w:space="0" w:color="auto"/>
      </w:divBdr>
    </w:div>
    <w:div w:id="1150445513">
      <w:bodyDiv w:val="1"/>
      <w:marLeft w:val="0"/>
      <w:marRight w:val="0"/>
      <w:marTop w:val="0"/>
      <w:marBottom w:val="0"/>
      <w:divBdr>
        <w:top w:val="none" w:sz="0" w:space="0" w:color="auto"/>
        <w:left w:val="none" w:sz="0" w:space="0" w:color="auto"/>
        <w:bottom w:val="none" w:sz="0" w:space="0" w:color="auto"/>
        <w:right w:val="none" w:sz="0" w:space="0" w:color="auto"/>
      </w:divBdr>
    </w:div>
    <w:div w:id="1209535358">
      <w:bodyDiv w:val="1"/>
      <w:marLeft w:val="0"/>
      <w:marRight w:val="0"/>
      <w:marTop w:val="0"/>
      <w:marBottom w:val="0"/>
      <w:divBdr>
        <w:top w:val="none" w:sz="0" w:space="0" w:color="auto"/>
        <w:left w:val="none" w:sz="0" w:space="0" w:color="auto"/>
        <w:bottom w:val="none" w:sz="0" w:space="0" w:color="auto"/>
        <w:right w:val="none" w:sz="0" w:space="0" w:color="auto"/>
      </w:divBdr>
    </w:div>
    <w:div w:id="1241476619">
      <w:bodyDiv w:val="1"/>
      <w:marLeft w:val="0"/>
      <w:marRight w:val="0"/>
      <w:marTop w:val="0"/>
      <w:marBottom w:val="0"/>
      <w:divBdr>
        <w:top w:val="none" w:sz="0" w:space="0" w:color="auto"/>
        <w:left w:val="none" w:sz="0" w:space="0" w:color="auto"/>
        <w:bottom w:val="none" w:sz="0" w:space="0" w:color="auto"/>
        <w:right w:val="none" w:sz="0" w:space="0" w:color="auto"/>
      </w:divBdr>
    </w:div>
    <w:div w:id="1247306059">
      <w:bodyDiv w:val="1"/>
      <w:marLeft w:val="0"/>
      <w:marRight w:val="0"/>
      <w:marTop w:val="0"/>
      <w:marBottom w:val="0"/>
      <w:divBdr>
        <w:top w:val="none" w:sz="0" w:space="0" w:color="auto"/>
        <w:left w:val="none" w:sz="0" w:space="0" w:color="auto"/>
        <w:bottom w:val="none" w:sz="0" w:space="0" w:color="auto"/>
        <w:right w:val="none" w:sz="0" w:space="0" w:color="auto"/>
      </w:divBdr>
    </w:div>
    <w:div w:id="1290235276">
      <w:bodyDiv w:val="1"/>
      <w:marLeft w:val="0"/>
      <w:marRight w:val="0"/>
      <w:marTop w:val="0"/>
      <w:marBottom w:val="0"/>
      <w:divBdr>
        <w:top w:val="none" w:sz="0" w:space="0" w:color="auto"/>
        <w:left w:val="none" w:sz="0" w:space="0" w:color="auto"/>
        <w:bottom w:val="none" w:sz="0" w:space="0" w:color="auto"/>
        <w:right w:val="none" w:sz="0" w:space="0" w:color="auto"/>
      </w:divBdr>
    </w:div>
    <w:div w:id="1292177461">
      <w:bodyDiv w:val="1"/>
      <w:marLeft w:val="0"/>
      <w:marRight w:val="0"/>
      <w:marTop w:val="0"/>
      <w:marBottom w:val="0"/>
      <w:divBdr>
        <w:top w:val="none" w:sz="0" w:space="0" w:color="auto"/>
        <w:left w:val="none" w:sz="0" w:space="0" w:color="auto"/>
        <w:bottom w:val="none" w:sz="0" w:space="0" w:color="auto"/>
        <w:right w:val="none" w:sz="0" w:space="0" w:color="auto"/>
      </w:divBdr>
    </w:div>
    <w:div w:id="1374422380">
      <w:bodyDiv w:val="1"/>
      <w:marLeft w:val="0"/>
      <w:marRight w:val="0"/>
      <w:marTop w:val="0"/>
      <w:marBottom w:val="0"/>
      <w:divBdr>
        <w:top w:val="none" w:sz="0" w:space="0" w:color="auto"/>
        <w:left w:val="none" w:sz="0" w:space="0" w:color="auto"/>
        <w:bottom w:val="none" w:sz="0" w:space="0" w:color="auto"/>
        <w:right w:val="none" w:sz="0" w:space="0" w:color="auto"/>
      </w:divBdr>
    </w:div>
    <w:div w:id="1422487391">
      <w:bodyDiv w:val="1"/>
      <w:marLeft w:val="0"/>
      <w:marRight w:val="0"/>
      <w:marTop w:val="0"/>
      <w:marBottom w:val="0"/>
      <w:divBdr>
        <w:top w:val="none" w:sz="0" w:space="0" w:color="auto"/>
        <w:left w:val="none" w:sz="0" w:space="0" w:color="auto"/>
        <w:bottom w:val="none" w:sz="0" w:space="0" w:color="auto"/>
        <w:right w:val="none" w:sz="0" w:space="0" w:color="auto"/>
      </w:divBdr>
    </w:div>
    <w:div w:id="1462191711">
      <w:bodyDiv w:val="1"/>
      <w:marLeft w:val="0"/>
      <w:marRight w:val="0"/>
      <w:marTop w:val="0"/>
      <w:marBottom w:val="0"/>
      <w:divBdr>
        <w:top w:val="none" w:sz="0" w:space="0" w:color="auto"/>
        <w:left w:val="none" w:sz="0" w:space="0" w:color="auto"/>
        <w:bottom w:val="none" w:sz="0" w:space="0" w:color="auto"/>
        <w:right w:val="none" w:sz="0" w:space="0" w:color="auto"/>
      </w:divBdr>
    </w:div>
    <w:div w:id="1485390313">
      <w:bodyDiv w:val="1"/>
      <w:marLeft w:val="0"/>
      <w:marRight w:val="0"/>
      <w:marTop w:val="0"/>
      <w:marBottom w:val="0"/>
      <w:divBdr>
        <w:top w:val="none" w:sz="0" w:space="0" w:color="auto"/>
        <w:left w:val="none" w:sz="0" w:space="0" w:color="auto"/>
        <w:bottom w:val="none" w:sz="0" w:space="0" w:color="auto"/>
        <w:right w:val="none" w:sz="0" w:space="0" w:color="auto"/>
      </w:divBdr>
    </w:div>
    <w:div w:id="1534730129">
      <w:bodyDiv w:val="1"/>
      <w:marLeft w:val="0"/>
      <w:marRight w:val="0"/>
      <w:marTop w:val="0"/>
      <w:marBottom w:val="0"/>
      <w:divBdr>
        <w:top w:val="none" w:sz="0" w:space="0" w:color="auto"/>
        <w:left w:val="none" w:sz="0" w:space="0" w:color="auto"/>
        <w:bottom w:val="none" w:sz="0" w:space="0" w:color="auto"/>
        <w:right w:val="none" w:sz="0" w:space="0" w:color="auto"/>
      </w:divBdr>
    </w:div>
    <w:div w:id="1600791963">
      <w:bodyDiv w:val="1"/>
      <w:marLeft w:val="0"/>
      <w:marRight w:val="0"/>
      <w:marTop w:val="0"/>
      <w:marBottom w:val="0"/>
      <w:divBdr>
        <w:top w:val="none" w:sz="0" w:space="0" w:color="auto"/>
        <w:left w:val="none" w:sz="0" w:space="0" w:color="auto"/>
        <w:bottom w:val="none" w:sz="0" w:space="0" w:color="auto"/>
        <w:right w:val="none" w:sz="0" w:space="0" w:color="auto"/>
      </w:divBdr>
      <w:divsChild>
        <w:div w:id="2135638497">
          <w:marLeft w:val="0"/>
          <w:marRight w:val="0"/>
          <w:marTop w:val="0"/>
          <w:marBottom w:val="0"/>
          <w:divBdr>
            <w:top w:val="none" w:sz="0" w:space="0" w:color="auto"/>
            <w:left w:val="none" w:sz="0" w:space="0" w:color="auto"/>
            <w:bottom w:val="none" w:sz="0" w:space="0" w:color="auto"/>
            <w:right w:val="none" w:sz="0" w:space="0" w:color="auto"/>
          </w:divBdr>
          <w:divsChild>
            <w:div w:id="1957373498">
              <w:marLeft w:val="0"/>
              <w:marRight w:val="0"/>
              <w:marTop w:val="0"/>
              <w:marBottom w:val="0"/>
              <w:divBdr>
                <w:top w:val="none" w:sz="0" w:space="0" w:color="auto"/>
                <w:left w:val="none" w:sz="0" w:space="0" w:color="auto"/>
                <w:bottom w:val="none" w:sz="0" w:space="0" w:color="auto"/>
                <w:right w:val="none" w:sz="0" w:space="0" w:color="auto"/>
              </w:divBdr>
              <w:divsChild>
                <w:div w:id="1381977713">
                  <w:marLeft w:val="0"/>
                  <w:marRight w:val="0"/>
                  <w:marTop w:val="0"/>
                  <w:marBottom w:val="0"/>
                  <w:divBdr>
                    <w:top w:val="none" w:sz="0" w:space="0" w:color="auto"/>
                    <w:left w:val="none" w:sz="0" w:space="0" w:color="auto"/>
                    <w:bottom w:val="none" w:sz="0" w:space="0" w:color="auto"/>
                    <w:right w:val="none" w:sz="0" w:space="0" w:color="auto"/>
                  </w:divBdr>
                  <w:divsChild>
                    <w:div w:id="550458606">
                      <w:marLeft w:val="0"/>
                      <w:marRight w:val="0"/>
                      <w:marTop w:val="0"/>
                      <w:marBottom w:val="0"/>
                      <w:divBdr>
                        <w:top w:val="none" w:sz="0" w:space="0" w:color="auto"/>
                        <w:left w:val="none" w:sz="0" w:space="0" w:color="auto"/>
                        <w:bottom w:val="none" w:sz="0" w:space="0" w:color="auto"/>
                        <w:right w:val="none" w:sz="0" w:space="0" w:color="auto"/>
                      </w:divBdr>
                      <w:divsChild>
                        <w:div w:id="739983035">
                          <w:marLeft w:val="0"/>
                          <w:marRight w:val="0"/>
                          <w:marTop w:val="0"/>
                          <w:marBottom w:val="0"/>
                          <w:divBdr>
                            <w:top w:val="none" w:sz="0" w:space="0" w:color="auto"/>
                            <w:left w:val="none" w:sz="0" w:space="0" w:color="auto"/>
                            <w:bottom w:val="none" w:sz="0" w:space="0" w:color="auto"/>
                            <w:right w:val="none" w:sz="0" w:space="0" w:color="auto"/>
                          </w:divBdr>
                          <w:divsChild>
                            <w:div w:id="558513608">
                              <w:marLeft w:val="0"/>
                              <w:marRight w:val="0"/>
                              <w:marTop w:val="0"/>
                              <w:marBottom w:val="0"/>
                              <w:divBdr>
                                <w:top w:val="none" w:sz="0" w:space="0" w:color="auto"/>
                                <w:left w:val="none" w:sz="0" w:space="0" w:color="auto"/>
                                <w:bottom w:val="none" w:sz="0" w:space="0" w:color="auto"/>
                                <w:right w:val="none" w:sz="0" w:space="0" w:color="auto"/>
                              </w:divBdr>
                              <w:divsChild>
                                <w:div w:id="1332951138">
                                  <w:marLeft w:val="0"/>
                                  <w:marRight w:val="0"/>
                                  <w:marTop w:val="0"/>
                                  <w:marBottom w:val="0"/>
                                  <w:divBdr>
                                    <w:top w:val="none" w:sz="0" w:space="0" w:color="auto"/>
                                    <w:left w:val="none" w:sz="0" w:space="0" w:color="auto"/>
                                    <w:bottom w:val="none" w:sz="0" w:space="0" w:color="auto"/>
                                    <w:right w:val="none" w:sz="0" w:space="0" w:color="auto"/>
                                  </w:divBdr>
                                  <w:divsChild>
                                    <w:div w:id="203653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376051">
      <w:bodyDiv w:val="1"/>
      <w:marLeft w:val="0"/>
      <w:marRight w:val="0"/>
      <w:marTop w:val="0"/>
      <w:marBottom w:val="0"/>
      <w:divBdr>
        <w:top w:val="none" w:sz="0" w:space="0" w:color="auto"/>
        <w:left w:val="none" w:sz="0" w:space="0" w:color="auto"/>
        <w:bottom w:val="none" w:sz="0" w:space="0" w:color="auto"/>
        <w:right w:val="none" w:sz="0" w:space="0" w:color="auto"/>
      </w:divBdr>
      <w:divsChild>
        <w:div w:id="1477264384">
          <w:marLeft w:val="0"/>
          <w:marRight w:val="0"/>
          <w:marTop w:val="0"/>
          <w:marBottom w:val="0"/>
          <w:divBdr>
            <w:top w:val="none" w:sz="0" w:space="0" w:color="auto"/>
            <w:left w:val="none" w:sz="0" w:space="0" w:color="auto"/>
            <w:bottom w:val="none" w:sz="0" w:space="0" w:color="auto"/>
            <w:right w:val="none" w:sz="0" w:space="0" w:color="auto"/>
          </w:divBdr>
          <w:divsChild>
            <w:div w:id="1281767684">
              <w:marLeft w:val="0"/>
              <w:marRight w:val="0"/>
              <w:marTop w:val="0"/>
              <w:marBottom w:val="0"/>
              <w:divBdr>
                <w:top w:val="none" w:sz="0" w:space="0" w:color="auto"/>
                <w:left w:val="none" w:sz="0" w:space="0" w:color="auto"/>
                <w:bottom w:val="none" w:sz="0" w:space="0" w:color="auto"/>
                <w:right w:val="none" w:sz="0" w:space="0" w:color="auto"/>
              </w:divBdr>
              <w:divsChild>
                <w:div w:id="450393945">
                  <w:marLeft w:val="0"/>
                  <w:marRight w:val="0"/>
                  <w:marTop w:val="0"/>
                  <w:marBottom w:val="0"/>
                  <w:divBdr>
                    <w:top w:val="none" w:sz="0" w:space="0" w:color="auto"/>
                    <w:left w:val="none" w:sz="0" w:space="0" w:color="auto"/>
                    <w:bottom w:val="none" w:sz="0" w:space="0" w:color="auto"/>
                    <w:right w:val="none" w:sz="0" w:space="0" w:color="auto"/>
                  </w:divBdr>
                  <w:divsChild>
                    <w:div w:id="1860312967">
                      <w:marLeft w:val="0"/>
                      <w:marRight w:val="0"/>
                      <w:marTop w:val="0"/>
                      <w:marBottom w:val="0"/>
                      <w:divBdr>
                        <w:top w:val="none" w:sz="0" w:space="0" w:color="auto"/>
                        <w:left w:val="none" w:sz="0" w:space="0" w:color="auto"/>
                        <w:bottom w:val="none" w:sz="0" w:space="0" w:color="auto"/>
                        <w:right w:val="none" w:sz="0" w:space="0" w:color="auto"/>
                      </w:divBdr>
                      <w:divsChild>
                        <w:div w:id="1444500068">
                          <w:marLeft w:val="0"/>
                          <w:marRight w:val="0"/>
                          <w:marTop w:val="0"/>
                          <w:marBottom w:val="0"/>
                          <w:divBdr>
                            <w:top w:val="none" w:sz="0" w:space="0" w:color="auto"/>
                            <w:left w:val="none" w:sz="0" w:space="0" w:color="auto"/>
                            <w:bottom w:val="none" w:sz="0" w:space="0" w:color="auto"/>
                            <w:right w:val="none" w:sz="0" w:space="0" w:color="auto"/>
                          </w:divBdr>
                          <w:divsChild>
                            <w:div w:id="690031469">
                              <w:marLeft w:val="0"/>
                              <w:marRight w:val="0"/>
                              <w:marTop w:val="0"/>
                              <w:marBottom w:val="0"/>
                              <w:divBdr>
                                <w:top w:val="none" w:sz="0" w:space="0" w:color="auto"/>
                                <w:left w:val="none" w:sz="0" w:space="0" w:color="auto"/>
                                <w:bottom w:val="none" w:sz="0" w:space="0" w:color="auto"/>
                                <w:right w:val="none" w:sz="0" w:space="0" w:color="auto"/>
                              </w:divBdr>
                              <w:divsChild>
                                <w:div w:id="1145857419">
                                  <w:marLeft w:val="0"/>
                                  <w:marRight w:val="0"/>
                                  <w:marTop w:val="0"/>
                                  <w:marBottom w:val="0"/>
                                  <w:divBdr>
                                    <w:top w:val="none" w:sz="0" w:space="0" w:color="auto"/>
                                    <w:left w:val="none" w:sz="0" w:space="0" w:color="auto"/>
                                    <w:bottom w:val="none" w:sz="0" w:space="0" w:color="auto"/>
                                    <w:right w:val="none" w:sz="0" w:space="0" w:color="auto"/>
                                  </w:divBdr>
                                  <w:divsChild>
                                    <w:div w:id="6102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180628">
      <w:bodyDiv w:val="1"/>
      <w:marLeft w:val="0"/>
      <w:marRight w:val="0"/>
      <w:marTop w:val="0"/>
      <w:marBottom w:val="0"/>
      <w:divBdr>
        <w:top w:val="none" w:sz="0" w:space="0" w:color="auto"/>
        <w:left w:val="none" w:sz="0" w:space="0" w:color="auto"/>
        <w:bottom w:val="none" w:sz="0" w:space="0" w:color="auto"/>
        <w:right w:val="none" w:sz="0" w:space="0" w:color="auto"/>
      </w:divBdr>
      <w:divsChild>
        <w:div w:id="1395620151">
          <w:marLeft w:val="0"/>
          <w:marRight w:val="0"/>
          <w:marTop w:val="0"/>
          <w:marBottom w:val="0"/>
          <w:divBdr>
            <w:top w:val="none" w:sz="0" w:space="0" w:color="auto"/>
            <w:left w:val="none" w:sz="0" w:space="0" w:color="auto"/>
            <w:bottom w:val="none" w:sz="0" w:space="0" w:color="auto"/>
            <w:right w:val="none" w:sz="0" w:space="0" w:color="auto"/>
          </w:divBdr>
          <w:divsChild>
            <w:div w:id="1947348991">
              <w:marLeft w:val="0"/>
              <w:marRight w:val="0"/>
              <w:marTop w:val="0"/>
              <w:marBottom w:val="0"/>
              <w:divBdr>
                <w:top w:val="none" w:sz="0" w:space="0" w:color="auto"/>
                <w:left w:val="none" w:sz="0" w:space="0" w:color="auto"/>
                <w:bottom w:val="none" w:sz="0" w:space="0" w:color="auto"/>
                <w:right w:val="none" w:sz="0" w:space="0" w:color="auto"/>
              </w:divBdr>
              <w:divsChild>
                <w:div w:id="1405177434">
                  <w:marLeft w:val="0"/>
                  <w:marRight w:val="0"/>
                  <w:marTop w:val="0"/>
                  <w:marBottom w:val="0"/>
                  <w:divBdr>
                    <w:top w:val="none" w:sz="0" w:space="0" w:color="auto"/>
                    <w:left w:val="none" w:sz="0" w:space="0" w:color="auto"/>
                    <w:bottom w:val="none" w:sz="0" w:space="0" w:color="auto"/>
                    <w:right w:val="none" w:sz="0" w:space="0" w:color="auto"/>
                  </w:divBdr>
                  <w:divsChild>
                    <w:div w:id="1629047662">
                      <w:marLeft w:val="0"/>
                      <w:marRight w:val="0"/>
                      <w:marTop w:val="0"/>
                      <w:marBottom w:val="0"/>
                      <w:divBdr>
                        <w:top w:val="none" w:sz="0" w:space="0" w:color="auto"/>
                        <w:left w:val="none" w:sz="0" w:space="0" w:color="auto"/>
                        <w:bottom w:val="none" w:sz="0" w:space="0" w:color="auto"/>
                        <w:right w:val="none" w:sz="0" w:space="0" w:color="auto"/>
                      </w:divBdr>
                      <w:divsChild>
                        <w:div w:id="1278290205">
                          <w:marLeft w:val="0"/>
                          <w:marRight w:val="0"/>
                          <w:marTop w:val="0"/>
                          <w:marBottom w:val="0"/>
                          <w:divBdr>
                            <w:top w:val="none" w:sz="0" w:space="0" w:color="auto"/>
                            <w:left w:val="none" w:sz="0" w:space="0" w:color="auto"/>
                            <w:bottom w:val="none" w:sz="0" w:space="0" w:color="auto"/>
                            <w:right w:val="none" w:sz="0" w:space="0" w:color="auto"/>
                          </w:divBdr>
                          <w:divsChild>
                            <w:div w:id="1098915063">
                              <w:marLeft w:val="0"/>
                              <w:marRight w:val="0"/>
                              <w:marTop w:val="0"/>
                              <w:marBottom w:val="0"/>
                              <w:divBdr>
                                <w:top w:val="none" w:sz="0" w:space="0" w:color="auto"/>
                                <w:left w:val="none" w:sz="0" w:space="0" w:color="auto"/>
                                <w:bottom w:val="none" w:sz="0" w:space="0" w:color="auto"/>
                                <w:right w:val="none" w:sz="0" w:space="0" w:color="auto"/>
                              </w:divBdr>
                              <w:divsChild>
                                <w:div w:id="1775515900">
                                  <w:marLeft w:val="0"/>
                                  <w:marRight w:val="0"/>
                                  <w:marTop w:val="0"/>
                                  <w:marBottom w:val="0"/>
                                  <w:divBdr>
                                    <w:top w:val="none" w:sz="0" w:space="0" w:color="auto"/>
                                    <w:left w:val="none" w:sz="0" w:space="0" w:color="auto"/>
                                    <w:bottom w:val="none" w:sz="0" w:space="0" w:color="auto"/>
                                    <w:right w:val="none" w:sz="0" w:space="0" w:color="auto"/>
                                  </w:divBdr>
                                  <w:divsChild>
                                    <w:div w:id="151869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952718">
      <w:bodyDiv w:val="1"/>
      <w:marLeft w:val="0"/>
      <w:marRight w:val="0"/>
      <w:marTop w:val="0"/>
      <w:marBottom w:val="0"/>
      <w:divBdr>
        <w:top w:val="none" w:sz="0" w:space="0" w:color="auto"/>
        <w:left w:val="none" w:sz="0" w:space="0" w:color="auto"/>
        <w:bottom w:val="none" w:sz="0" w:space="0" w:color="auto"/>
        <w:right w:val="none" w:sz="0" w:space="0" w:color="auto"/>
      </w:divBdr>
    </w:div>
    <w:div w:id="1789809361">
      <w:bodyDiv w:val="1"/>
      <w:marLeft w:val="0"/>
      <w:marRight w:val="0"/>
      <w:marTop w:val="0"/>
      <w:marBottom w:val="0"/>
      <w:divBdr>
        <w:top w:val="none" w:sz="0" w:space="0" w:color="auto"/>
        <w:left w:val="none" w:sz="0" w:space="0" w:color="auto"/>
        <w:bottom w:val="none" w:sz="0" w:space="0" w:color="auto"/>
        <w:right w:val="none" w:sz="0" w:space="0" w:color="auto"/>
      </w:divBdr>
    </w:div>
    <w:div w:id="1813016209">
      <w:bodyDiv w:val="1"/>
      <w:marLeft w:val="0"/>
      <w:marRight w:val="0"/>
      <w:marTop w:val="0"/>
      <w:marBottom w:val="0"/>
      <w:divBdr>
        <w:top w:val="none" w:sz="0" w:space="0" w:color="auto"/>
        <w:left w:val="none" w:sz="0" w:space="0" w:color="auto"/>
        <w:bottom w:val="none" w:sz="0" w:space="0" w:color="auto"/>
        <w:right w:val="none" w:sz="0" w:space="0" w:color="auto"/>
      </w:divBdr>
    </w:div>
    <w:div w:id="1827017225">
      <w:bodyDiv w:val="1"/>
      <w:marLeft w:val="0"/>
      <w:marRight w:val="0"/>
      <w:marTop w:val="0"/>
      <w:marBottom w:val="0"/>
      <w:divBdr>
        <w:top w:val="none" w:sz="0" w:space="0" w:color="auto"/>
        <w:left w:val="none" w:sz="0" w:space="0" w:color="auto"/>
        <w:bottom w:val="none" w:sz="0" w:space="0" w:color="auto"/>
        <w:right w:val="none" w:sz="0" w:space="0" w:color="auto"/>
      </w:divBdr>
    </w:div>
    <w:div w:id="1861822119">
      <w:bodyDiv w:val="1"/>
      <w:marLeft w:val="0"/>
      <w:marRight w:val="0"/>
      <w:marTop w:val="0"/>
      <w:marBottom w:val="0"/>
      <w:divBdr>
        <w:top w:val="none" w:sz="0" w:space="0" w:color="auto"/>
        <w:left w:val="none" w:sz="0" w:space="0" w:color="auto"/>
        <w:bottom w:val="none" w:sz="0" w:space="0" w:color="auto"/>
        <w:right w:val="none" w:sz="0" w:space="0" w:color="auto"/>
      </w:divBdr>
      <w:divsChild>
        <w:div w:id="2090346228">
          <w:marLeft w:val="0"/>
          <w:marRight w:val="0"/>
          <w:marTop w:val="0"/>
          <w:marBottom w:val="0"/>
          <w:divBdr>
            <w:top w:val="none" w:sz="0" w:space="0" w:color="auto"/>
            <w:left w:val="none" w:sz="0" w:space="0" w:color="auto"/>
            <w:bottom w:val="none" w:sz="0" w:space="0" w:color="auto"/>
            <w:right w:val="none" w:sz="0" w:space="0" w:color="auto"/>
          </w:divBdr>
          <w:divsChild>
            <w:div w:id="1863935003">
              <w:marLeft w:val="0"/>
              <w:marRight w:val="0"/>
              <w:marTop w:val="0"/>
              <w:marBottom w:val="0"/>
              <w:divBdr>
                <w:top w:val="none" w:sz="0" w:space="0" w:color="auto"/>
                <w:left w:val="none" w:sz="0" w:space="0" w:color="auto"/>
                <w:bottom w:val="none" w:sz="0" w:space="0" w:color="auto"/>
                <w:right w:val="none" w:sz="0" w:space="0" w:color="auto"/>
              </w:divBdr>
              <w:divsChild>
                <w:div w:id="39790648">
                  <w:marLeft w:val="0"/>
                  <w:marRight w:val="0"/>
                  <w:marTop w:val="0"/>
                  <w:marBottom w:val="0"/>
                  <w:divBdr>
                    <w:top w:val="none" w:sz="0" w:space="0" w:color="auto"/>
                    <w:left w:val="none" w:sz="0" w:space="0" w:color="auto"/>
                    <w:bottom w:val="none" w:sz="0" w:space="0" w:color="auto"/>
                    <w:right w:val="none" w:sz="0" w:space="0" w:color="auto"/>
                  </w:divBdr>
                  <w:divsChild>
                    <w:div w:id="2032561506">
                      <w:marLeft w:val="0"/>
                      <w:marRight w:val="0"/>
                      <w:marTop w:val="0"/>
                      <w:marBottom w:val="0"/>
                      <w:divBdr>
                        <w:top w:val="none" w:sz="0" w:space="0" w:color="auto"/>
                        <w:left w:val="none" w:sz="0" w:space="0" w:color="auto"/>
                        <w:bottom w:val="none" w:sz="0" w:space="0" w:color="auto"/>
                        <w:right w:val="none" w:sz="0" w:space="0" w:color="auto"/>
                      </w:divBdr>
                      <w:divsChild>
                        <w:div w:id="1265966786">
                          <w:marLeft w:val="0"/>
                          <w:marRight w:val="0"/>
                          <w:marTop w:val="0"/>
                          <w:marBottom w:val="0"/>
                          <w:divBdr>
                            <w:top w:val="none" w:sz="0" w:space="0" w:color="auto"/>
                            <w:left w:val="none" w:sz="0" w:space="0" w:color="auto"/>
                            <w:bottom w:val="none" w:sz="0" w:space="0" w:color="auto"/>
                            <w:right w:val="none" w:sz="0" w:space="0" w:color="auto"/>
                          </w:divBdr>
                          <w:divsChild>
                            <w:div w:id="842086222">
                              <w:marLeft w:val="0"/>
                              <w:marRight w:val="0"/>
                              <w:marTop w:val="0"/>
                              <w:marBottom w:val="0"/>
                              <w:divBdr>
                                <w:top w:val="none" w:sz="0" w:space="0" w:color="auto"/>
                                <w:left w:val="none" w:sz="0" w:space="0" w:color="auto"/>
                                <w:bottom w:val="none" w:sz="0" w:space="0" w:color="auto"/>
                                <w:right w:val="none" w:sz="0" w:space="0" w:color="auto"/>
                              </w:divBdr>
                              <w:divsChild>
                                <w:div w:id="1953781130">
                                  <w:marLeft w:val="0"/>
                                  <w:marRight w:val="0"/>
                                  <w:marTop w:val="0"/>
                                  <w:marBottom w:val="0"/>
                                  <w:divBdr>
                                    <w:top w:val="none" w:sz="0" w:space="0" w:color="auto"/>
                                    <w:left w:val="none" w:sz="0" w:space="0" w:color="auto"/>
                                    <w:bottom w:val="none" w:sz="0" w:space="0" w:color="auto"/>
                                    <w:right w:val="none" w:sz="0" w:space="0" w:color="auto"/>
                                  </w:divBdr>
                                  <w:divsChild>
                                    <w:div w:id="82597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648471">
      <w:bodyDiv w:val="1"/>
      <w:marLeft w:val="0"/>
      <w:marRight w:val="0"/>
      <w:marTop w:val="0"/>
      <w:marBottom w:val="0"/>
      <w:divBdr>
        <w:top w:val="none" w:sz="0" w:space="0" w:color="auto"/>
        <w:left w:val="none" w:sz="0" w:space="0" w:color="auto"/>
        <w:bottom w:val="none" w:sz="0" w:space="0" w:color="auto"/>
        <w:right w:val="none" w:sz="0" w:space="0" w:color="auto"/>
      </w:divBdr>
      <w:divsChild>
        <w:div w:id="1056734513">
          <w:marLeft w:val="0"/>
          <w:marRight w:val="0"/>
          <w:marTop w:val="0"/>
          <w:marBottom w:val="0"/>
          <w:divBdr>
            <w:top w:val="none" w:sz="0" w:space="0" w:color="auto"/>
            <w:left w:val="none" w:sz="0" w:space="0" w:color="auto"/>
            <w:bottom w:val="none" w:sz="0" w:space="0" w:color="auto"/>
            <w:right w:val="none" w:sz="0" w:space="0" w:color="auto"/>
          </w:divBdr>
          <w:divsChild>
            <w:div w:id="1018387707">
              <w:marLeft w:val="0"/>
              <w:marRight w:val="0"/>
              <w:marTop w:val="0"/>
              <w:marBottom w:val="0"/>
              <w:divBdr>
                <w:top w:val="none" w:sz="0" w:space="0" w:color="auto"/>
                <w:left w:val="none" w:sz="0" w:space="0" w:color="auto"/>
                <w:bottom w:val="none" w:sz="0" w:space="0" w:color="auto"/>
                <w:right w:val="none" w:sz="0" w:space="0" w:color="auto"/>
              </w:divBdr>
              <w:divsChild>
                <w:div w:id="49885779">
                  <w:marLeft w:val="0"/>
                  <w:marRight w:val="0"/>
                  <w:marTop w:val="0"/>
                  <w:marBottom w:val="0"/>
                  <w:divBdr>
                    <w:top w:val="none" w:sz="0" w:space="0" w:color="auto"/>
                    <w:left w:val="none" w:sz="0" w:space="0" w:color="auto"/>
                    <w:bottom w:val="none" w:sz="0" w:space="0" w:color="auto"/>
                    <w:right w:val="none" w:sz="0" w:space="0" w:color="auto"/>
                  </w:divBdr>
                  <w:divsChild>
                    <w:div w:id="1871259444">
                      <w:marLeft w:val="0"/>
                      <w:marRight w:val="0"/>
                      <w:marTop w:val="0"/>
                      <w:marBottom w:val="0"/>
                      <w:divBdr>
                        <w:top w:val="none" w:sz="0" w:space="0" w:color="auto"/>
                        <w:left w:val="none" w:sz="0" w:space="0" w:color="auto"/>
                        <w:bottom w:val="none" w:sz="0" w:space="0" w:color="auto"/>
                        <w:right w:val="none" w:sz="0" w:space="0" w:color="auto"/>
                      </w:divBdr>
                      <w:divsChild>
                        <w:div w:id="2130587778">
                          <w:marLeft w:val="0"/>
                          <w:marRight w:val="0"/>
                          <w:marTop w:val="0"/>
                          <w:marBottom w:val="0"/>
                          <w:divBdr>
                            <w:top w:val="none" w:sz="0" w:space="0" w:color="auto"/>
                            <w:left w:val="none" w:sz="0" w:space="0" w:color="auto"/>
                            <w:bottom w:val="none" w:sz="0" w:space="0" w:color="auto"/>
                            <w:right w:val="none" w:sz="0" w:space="0" w:color="auto"/>
                          </w:divBdr>
                          <w:divsChild>
                            <w:div w:id="1592465189">
                              <w:marLeft w:val="0"/>
                              <w:marRight w:val="0"/>
                              <w:marTop w:val="0"/>
                              <w:marBottom w:val="0"/>
                              <w:divBdr>
                                <w:top w:val="none" w:sz="0" w:space="0" w:color="auto"/>
                                <w:left w:val="none" w:sz="0" w:space="0" w:color="auto"/>
                                <w:bottom w:val="none" w:sz="0" w:space="0" w:color="auto"/>
                                <w:right w:val="none" w:sz="0" w:space="0" w:color="auto"/>
                              </w:divBdr>
                              <w:divsChild>
                                <w:div w:id="1727944813">
                                  <w:marLeft w:val="0"/>
                                  <w:marRight w:val="0"/>
                                  <w:marTop w:val="0"/>
                                  <w:marBottom w:val="0"/>
                                  <w:divBdr>
                                    <w:top w:val="none" w:sz="0" w:space="0" w:color="auto"/>
                                    <w:left w:val="none" w:sz="0" w:space="0" w:color="auto"/>
                                    <w:bottom w:val="none" w:sz="0" w:space="0" w:color="auto"/>
                                    <w:right w:val="none" w:sz="0" w:space="0" w:color="auto"/>
                                  </w:divBdr>
                                  <w:divsChild>
                                    <w:div w:id="213667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613410">
      <w:bodyDiv w:val="1"/>
      <w:marLeft w:val="0"/>
      <w:marRight w:val="0"/>
      <w:marTop w:val="0"/>
      <w:marBottom w:val="0"/>
      <w:divBdr>
        <w:top w:val="none" w:sz="0" w:space="0" w:color="auto"/>
        <w:left w:val="none" w:sz="0" w:space="0" w:color="auto"/>
        <w:bottom w:val="none" w:sz="0" w:space="0" w:color="auto"/>
        <w:right w:val="none" w:sz="0" w:space="0" w:color="auto"/>
      </w:divBdr>
    </w:div>
    <w:div w:id="1942374550">
      <w:bodyDiv w:val="1"/>
      <w:marLeft w:val="0"/>
      <w:marRight w:val="0"/>
      <w:marTop w:val="0"/>
      <w:marBottom w:val="0"/>
      <w:divBdr>
        <w:top w:val="none" w:sz="0" w:space="0" w:color="auto"/>
        <w:left w:val="none" w:sz="0" w:space="0" w:color="auto"/>
        <w:bottom w:val="none" w:sz="0" w:space="0" w:color="auto"/>
        <w:right w:val="none" w:sz="0" w:space="0" w:color="auto"/>
      </w:divBdr>
    </w:div>
    <w:div w:id="1966961406">
      <w:bodyDiv w:val="1"/>
      <w:marLeft w:val="0"/>
      <w:marRight w:val="0"/>
      <w:marTop w:val="0"/>
      <w:marBottom w:val="0"/>
      <w:divBdr>
        <w:top w:val="none" w:sz="0" w:space="0" w:color="auto"/>
        <w:left w:val="none" w:sz="0" w:space="0" w:color="auto"/>
        <w:bottom w:val="none" w:sz="0" w:space="0" w:color="auto"/>
        <w:right w:val="none" w:sz="0" w:space="0" w:color="auto"/>
      </w:divBdr>
    </w:div>
    <w:div w:id="1988783991">
      <w:bodyDiv w:val="1"/>
      <w:marLeft w:val="0"/>
      <w:marRight w:val="0"/>
      <w:marTop w:val="0"/>
      <w:marBottom w:val="0"/>
      <w:divBdr>
        <w:top w:val="none" w:sz="0" w:space="0" w:color="auto"/>
        <w:left w:val="none" w:sz="0" w:space="0" w:color="auto"/>
        <w:bottom w:val="none" w:sz="0" w:space="0" w:color="auto"/>
        <w:right w:val="none" w:sz="0" w:space="0" w:color="auto"/>
      </w:divBdr>
    </w:div>
    <w:div w:id="2070767117">
      <w:bodyDiv w:val="1"/>
      <w:marLeft w:val="0"/>
      <w:marRight w:val="0"/>
      <w:marTop w:val="0"/>
      <w:marBottom w:val="0"/>
      <w:divBdr>
        <w:top w:val="none" w:sz="0" w:space="0" w:color="auto"/>
        <w:left w:val="none" w:sz="0" w:space="0" w:color="auto"/>
        <w:bottom w:val="none" w:sz="0" w:space="0" w:color="auto"/>
        <w:right w:val="none" w:sz="0" w:space="0" w:color="auto"/>
      </w:divBdr>
    </w:div>
    <w:div w:id="2095734948">
      <w:bodyDiv w:val="1"/>
      <w:marLeft w:val="0"/>
      <w:marRight w:val="0"/>
      <w:marTop w:val="0"/>
      <w:marBottom w:val="0"/>
      <w:divBdr>
        <w:top w:val="none" w:sz="0" w:space="0" w:color="auto"/>
        <w:left w:val="none" w:sz="0" w:space="0" w:color="auto"/>
        <w:bottom w:val="none" w:sz="0" w:space="0" w:color="auto"/>
        <w:right w:val="none" w:sz="0" w:space="0" w:color="auto"/>
      </w:divBdr>
    </w:div>
    <w:div w:id="2128619844">
      <w:bodyDiv w:val="1"/>
      <w:marLeft w:val="0"/>
      <w:marRight w:val="0"/>
      <w:marTop w:val="0"/>
      <w:marBottom w:val="0"/>
      <w:divBdr>
        <w:top w:val="none" w:sz="0" w:space="0" w:color="auto"/>
        <w:left w:val="none" w:sz="0" w:space="0" w:color="auto"/>
        <w:bottom w:val="none" w:sz="0" w:space="0" w:color="auto"/>
        <w:right w:val="none" w:sz="0" w:space="0" w:color="auto"/>
      </w:divBdr>
    </w:div>
    <w:div w:id="2131778922">
      <w:bodyDiv w:val="1"/>
      <w:marLeft w:val="0"/>
      <w:marRight w:val="0"/>
      <w:marTop w:val="0"/>
      <w:marBottom w:val="0"/>
      <w:divBdr>
        <w:top w:val="none" w:sz="0" w:space="0" w:color="auto"/>
        <w:left w:val="none" w:sz="0" w:space="0" w:color="auto"/>
        <w:bottom w:val="none" w:sz="0" w:space="0" w:color="auto"/>
        <w:right w:val="none" w:sz="0" w:space="0" w:color="auto"/>
      </w:divBdr>
    </w:div>
    <w:div w:id="213948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3063C-66A6-474F-B91F-A2712AAF3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10</Pages>
  <Words>6401</Words>
  <Characters>34566</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30</cp:revision>
  <cp:lastPrinted>2026-06-01T17:23:00Z</cp:lastPrinted>
  <dcterms:created xsi:type="dcterms:W3CDTF">2025-05-07T09:41:00Z</dcterms:created>
  <dcterms:modified xsi:type="dcterms:W3CDTF">2026-10-20T11:03:00Z</dcterms:modified>
</cp:coreProperties>
</file>